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4E6E" w14:textId="16CB5F20" w:rsidR="009C345F" w:rsidRPr="00CA23AA" w:rsidRDefault="009C345F" w:rsidP="009C345F">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bookmarkStart w:id="0" w:name="_Hlk68005436"/>
      <w:bookmarkStart w:id="1" w:name="_Toc69491414"/>
      <w:r w:rsidRPr="00CA23AA">
        <w:rPr>
          <w:rFonts w:ascii="Arial" w:hAnsi="Arial" w:cs="Arial"/>
          <w:b/>
          <w:bCs/>
          <w:color w:val="000080"/>
          <w:sz w:val="36"/>
          <w:szCs w:val="36"/>
        </w:rPr>
        <w:t>Medical Services Advisory Committee (MSAC)</w:t>
      </w:r>
      <w:r w:rsidRPr="00CA23AA">
        <w:rPr>
          <w:rFonts w:ascii="Arial" w:hAnsi="Arial" w:cs="Arial"/>
          <w:b/>
          <w:bCs/>
          <w:color w:val="000080"/>
          <w:sz w:val="36"/>
          <w:szCs w:val="36"/>
        </w:rPr>
        <w:br/>
      </w:r>
      <w:r w:rsidR="0034784B" w:rsidRPr="00CA23AA">
        <w:rPr>
          <w:rFonts w:ascii="Arial" w:hAnsi="Arial" w:cs="Arial"/>
          <w:b/>
          <w:bCs/>
          <w:color w:val="000080"/>
          <w:sz w:val="36"/>
          <w:szCs w:val="36"/>
        </w:rPr>
        <w:t>Public Summary Document</w:t>
      </w:r>
    </w:p>
    <w:p w14:paraId="335D8977" w14:textId="77777777" w:rsidR="009C345F" w:rsidRPr="00CA23AA" w:rsidRDefault="009C345F" w:rsidP="0034784B">
      <w:pPr>
        <w:pStyle w:val="Subtitle"/>
        <w:spacing w:before="360"/>
      </w:pPr>
      <w:r w:rsidRPr="00CA23AA">
        <w:t>Application No. 1748 - Review of tisagenlecleucel (Kymriah®) for treatment of acute lymphoblastic leukaemia in paediatric and young adult patients (</w:t>
      </w:r>
      <w:proofErr w:type="spellStart"/>
      <w:r w:rsidRPr="00CA23AA">
        <w:t>pALL</w:t>
      </w:r>
      <w:proofErr w:type="spellEnd"/>
      <w:r w:rsidRPr="00CA23AA">
        <w:t>)</w:t>
      </w:r>
    </w:p>
    <w:p w14:paraId="368A796C" w14:textId="30B1CA2E" w:rsidR="00427FDA" w:rsidRPr="00CA23AA" w:rsidRDefault="00427FDA" w:rsidP="0034784B">
      <w:pPr>
        <w:tabs>
          <w:tab w:val="left" w:pos="3544"/>
        </w:tabs>
        <w:spacing w:after="240" w:line="256" w:lineRule="auto"/>
        <w:rPr>
          <w:rFonts w:ascii="Arial" w:eastAsia="Times New Roman" w:hAnsi="Arial" w:cs="Arial"/>
          <w:b/>
          <w:bCs/>
          <w:color w:val="000000"/>
          <w:szCs w:val="20"/>
          <w:lang w:eastAsia="en-AU"/>
        </w:rPr>
      </w:pPr>
      <w:r w:rsidRPr="00CA23AA">
        <w:rPr>
          <w:rFonts w:ascii="Arial" w:eastAsia="Times New Roman" w:hAnsi="Arial" w:cs="Arial"/>
          <w:b/>
          <w:bCs/>
          <w:color w:val="000000"/>
          <w:szCs w:val="20"/>
          <w:lang w:eastAsia="en-AU"/>
        </w:rPr>
        <w:t>Applicant:</w:t>
      </w:r>
      <w:r w:rsidR="0034784B" w:rsidRPr="00CA23AA">
        <w:rPr>
          <w:rFonts w:ascii="Arial" w:eastAsia="Times New Roman" w:hAnsi="Arial" w:cs="Arial"/>
          <w:b/>
          <w:bCs/>
          <w:color w:val="000000"/>
          <w:szCs w:val="20"/>
          <w:lang w:eastAsia="en-AU"/>
        </w:rPr>
        <w:tab/>
      </w:r>
      <w:r w:rsidRPr="00CA23AA">
        <w:rPr>
          <w:rFonts w:ascii="Arial" w:eastAsia="Times New Roman" w:hAnsi="Arial" w:cs="Arial"/>
          <w:b/>
          <w:bCs/>
          <w:color w:val="000000"/>
          <w:szCs w:val="20"/>
          <w:lang w:eastAsia="en-AU"/>
        </w:rPr>
        <w:t>Novartis Pharmaceuticals Australia (Novartis)</w:t>
      </w:r>
    </w:p>
    <w:p w14:paraId="79610663" w14:textId="37FA98D8" w:rsidR="00427FDA" w:rsidRPr="00CA23AA" w:rsidRDefault="00427FDA" w:rsidP="0034784B">
      <w:pPr>
        <w:tabs>
          <w:tab w:val="left" w:pos="3544"/>
        </w:tabs>
        <w:spacing w:before="320" w:after="240" w:line="256" w:lineRule="auto"/>
        <w:rPr>
          <w:rFonts w:ascii="Arial" w:eastAsia="Times New Roman" w:hAnsi="Arial" w:cs="Arial"/>
          <w:b/>
          <w:bCs/>
          <w:color w:val="000000"/>
          <w:szCs w:val="20"/>
          <w:lang w:eastAsia="en-AU"/>
        </w:rPr>
      </w:pPr>
      <w:r w:rsidRPr="00CA23AA">
        <w:rPr>
          <w:rFonts w:ascii="Arial" w:eastAsia="Times New Roman" w:hAnsi="Arial" w:cs="Arial"/>
          <w:b/>
          <w:bCs/>
          <w:color w:val="000000"/>
          <w:szCs w:val="20"/>
          <w:lang w:eastAsia="en-AU"/>
        </w:rPr>
        <w:t xml:space="preserve">Date of </w:t>
      </w:r>
      <w:r w:rsidR="0034784B" w:rsidRPr="00CA23AA">
        <w:rPr>
          <w:rFonts w:ascii="Arial" w:eastAsia="Times New Roman" w:hAnsi="Arial" w:cs="Arial"/>
          <w:b/>
          <w:bCs/>
          <w:color w:val="000000"/>
          <w:szCs w:val="20"/>
          <w:lang w:eastAsia="en-AU"/>
        </w:rPr>
        <w:t>MSAC</w:t>
      </w:r>
      <w:r w:rsidRPr="00CA23AA">
        <w:rPr>
          <w:rFonts w:ascii="Arial" w:eastAsia="Times New Roman" w:hAnsi="Arial" w:cs="Arial"/>
          <w:b/>
          <w:bCs/>
          <w:color w:val="000000"/>
          <w:szCs w:val="20"/>
          <w:lang w:eastAsia="en-AU"/>
        </w:rPr>
        <w:t xml:space="preserve"> consideration:</w:t>
      </w:r>
      <w:r w:rsidRPr="00CA23AA">
        <w:rPr>
          <w:rFonts w:ascii="Arial" w:eastAsia="Times New Roman" w:hAnsi="Arial" w:cs="Arial"/>
          <w:b/>
          <w:bCs/>
          <w:color w:val="000000"/>
          <w:szCs w:val="20"/>
          <w:lang w:eastAsia="en-AU"/>
        </w:rPr>
        <w:tab/>
      </w:r>
      <w:r w:rsidR="00977A81" w:rsidRPr="00CA23AA">
        <w:rPr>
          <w:rFonts w:ascii="Arial" w:eastAsia="Times New Roman" w:hAnsi="Arial" w:cs="Arial"/>
          <w:b/>
          <w:bCs/>
          <w:color w:val="000000"/>
          <w:szCs w:val="20"/>
          <w:lang w:eastAsia="en-AU"/>
        </w:rPr>
        <w:t>27 July</w:t>
      </w:r>
      <w:r w:rsidRPr="00CA23AA">
        <w:rPr>
          <w:rFonts w:ascii="Arial" w:eastAsia="Times New Roman" w:hAnsi="Arial" w:cs="Arial"/>
          <w:b/>
          <w:bCs/>
          <w:color w:val="000000"/>
          <w:szCs w:val="20"/>
          <w:lang w:eastAsia="en-AU"/>
        </w:rPr>
        <w:t xml:space="preserve"> 2023</w:t>
      </w:r>
    </w:p>
    <w:p w14:paraId="57F5B6E1" w14:textId="77777777" w:rsidR="00F94EB1" w:rsidRPr="00CA23AA" w:rsidRDefault="00F94EB1" w:rsidP="00F94EB1">
      <w:pPr>
        <w:spacing w:after="240"/>
        <w:rPr>
          <w:color w:val="0000FF"/>
          <w:szCs w:val="24"/>
          <w:u w:val="single"/>
        </w:rPr>
      </w:pPr>
      <w:r w:rsidRPr="00CA23AA">
        <w:rPr>
          <w:szCs w:val="24"/>
        </w:rPr>
        <w:t xml:space="preserve">Context for decision: MSAC makes its advice in accordance with its Terms of Reference, </w:t>
      </w:r>
      <w:hyperlink r:id="rId8" w:tooltip="Link to Medical Services Advisory Committee website" w:history="1">
        <w:r w:rsidRPr="00CA23AA">
          <w:rPr>
            <w:rStyle w:val="Hyperlink"/>
            <w:szCs w:val="24"/>
          </w:rPr>
          <w:t>visit the MSAC website</w:t>
        </w:r>
      </w:hyperlink>
    </w:p>
    <w:p w14:paraId="7EAA7262" w14:textId="77335A16" w:rsidR="00772829" w:rsidRPr="00CA23AA" w:rsidRDefault="00C36633" w:rsidP="00C36633">
      <w:pPr>
        <w:pStyle w:val="Heading2"/>
        <w:numPr>
          <w:ilvl w:val="0"/>
          <w:numId w:val="0"/>
        </w:numPr>
      </w:pPr>
      <w:bookmarkStart w:id="2" w:name="_Toc69491415"/>
      <w:bookmarkEnd w:id="0"/>
      <w:bookmarkEnd w:id="1"/>
      <w:r w:rsidRPr="00CA23AA">
        <w:t>1.</w:t>
      </w:r>
      <w:r w:rsidRPr="00CA23AA">
        <w:tab/>
      </w:r>
      <w:r w:rsidR="00772829" w:rsidRPr="00CA23AA">
        <w:t xml:space="preserve">Purpose </w:t>
      </w:r>
      <w:r w:rsidR="00772829" w:rsidRPr="00CA23AA">
        <w:rPr>
          <w:szCs w:val="32"/>
        </w:rPr>
        <w:t>of</w:t>
      </w:r>
      <w:r w:rsidR="00772829" w:rsidRPr="00CA23AA">
        <w:t xml:space="preserve"> application</w:t>
      </w:r>
      <w:bookmarkEnd w:id="2"/>
    </w:p>
    <w:p w14:paraId="04ADFB44" w14:textId="40890059" w:rsidR="005E5D2A" w:rsidRPr="00CA23AA" w:rsidRDefault="005E5D2A" w:rsidP="00772829">
      <w:pPr>
        <w:spacing w:after="240"/>
        <w:rPr>
          <w:iCs/>
        </w:rPr>
      </w:pPr>
      <w:bookmarkStart w:id="3" w:name="_Hlk69734469"/>
      <w:r w:rsidRPr="00CA23AA">
        <w:rPr>
          <w:iCs/>
        </w:rPr>
        <w:t>Public subsidy for tisagenlecleucel (TIS) to treat paediatric and young adult patients up to 25</w:t>
      </w:r>
      <w:r w:rsidR="002E116E" w:rsidRPr="00CA23AA">
        <w:rPr>
          <w:iCs/>
        </w:rPr>
        <w:t> </w:t>
      </w:r>
      <w:r w:rsidRPr="00CA23AA">
        <w:rPr>
          <w:iCs/>
        </w:rPr>
        <w:t>years of age with B-cell precursor acute lymphoblastic leukaemia (</w:t>
      </w:r>
      <w:proofErr w:type="spellStart"/>
      <w:r w:rsidRPr="00CA23AA">
        <w:rPr>
          <w:iCs/>
        </w:rPr>
        <w:t>pALL</w:t>
      </w:r>
      <w:proofErr w:type="spellEnd"/>
      <w:r w:rsidRPr="00CA23AA">
        <w:rPr>
          <w:iCs/>
        </w:rPr>
        <w:t xml:space="preserve">) that is refractory, in relapse post-transplant, or in second or later relapse, through </w:t>
      </w:r>
      <w:r w:rsidR="009B0770" w:rsidRPr="00CA23AA">
        <w:rPr>
          <w:iCs/>
        </w:rPr>
        <w:t>the</w:t>
      </w:r>
      <w:r w:rsidRPr="00CA23AA">
        <w:rPr>
          <w:iCs/>
        </w:rPr>
        <w:t xml:space="preserve"> National Health Reform Agreement</w:t>
      </w:r>
      <w:r w:rsidR="009B0770" w:rsidRPr="00CA23AA">
        <w:rPr>
          <w:iCs/>
        </w:rPr>
        <w:t>s</w:t>
      </w:r>
      <w:r w:rsidRPr="00CA23AA">
        <w:rPr>
          <w:iCs/>
        </w:rPr>
        <w:t xml:space="preserve"> (NHRA) commenced on 31 July 2019. The Department of Health and Aged Care wrote to Novartis </w:t>
      </w:r>
      <w:r w:rsidR="003042CE" w:rsidRPr="00CA23AA">
        <w:rPr>
          <w:iCs/>
        </w:rPr>
        <w:t>Pharmaceuticals (Novartis)</w:t>
      </w:r>
      <w:r w:rsidRPr="00CA23AA">
        <w:rPr>
          <w:iCs/>
        </w:rPr>
        <w:t xml:space="preserve"> in September 2022, providing notice that the review of TIS in </w:t>
      </w:r>
      <w:proofErr w:type="spellStart"/>
      <w:r w:rsidRPr="00CA23AA">
        <w:rPr>
          <w:iCs/>
        </w:rPr>
        <w:t>pALL</w:t>
      </w:r>
      <w:proofErr w:type="spellEnd"/>
      <w:r w:rsidRPr="00CA23AA">
        <w:rPr>
          <w:iCs/>
        </w:rPr>
        <w:t xml:space="preserve"> </w:t>
      </w:r>
      <w:r w:rsidR="00A022C4" w:rsidRPr="00CA23AA">
        <w:rPr>
          <w:iCs/>
        </w:rPr>
        <w:t xml:space="preserve">had </w:t>
      </w:r>
      <w:r w:rsidRPr="00CA23AA">
        <w:rPr>
          <w:iCs/>
        </w:rPr>
        <w:t xml:space="preserve">been scheduled for consideration at the </w:t>
      </w:r>
      <w:r w:rsidR="00CD23D9" w:rsidRPr="00CA23AA">
        <w:rPr>
          <w:iCs/>
        </w:rPr>
        <w:t>July</w:t>
      </w:r>
      <w:r w:rsidRPr="00CA23AA">
        <w:rPr>
          <w:iCs/>
        </w:rPr>
        <w:t xml:space="preserve"> 2023 </w:t>
      </w:r>
      <w:r w:rsidR="008C272C" w:rsidRPr="00CA23AA">
        <w:rPr>
          <w:iCs/>
        </w:rPr>
        <w:t>Medical Services Advisory Committee (</w:t>
      </w:r>
      <w:r w:rsidRPr="00CA23AA">
        <w:rPr>
          <w:iCs/>
        </w:rPr>
        <w:t>MSAC</w:t>
      </w:r>
      <w:r w:rsidR="008C272C" w:rsidRPr="00CA23AA">
        <w:rPr>
          <w:iCs/>
        </w:rPr>
        <w:t>)</w:t>
      </w:r>
      <w:r w:rsidRPr="00CA23AA">
        <w:rPr>
          <w:iCs/>
        </w:rPr>
        <w:t xml:space="preserve"> meeting. Novartis was therefore requested to lodge a submission for MSAC consideration by the 8 February 2023 Applicant Developed Assessment Report (ADAR) lodgement deadline.</w:t>
      </w:r>
      <w:r w:rsidR="009542E3" w:rsidRPr="00CA23AA">
        <w:rPr>
          <w:iCs/>
        </w:rPr>
        <w:t xml:space="preserve"> Th</w:t>
      </w:r>
      <w:r w:rsidR="00687198" w:rsidRPr="00CA23AA">
        <w:rPr>
          <w:iCs/>
        </w:rPr>
        <w:t>i</w:t>
      </w:r>
      <w:r w:rsidR="009542E3" w:rsidRPr="00CA23AA">
        <w:rPr>
          <w:iCs/>
        </w:rPr>
        <w:t>s is in line with MSAC’s recommendation that a review of the clinical and cost effectiveness and budget impact of TIS</w:t>
      </w:r>
      <w:r w:rsidR="00687198" w:rsidRPr="00CA23AA">
        <w:rPr>
          <w:iCs/>
        </w:rPr>
        <w:t xml:space="preserve"> </w:t>
      </w:r>
      <w:r w:rsidR="00A022C4" w:rsidRPr="00CA23AA">
        <w:rPr>
          <w:iCs/>
        </w:rPr>
        <w:t xml:space="preserve">be </w:t>
      </w:r>
      <w:r w:rsidR="00687198" w:rsidRPr="00CA23AA">
        <w:rPr>
          <w:iCs/>
        </w:rPr>
        <w:t>conducted</w:t>
      </w:r>
      <w:r w:rsidR="009542E3" w:rsidRPr="00CA23AA">
        <w:rPr>
          <w:iCs/>
        </w:rPr>
        <w:t xml:space="preserve"> at least </w:t>
      </w:r>
      <w:r w:rsidR="009542E3" w:rsidRPr="00CA23AA">
        <w:t>three</w:t>
      </w:r>
      <w:r w:rsidR="009542E3" w:rsidRPr="00CA23AA">
        <w:rPr>
          <w:iCs/>
        </w:rPr>
        <w:t xml:space="preserve"> years after the commencement of public subsidy</w:t>
      </w:r>
      <w:r w:rsidR="00B35ADC" w:rsidRPr="00CA23AA">
        <w:rPr>
          <w:iCs/>
        </w:rPr>
        <w:t>.</w:t>
      </w:r>
    </w:p>
    <w:p w14:paraId="6F100F7C" w14:textId="77777777" w:rsidR="003E2662" w:rsidRPr="00CA23AA" w:rsidRDefault="00C36633" w:rsidP="003E2662">
      <w:pPr>
        <w:pStyle w:val="Heading2"/>
        <w:numPr>
          <w:ilvl w:val="1"/>
          <w:numId w:val="0"/>
        </w:numPr>
      </w:pPr>
      <w:bookmarkStart w:id="4" w:name="_Toc69491416"/>
      <w:bookmarkEnd w:id="3"/>
      <w:r w:rsidRPr="00CA23AA">
        <w:t>2.</w:t>
      </w:r>
      <w:r w:rsidRPr="00CA23AA">
        <w:tab/>
      </w:r>
      <w:r w:rsidR="003E2662" w:rsidRPr="00CA23AA">
        <w:t>MSAC’s advice to the Minister</w:t>
      </w:r>
    </w:p>
    <w:p w14:paraId="24164B24" w14:textId="497A5675" w:rsidR="00D40EB2" w:rsidRPr="00CA23AA" w:rsidRDefault="005B181C" w:rsidP="004E264F">
      <w:pPr>
        <w:spacing w:after="240"/>
      </w:pPr>
      <w:r w:rsidRPr="00CA23AA">
        <w:t>MSAC reviewed matters related to the public funding of the chimeric antigen receptor T cell therapy (CAR-T) tisagenlecleucel (TIS) for acute lymphoblastic leukaemia in paediatric and young adult patients (</w:t>
      </w:r>
      <w:proofErr w:type="spellStart"/>
      <w:r w:rsidRPr="00CA23AA">
        <w:t>pALL</w:t>
      </w:r>
      <w:proofErr w:type="spellEnd"/>
      <w:r w:rsidRPr="00CA23AA">
        <w:t xml:space="preserve">). MSAC requested this review in April 2019 when it initially supported funding of TIS, through the National Health Reform Agreement. After reviewing updated evidence from clinical studies, Australian data from the Australian Bone Marrow Transplant Recipient Registry (ABMTRR) and </w:t>
      </w:r>
      <w:r w:rsidR="0052303D" w:rsidRPr="00CA23AA">
        <w:t xml:space="preserve">utilisation </w:t>
      </w:r>
      <w:r w:rsidRPr="00CA23AA">
        <w:t xml:space="preserve">data supplied by the States and Territories, MSAC considered that the available evidence did not fully address the clinical, </w:t>
      </w:r>
      <w:proofErr w:type="gramStart"/>
      <w:r w:rsidRPr="00CA23AA">
        <w:t>economic</w:t>
      </w:r>
      <w:proofErr w:type="gramEnd"/>
      <w:r w:rsidRPr="00CA23AA">
        <w:t xml:space="preserve"> and financial uncertainties which existed when it initially supported public funding. The review did not </w:t>
      </w:r>
      <w:r w:rsidR="001E4E3C" w:rsidRPr="00CA23AA">
        <w:t xml:space="preserve">adequately </w:t>
      </w:r>
      <w:r w:rsidRPr="00CA23AA">
        <w:t xml:space="preserve">address MSAC's previous concerns regarding the uncertainty of clinical outcomes </w:t>
      </w:r>
      <w:r w:rsidR="00CE0B13" w:rsidRPr="00CA23AA">
        <w:t xml:space="preserve">beyond 12 months for </w:t>
      </w:r>
      <w:r w:rsidRPr="00CA23AA">
        <w:t xml:space="preserve">TIS for </w:t>
      </w:r>
      <w:proofErr w:type="spellStart"/>
      <w:r w:rsidRPr="00CA23AA">
        <w:t>pALL</w:t>
      </w:r>
      <w:proofErr w:type="spellEnd"/>
      <w:r w:rsidRPr="00CA23AA">
        <w:t>. Australian patient data showed that more patients received other anti-cancer treatments such as allogenic haematopoietic stem cell transplantation (</w:t>
      </w:r>
      <w:proofErr w:type="spellStart"/>
      <w:r w:rsidRPr="00CA23AA">
        <w:t>aHSCT</w:t>
      </w:r>
      <w:proofErr w:type="spellEnd"/>
      <w:r w:rsidRPr="00CA23AA">
        <w:t xml:space="preserve">) after using TIS compared to what was expected. MSAC considered that for most patients, TIS is likely used as a bridging therapy to </w:t>
      </w:r>
      <w:proofErr w:type="spellStart"/>
      <w:r w:rsidRPr="00CA23AA">
        <w:t>aHSCT</w:t>
      </w:r>
      <w:proofErr w:type="spellEnd"/>
      <w:r w:rsidR="00B56D71" w:rsidRPr="00CA23AA">
        <w:t xml:space="preserve"> or </w:t>
      </w:r>
      <w:proofErr w:type="spellStart"/>
      <w:r w:rsidR="00B56D71" w:rsidRPr="00CA23AA">
        <w:t>aHSCT</w:t>
      </w:r>
      <w:proofErr w:type="spellEnd"/>
      <w:r w:rsidR="00B56D71" w:rsidRPr="00CA23AA">
        <w:t xml:space="preserve"> is being used to treat relapse post-TIS</w:t>
      </w:r>
      <w:r w:rsidRPr="00CA23AA">
        <w:t>. MSAC considered that some of the long</w:t>
      </w:r>
      <w:r w:rsidR="00F95E2C" w:rsidRPr="00CA23AA">
        <w:t>-</w:t>
      </w:r>
      <w:r w:rsidRPr="00CA23AA">
        <w:t>term outcomes</w:t>
      </w:r>
      <w:r w:rsidR="00B56D71" w:rsidRPr="00CA23AA">
        <w:t xml:space="preserve"> from observational data</w:t>
      </w:r>
      <w:r w:rsidRPr="00CA23AA">
        <w:t xml:space="preserve"> were likely </w:t>
      </w:r>
      <w:r w:rsidR="00B56D71" w:rsidRPr="00CA23AA">
        <w:t xml:space="preserve">influenced </w:t>
      </w:r>
      <w:proofErr w:type="gramStart"/>
      <w:r w:rsidR="00B56D71" w:rsidRPr="00CA23AA">
        <w:t>by the</w:t>
      </w:r>
      <w:r w:rsidRPr="00CA23AA">
        <w:t xml:space="preserve"> use of</w:t>
      </w:r>
      <w:proofErr w:type="gramEnd"/>
      <w:r w:rsidRPr="00CA23AA">
        <w:t xml:space="preserve"> </w:t>
      </w:r>
      <w:r w:rsidR="00007754" w:rsidRPr="00CA23AA">
        <w:t xml:space="preserve">other treatments </w:t>
      </w:r>
      <w:r w:rsidRPr="00CA23AA">
        <w:t xml:space="preserve">subsequent </w:t>
      </w:r>
      <w:r w:rsidR="00007754" w:rsidRPr="00CA23AA">
        <w:t>to the use of TIS</w:t>
      </w:r>
      <w:r w:rsidR="003C347A" w:rsidRPr="00CA23AA">
        <w:t xml:space="preserve">, </w:t>
      </w:r>
      <w:r w:rsidRPr="00CA23AA">
        <w:t xml:space="preserve">particularly </w:t>
      </w:r>
      <w:proofErr w:type="spellStart"/>
      <w:r w:rsidRPr="00CA23AA">
        <w:t>aHSCT</w:t>
      </w:r>
      <w:proofErr w:type="spellEnd"/>
      <w:r w:rsidRPr="00CA23AA">
        <w:t xml:space="preserve">. MSAC considered the economic model likely overestimated the benefit of TIS and underestimated the benefits of the comparator blinatumomab. Data from the States and Territories showed the true </w:t>
      </w:r>
      <w:r w:rsidR="003B161B" w:rsidRPr="00CA23AA">
        <w:t xml:space="preserve">total </w:t>
      </w:r>
      <w:r w:rsidRPr="00CA23AA">
        <w:t xml:space="preserve">cost of providing </w:t>
      </w:r>
      <w:r w:rsidR="00E932C1" w:rsidRPr="00CA23AA">
        <w:t xml:space="preserve">treatment with </w:t>
      </w:r>
      <w:r w:rsidRPr="00CA23AA">
        <w:t xml:space="preserve">TIS was substantially higher than expected and that although </w:t>
      </w:r>
      <w:r w:rsidRPr="00CA23AA">
        <w:lastRenderedPageBreak/>
        <w:t xml:space="preserve">significantly fewer patients than expected used TIS, the estimated budget impact was </w:t>
      </w:r>
      <w:proofErr w:type="gramStart"/>
      <w:r w:rsidRPr="00CA23AA">
        <w:t>similar to</w:t>
      </w:r>
      <w:proofErr w:type="gramEnd"/>
      <w:r w:rsidRPr="00CA23AA">
        <w:t xml:space="preserve"> that presented in the initial application for this reason. Therefore, MSAC advised a further review should be conducted in 3 years with the need for ongoing data collection</w:t>
      </w:r>
      <w:r w:rsidR="00440306" w:rsidRPr="00CA23AA">
        <w:t xml:space="preserve">. MSAC </w:t>
      </w:r>
      <w:r w:rsidRPr="00CA23AA">
        <w:t xml:space="preserve">requested the Department negotiate </w:t>
      </w:r>
      <w:r w:rsidR="00594907" w:rsidRPr="00186539">
        <w:rPr>
          <w:color w:val="000000"/>
          <w:w w:val="88"/>
          <w:shd w:val="solid" w:color="000000" w:fill="000000"/>
          <w:fitText w:val="390" w:id="-1161540096"/>
          <w14:textFill>
            <w14:solidFill>
              <w14:srgbClr w14:val="000000">
                <w14:alpha w14:val="100000"/>
              </w14:srgbClr>
            </w14:solidFill>
          </w14:textFill>
        </w:rPr>
        <w:t>|||</w:t>
      </w:r>
      <w:r w:rsidR="00594907" w:rsidRPr="00186539">
        <w:rPr>
          <w:color w:val="000000"/>
          <w:spacing w:val="2"/>
          <w:w w:val="88"/>
          <w:shd w:val="solid" w:color="000000" w:fill="000000"/>
          <w:fitText w:val="390" w:id="-1161540096"/>
          <w14:textFill>
            <w14:solidFill>
              <w14:srgbClr w14:val="000000">
                <w14:alpha w14:val="100000"/>
              </w14:srgbClr>
            </w14:solidFill>
          </w14:textFill>
        </w:rPr>
        <w:t>|</w:t>
      </w:r>
      <w:r w:rsidR="009408FE" w:rsidRPr="00CA23AA">
        <w:t xml:space="preserve"> based on TIS being </w:t>
      </w:r>
      <w:r w:rsidR="00760D46" w:rsidRPr="00CA23AA">
        <w:t xml:space="preserve">a </w:t>
      </w:r>
      <w:r w:rsidR="001A0354" w:rsidRPr="00CA23AA">
        <w:t>bridging</w:t>
      </w:r>
      <w:r w:rsidR="00760D46" w:rsidRPr="00CA23AA">
        <w:t xml:space="preserve"> treatmen</w:t>
      </w:r>
      <w:r w:rsidR="001A0354" w:rsidRPr="00CA23AA">
        <w:t xml:space="preserve">t rather than </w:t>
      </w:r>
      <w:r w:rsidR="00A86EFE" w:rsidRPr="00CA23AA">
        <w:t>a curative treatment. MSAC advised the</w:t>
      </w:r>
      <w:r w:rsidR="00594907" w:rsidRPr="00186539">
        <w:rPr>
          <w:color w:val="000000"/>
          <w:w w:val="86"/>
          <w:shd w:val="solid" w:color="000000" w:fill="000000"/>
          <w:fitText w:val="380" w:id="-1161540095"/>
          <w14:textFill>
            <w14:solidFill>
              <w14:srgbClr w14:val="000000">
                <w14:alpha w14:val="100000"/>
              </w14:srgbClr>
            </w14:solidFill>
          </w14:textFill>
        </w:rPr>
        <w:t>|||</w:t>
      </w:r>
      <w:r w:rsidR="00594907" w:rsidRPr="00186539">
        <w:rPr>
          <w:color w:val="000000"/>
          <w:spacing w:val="1"/>
          <w:w w:val="86"/>
          <w:shd w:val="solid" w:color="000000" w:fill="000000"/>
          <w:fitText w:val="380" w:id="-1161540095"/>
          <w14:textFill>
            <w14:solidFill>
              <w14:srgbClr w14:val="000000">
                <w14:alpha w14:val="100000"/>
              </w14:srgbClr>
            </w14:solidFill>
          </w14:textFill>
        </w:rPr>
        <w:t>|</w:t>
      </w:r>
      <w:r w:rsidR="00A86EFE" w:rsidRPr="00CA23AA">
        <w:t xml:space="preserve"> </w:t>
      </w:r>
      <w:r w:rsidR="00982219" w:rsidRPr="00AD4862">
        <w:rPr>
          <w:color w:val="000000"/>
          <w:w w:val="69"/>
          <w:shd w:val="solid" w:color="000000" w:fill="000000"/>
          <w:fitText w:val="765" w:id="-1157969663"/>
          <w14:textFill>
            <w14:solidFill>
              <w14:srgbClr w14:val="000000">
                <w14:alpha w14:val="100000"/>
              </w14:srgbClr>
            </w14:solidFill>
          </w14:textFill>
        </w:rPr>
        <w:t>|||||||||</w:t>
      </w:r>
      <w:r w:rsidR="00982219" w:rsidRPr="00AD4862">
        <w:rPr>
          <w:color w:val="000000"/>
          <w:spacing w:val="15"/>
          <w:w w:val="69"/>
          <w:shd w:val="solid" w:color="000000" w:fill="000000"/>
          <w:fitText w:val="765" w:id="-1157969663"/>
          <w14:textFill>
            <w14:solidFill>
              <w14:srgbClr w14:val="000000">
                <w14:alpha w14:val="100000"/>
              </w14:srgbClr>
            </w14:solidFill>
          </w14:textFill>
        </w:rPr>
        <w:t>|</w:t>
      </w:r>
      <w:r w:rsidR="00EA7157" w:rsidRPr="00CA23AA">
        <w:t xml:space="preserve"> </w:t>
      </w:r>
      <w:r w:rsidRPr="00CA23AA">
        <w:t xml:space="preserve">MSAC </w:t>
      </w:r>
      <w:r w:rsidR="00BD44C0" w:rsidRPr="00CA23AA">
        <w:t>noted</w:t>
      </w:r>
      <w:r w:rsidRPr="00CA23AA">
        <w:t xml:space="preserve"> that the data recorded in</w:t>
      </w:r>
      <w:r w:rsidR="00650C67" w:rsidRPr="00CA23AA">
        <w:t xml:space="preserve"> the</w:t>
      </w:r>
      <w:r w:rsidRPr="00CA23AA">
        <w:t xml:space="preserve"> ABMTRR (</w:t>
      </w:r>
      <w:r w:rsidR="00471BE4" w:rsidRPr="00CA23AA">
        <w:t xml:space="preserve">supported by </w:t>
      </w:r>
      <w:r w:rsidRPr="00CA23AA">
        <w:t xml:space="preserve">funding from Novartis) was not complete and </w:t>
      </w:r>
      <w:r w:rsidR="00792370" w:rsidRPr="00CA23AA">
        <w:t>lacked robustness</w:t>
      </w:r>
      <w:r w:rsidR="00325DE2" w:rsidRPr="00CA23AA">
        <w:t xml:space="preserve"> when compared to the data the states and territories </w:t>
      </w:r>
      <w:r w:rsidR="75884D03" w:rsidRPr="00CA23AA">
        <w:t>submitted to</w:t>
      </w:r>
      <w:r w:rsidR="00792370" w:rsidRPr="00CA23AA">
        <w:t xml:space="preserve"> the review</w:t>
      </w:r>
      <w:r w:rsidR="00BD3BA2" w:rsidRPr="00CA23AA">
        <w:t xml:space="preserve">. MSAC considered that </w:t>
      </w:r>
      <w:r w:rsidR="34709F6B" w:rsidRPr="00CA23AA">
        <w:t xml:space="preserve">the </w:t>
      </w:r>
      <w:r w:rsidR="00471BE4" w:rsidRPr="00CA23AA">
        <w:t xml:space="preserve">data collection objectives </w:t>
      </w:r>
      <w:r w:rsidR="007C1C3E" w:rsidRPr="00CA23AA">
        <w:t xml:space="preserve">of MSAC were </w:t>
      </w:r>
      <w:r w:rsidR="34709F6B" w:rsidRPr="00CA23AA">
        <w:t xml:space="preserve">not </w:t>
      </w:r>
      <w:r w:rsidR="007C1C3E" w:rsidRPr="00CA23AA">
        <w:t xml:space="preserve">being </w:t>
      </w:r>
      <w:r w:rsidR="34709F6B" w:rsidRPr="00CA23AA">
        <w:t xml:space="preserve">adequately </w:t>
      </w:r>
      <w:r w:rsidR="00367878" w:rsidRPr="00CA23AA">
        <w:t xml:space="preserve">met by the registry </w:t>
      </w:r>
      <w:r w:rsidR="34709F6B" w:rsidRPr="00CA23AA">
        <w:t>and</w:t>
      </w:r>
      <w:r w:rsidR="7A66FB94" w:rsidRPr="00CA23AA">
        <w:t xml:space="preserve"> </w:t>
      </w:r>
      <w:r w:rsidRPr="00CA23AA">
        <w:t xml:space="preserve">advised the Department should explore </w:t>
      </w:r>
      <w:r w:rsidR="2A582D5B" w:rsidRPr="00CA23AA">
        <w:t xml:space="preserve">how to </w:t>
      </w:r>
      <w:proofErr w:type="gramStart"/>
      <w:r w:rsidR="2A582D5B" w:rsidRPr="00CA23AA">
        <w:t>most effectively and efficiently capture complete data</w:t>
      </w:r>
      <w:proofErr w:type="gramEnd"/>
      <w:r w:rsidR="2A582D5B" w:rsidRPr="00CA23AA">
        <w:t xml:space="preserve"> </w:t>
      </w:r>
      <w:r w:rsidR="55F35BCA" w:rsidRPr="00CA23AA">
        <w:t>for TIS but also for other CAR-T</w:t>
      </w:r>
      <w:r w:rsidRPr="00CA23AA">
        <w:t xml:space="preserve"> </w:t>
      </w:r>
      <w:r w:rsidR="31ADB5A1" w:rsidRPr="00CA23AA">
        <w:t xml:space="preserve">therapies into the future. </w:t>
      </w:r>
      <w:r w:rsidR="05993DAE" w:rsidRPr="00CA23AA">
        <w:t xml:space="preserve"> </w:t>
      </w:r>
      <w:r w:rsidR="211E7A29" w:rsidRPr="00CA23AA">
        <w:t>MSAC advised that the Department work with all stakeholders</w:t>
      </w:r>
      <w:r w:rsidR="005A2B27" w:rsidRPr="00CA23AA">
        <w:t xml:space="preserve"> </w:t>
      </w:r>
      <w:r w:rsidR="211E7A29" w:rsidRPr="00CA23AA">
        <w:t>to</w:t>
      </w:r>
      <w:r w:rsidR="10A63BFF" w:rsidRPr="00CA23AA">
        <w:t xml:space="preserve"> develop a robust, </w:t>
      </w:r>
      <w:proofErr w:type="gramStart"/>
      <w:r w:rsidR="207EF0BE" w:rsidRPr="00CA23AA">
        <w:t>efficient</w:t>
      </w:r>
      <w:proofErr w:type="gramEnd"/>
      <w:r w:rsidR="207EF0BE" w:rsidRPr="00CA23AA">
        <w:t xml:space="preserve"> </w:t>
      </w:r>
      <w:r w:rsidR="39A7BE85" w:rsidRPr="00CA23AA">
        <w:t>and transparent</w:t>
      </w:r>
      <w:r w:rsidR="10A63BFF" w:rsidRPr="00CA23AA">
        <w:t xml:space="preserve"> </w:t>
      </w:r>
      <w:r w:rsidR="3A76A352" w:rsidRPr="00CA23AA">
        <w:t>registry syste</w:t>
      </w:r>
      <w:r w:rsidR="6975D88D" w:rsidRPr="00CA23AA">
        <w:t>m</w:t>
      </w:r>
      <w:r w:rsidR="005A2B27" w:rsidRPr="00CA23AA">
        <w:t>, including</w:t>
      </w:r>
      <w:r w:rsidR="5E60BAE0" w:rsidRPr="00CA23AA">
        <w:t xml:space="preserve"> </w:t>
      </w:r>
      <w:r w:rsidR="05993DAE" w:rsidRPr="00CA23AA">
        <w:t>with the states and territories who</w:t>
      </w:r>
      <w:r w:rsidR="000B1FE9" w:rsidRPr="00CA23AA">
        <w:t xml:space="preserve"> already capture this data and who</w:t>
      </w:r>
      <w:r w:rsidR="05993DAE" w:rsidRPr="00CA23AA">
        <w:t xml:space="preserve"> facilitate</w:t>
      </w:r>
      <w:r w:rsidRPr="00CA23AA">
        <w:t xml:space="preserve"> data collection </w:t>
      </w:r>
      <w:r w:rsidR="633B4F40" w:rsidRPr="00CA23AA">
        <w:t>through their hospitals</w:t>
      </w:r>
      <w:r w:rsidR="07B7E6E2" w:rsidRPr="00CA23AA">
        <w:t>.</w:t>
      </w:r>
      <w:r w:rsidR="00D40EB2" w:rsidRPr="00CA23AA">
        <w:t xml:space="preserve"> Given the highly specialised therapy and high costs, MSAC considered that a nationally coordinated process for patient selection and allocation should be adopted for CAR-T therapies (</w:t>
      </w:r>
      <w:proofErr w:type="gramStart"/>
      <w:r w:rsidR="00D40EB2" w:rsidRPr="00CA23AA">
        <w:t>similar to</w:t>
      </w:r>
      <w:proofErr w:type="gramEnd"/>
      <w:r w:rsidR="00D40EB2" w:rsidRPr="00CA23AA">
        <w:t xml:space="preserve"> the process for organ transplants). </w:t>
      </w:r>
    </w:p>
    <w:tbl>
      <w:tblPr>
        <w:tblStyle w:val="TableGrid"/>
        <w:tblW w:w="0" w:type="auto"/>
        <w:tblLook w:val="04A0" w:firstRow="1" w:lastRow="0" w:firstColumn="1" w:lastColumn="0" w:noHBand="0" w:noVBand="1"/>
        <w:tblDescription w:val="Consumer summary of MSAC consideration"/>
      </w:tblPr>
      <w:tblGrid>
        <w:gridCol w:w="9016"/>
      </w:tblGrid>
      <w:tr w:rsidR="003E2662" w:rsidRPr="00CA23AA" w14:paraId="17833D2B" w14:textId="77777777" w:rsidTr="00144F47">
        <w:trPr>
          <w:tblHeader/>
        </w:trPr>
        <w:tc>
          <w:tcPr>
            <w:tcW w:w="9016" w:type="dxa"/>
          </w:tcPr>
          <w:p w14:paraId="4AE03CA4" w14:textId="77777777" w:rsidR="003E2662" w:rsidRPr="00CA23AA" w:rsidRDefault="003E2662" w:rsidP="00144F47">
            <w:pPr>
              <w:pStyle w:val="Heading3"/>
              <w:spacing w:before="120"/>
              <w:ind w:left="720" w:hanging="720"/>
              <w:rPr>
                <w:iCs/>
              </w:rPr>
            </w:pPr>
            <w:r w:rsidRPr="00CA23AA">
              <w:t>Consumer summary</w:t>
            </w:r>
          </w:p>
        </w:tc>
      </w:tr>
      <w:tr w:rsidR="003E2662" w:rsidRPr="00CA23AA" w14:paraId="54DA4C81" w14:textId="77777777" w:rsidTr="00144F47">
        <w:tc>
          <w:tcPr>
            <w:tcW w:w="9016" w:type="dxa"/>
          </w:tcPr>
          <w:p w14:paraId="417A896E" w14:textId="7162AA31" w:rsidR="00574722" w:rsidRPr="00CA23AA" w:rsidRDefault="00DD5D6F" w:rsidP="00E17FA9">
            <w:pPr>
              <w:rPr>
                <w:rFonts w:eastAsia="Times New Roman" w:cs="Times New Roman"/>
                <w:iCs/>
                <w:color w:val="000000"/>
                <w:szCs w:val="20"/>
                <w:lang w:eastAsia="en-AU"/>
              </w:rPr>
            </w:pPr>
            <w:r w:rsidRPr="00CA23AA">
              <w:t xml:space="preserve">Novartis </w:t>
            </w:r>
            <w:r w:rsidR="00A473B8" w:rsidRPr="00CA23AA">
              <w:t xml:space="preserve">Pharmaceutics </w:t>
            </w:r>
            <w:r w:rsidR="00135D15" w:rsidRPr="00CA23AA">
              <w:t xml:space="preserve">submitted </w:t>
            </w:r>
            <w:r w:rsidR="0045089E" w:rsidRPr="00CA23AA">
              <w:t xml:space="preserve">updated information </w:t>
            </w:r>
            <w:r w:rsidR="00DB1F25" w:rsidRPr="00CA23AA">
              <w:t xml:space="preserve">to MSAC about </w:t>
            </w:r>
            <w:r w:rsidRPr="00CA23AA">
              <w:rPr>
                <w:rFonts w:eastAsia="Times New Roman" w:cs="Times New Roman"/>
                <w:iCs/>
                <w:color w:val="000000"/>
                <w:szCs w:val="20"/>
                <w:lang w:eastAsia="en-AU"/>
              </w:rPr>
              <w:t>tisagenlecleucel (TIS; brand name Kymriah®). In 2019, MSAC approved government funding for TIS treatment for a type of blood cancer called CD19-positive acute lymphoblastic leukaemia in children and young adults up to 25 years of age</w:t>
            </w:r>
            <w:r w:rsidR="00F463D8" w:rsidRPr="00CA23AA">
              <w:rPr>
                <w:rFonts w:eastAsia="Times New Roman" w:cs="Times New Roman"/>
                <w:iCs/>
                <w:color w:val="000000"/>
                <w:szCs w:val="20"/>
                <w:lang w:eastAsia="en-AU"/>
              </w:rPr>
              <w:t xml:space="preserve"> (</w:t>
            </w:r>
            <w:proofErr w:type="spellStart"/>
            <w:r w:rsidR="00F463D8" w:rsidRPr="00CA23AA">
              <w:rPr>
                <w:rFonts w:eastAsia="Times New Roman" w:cs="Times New Roman"/>
                <w:iCs/>
                <w:color w:val="000000"/>
                <w:szCs w:val="20"/>
                <w:lang w:eastAsia="en-AU"/>
              </w:rPr>
              <w:t>pALL</w:t>
            </w:r>
            <w:proofErr w:type="spellEnd"/>
            <w:r w:rsidR="00F463D8" w:rsidRPr="00CA23AA">
              <w:rPr>
                <w:rFonts w:eastAsia="Times New Roman" w:cs="Times New Roman"/>
                <w:iCs/>
                <w:color w:val="000000"/>
                <w:szCs w:val="20"/>
                <w:lang w:eastAsia="en-AU"/>
              </w:rPr>
              <w:t>)</w:t>
            </w:r>
            <w:r w:rsidRPr="00CA23AA">
              <w:rPr>
                <w:rFonts w:eastAsia="Times New Roman" w:cs="Times New Roman"/>
                <w:iCs/>
                <w:color w:val="000000"/>
                <w:szCs w:val="20"/>
                <w:lang w:eastAsia="en-AU"/>
              </w:rPr>
              <w:t>.</w:t>
            </w:r>
            <w:r w:rsidR="00574722" w:rsidRPr="00CA23AA">
              <w:rPr>
                <w:rFonts w:eastAsia="Times New Roman" w:cs="Times New Roman"/>
                <w:iCs/>
                <w:color w:val="000000"/>
                <w:szCs w:val="20"/>
                <w:lang w:eastAsia="en-AU"/>
              </w:rPr>
              <w:t xml:space="preserve"> TIS treatment is for people who had used other treatments before and the leukaemia had come back (relapsed) or if their disease had not responded to other treatment (refractory). </w:t>
            </w:r>
          </w:p>
          <w:p w14:paraId="508FC489" w14:textId="2A18AE82" w:rsidR="00DD5D6F" w:rsidRPr="00CA23AA" w:rsidRDefault="00CA4A8F" w:rsidP="00DD5D6F">
            <w:pPr>
              <w:rPr>
                <w:rFonts w:eastAsia="Times New Roman" w:cs="Times New Roman"/>
                <w:iCs/>
                <w:color w:val="000000"/>
                <w:szCs w:val="20"/>
                <w:lang w:eastAsia="en-AU"/>
              </w:rPr>
            </w:pPr>
            <w:r w:rsidRPr="00CA23AA">
              <w:rPr>
                <w:rFonts w:eastAsia="Times New Roman" w:cs="Times New Roman"/>
                <w:iCs/>
                <w:color w:val="000000"/>
                <w:szCs w:val="20"/>
                <w:lang w:eastAsia="en-AU"/>
              </w:rPr>
              <w:t xml:space="preserve">TIS was a new type of </w:t>
            </w:r>
            <w:r w:rsidR="001D1839" w:rsidRPr="00CA23AA">
              <w:rPr>
                <w:rFonts w:eastAsia="Times New Roman" w:cs="Times New Roman"/>
                <w:iCs/>
                <w:color w:val="000000"/>
                <w:szCs w:val="20"/>
                <w:lang w:eastAsia="en-AU"/>
              </w:rPr>
              <w:t xml:space="preserve">treatment </w:t>
            </w:r>
            <w:r w:rsidR="00126D07" w:rsidRPr="00CA23AA">
              <w:rPr>
                <w:rFonts w:eastAsia="Times New Roman" w:cs="Times New Roman"/>
                <w:iCs/>
                <w:color w:val="000000"/>
                <w:szCs w:val="20"/>
                <w:lang w:eastAsia="en-AU"/>
              </w:rPr>
              <w:t>call</w:t>
            </w:r>
            <w:r w:rsidR="0051445D" w:rsidRPr="00CA23AA">
              <w:rPr>
                <w:rFonts w:eastAsia="Times New Roman" w:cs="Times New Roman"/>
                <w:iCs/>
                <w:color w:val="000000"/>
                <w:szCs w:val="20"/>
                <w:lang w:eastAsia="en-AU"/>
              </w:rPr>
              <w:t>ed</w:t>
            </w:r>
            <w:r w:rsidR="00126D07" w:rsidRPr="00CA23AA">
              <w:rPr>
                <w:rFonts w:eastAsia="Times New Roman" w:cs="Times New Roman"/>
                <w:iCs/>
                <w:color w:val="000000"/>
                <w:szCs w:val="20"/>
                <w:lang w:eastAsia="en-AU"/>
              </w:rPr>
              <w:t xml:space="preserve"> </w:t>
            </w:r>
            <w:r w:rsidR="001D1839" w:rsidRPr="00CA23AA">
              <w:rPr>
                <w:rFonts w:eastAsia="Times New Roman" w:cs="Times New Roman"/>
                <w:iCs/>
                <w:color w:val="000000"/>
                <w:szCs w:val="20"/>
                <w:lang w:eastAsia="en-AU"/>
              </w:rPr>
              <w:t>CAR T-cell (chimeric antigen receptor) therapy</w:t>
            </w:r>
            <w:r w:rsidR="00126D07" w:rsidRPr="00CA23AA">
              <w:rPr>
                <w:rFonts w:eastAsia="Times New Roman" w:cs="Times New Roman"/>
                <w:iCs/>
                <w:color w:val="000000"/>
                <w:szCs w:val="20"/>
                <w:lang w:eastAsia="en-AU"/>
              </w:rPr>
              <w:t>. TIS and other CAR-T therapies</w:t>
            </w:r>
            <w:r w:rsidR="001D1839" w:rsidRPr="00CA23AA">
              <w:rPr>
                <w:rFonts w:eastAsia="Times New Roman" w:cs="Times New Roman"/>
                <w:iCs/>
                <w:color w:val="000000"/>
                <w:szCs w:val="20"/>
                <w:lang w:eastAsia="en-AU"/>
              </w:rPr>
              <w:t xml:space="preserve"> </w:t>
            </w:r>
            <w:r w:rsidR="00126D07" w:rsidRPr="00CA23AA">
              <w:rPr>
                <w:rFonts w:eastAsia="Times New Roman" w:cs="Times New Roman"/>
                <w:iCs/>
                <w:color w:val="000000"/>
                <w:szCs w:val="20"/>
                <w:lang w:eastAsia="en-AU"/>
              </w:rPr>
              <w:t>are a type of</w:t>
            </w:r>
            <w:r w:rsidR="00FA184B" w:rsidRPr="00CA23AA">
              <w:rPr>
                <w:rFonts w:eastAsia="Times New Roman" w:cs="Times New Roman"/>
                <w:iCs/>
                <w:color w:val="000000"/>
                <w:szCs w:val="20"/>
                <w:lang w:eastAsia="en-AU"/>
              </w:rPr>
              <w:t xml:space="preserve"> </w:t>
            </w:r>
            <w:r w:rsidR="001D1839" w:rsidRPr="00CA23AA">
              <w:rPr>
                <w:rFonts w:eastAsia="Times New Roman" w:cs="Times New Roman"/>
                <w:iCs/>
                <w:color w:val="000000"/>
                <w:szCs w:val="20"/>
                <w:lang w:eastAsia="en-AU"/>
              </w:rPr>
              <w:t>immunotherapy</w:t>
            </w:r>
            <w:r w:rsidR="00FA184B" w:rsidRPr="00CA23AA">
              <w:rPr>
                <w:rFonts w:eastAsia="Times New Roman" w:cs="Times New Roman"/>
                <w:iCs/>
                <w:color w:val="000000"/>
                <w:szCs w:val="20"/>
                <w:lang w:eastAsia="en-AU"/>
              </w:rPr>
              <w:t xml:space="preserve">. It uses </w:t>
            </w:r>
            <w:r w:rsidR="00CA19C4" w:rsidRPr="00CA23AA">
              <w:rPr>
                <w:rFonts w:eastAsia="Times New Roman" w:cs="Times New Roman"/>
                <w:iCs/>
                <w:color w:val="000000"/>
                <w:szCs w:val="20"/>
                <w:lang w:eastAsia="en-AU"/>
              </w:rPr>
              <w:t>a patient’s</w:t>
            </w:r>
            <w:r w:rsidR="001D1839" w:rsidRPr="00CA23AA">
              <w:rPr>
                <w:rFonts w:eastAsia="Times New Roman" w:cs="Times New Roman"/>
                <w:iCs/>
                <w:color w:val="000000"/>
                <w:szCs w:val="20"/>
                <w:lang w:eastAsia="en-AU"/>
              </w:rPr>
              <w:t xml:space="preserve"> own immun</w:t>
            </w:r>
            <w:r w:rsidR="00CA19C4" w:rsidRPr="00CA23AA">
              <w:rPr>
                <w:rFonts w:eastAsia="Times New Roman" w:cs="Times New Roman"/>
                <w:iCs/>
                <w:color w:val="000000"/>
                <w:szCs w:val="20"/>
                <w:lang w:eastAsia="en-AU"/>
              </w:rPr>
              <w:t xml:space="preserve">e </w:t>
            </w:r>
            <w:r w:rsidR="001D1839" w:rsidRPr="00CA23AA">
              <w:rPr>
                <w:rFonts w:eastAsia="Times New Roman" w:cs="Times New Roman"/>
                <w:iCs/>
                <w:color w:val="000000"/>
                <w:szCs w:val="20"/>
                <w:lang w:eastAsia="en-AU"/>
              </w:rPr>
              <w:t xml:space="preserve">cells (T cells) </w:t>
            </w:r>
            <w:r w:rsidR="004D150F" w:rsidRPr="00CA23AA">
              <w:rPr>
                <w:rFonts w:eastAsia="Times New Roman" w:cs="Times New Roman"/>
                <w:iCs/>
                <w:color w:val="000000"/>
                <w:szCs w:val="20"/>
                <w:lang w:eastAsia="en-AU"/>
              </w:rPr>
              <w:t>that are</w:t>
            </w:r>
            <w:r w:rsidR="00354126" w:rsidRPr="00CA23AA">
              <w:rPr>
                <w:rFonts w:eastAsia="Times New Roman" w:cs="Times New Roman"/>
                <w:iCs/>
                <w:color w:val="000000"/>
                <w:szCs w:val="20"/>
                <w:lang w:eastAsia="en-AU"/>
              </w:rPr>
              <w:t xml:space="preserve"> genetically</w:t>
            </w:r>
            <w:r w:rsidR="004D150F" w:rsidRPr="00CA23AA">
              <w:rPr>
                <w:rFonts w:eastAsia="Times New Roman" w:cs="Times New Roman"/>
                <w:iCs/>
                <w:color w:val="000000"/>
                <w:szCs w:val="20"/>
                <w:lang w:eastAsia="en-AU"/>
              </w:rPr>
              <w:t xml:space="preserve"> modified in a laboratory </w:t>
            </w:r>
            <w:r w:rsidR="001D1839" w:rsidRPr="00CA23AA">
              <w:rPr>
                <w:rFonts w:eastAsia="Times New Roman" w:cs="Times New Roman"/>
                <w:iCs/>
                <w:color w:val="000000"/>
                <w:szCs w:val="20"/>
                <w:lang w:eastAsia="en-AU"/>
              </w:rPr>
              <w:t>to first identify and then attac</w:t>
            </w:r>
            <w:r w:rsidR="004D150F" w:rsidRPr="00CA23AA">
              <w:rPr>
                <w:rFonts w:eastAsia="Times New Roman" w:cs="Times New Roman"/>
                <w:iCs/>
                <w:color w:val="000000"/>
                <w:szCs w:val="20"/>
                <w:lang w:eastAsia="en-AU"/>
              </w:rPr>
              <w:t xml:space="preserve">k </w:t>
            </w:r>
            <w:r w:rsidR="001D1839" w:rsidRPr="00CA23AA">
              <w:rPr>
                <w:rFonts w:eastAsia="Times New Roman" w:cs="Times New Roman"/>
                <w:iCs/>
                <w:color w:val="000000"/>
                <w:szCs w:val="20"/>
                <w:lang w:eastAsia="en-AU"/>
              </w:rPr>
              <w:t>cancer cells</w:t>
            </w:r>
            <w:r w:rsidR="004D150F" w:rsidRPr="00CA23AA">
              <w:rPr>
                <w:rFonts w:eastAsia="Times New Roman" w:cs="Times New Roman"/>
                <w:iCs/>
                <w:color w:val="000000"/>
                <w:szCs w:val="20"/>
                <w:lang w:eastAsia="en-AU"/>
              </w:rPr>
              <w:t xml:space="preserve">. </w:t>
            </w:r>
            <w:r w:rsidR="001D1839" w:rsidRPr="00CA23AA">
              <w:rPr>
                <w:rFonts w:eastAsia="Times New Roman" w:cs="Times New Roman"/>
                <w:iCs/>
                <w:color w:val="000000"/>
                <w:szCs w:val="20"/>
                <w:lang w:eastAsia="en-AU"/>
              </w:rPr>
              <w:t xml:space="preserve"> </w:t>
            </w:r>
            <w:r w:rsidR="00D349D8" w:rsidRPr="00CA23AA">
              <w:rPr>
                <w:rFonts w:eastAsia="Times New Roman" w:cs="Times New Roman"/>
                <w:iCs/>
                <w:color w:val="000000"/>
                <w:szCs w:val="20"/>
                <w:lang w:eastAsia="en-AU"/>
              </w:rPr>
              <w:t xml:space="preserve">The initial data presented to MSAC in 2019 </w:t>
            </w:r>
            <w:r w:rsidR="002B2838" w:rsidRPr="00CA23AA">
              <w:rPr>
                <w:rFonts w:eastAsia="Times New Roman" w:cs="Times New Roman"/>
                <w:iCs/>
                <w:color w:val="000000"/>
                <w:szCs w:val="20"/>
                <w:lang w:eastAsia="en-AU"/>
              </w:rPr>
              <w:t>was promising</w:t>
            </w:r>
            <w:r w:rsidR="00140BB0" w:rsidRPr="00CA23AA">
              <w:rPr>
                <w:rFonts w:eastAsia="Times New Roman" w:cs="Times New Roman"/>
                <w:iCs/>
                <w:color w:val="000000"/>
                <w:szCs w:val="20"/>
                <w:lang w:eastAsia="en-AU"/>
              </w:rPr>
              <w:t xml:space="preserve"> </w:t>
            </w:r>
            <w:r w:rsidR="009F316B" w:rsidRPr="00CA23AA">
              <w:rPr>
                <w:rFonts w:eastAsia="Times New Roman" w:cs="Times New Roman"/>
                <w:iCs/>
                <w:color w:val="000000"/>
                <w:szCs w:val="20"/>
                <w:lang w:eastAsia="en-AU"/>
              </w:rPr>
              <w:t>but not enough</w:t>
            </w:r>
            <w:r w:rsidR="00BC45C4" w:rsidRPr="00CA23AA">
              <w:rPr>
                <w:rFonts w:eastAsia="Times New Roman" w:cs="Times New Roman"/>
                <w:iCs/>
                <w:color w:val="000000"/>
                <w:szCs w:val="20"/>
                <w:lang w:eastAsia="en-AU"/>
              </w:rPr>
              <w:t xml:space="preserve"> for MSAC</w:t>
            </w:r>
            <w:r w:rsidR="009F316B" w:rsidRPr="00CA23AA">
              <w:rPr>
                <w:rFonts w:eastAsia="Times New Roman" w:cs="Times New Roman"/>
                <w:iCs/>
                <w:color w:val="000000"/>
                <w:szCs w:val="20"/>
                <w:lang w:eastAsia="en-AU"/>
              </w:rPr>
              <w:t xml:space="preserve"> to be confident about how well it </w:t>
            </w:r>
            <w:r w:rsidR="00AC21E6" w:rsidRPr="00CA23AA">
              <w:rPr>
                <w:rFonts w:eastAsia="Times New Roman" w:cs="Times New Roman"/>
                <w:iCs/>
                <w:color w:val="000000"/>
                <w:szCs w:val="20"/>
                <w:lang w:eastAsia="en-AU"/>
              </w:rPr>
              <w:t xml:space="preserve">would </w:t>
            </w:r>
            <w:r w:rsidR="009F316B" w:rsidRPr="00CA23AA">
              <w:rPr>
                <w:rFonts w:eastAsia="Times New Roman" w:cs="Times New Roman"/>
                <w:iCs/>
                <w:color w:val="000000"/>
                <w:szCs w:val="20"/>
                <w:lang w:eastAsia="en-AU"/>
              </w:rPr>
              <w:t xml:space="preserve">work long term. </w:t>
            </w:r>
            <w:r w:rsidR="00CF79A5" w:rsidRPr="00CA23AA">
              <w:rPr>
                <w:rFonts w:eastAsia="Times New Roman" w:cs="Times New Roman"/>
                <w:iCs/>
                <w:color w:val="000000"/>
                <w:szCs w:val="20"/>
                <w:lang w:eastAsia="en-AU"/>
              </w:rPr>
              <w:t xml:space="preserve">MSAC supported public funding for this treatment on the condition that </w:t>
            </w:r>
            <w:r w:rsidR="006B1B0E" w:rsidRPr="00CA23AA">
              <w:rPr>
                <w:rFonts w:eastAsia="Times New Roman" w:cs="Times New Roman"/>
                <w:iCs/>
                <w:color w:val="000000"/>
                <w:szCs w:val="20"/>
                <w:lang w:eastAsia="en-AU"/>
              </w:rPr>
              <w:t xml:space="preserve">Novartis </w:t>
            </w:r>
            <w:r w:rsidR="00677FE3" w:rsidRPr="00CA23AA">
              <w:rPr>
                <w:rFonts w:eastAsia="Times New Roman" w:cs="Times New Roman"/>
                <w:iCs/>
                <w:color w:val="000000"/>
                <w:szCs w:val="20"/>
                <w:lang w:eastAsia="en-AU"/>
              </w:rPr>
              <w:t xml:space="preserve">needed </w:t>
            </w:r>
            <w:r w:rsidR="006B1B0E" w:rsidRPr="00CA23AA">
              <w:rPr>
                <w:rFonts w:eastAsia="Times New Roman" w:cs="Times New Roman"/>
                <w:iCs/>
                <w:color w:val="000000"/>
                <w:szCs w:val="20"/>
                <w:lang w:eastAsia="en-AU"/>
              </w:rPr>
              <w:t xml:space="preserve">to show updated data in three years’ time. </w:t>
            </w:r>
            <w:r w:rsidR="000D3631" w:rsidRPr="00CA23AA">
              <w:rPr>
                <w:rFonts w:eastAsia="Times New Roman" w:cs="Times New Roman"/>
                <w:iCs/>
                <w:color w:val="000000"/>
                <w:szCs w:val="20"/>
                <w:lang w:eastAsia="en-AU"/>
              </w:rPr>
              <w:t>In July 2023, MSAC considered this updated data. TIS treatment is provided by</w:t>
            </w:r>
            <w:r w:rsidR="00236AB5" w:rsidRPr="00CA23AA">
              <w:rPr>
                <w:rFonts w:eastAsia="Times New Roman" w:cs="Times New Roman"/>
                <w:iCs/>
                <w:color w:val="000000"/>
                <w:szCs w:val="20"/>
                <w:lang w:eastAsia="en-AU"/>
              </w:rPr>
              <w:t xml:space="preserve"> state</w:t>
            </w:r>
            <w:r w:rsidR="000D3631" w:rsidRPr="00CA23AA">
              <w:rPr>
                <w:rFonts w:eastAsia="Times New Roman" w:cs="Times New Roman"/>
                <w:iCs/>
                <w:color w:val="000000"/>
                <w:szCs w:val="20"/>
                <w:lang w:eastAsia="en-AU"/>
              </w:rPr>
              <w:t xml:space="preserve"> public hospitals in </w:t>
            </w:r>
            <w:r w:rsidR="00B3460F" w:rsidRPr="00CA23AA">
              <w:rPr>
                <w:rFonts w:eastAsia="Times New Roman" w:cs="Times New Roman"/>
                <w:iCs/>
                <w:color w:val="000000"/>
                <w:szCs w:val="20"/>
                <w:lang w:eastAsia="en-AU"/>
              </w:rPr>
              <w:t xml:space="preserve">Sydney, Melbourne, </w:t>
            </w:r>
            <w:proofErr w:type="gramStart"/>
            <w:r w:rsidR="00B3460F" w:rsidRPr="00CA23AA">
              <w:rPr>
                <w:rFonts w:eastAsia="Times New Roman" w:cs="Times New Roman"/>
                <w:iCs/>
                <w:color w:val="000000"/>
                <w:szCs w:val="20"/>
                <w:lang w:eastAsia="en-AU"/>
              </w:rPr>
              <w:t>Brisbane</w:t>
            </w:r>
            <w:proofErr w:type="gramEnd"/>
            <w:r w:rsidR="00B3460F" w:rsidRPr="00CA23AA">
              <w:rPr>
                <w:rFonts w:eastAsia="Times New Roman" w:cs="Times New Roman"/>
                <w:iCs/>
                <w:color w:val="000000"/>
                <w:szCs w:val="20"/>
                <w:lang w:eastAsia="en-AU"/>
              </w:rPr>
              <w:t xml:space="preserve"> and Perth. </w:t>
            </w:r>
            <w:r w:rsidR="00AC21E6" w:rsidRPr="00CA23AA">
              <w:rPr>
                <w:rFonts w:eastAsia="Times New Roman" w:cs="Times New Roman"/>
                <w:iCs/>
                <w:color w:val="000000"/>
                <w:szCs w:val="20"/>
                <w:lang w:eastAsia="en-AU"/>
              </w:rPr>
              <w:t xml:space="preserve">The state governments of </w:t>
            </w:r>
            <w:r w:rsidR="00236AB5" w:rsidRPr="00CA23AA">
              <w:rPr>
                <w:rFonts w:eastAsia="Times New Roman" w:cs="Times New Roman"/>
                <w:iCs/>
                <w:color w:val="000000"/>
                <w:szCs w:val="20"/>
                <w:lang w:eastAsia="en-AU"/>
              </w:rPr>
              <w:t xml:space="preserve">New South Wales, Victoria and Queensland provided data about patients </w:t>
            </w:r>
            <w:r w:rsidR="001C1B76" w:rsidRPr="00CA23AA">
              <w:rPr>
                <w:rFonts w:eastAsia="Times New Roman" w:cs="Times New Roman"/>
                <w:iCs/>
                <w:color w:val="000000"/>
                <w:szCs w:val="20"/>
                <w:lang w:eastAsia="en-AU"/>
              </w:rPr>
              <w:t>treated in public hospitals. This include</w:t>
            </w:r>
            <w:r w:rsidR="00AC21E6" w:rsidRPr="00CA23AA">
              <w:rPr>
                <w:rFonts w:eastAsia="Times New Roman" w:cs="Times New Roman"/>
                <w:iCs/>
                <w:color w:val="000000"/>
                <w:szCs w:val="20"/>
                <w:lang w:eastAsia="en-AU"/>
              </w:rPr>
              <w:t>d</w:t>
            </w:r>
            <w:r w:rsidR="001C1B76" w:rsidRPr="00CA23AA">
              <w:rPr>
                <w:rFonts w:eastAsia="Times New Roman" w:cs="Times New Roman"/>
                <w:iCs/>
                <w:color w:val="000000"/>
                <w:szCs w:val="20"/>
                <w:lang w:eastAsia="en-AU"/>
              </w:rPr>
              <w:t xml:space="preserve"> patients from other states who travel for treatment. </w:t>
            </w:r>
            <w:r w:rsidR="00CA2A87" w:rsidRPr="00CA23AA">
              <w:rPr>
                <w:rFonts w:eastAsia="Times New Roman" w:cs="Times New Roman"/>
                <w:iCs/>
                <w:color w:val="000000"/>
                <w:szCs w:val="20"/>
                <w:lang w:eastAsia="en-AU"/>
              </w:rPr>
              <w:t xml:space="preserve">Data about Australian patients is also recorded in the </w:t>
            </w:r>
            <w:r w:rsidR="00766AD9" w:rsidRPr="00CA23AA">
              <w:rPr>
                <w:rFonts w:eastAsia="Times New Roman" w:cs="Times New Roman"/>
                <w:iCs/>
                <w:color w:val="000000"/>
                <w:szCs w:val="20"/>
                <w:lang w:eastAsia="en-AU"/>
              </w:rPr>
              <w:t xml:space="preserve">Australasian Bone Marrow Transplant Recipient Registry (ABMTRR). </w:t>
            </w:r>
          </w:p>
          <w:p w14:paraId="0AE0779D" w14:textId="685F3753" w:rsidR="00DD5D6F" w:rsidRPr="00CA23AA" w:rsidRDefault="00766AD9" w:rsidP="00DD5D6F">
            <w:r w:rsidRPr="00CA23AA">
              <w:rPr>
                <w:rFonts w:eastAsia="Times New Roman" w:cs="Times New Roman"/>
                <w:iCs/>
                <w:color w:val="000000"/>
                <w:szCs w:val="20"/>
                <w:lang w:eastAsia="en-AU"/>
              </w:rPr>
              <w:t>MSAC considered the</w:t>
            </w:r>
            <w:r w:rsidR="00AB7F47" w:rsidRPr="00CA23AA">
              <w:rPr>
                <w:rFonts w:eastAsia="Times New Roman" w:cs="Times New Roman"/>
                <w:iCs/>
                <w:color w:val="000000"/>
                <w:szCs w:val="20"/>
                <w:lang w:eastAsia="en-AU"/>
              </w:rPr>
              <w:t xml:space="preserve"> new</w:t>
            </w:r>
            <w:r w:rsidR="00DD5D6F" w:rsidRPr="00CA23AA">
              <w:rPr>
                <w:rFonts w:eastAsia="Times New Roman" w:cs="Times New Roman"/>
                <w:iCs/>
                <w:color w:val="000000"/>
                <w:szCs w:val="20"/>
                <w:lang w:eastAsia="en-AU"/>
              </w:rPr>
              <w:t xml:space="preserve"> data from </w:t>
            </w:r>
            <w:r w:rsidR="00BC45C4" w:rsidRPr="00CA23AA">
              <w:rPr>
                <w:rFonts w:eastAsia="Times New Roman" w:cs="Times New Roman"/>
                <w:iCs/>
                <w:color w:val="000000"/>
                <w:szCs w:val="20"/>
                <w:lang w:eastAsia="en-AU"/>
              </w:rPr>
              <w:t xml:space="preserve">the </w:t>
            </w:r>
            <w:r w:rsidR="00DD5D6F" w:rsidRPr="00CA23AA">
              <w:rPr>
                <w:rFonts w:eastAsia="Times New Roman" w:cs="Times New Roman"/>
                <w:iCs/>
                <w:color w:val="000000"/>
                <w:szCs w:val="20"/>
                <w:lang w:eastAsia="en-AU"/>
              </w:rPr>
              <w:t xml:space="preserve">clinical </w:t>
            </w:r>
            <w:r w:rsidR="00AB7F47" w:rsidRPr="00CA23AA">
              <w:rPr>
                <w:rFonts w:eastAsia="Times New Roman" w:cs="Times New Roman"/>
                <w:iCs/>
                <w:color w:val="000000"/>
                <w:szCs w:val="20"/>
                <w:lang w:eastAsia="en-AU"/>
              </w:rPr>
              <w:t>studies</w:t>
            </w:r>
            <w:r w:rsidR="00DD5D6F" w:rsidRPr="00CA23AA">
              <w:rPr>
                <w:rFonts w:eastAsia="Times New Roman" w:cs="Times New Roman"/>
                <w:iCs/>
                <w:color w:val="000000"/>
                <w:szCs w:val="20"/>
                <w:lang w:eastAsia="en-AU"/>
              </w:rPr>
              <w:t xml:space="preserve">, and </w:t>
            </w:r>
            <w:r w:rsidR="00DD5D6F" w:rsidRPr="00CA23AA" w:rsidDel="00AB7F47">
              <w:rPr>
                <w:rFonts w:eastAsia="Times New Roman" w:cs="Times New Roman"/>
                <w:iCs/>
                <w:color w:val="000000"/>
                <w:szCs w:val="20"/>
                <w:lang w:eastAsia="en-AU"/>
              </w:rPr>
              <w:t>from</w:t>
            </w:r>
            <w:r w:rsidR="00AB7F47" w:rsidRPr="00CA23AA">
              <w:rPr>
                <w:rFonts w:eastAsia="Times New Roman" w:cs="Times New Roman"/>
                <w:iCs/>
                <w:color w:val="000000"/>
                <w:szCs w:val="20"/>
                <w:lang w:eastAsia="en-AU"/>
              </w:rPr>
              <w:t xml:space="preserve"> the Australian</w:t>
            </w:r>
            <w:r w:rsidR="00DD5D6F" w:rsidRPr="00CA23AA" w:rsidDel="00AB7F47">
              <w:rPr>
                <w:rFonts w:eastAsia="Times New Roman" w:cs="Times New Roman"/>
                <w:iCs/>
                <w:color w:val="000000"/>
                <w:szCs w:val="20"/>
                <w:lang w:eastAsia="en-AU"/>
              </w:rPr>
              <w:t xml:space="preserve"> </w:t>
            </w:r>
            <w:r w:rsidR="00DD5D6F" w:rsidRPr="00CA23AA">
              <w:rPr>
                <w:rFonts w:eastAsia="Times New Roman" w:cs="Times New Roman"/>
                <w:iCs/>
                <w:color w:val="000000"/>
                <w:szCs w:val="20"/>
                <w:lang w:eastAsia="en-AU"/>
              </w:rPr>
              <w:t xml:space="preserve">patient registry that was intended to record details of all TIS patients in Australia. </w:t>
            </w:r>
            <w:r w:rsidR="00DD5D6F" w:rsidRPr="00CA23AA">
              <w:t xml:space="preserve">MSAC considered that </w:t>
            </w:r>
            <w:r w:rsidR="00E82F69" w:rsidRPr="00CA23AA">
              <w:t xml:space="preserve">it was still not clear </w:t>
            </w:r>
            <w:r w:rsidR="00424734" w:rsidRPr="00CA23AA">
              <w:t xml:space="preserve">how well TIS worked after </w:t>
            </w:r>
            <w:r w:rsidR="00DD5D6F" w:rsidRPr="00CA23AA">
              <w:t>12 months</w:t>
            </w:r>
            <w:r w:rsidR="00424734" w:rsidRPr="00CA23AA">
              <w:t xml:space="preserve">. </w:t>
            </w:r>
            <w:r w:rsidR="00AC21E6" w:rsidRPr="00CA23AA">
              <w:t xml:space="preserve">Many patients in the clinical studies and Australian patients (from the </w:t>
            </w:r>
            <w:r w:rsidR="00DD5D6F" w:rsidRPr="00CA23AA">
              <w:t>registry</w:t>
            </w:r>
            <w:r w:rsidR="00AC21E6" w:rsidRPr="00CA23AA">
              <w:t xml:space="preserve">) had other treatments </w:t>
            </w:r>
            <w:r w:rsidR="00F64D40" w:rsidRPr="00CA23AA">
              <w:t>including</w:t>
            </w:r>
            <w:r w:rsidR="00AC21E6" w:rsidRPr="00CA23AA">
              <w:t xml:space="preserve"> stem cell (bone marrow) transplants. This made it difficult to tell whether the benefits seen were from TIS or whether patients were benefitting from the other treatments they received later. MSAC considered that TIS was not curing most patients as patients were receiving other treatments after they used TIS. Some patients</w:t>
            </w:r>
            <w:r w:rsidR="009D501C" w:rsidRPr="00CA23AA">
              <w:t>’ cancer</w:t>
            </w:r>
            <w:r w:rsidR="00AC21E6" w:rsidRPr="00CA23AA">
              <w:t xml:space="preserve"> was returning more than a year after they used TIS. The Australian patient data in the registry was </w:t>
            </w:r>
            <w:r w:rsidR="009D501C" w:rsidRPr="00CA23AA">
              <w:t xml:space="preserve">also </w:t>
            </w:r>
            <w:r w:rsidR="00AC21E6" w:rsidRPr="00CA23AA">
              <w:t xml:space="preserve">missing a lot of data. </w:t>
            </w:r>
          </w:p>
          <w:p w14:paraId="5CA773E1" w14:textId="12A8F75F" w:rsidR="00DD5D6F" w:rsidRPr="00CA23AA" w:rsidRDefault="0035750C" w:rsidP="00DD5D6F">
            <w:r w:rsidRPr="00CA23AA">
              <w:rPr>
                <w:iCs/>
              </w:rPr>
              <w:t>MSAC considered that t</w:t>
            </w:r>
            <w:r w:rsidR="00DD5D6F" w:rsidRPr="00CA23AA">
              <w:rPr>
                <w:iCs/>
              </w:rPr>
              <w:t xml:space="preserve">he economic </w:t>
            </w:r>
            <w:r w:rsidR="00AC21E6" w:rsidRPr="00CA23AA">
              <w:rPr>
                <w:iCs/>
              </w:rPr>
              <w:t xml:space="preserve">evaluation </w:t>
            </w:r>
            <w:r w:rsidR="00DD5D6F" w:rsidRPr="00CA23AA">
              <w:rPr>
                <w:iCs/>
              </w:rPr>
              <w:t xml:space="preserve">had overestimated the benefits of TIS and underestimated the benefits of blinatumomab. </w:t>
            </w:r>
            <w:r w:rsidR="009C486F" w:rsidRPr="00CA23AA">
              <w:t xml:space="preserve">MSAC also noted that </w:t>
            </w:r>
            <w:r w:rsidR="00DD5D6F" w:rsidRPr="00CA23AA">
              <w:t xml:space="preserve">TIS treatment had been used less often than expected. There are several possible reasons for this, including the COVID-19 pandemic and the specialised training needed to give the treatment. </w:t>
            </w:r>
            <w:r w:rsidR="00DD5D6F" w:rsidRPr="00CA23AA">
              <w:rPr>
                <w:iCs/>
              </w:rPr>
              <w:t xml:space="preserve">The states reported that </w:t>
            </w:r>
            <w:r w:rsidR="00D40EB2" w:rsidRPr="00CA23AA">
              <w:rPr>
                <w:iCs/>
              </w:rPr>
              <w:t>actual</w:t>
            </w:r>
            <w:r w:rsidR="00DD5D6F" w:rsidRPr="00CA23AA">
              <w:rPr>
                <w:iCs/>
              </w:rPr>
              <w:t xml:space="preserve"> costs to deliver the program </w:t>
            </w:r>
            <w:r w:rsidR="00AD2EED" w:rsidRPr="00CA23AA">
              <w:rPr>
                <w:iCs/>
              </w:rPr>
              <w:t xml:space="preserve">were </w:t>
            </w:r>
            <w:r w:rsidR="00DD5D6F" w:rsidRPr="00CA23AA">
              <w:rPr>
                <w:iCs/>
              </w:rPr>
              <w:t>much higher than expected.</w:t>
            </w:r>
          </w:p>
          <w:p w14:paraId="1F156684" w14:textId="2EAEF91D" w:rsidR="00DD5D6F" w:rsidRPr="00CA23AA" w:rsidRDefault="00DD5D6F" w:rsidP="00DD5D6F">
            <w:r w:rsidRPr="00CA23AA">
              <w:t xml:space="preserve">MSAC considered that a nationally coordinated process for patient selection and allocation should be adopted for CAR-T </w:t>
            </w:r>
            <w:r w:rsidR="00AC21E6" w:rsidRPr="00CA23AA">
              <w:t xml:space="preserve">therapies </w:t>
            </w:r>
            <w:r w:rsidRPr="00CA23AA">
              <w:t>(</w:t>
            </w:r>
            <w:proofErr w:type="gramStart"/>
            <w:r w:rsidRPr="00CA23AA">
              <w:t>similar to</w:t>
            </w:r>
            <w:proofErr w:type="gramEnd"/>
            <w:r w:rsidRPr="00CA23AA">
              <w:t xml:space="preserve"> the process for organ transplants). </w:t>
            </w:r>
          </w:p>
          <w:p w14:paraId="7B022CB4" w14:textId="3592603E" w:rsidR="00AC21E6" w:rsidRPr="00CA23AA" w:rsidRDefault="00594907" w:rsidP="00DD5D6F">
            <w:r w:rsidRPr="00186539">
              <w:rPr>
                <w:color w:val="000000"/>
                <w:w w:val="88"/>
                <w:shd w:val="solid" w:color="000000" w:fill="000000"/>
                <w:fitText w:val="390" w:id="-1161540094"/>
                <w14:textFill>
                  <w14:solidFill>
                    <w14:srgbClr w14:val="000000">
                      <w14:alpha w14:val="100000"/>
                    </w14:srgbClr>
                  </w14:solidFill>
                </w14:textFill>
              </w:rPr>
              <w:t>|||</w:t>
            </w:r>
            <w:r w:rsidRPr="00186539">
              <w:rPr>
                <w:color w:val="000000"/>
                <w:spacing w:val="2"/>
                <w:w w:val="88"/>
                <w:shd w:val="solid" w:color="000000" w:fill="000000"/>
                <w:fitText w:val="390" w:id="-1161540094"/>
                <w14:textFill>
                  <w14:solidFill>
                    <w14:srgbClr w14:val="000000">
                      <w14:alpha w14:val="100000"/>
                    </w14:srgbClr>
                  </w14:solidFill>
                </w14:textFill>
              </w:rPr>
              <w:t>|</w:t>
            </w:r>
          </w:p>
          <w:p w14:paraId="20CE4914" w14:textId="36841192" w:rsidR="003E2662" w:rsidRPr="00CA23AA" w:rsidRDefault="00DD5D6F" w:rsidP="001B3618">
            <w:pPr>
              <w:rPr>
                <w:rFonts w:eastAsia="Times New Roman" w:cs="Times New Roman"/>
                <w:color w:val="000000"/>
                <w:szCs w:val="20"/>
                <w:lang w:eastAsia="en-AU"/>
              </w:rPr>
            </w:pPr>
            <w:r w:rsidRPr="00CA23AA">
              <w:rPr>
                <w:rFonts w:eastAsia="Times New Roman" w:cs="Times New Roman"/>
                <w:iCs/>
                <w:color w:val="000000"/>
                <w:szCs w:val="20"/>
                <w:lang w:eastAsia="en-AU"/>
              </w:rPr>
              <w:t xml:space="preserve">MSAC considered that future CAR-T reviews should update </w:t>
            </w:r>
            <w:r w:rsidR="00AC21E6" w:rsidRPr="00CA23AA">
              <w:rPr>
                <w:rFonts w:eastAsia="Times New Roman" w:cs="Times New Roman"/>
                <w:iCs/>
                <w:color w:val="000000"/>
                <w:szCs w:val="20"/>
                <w:lang w:eastAsia="en-AU"/>
              </w:rPr>
              <w:t xml:space="preserve">data on </w:t>
            </w:r>
            <w:r w:rsidRPr="00CA23AA">
              <w:rPr>
                <w:rFonts w:eastAsia="Times New Roman" w:cs="Times New Roman"/>
                <w:iCs/>
                <w:color w:val="000000"/>
                <w:szCs w:val="20"/>
                <w:lang w:eastAsia="en-AU"/>
              </w:rPr>
              <w:t>safety, effectiveness, usage, and cost</w:t>
            </w:r>
            <w:r w:rsidR="00AC21E6" w:rsidRPr="00CA23AA">
              <w:rPr>
                <w:rFonts w:eastAsia="Times New Roman" w:cs="Times New Roman"/>
                <w:iCs/>
                <w:color w:val="000000"/>
                <w:szCs w:val="20"/>
                <w:lang w:eastAsia="en-AU"/>
              </w:rPr>
              <w:t xml:space="preserve">s </w:t>
            </w:r>
            <w:r w:rsidRPr="00CA23AA">
              <w:rPr>
                <w:rFonts w:eastAsia="Times New Roman" w:cs="Times New Roman"/>
                <w:iCs/>
                <w:color w:val="000000"/>
                <w:szCs w:val="20"/>
                <w:lang w:eastAsia="en-AU"/>
              </w:rPr>
              <w:t xml:space="preserve">for both the intervention and the comparator. </w:t>
            </w:r>
          </w:p>
          <w:p w14:paraId="24D64F6C" w14:textId="77777777" w:rsidR="003E2662" w:rsidRPr="00CA23AA" w:rsidRDefault="003E2662" w:rsidP="00144F47">
            <w:pPr>
              <w:pStyle w:val="Heading3"/>
              <w:ind w:left="720" w:hanging="720"/>
            </w:pPr>
            <w:r w:rsidRPr="00CA23AA">
              <w:t xml:space="preserve">MSAC’s advice to the </w:t>
            </w:r>
            <w:proofErr w:type="gramStart"/>
            <w:r w:rsidRPr="00CA23AA">
              <w:t>Commonwealth Minister</w:t>
            </w:r>
            <w:proofErr w:type="gramEnd"/>
            <w:r w:rsidRPr="00CA23AA">
              <w:t xml:space="preserve"> for Health and Aged Care</w:t>
            </w:r>
          </w:p>
          <w:p w14:paraId="4CB19CD4" w14:textId="62112330" w:rsidR="003E2662" w:rsidRPr="00CA23AA" w:rsidRDefault="00AC21E6" w:rsidP="001F4A6B">
            <w:pPr>
              <w:spacing w:after="120"/>
            </w:pPr>
            <w:r w:rsidRPr="00CA23AA">
              <w:t xml:space="preserve">MSAC considered the new data was not enough to </w:t>
            </w:r>
            <w:r w:rsidR="007D6BBD" w:rsidRPr="00CA23AA">
              <w:t xml:space="preserve">improve </w:t>
            </w:r>
            <w:r w:rsidR="00754E0E" w:rsidRPr="00CA23AA">
              <w:t>understand</w:t>
            </w:r>
            <w:r w:rsidR="007D6BBD" w:rsidRPr="00CA23AA">
              <w:t>ing of</w:t>
            </w:r>
            <w:r w:rsidRPr="00CA23AA">
              <w:t xml:space="preserve"> how well treatment with TIS works long term. </w:t>
            </w:r>
            <w:r w:rsidR="00331DE0" w:rsidRPr="00CA23AA">
              <w:t xml:space="preserve">Many patients in the clinical studies and Australian patients had other treatments including stem cell (bone marrow) transplants. </w:t>
            </w:r>
            <w:r w:rsidRPr="00CA23AA">
              <w:t xml:space="preserve">MSAC considered that TIS was not curing most patients. </w:t>
            </w:r>
            <w:r w:rsidR="00AC241C" w:rsidRPr="00CA23AA">
              <w:t xml:space="preserve">Cost data from state and territory governments </w:t>
            </w:r>
            <w:r w:rsidR="002F0FB0" w:rsidRPr="00CA23AA">
              <w:t xml:space="preserve">showed the true cost of providing TIS was substantially higher than expected. </w:t>
            </w:r>
            <w:r w:rsidR="00594907" w:rsidRPr="00186539">
              <w:rPr>
                <w:color w:val="000000"/>
                <w:w w:val="88"/>
                <w:shd w:val="solid" w:color="000000" w:fill="000000"/>
                <w:fitText w:val="390" w:id="-1161540093"/>
                <w14:textFill>
                  <w14:solidFill>
                    <w14:srgbClr w14:val="000000">
                      <w14:alpha w14:val="100000"/>
                    </w14:srgbClr>
                  </w14:solidFill>
                </w14:textFill>
              </w:rPr>
              <w:t>|||</w:t>
            </w:r>
            <w:r w:rsidR="00594907" w:rsidRPr="00186539">
              <w:rPr>
                <w:color w:val="000000"/>
                <w:spacing w:val="2"/>
                <w:w w:val="88"/>
                <w:shd w:val="solid" w:color="000000" w:fill="000000"/>
                <w:fitText w:val="390" w:id="-1161540093"/>
                <w14:textFill>
                  <w14:solidFill>
                    <w14:srgbClr w14:val="000000">
                      <w14:alpha w14:val="100000"/>
                    </w14:srgbClr>
                  </w14:solidFill>
                </w14:textFill>
              </w:rPr>
              <w:t>|</w:t>
            </w:r>
            <w:r w:rsidR="00750605" w:rsidRPr="00CA23AA">
              <w:t xml:space="preserve"> </w:t>
            </w:r>
            <w:r w:rsidR="00982219" w:rsidRPr="00186539">
              <w:rPr>
                <w:color w:val="000000"/>
                <w:w w:val="88"/>
                <w:shd w:val="solid" w:color="000000" w:fill="000000"/>
                <w:fitText w:val="390" w:id="-1157969662"/>
                <w14:textFill>
                  <w14:solidFill>
                    <w14:srgbClr w14:val="000000">
                      <w14:alpha w14:val="100000"/>
                    </w14:srgbClr>
                  </w14:solidFill>
                </w14:textFill>
              </w:rPr>
              <w:t>|||</w:t>
            </w:r>
            <w:r w:rsidR="00982219" w:rsidRPr="00186539">
              <w:rPr>
                <w:color w:val="000000"/>
                <w:spacing w:val="2"/>
                <w:w w:val="88"/>
                <w:shd w:val="solid" w:color="000000" w:fill="000000"/>
                <w:fitText w:val="390" w:id="-1157969662"/>
                <w14:textFill>
                  <w14:solidFill>
                    <w14:srgbClr w14:val="000000">
                      <w14:alpha w14:val="100000"/>
                    </w14:srgbClr>
                  </w14:solidFill>
                </w14:textFill>
              </w:rPr>
              <w:t>|</w:t>
            </w:r>
            <w:r w:rsidR="001F4A6B" w:rsidRPr="00CA23AA">
              <w:t xml:space="preserve">. </w:t>
            </w:r>
            <w:r w:rsidR="001B3618" w:rsidRPr="00CA23AA">
              <w:t xml:space="preserve">MSAC </w:t>
            </w:r>
            <w:r w:rsidRPr="00CA23AA">
              <w:t xml:space="preserve">considered another review was needed </w:t>
            </w:r>
            <w:r w:rsidR="001B3618" w:rsidRPr="00CA23AA">
              <w:t>in 3 years</w:t>
            </w:r>
            <w:r w:rsidR="001B3618" w:rsidRPr="00CA23AA" w:rsidDel="00AC21E6">
              <w:t>.</w:t>
            </w:r>
          </w:p>
        </w:tc>
      </w:tr>
    </w:tbl>
    <w:p w14:paraId="55B5C262" w14:textId="77777777" w:rsidR="003E2662" w:rsidRPr="00CA23AA" w:rsidRDefault="003E2662" w:rsidP="003E2662">
      <w:pPr>
        <w:pStyle w:val="Heading2"/>
        <w:numPr>
          <w:ilvl w:val="1"/>
          <w:numId w:val="0"/>
        </w:numPr>
      </w:pPr>
      <w:r w:rsidRPr="00CA23AA">
        <w:t>3.</w:t>
      </w:r>
      <w:r w:rsidRPr="00CA23AA">
        <w:tab/>
        <w:t>Summary of consideration and rationale for MSAC’s advice</w:t>
      </w:r>
    </w:p>
    <w:p w14:paraId="2CE2B2F3" w14:textId="09101884" w:rsidR="00095AAB" w:rsidRPr="00CA23AA" w:rsidRDefault="00020734" w:rsidP="00095AAB">
      <w:pPr>
        <w:spacing w:before="0" w:after="240" w:line="240" w:lineRule="auto"/>
        <w:rPr>
          <w:rFonts w:eastAsia="Times New Roman" w:cs="Times New Roman"/>
          <w:color w:val="000000"/>
          <w:lang w:eastAsia="en-AU"/>
        </w:rPr>
      </w:pPr>
      <w:r w:rsidRPr="00CA23AA">
        <w:rPr>
          <w:rFonts w:eastAsia="Times New Roman" w:cs="Times New Roman"/>
          <w:color w:val="000000" w:themeColor="text1"/>
          <w:lang w:eastAsia="en-AU"/>
        </w:rPr>
        <w:t xml:space="preserve">MSAC recalled </w:t>
      </w:r>
      <w:r w:rsidR="00932BF3" w:rsidRPr="00CA23AA">
        <w:rPr>
          <w:rFonts w:eastAsia="Times New Roman" w:cs="Times New Roman"/>
          <w:color w:val="000000" w:themeColor="text1"/>
          <w:lang w:eastAsia="en-AU"/>
        </w:rPr>
        <w:t>that</w:t>
      </w:r>
      <w:r w:rsidR="000242BB" w:rsidRPr="00CA23AA">
        <w:rPr>
          <w:rFonts w:eastAsia="Times New Roman" w:cs="Times New Roman"/>
          <w:color w:val="000000" w:themeColor="text1"/>
          <w:lang w:eastAsia="en-AU"/>
        </w:rPr>
        <w:t xml:space="preserve"> </w:t>
      </w:r>
      <w:r w:rsidR="00B77D65" w:rsidRPr="00CA23AA">
        <w:rPr>
          <w:rFonts w:eastAsia="Times New Roman" w:cs="Times New Roman"/>
          <w:color w:val="000000" w:themeColor="text1"/>
          <w:lang w:eastAsia="en-AU"/>
        </w:rPr>
        <w:t>i</w:t>
      </w:r>
      <w:r w:rsidR="00095AAB" w:rsidRPr="00CA23AA">
        <w:rPr>
          <w:rFonts w:eastAsia="Times New Roman" w:cs="Times New Roman"/>
          <w:color w:val="000000" w:themeColor="text1"/>
          <w:lang w:eastAsia="en-AU"/>
        </w:rPr>
        <w:t xml:space="preserve">n </w:t>
      </w:r>
      <w:r w:rsidR="000A788B" w:rsidRPr="00CA23AA">
        <w:rPr>
          <w:rFonts w:eastAsia="Times New Roman" w:cs="Times New Roman"/>
          <w:color w:val="000000" w:themeColor="text1"/>
          <w:lang w:eastAsia="en-AU"/>
        </w:rPr>
        <w:t>April</w:t>
      </w:r>
      <w:r w:rsidR="00095AAB" w:rsidRPr="00CA23AA">
        <w:rPr>
          <w:rFonts w:eastAsia="Times New Roman" w:cs="Times New Roman"/>
          <w:color w:val="000000" w:themeColor="text1"/>
          <w:lang w:eastAsia="en-AU"/>
        </w:rPr>
        <w:t xml:space="preserve"> 2019,</w:t>
      </w:r>
      <w:r w:rsidR="00095AAB" w:rsidRPr="00CA23AA" w:rsidDel="003732D0">
        <w:rPr>
          <w:rFonts w:eastAsia="Times New Roman" w:cs="Times New Roman"/>
          <w:color w:val="000000" w:themeColor="text1"/>
          <w:lang w:eastAsia="en-AU"/>
        </w:rPr>
        <w:t xml:space="preserve"> </w:t>
      </w:r>
      <w:r w:rsidR="003732D0" w:rsidRPr="00CA23AA">
        <w:rPr>
          <w:rFonts w:eastAsia="Times New Roman" w:cs="Times New Roman"/>
          <w:color w:val="000000" w:themeColor="text1"/>
          <w:lang w:eastAsia="en-AU"/>
        </w:rPr>
        <w:t xml:space="preserve">it </w:t>
      </w:r>
      <w:r w:rsidR="00095AAB" w:rsidRPr="00CA23AA">
        <w:rPr>
          <w:rFonts w:eastAsia="Times New Roman" w:cs="Times New Roman"/>
          <w:color w:val="000000" w:themeColor="text1"/>
          <w:lang w:eastAsia="en-AU"/>
        </w:rPr>
        <w:t>supported public</w:t>
      </w:r>
      <w:r w:rsidR="00095AAB" w:rsidRPr="00CA23AA" w:rsidDel="00F96BA9">
        <w:rPr>
          <w:rFonts w:eastAsia="Times New Roman" w:cs="Times New Roman"/>
          <w:color w:val="000000" w:themeColor="text1"/>
          <w:lang w:eastAsia="en-AU"/>
        </w:rPr>
        <w:t xml:space="preserve"> </w:t>
      </w:r>
      <w:r w:rsidR="00095AAB" w:rsidRPr="00CA23AA">
        <w:rPr>
          <w:rFonts w:eastAsia="Times New Roman" w:cs="Times New Roman"/>
          <w:color w:val="000000" w:themeColor="text1"/>
          <w:lang w:eastAsia="en-AU"/>
        </w:rPr>
        <w:t xml:space="preserve">funding for TIS for the treatment of </w:t>
      </w:r>
      <w:r w:rsidR="00095AAB" w:rsidRPr="00CA23AA" w:rsidDel="006F080B">
        <w:rPr>
          <w:rFonts w:eastAsia="Times New Roman" w:cs="Times New Roman"/>
          <w:color w:val="000000" w:themeColor="text1"/>
          <w:lang w:eastAsia="en-AU"/>
        </w:rPr>
        <w:t>acute lymphoblastic leukaemia (</w:t>
      </w:r>
      <w:r w:rsidR="00185306" w:rsidRPr="00CA23AA">
        <w:rPr>
          <w:rFonts w:eastAsia="Times New Roman" w:cs="Times New Roman"/>
          <w:color w:val="000000" w:themeColor="text1"/>
          <w:lang w:eastAsia="en-AU"/>
        </w:rPr>
        <w:t xml:space="preserve">ALL) </w:t>
      </w:r>
      <w:r w:rsidR="0084643F" w:rsidRPr="00CA23AA">
        <w:rPr>
          <w:rFonts w:eastAsia="Times New Roman" w:cs="Times New Roman"/>
          <w:color w:val="000000" w:themeColor="text1"/>
          <w:lang w:eastAsia="en-AU"/>
        </w:rPr>
        <w:t>in children and young adults up to 25 years old (referred to as paediatric ALL</w:t>
      </w:r>
      <w:r w:rsidR="00B67B9A" w:rsidRPr="00CA23AA">
        <w:rPr>
          <w:rFonts w:eastAsia="Times New Roman" w:cs="Times New Roman"/>
          <w:color w:val="000000" w:themeColor="text1"/>
          <w:lang w:eastAsia="en-AU"/>
        </w:rPr>
        <w:t xml:space="preserve"> (</w:t>
      </w:r>
      <w:proofErr w:type="spellStart"/>
      <w:r w:rsidR="00B67B9A" w:rsidRPr="00CA23AA">
        <w:rPr>
          <w:rFonts w:eastAsia="Times New Roman" w:cs="Times New Roman"/>
          <w:color w:val="000000" w:themeColor="text1"/>
          <w:lang w:eastAsia="en-AU"/>
        </w:rPr>
        <w:t>pALL</w:t>
      </w:r>
      <w:proofErr w:type="spellEnd"/>
      <w:r w:rsidR="00B67B9A" w:rsidRPr="00CA23AA">
        <w:rPr>
          <w:rFonts w:eastAsia="Times New Roman" w:cs="Times New Roman"/>
          <w:color w:val="000000" w:themeColor="text1"/>
          <w:lang w:eastAsia="en-AU"/>
        </w:rPr>
        <w:t>)</w:t>
      </w:r>
      <w:r w:rsidR="00185306" w:rsidRPr="00CA23AA">
        <w:rPr>
          <w:rFonts w:eastAsia="Times New Roman" w:cs="Times New Roman"/>
          <w:color w:val="000000" w:themeColor="text1"/>
          <w:lang w:eastAsia="en-AU"/>
        </w:rPr>
        <w:t>)</w:t>
      </w:r>
      <w:r w:rsidR="0063106C" w:rsidRPr="00CA23AA">
        <w:rPr>
          <w:rFonts w:eastAsia="Times New Roman" w:cs="Times New Roman"/>
          <w:color w:val="000000" w:themeColor="text1"/>
          <w:lang w:eastAsia="en-AU"/>
        </w:rPr>
        <w:t xml:space="preserve"> via the National Health Reform Agreement (NHRA)</w:t>
      </w:r>
      <w:r w:rsidR="00533256" w:rsidRPr="00CA23AA">
        <w:rPr>
          <w:rFonts w:eastAsia="Times New Roman" w:cs="Times New Roman"/>
          <w:color w:val="000000" w:themeColor="text1"/>
          <w:lang w:eastAsia="en-AU"/>
        </w:rPr>
        <w:t>.</w:t>
      </w:r>
      <w:r w:rsidR="00FA0D22" w:rsidRPr="00CA23AA">
        <w:t xml:space="preserve"> </w:t>
      </w:r>
      <w:r w:rsidR="00FA0D22" w:rsidRPr="00CA23AA">
        <w:rPr>
          <w:rFonts w:eastAsia="Times New Roman" w:cs="Times New Roman"/>
          <w:color w:val="000000" w:themeColor="text1"/>
          <w:lang w:eastAsia="en-AU"/>
        </w:rPr>
        <w:t xml:space="preserve">MSAC </w:t>
      </w:r>
      <w:r w:rsidR="00341A05" w:rsidRPr="00CA23AA">
        <w:rPr>
          <w:rFonts w:eastAsia="Times New Roman" w:cs="Times New Roman"/>
          <w:color w:val="000000" w:themeColor="text1"/>
          <w:lang w:eastAsia="en-AU"/>
        </w:rPr>
        <w:t>recalled</w:t>
      </w:r>
      <w:r w:rsidR="00AD1A8F" w:rsidRPr="00CA23AA">
        <w:rPr>
          <w:rFonts w:eastAsia="Times New Roman" w:cs="Times New Roman"/>
          <w:color w:val="000000" w:themeColor="text1"/>
          <w:lang w:eastAsia="en-AU"/>
        </w:rPr>
        <w:t xml:space="preserve"> that when it considered the application in March 2019,</w:t>
      </w:r>
      <w:r w:rsidR="00341A05" w:rsidRPr="00CA23AA">
        <w:rPr>
          <w:rFonts w:eastAsia="Times New Roman" w:cs="Times New Roman"/>
          <w:color w:val="000000" w:themeColor="text1"/>
          <w:lang w:eastAsia="en-AU"/>
        </w:rPr>
        <w:t xml:space="preserve"> it had </w:t>
      </w:r>
      <w:r w:rsidR="00FA0D22" w:rsidRPr="00CA23AA">
        <w:rPr>
          <w:rFonts w:eastAsia="Times New Roman" w:cs="Times New Roman"/>
          <w:color w:val="000000" w:themeColor="text1"/>
          <w:lang w:eastAsia="en-AU"/>
        </w:rPr>
        <w:t>recognised th</w:t>
      </w:r>
      <w:r w:rsidR="00EE06FF" w:rsidRPr="00CA23AA">
        <w:rPr>
          <w:rFonts w:eastAsia="Times New Roman" w:cs="Times New Roman"/>
          <w:color w:val="000000" w:themeColor="text1"/>
          <w:lang w:eastAsia="en-AU"/>
        </w:rPr>
        <w:t>at there was</w:t>
      </w:r>
      <w:r w:rsidR="00FA0D22" w:rsidRPr="00CA23AA">
        <w:rPr>
          <w:rFonts w:eastAsia="Times New Roman" w:cs="Times New Roman"/>
          <w:color w:val="000000" w:themeColor="text1"/>
          <w:lang w:eastAsia="en-AU"/>
        </w:rPr>
        <w:t xml:space="preserve"> large unmet clinical need for a small group of patients and the preliminary supportive evidence of a clinically important treatment effect.</w:t>
      </w:r>
      <w:r w:rsidR="00F3538A" w:rsidRPr="00CA23AA">
        <w:t xml:space="preserve"> </w:t>
      </w:r>
      <w:r w:rsidR="00F3538A" w:rsidRPr="00CA23AA">
        <w:rPr>
          <w:rFonts w:eastAsia="Times New Roman" w:cs="Times New Roman"/>
          <w:color w:val="000000" w:themeColor="text1"/>
          <w:lang w:eastAsia="en-AU"/>
        </w:rPr>
        <w:t xml:space="preserve">MSAC had considered that TIS would be acceptably cost-effective in the </w:t>
      </w:r>
      <w:proofErr w:type="spellStart"/>
      <w:r w:rsidR="00C443BE" w:rsidRPr="00CA23AA">
        <w:rPr>
          <w:rFonts w:eastAsia="Times New Roman" w:cs="Times New Roman"/>
          <w:color w:val="000000" w:themeColor="text1"/>
          <w:lang w:eastAsia="en-AU"/>
        </w:rPr>
        <w:t>p</w:t>
      </w:r>
      <w:r w:rsidR="00F3538A" w:rsidRPr="00CA23AA">
        <w:rPr>
          <w:rFonts w:eastAsia="Times New Roman" w:cs="Times New Roman"/>
          <w:color w:val="000000" w:themeColor="text1"/>
          <w:lang w:eastAsia="en-AU"/>
        </w:rPr>
        <w:t>ALL</w:t>
      </w:r>
      <w:proofErr w:type="spellEnd"/>
      <w:r w:rsidR="00F3538A" w:rsidRPr="00CA23AA">
        <w:rPr>
          <w:rFonts w:eastAsia="Times New Roman" w:cs="Times New Roman"/>
          <w:color w:val="000000" w:themeColor="text1"/>
          <w:lang w:eastAsia="en-AU"/>
        </w:rPr>
        <w:t xml:space="preserve"> population with additional risk share measures in place to those proposed in the application to manage </w:t>
      </w:r>
      <w:r w:rsidR="00982377" w:rsidRPr="00CA23AA">
        <w:rPr>
          <w:rFonts w:eastAsia="Times New Roman" w:cs="Times New Roman"/>
          <w:color w:val="000000" w:themeColor="text1"/>
          <w:lang w:eastAsia="en-AU"/>
        </w:rPr>
        <w:t>and mitigate</w:t>
      </w:r>
      <w:r w:rsidR="00F3538A" w:rsidRPr="00CA23AA">
        <w:rPr>
          <w:rFonts w:eastAsia="Times New Roman" w:cs="Times New Roman"/>
          <w:color w:val="000000" w:themeColor="text1"/>
          <w:lang w:eastAsia="en-AU"/>
        </w:rPr>
        <w:t xml:space="preserve"> the remaining areas of clinical, </w:t>
      </w:r>
      <w:proofErr w:type="gramStart"/>
      <w:r w:rsidR="00F3538A" w:rsidRPr="00CA23AA">
        <w:rPr>
          <w:rFonts w:eastAsia="Times New Roman" w:cs="Times New Roman"/>
          <w:color w:val="000000" w:themeColor="text1"/>
          <w:lang w:eastAsia="en-AU"/>
        </w:rPr>
        <w:t>economic</w:t>
      </w:r>
      <w:proofErr w:type="gramEnd"/>
      <w:r w:rsidR="00F3538A" w:rsidRPr="00CA23AA">
        <w:rPr>
          <w:rFonts w:eastAsia="Times New Roman" w:cs="Times New Roman"/>
          <w:color w:val="000000" w:themeColor="text1"/>
          <w:lang w:eastAsia="en-AU"/>
        </w:rPr>
        <w:t xml:space="preserve"> and financial uncertainty that exist</w:t>
      </w:r>
      <w:r w:rsidR="005D05EE" w:rsidRPr="00CA23AA">
        <w:rPr>
          <w:rFonts w:eastAsia="Times New Roman" w:cs="Times New Roman"/>
          <w:color w:val="000000" w:themeColor="text1"/>
          <w:lang w:eastAsia="en-AU"/>
        </w:rPr>
        <w:t>ed</w:t>
      </w:r>
      <w:r w:rsidR="00F3538A" w:rsidRPr="00CA23AA">
        <w:rPr>
          <w:rFonts w:eastAsia="Times New Roman" w:cs="Times New Roman"/>
          <w:color w:val="000000" w:themeColor="text1"/>
          <w:lang w:eastAsia="en-AU"/>
        </w:rPr>
        <w:t xml:space="preserve"> in the funding proposal</w:t>
      </w:r>
      <w:r w:rsidR="00490E9A" w:rsidRPr="00CA23AA">
        <w:rPr>
          <w:rFonts w:eastAsia="Times New Roman" w:cs="Times New Roman"/>
          <w:color w:val="000000" w:themeColor="text1"/>
          <w:lang w:eastAsia="en-AU"/>
        </w:rPr>
        <w:t xml:space="preserve">. </w:t>
      </w:r>
      <w:r w:rsidR="000038A1" w:rsidRPr="00CA23AA">
        <w:rPr>
          <w:rFonts w:eastAsia="Times New Roman" w:cs="Times New Roman"/>
          <w:color w:val="000000" w:themeColor="text1"/>
          <w:lang w:eastAsia="en-AU"/>
        </w:rPr>
        <w:t xml:space="preserve">After deferring its </w:t>
      </w:r>
      <w:r w:rsidR="00A12B21" w:rsidRPr="00CA23AA">
        <w:rPr>
          <w:rFonts w:eastAsia="Times New Roman" w:cs="Times New Roman"/>
          <w:color w:val="000000" w:themeColor="text1"/>
          <w:lang w:eastAsia="en-AU"/>
        </w:rPr>
        <w:t xml:space="preserve">advice </w:t>
      </w:r>
      <w:r w:rsidR="000038A1" w:rsidRPr="00CA23AA">
        <w:rPr>
          <w:rFonts w:eastAsia="Times New Roman" w:cs="Times New Roman"/>
          <w:color w:val="000000" w:themeColor="text1"/>
          <w:lang w:eastAsia="en-AU"/>
        </w:rPr>
        <w:t xml:space="preserve">in March 2019 to allow for </w:t>
      </w:r>
      <w:r w:rsidR="00843AE1" w:rsidRPr="00CA23AA">
        <w:rPr>
          <w:rFonts w:eastAsia="Times New Roman" w:cs="Times New Roman"/>
          <w:color w:val="000000" w:themeColor="text1"/>
          <w:lang w:eastAsia="en-AU"/>
        </w:rPr>
        <w:t xml:space="preserve">the details of a </w:t>
      </w:r>
      <w:r w:rsidR="00427B07" w:rsidRPr="00CA23AA">
        <w:rPr>
          <w:rFonts w:eastAsia="Times New Roman" w:cs="Times New Roman"/>
          <w:color w:val="000000" w:themeColor="text1"/>
          <w:lang w:eastAsia="en-AU"/>
        </w:rPr>
        <w:t xml:space="preserve">Risk Sharing Arrangement (RSA) to be proposed, </w:t>
      </w:r>
      <w:r w:rsidR="00490E9A" w:rsidRPr="00CA23AA">
        <w:rPr>
          <w:rFonts w:eastAsia="Times New Roman" w:cs="Times New Roman"/>
          <w:color w:val="000000" w:themeColor="text1"/>
          <w:lang w:eastAsia="en-AU"/>
        </w:rPr>
        <w:t>MSAC support</w:t>
      </w:r>
      <w:r w:rsidR="004909B1" w:rsidRPr="00CA23AA">
        <w:rPr>
          <w:rFonts w:eastAsia="Times New Roman" w:cs="Times New Roman"/>
          <w:color w:val="000000" w:themeColor="text1"/>
          <w:lang w:eastAsia="en-AU"/>
        </w:rPr>
        <w:t>ed</w:t>
      </w:r>
      <w:r w:rsidR="0029316D" w:rsidRPr="00CA23AA">
        <w:rPr>
          <w:rFonts w:eastAsia="Times New Roman" w:cs="Times New Roman"/>
          <w:color w:val="000000" w:themeColor="text1"/>
          <w:lang w:eastAsia="en-AU"/>
        </w:rPr>
        <w:t xml:space="preserve"> public funding in April 2019</w:t>
      </w:r>
      <w:r w:rsidR="00A04488" w:rsidRPr="00CA23AA">
        <w:rPr>
          <w:rFonts w:eastAsia="Times New Roman" w:cs="Times New Roman"/>
          <w:color w:val="000000" w:themeColor="text1"/>
          <w:lang w:eastAsia="en-AU"/>
        </w:rPr>
        <w:t xml:space="preserve"> after </w:t>
      </w:r>
      <w:r w:rsidR="009D501C" w:rsidRPr="00CA23AA">
        <w:rPr>
          <w:rFonts w:eastAsia="Times New Roman" w:cs="Times New Roman"/>
          <w:color w:val="000000" w:themeColor="text1"/>
          <w:lang w:eastAsia="en-AU"/>
        </w:rPr>
        <w:t xml:space="preserve">considering </w:t>
      </w:r>
      <w:r w:rsidR="004A6821" w:rsidRPr="00CA23AA">
        <w:rPr>
          <w:rFonts w:eastAsia="Times New Roman" w:cs="Times New Roman"/>
          <w:color w:val="000000" w:themeColor="text1"/>
          <w:lang w:eastAsia="en-AU"/>
        </w:rPr>
        <w:t>the subsequent</w:t>
      </w:r>
      <w:r w:rsidR="009E54F8" w:rsidRPr="00CA23AA">
        <w:rPr>
          <w:rFonts w:eastAsia="Times New Roman" w:cs="Times New Roman"/>
          <w:color w:val="000000" w:themeColor="text1"/>
          <w:lang w:eastAsia="en-AU"/>
        </w:rPr>
        <w:t xml:space="preserve"> </w:t>
      </w:r>
      <w:r w:rsidR="00A54277" w:rsidRPr="00CA23AA">
        <w:rPr>
          <w:rFonts w:eastAsia="Times New Roman" w:cs="Times New Roman"/>
          <w:color w:val="000000" w:themeColor="text1"/>
          <w:lang w:eastAsia="en-AU"/>
        </w:rPr>
        <w:t>RSA</w:t>
      </w:r>
      <w:r w:rsidR="002B190C" w:rsidRPr="00CA23AA">
        <w:rPr>
          <w:rFonts w:eastAsia="Times New Roman" w:cs="Times New Roman"/>
          <w:color w:val="000000" w:themeColor="text1"/>
          <w:lang w:eastAsia="en-AU"/>
        </w:rPr>
        <w:t xml:space="preserve"> </w:t>
      </w:r>
      <w:r w:rsidR="00614E44" w:rsidRPr="00CA23AA">
        <w:rPr>
          <w:rFonts w:eastAsia="Times New Roman" w:cs="Times New Roman"/>
          <w:color w:val="000000" w:themeColor="text1"/>
          <w:lang w:eastAsia="en-AU"/>
        </w:rPr>
        <w:t xml:space="preserve">provided </w:t>
      </w:r>
      <w:r w:rsidR="009D501C" w:rsidRPr="00CA23AA">
        <w:rPr>
          <w:rFonts w:eastAsia="Times New Roman" w:cs="Times New Roman"/>
          <w:color w:val="000000" w:themeColor="text1"/>
          <w:lang w:eastAsia="en-AU"/>
        </w:rPr>
        <w:t xml:space="preserve">by Novartis </w:t>
      </w:r>
      <w:r w:rsidR="00095AAB" w:rsidRPr="00CA23AA">
        <w:rPr>
          <w:rFonts w:eastAsia="Times New Roman" w:cs="Times New Roman"/>
          <w:color w:val="000000" w:themeColor="text1"/>
          <w:lang w:eastAsia="en-AU"/>
        </w:rPr>
        <w:t>(</w:t>
      </w:r>
      <w:hyperlink r:id="rId9">
        <w:r w:rsidR="00095AAB" w:rsidRPr="00CA23AA">
          <w:rPr>
            <w:rFonts w:eastAsia="Times New Roman" w:cs="Times New Roman"/>
            <w:color w:val="0000FF"/>
            <w:u w:val="single"/>
            <w:lang w:eastAsia="en-AU"/>
          </w:rPr>
          <w:t>MSAC application 1519</w:t>
        </w:r>
      </w:hyperlink>
      <w:r w:rsidR="00095AAB" w:rsidRPr="00CA23AA">
        <w:rPr>
          <w:rFonts w:eastAsia="Times New Roman" w:cs="Times New Roman"/>
          <w:color w:val="000000" w:themeColor="text1"/>
          <w:lang w:eastAsia="en-AU"/>
        </w:rPr>
        <w:t>).</w:t>
      </w:r>
      <w:r w:rsidR="00C54B9D" w:rsidRPr="00CA23AA">
        <w:rPr>
          <w:rFonts w:eastAsia="Times New Roman" w:cs="Times New Roman"/>
          <w:color w:val="000000" w:themeColor="text1"/>
          <w:lang w:eastAsia="en-AU"/>
        </w:rPr>
        <w:t xml:space="preserve"> </w:t>
      </w:r>
      <w:r w:rsidR="0021383B" w:rsidRPr="00CA23AA">
        <w:rPr>
          <w:rFonts w:eastAsia="Times New Roman" w:cs="Times New Roman"/>
          <w:color w:val="000000" w:themeColor="text1"/>
          <w:lang w:eastAsia="en-AU"/>
        </w:rPr>
        <w:t>MSAC also requested</w:t>
      </w:r>
      <w:r w:rsidR="00853168" w:rsidRPr="00CA23AA">
        <w:rPr>
          <w:rFonts w:eastAsia="Times New Roman" w:cs="Times New Roman"/>
          <w:color w:val="000000" w:themeColor="text1"/>
          <w:lang w:eastAsia="en-AU"/>
        </w:rPr>
        <w:t xml:space="preserve"> the public funding of TIS for </w:t>
      </w:r>
      <w:proofErr w:type="spellStart"/>
      <w:r w:rsidR="00853168" w:rsidRPr="00CA23AA">
        <w:rPr>
          <w:rFonts w:eastAsia="Times New Roman" w:cs="Times New Roman"/>
          <w:color w:val="000000" w:themeColor="text1"/>
          <w:lang w:eastAsia="en-AU"/>
        </w:rPr>
        <w:t>pALL</w:t>
      </w:r>
      <w:proofErr w:type="spellEnd"/>
      <w:r w:rsidR="00853168" w:rsidRPr="00CA23AA">
        <w:rPr>
          <w:rFonts w:eastAsia="Times New Roman" w:cs="Times New Roman"/>
          <w:color w:val="000000" w:themeColor="text1"/>
          <w:lang w:eastAsia="en-AU"/>
        </w:rPr>
        <w:t xml:space="preserve"> to </w:t>
      </w:r>
      <w:r w:rsidR="008768AB" w:rsidRPr="00CA23AA">
        <w:rPr>
          <w:rFonts w:eastAsia="Times New Roman" w:cs="Times New Roman"/>
          <w:color w:val="000000" w:themeColor="text1"/>
          <w:lang w:eastAsia="en-AU"/>
        </w:rPr>
        <w:t xml:space="preserve">be </w:t>
      </w:r>
      <w:r w:rsidR="00095AAB" w:rsidRPr="00CA23AA">
        <w:rPr>
          <w:rFonts w:eastAsia="Times New Roman" w:cs="Times New Roman"/>
          <w:color w:val="000000" w:themeColor="text1"/>
          <w:lang w:eastAsia="en-AU"/>
        </w:rPr>
        <w:t>review</w:t>
      </w:r>
      <w:r w:rsidR="00853168" w:rsidRPr="00CA23AA">
        <w:rPr>
          <w:rFonts w:eastAsia="Times New Roman" w:cs="Times New Roman"/>
          <w:color w:val="000000" w:themeColor="text1"/>
          <w:lang w:eastAsia="en-AU"/>
        </w:rPr>
        <w:t>ed</w:t>
      </w:r>
      <w:r w:rsidR="00095AAB" w:rsidRPr="00CA23AA" w:rsidDel="00853168">
        <w:rPr>
          <w:rFonts w:eastAsia="Times New Roman" w:cs="Times New Roman"/>
          <w:color w:val="000000" w:themeColor="text1"/>
          <w:lang w:eastAsia="en-AU"/>
        </w:rPr>
        <w:t xml:space="preserve"> </w:t>
      </w:r>
      <w:r w:rsidR="00095AAB" w:rsidRPr="00CA23AA">
        <w:rPr>
          <w:rFonts w:eastAsia="Times New Roman" w:cs="Times New Roman"/>
          <w:color w:val="000000" w:themeColor="text1"/>
          <w:lang w:eastAsia="en-AU"/>
        </w:rPr>
        <w:t>at least 24</w:t>
      </w:r>
      <w:r w:rsidR="00CE5E8E" w:rsidRPr="00CA23AA">
        <w:rPr>
          <w:rFonts w:eastAsia="Times New Roman" w:cs="Times New Roman"/>
          <w:color w:val="000000" w:themeColor="text1"/>
          <w:lang w:eastAsia="en-AU"/>
        </w:rPr>
        <w:t xml:space="preserve"> </w:t>
      </w:r>
      <w:r w:rsidR="00095AAB" w:rsidRPr="00CA23AA">
        <w:rPr>
          <w:rFonts w:eastAsia="Times New Roman" w:cs="Times New Roman"/>
          <w:color w:val="000000" w:themeColor="text1"/>
          <w:lang w:eastAsia="en-AU"/>
        </w:rPr>
        <w:t xml:space="preserve">months after the first patient </w:t>
      </w:r>
      <w:r w:rsidR="00CE5E8E" w:rsidRPr="00CA23AA">
        <w:rPr>
          <w:rFonts w:eastAsia="Times New Roman" w:cs="Times New Roman"/>
          <w:color w:val="000000" w:themeColor="text1"/>
          <w:lang w:eastAsia="en-AU"/>
        </w:rPr>
        <w:t xml:space="preserve">received treatment </w:t>
      </w:r>
      <w:r w:rsidR="00095AAB" w:rsidRPr="00CA23AA">
        <w:rPr>
          <w:rFonts w:eastAsia="Times New Roman" w:cs="Times New Roman"/>
          <w:color w:val="000000" w:themeColor="text1"/>
          <w:lang w:eastAsia="en-AU"/>
        </w:rPr>
        <w:t xml:space="preserve">(later varied to at least 36 months). </w:t>
      </w:r>
      <w:r w:rsidR="00243198" w:rsidRPr="00CA23AA">
        <w:rPr>
          <w:rFonts w:eastAsia="Times New Roman" w:cs="Times New Roman"/>
          <w:color w:val="000000" w:themeColor="text1"/>
          <w:lang w:eastAsia="en-AU"/>
        </w:rPr>
        <w:t xml:space="preserve">The details of the RSA and the requirement for a subsequent review </w:t>
      </w:r>
      <w:r w:rsidR="00A316CE" w:rsidRPr="00CA23AA">
        <w:rPr>
          <w:rFonts w:eastAsia="Times New Roman" w:cs="Times New Roman"/>
          <w:color w:val="000000" w:themeColor="text1"/>
          <w:lang w:eastAsia="en-AU"/>
        </w:rPr>
        <w:t xml:space="preserve">of the public funding were negotiated through a Deed of Agreement </w:t>
      </w:r>
      <w:r w:rsidR="00EF3327" w:rsidRPr="00CA23AA">
        <w:rPr>
          <w:rFonts w:eastAsia="Times New Roman" w:cs="Times New Roman"/>
          <w:color w:val="000000" w:themeColor="text1"/>
          <w:lang w:eastAsia="en-AU"/>
        </w:rPr>
        <w:t xml:space="preserve">(Deed) </w:t>
      </w:r>
      <w:r w:rsidR="004F11B7" w:rsidRPr="00CA23AA">
        <w:rPr>
          <w:rFonts w:eastAsia="Times New Roman" w:cs="Times New Roman"/>
          <w:color w:val="000000" w:themeColor="text1"/>
          <w:lang w:eastAsia="en-AU"/>
        </w:rPr>
        <w:t xml:space="preserve">between the Commonwealth and </w:t>
      </w:r>
      <w:r w:rsidR="00A316CE" w:rsidRPr="00CA23AA">
        <w:rPr>
          <w:rFonts w:eastAsia="Times New Roman" w:cs="Times New Roman"/>
          <w:color w:val="000000" w:themeColor="text1"/>
          <w:lang w:eastAsia="en-AU"/>
        </w:rPr>
        <w:t>Novartis</w:t>
      </w:r>
      <w:r w:rsidR="4EF435B6" w:rsidRPr="00CA23AA">
        <w:rPr>
          <w:rFonts w:eastAsia="Times New Roman" w:cs="Times New Roman"/>
          <w:color w:val="000000" w:themeColor="text1"/>
          <w:lang w:eastAsia="en-AU"/>
        </w:rPr>
        <w:t xml:space="preserve"> following the MSAC’s advice</w:t>
      </w:r>
      <w:r w:rsidR="00A316CE" w:rsidRPr="00CA23AA">
        <w:rPr>
          <w:rFonts w:eastAsia="Times New Roman" w:cs="Times New Roman"/>
          <w:color w:val="000000" w:themeColor="text1"/>
          <w:lang w:eastAsia="en-AU"/>
        </w:rPr>
        <w:t xml:space="preserve">. </w:t>
      </w:r>
    </w:p>
    <w:p w14:paraId="0FF7E966" w14:textId="5759622E" w:rsidR="00095AAB" w:rsidRPr="00CA23AA" w:rsidRDefault="00DC6468" w:rsidP="00095AAB">
      <w:pPr>
        <w:pStyle w:val="NoSpacing"/>
      </w:pPr>
      <w:r w:rsidRPr="00CA23AA">
        <w:rPr>
          <w:rFonts w:eastAsia="Times New Roman" w:cs="Times New Roman"/>
          <w:color w:val="000000" w:themeColor="text1"/>
          <w:lang w:eastAsia="en-AU"/>
        </w:rPr>
        <w:t xml:space="preserve">MSAC noted that </w:t>
      </w:r>
      <w:r w:rsidR="00400FA8" w:rsidRPr="00CA23AA">
        <w:rPr>
          <w:rFonts w:eastAsia="Times New Roman" w:cs="Times New Roman"/>
          <w:color w:val="000000" w:themeColor="text1"/>
          <w:lang w:eastAsia="en-AU"/>
        </w:rPr>
        <w:t>i</w:t>
      </w:r>
      <w:r w:rsidR="00095AAB" w:rsidRPr="00CA23AA">
        <w:rPr>
          <w:rFonts w:eastAsia="Times New Roman" w:cs="Times New Roman"/>
          <w:color w:val="000000" w:themeColor="text1"/>
          <w:lang w:eastAsia="en-AU"/>
        </w:rPr>
        <w:t xml:space="preserve">n accordance with this review requirement, Novartis lodged an updated applicant-developed assessment report (ADAR) </w:t>
      </w:r>
      <w:r w:rsidR="00EF3327" w:rsidRPr="00CA23AA">
        <w:rPr>
          <w:rFonts w:eastAsia="Times New Roman" w:cs="Times New Roman"/>
          <w:color w:val="000000" w:themeColor="text1"/>
          <w:lang w:eastAsia="en-AU"/>
        </w:rPr>
        <w:t>in February 2023</w:t>
      </w:r>
      <w:r w:rsidR="00095AAB" w:rsidRPr="00CA23AA">
        <w:rPr>
          <w:rFonts w:eastAsia="Times New Roman" w:cs="Times New Roman"/>
          <w:color w:val="000000" w:themeColor="text1"/>
          <w:lang w:eastAsia="en-AU"/>
        </w:rPr>
        <w:t>. As per the Deed, the purpose of this application is to review</w:t>
      </w:r>
      <w:r w:rsidR="00095AAB" w:rsidRPr="00CA23AA">
        <w:t xml:space="preserve"> all matters relevant to the provision of the treatment, including but not limited to:</w:t>
      </w:r>
    </w:p>
    <w:p w14:paraId="34C1AEB8" w14:textId="77777777" w:rsidR="00095AAB" w:rsidRPr="00CA23AA" w:rsidRDefault="00095AAB" w:rsidP="00095AAB">
      <w:pPr>
        <w:pStyle w:val="ListParagraph"/>
        <w:numPr>
          <w:ilvl w:val="0"/>
          <w:numId w:val="29"/>
        </w:numPr>
        <w:spacing w:before="0" w:after="0" w:line="240" w:lineRule="auto"/>
      </w:pPr>
      <w:r w:rsidRPr="00CA23AA">
        <w:t>the clinical and cost-effectiveness of the treatment</w:t>
      </w:r>
    </w:p>
    <w:p w14:paraId="05589952" w14:textId="77777777" w:rsidR="00095AAB" w:rsidRPr="00CA23AA" w:rsidRDefault="00095AAB" w:rsidP="00095AAB">
      <w:pPr>
        <w:pStyle w:val="ListParagraph"/>
        <w:numPr>
          <w:ilvl w:val="0"/>
          <w:numId w:val="29"/>
        </w:numPr>
        <w:spacing w:before="0" w:after="0" w:line="240" w:lineRule="auto"/>
      </w:pPr>
      <w:r w:rsidRPr="00CA23AA">
        <w:t>usage of the treatment</w:t>
      </w:r>
    </w:p>
    <w:p w14:paraId="32FE956A" w14:textId="77777777" w:rsidR="00095AAB" w:rsidRPr="00CA23AA" w:rsidRDefault="00095AAB" w:rsidP="00095AAB">
      <w:pPr>
        <w:pStyle w:val="ListParagraph"/>
        <w:numPr>
          <w:ilvl w:val="0"/>
          <w:numId w:val="29"/>
        </w:numPr>
        <w:spacing w:before="0" w:after="0" w:line="240" w:lineRule="auto"/>
      </w:pPr>
      <w:r w:rsidRPr="00CA23AA">
        <w:t>financial costs of the treatment</w:t>
      </w:r>
    </w:p>
    <w:p w14:paraId="6BB6C6F1" w14:textId="77777777" w:rsidR="00095AAB" w:rsidRPr="00CA23AA" w:rsidRDefault="00095AAB" w:rsidP="00095AAB">
      <w:pPr>
        <w:pStyle w:val="ListParagraph"/>
        <w:numPr>
          <w:ilvl w:val="0"/>
          <w:numId w:val="29"/>
        </w:numPr>
        <w:spacing w:before="0" w:after="120" w:line="240" w:lineRule="auto"/>
        <w:ind w:left="714" w:hanging="357"/>
      </w:pPr>
      <w:r w:rsidRPr="00CA23AA">
        <w:t xml:space="preserve">any other matter relevant to the effectiveness, </w:t>
      </w:r>
      <w:proofErr w:type="gramStart"/>
      <w:r w:rsidRPr="00CA23AA">
        <w:t>supply</w:t>
      </w:r>
      <w:proofErr w:type="gramEnd"/>
      <w:r w:rsidRPr="00CA23AA">
        <w:t xml:space="preserve"> or funding of the treatment. </w:t>
      </w:r>
    </w:p>
    <w:p w14:paraId="56DB99D0" w14:textId="347C2012" w:rsidR="00B126F6" w:rsidRPr="00CA23AA" w:rsidRDefault="00095AAB" w:rsidP="001C162D">
      <w:pPr>
        <w:spacing w:before="0" w:after="240" w:line="240" w:lineRule="auto"/>
      </w:pPr>
      <w:r w:rsidRPr="00CA23AA">
        <w:rPr>
          <w:rFonts w:eastAsia="Times New Roman" w:cs="Times New Roman"/>
          <w:color w:val="000000" w:themeColor="text1"/>
          <w:lang w:eastAsia="en-AU"/>
        </w:rPr>
        <w:t xml:space="preserve">MSAC noted the </w:t>
      </w:r>
      <w:r w:rsidR="00AC587E" w:rsidRPr="00CA23AA">
        <w:rPr>
          <w:rFonts w:eastAsia="Times New Roman" w:cs="Times New Roman"/>
          <w:color w:val="000000" w:themeColor="text1"/>
          <w:lang w:eastAsia="en-AU"/>
        </w:rPr>
        <w:t xml:space="preserve">review was informed by </w:t>
      </w:r>
      <w:r w:rsidRPr="00CA23AA">
        <w:rPr>
          <w:rFonts w:eastAsia="Times New Roman" w:cs="Times New Roman"/>
          <w:color w:val="000000" w:themeColor="text1"/>
          <w:lang w:eastAsia="en-AU"/>
        </w:rPr>
        <w:t xml:space="preserve">updated results from the ELIANA and ENSIGN trials, along with </w:t>
      </w:r>
      <w:r w:rsidR="001B6F1A" w:rsidRPr="00CA23AA">
        <w:rPr>
          <w:rFonts w:eastAsia="Times New Roman" w:cs="Times New Roman"/>
          <w:color w:val="000000" w:themeColor="text1"/>
          <w:lang w:eastAsia="en-AU"/>
        </w:rPr>
        <w:t xml:space="preserve">data from the </w:t>
      </w:r>
      <w:r w:rsidR="00134A1E" w:rsidRPr="00CA23AA">
        <w:rPr>
          <w:rFonts w:eastAsia="Times New Roman" w:cs="Times New Roman"/>
          <w:color w:val="000000" w:themeColor="text1"/>
          <w:lang w:eastAsia="en-AU"/>
        </w:rPr>
        <w:t>B2001X</w:t>
      </w:r>
      <w:r w:rsidRPr="00CA23AA">
        <w:rPr>
          <w:rFonts w:eastAsia="Times New Roman" w:cs="Times New Roman"/>
          <w:color w:val="000000" w:themeColor="text1"/>
          <w:lang w:eastAsia="en-AU"/>
        </w:rPr>
        <w:t xml:space="preserve"> trial, other </w:t>
      </w:r>
      <w:r w:rsidR="009D501C" w:rsidRPr="00CA23AA">
        <w:rPr>
          <w:rFonts w:eastAsia="Times New Roman" w:cs="Times New Roman"/>
          <w:color w:val="000000" w:themeColor="text1"/>
          <w:lang w:eastAsia="en-AU"/>
        </w:rPr>
        <w:t xml:space="preserve">published </w:t>
      </w:r>
      <w:r w:rsidRPr="00CA23AA">
        <w:rPr>
          <w:rFonts w:eastAsia="Times New Roman" w:cs="Times New Roman"/>
          <w:color w:val="000000" w:themeColor="text1"/>
          <w:lang w:eastAsia="en-AU"/>
        </w:rPr>
        <w:t>studies</w:t>
      </w:r>
      <w:r w:rsidR="000A467B" w:rsidRPr="00CA23AA">
        <w:rPr>
          <w:rFonts w:eastAsia="Times New Roman" w:cs="Times New Roman"/>
          <w:color w:val="000000" w:themeColor="text1"/>
          <w:lang w:eastAsia="en-AU"/>
        </w:rPr>
        <w:t>,</w:t>
      </w:r>
      <w:r w:rsidR="001B6F1A" w:rsidRPr="00CA23AA">
        <w:rPr>
          <w:rFonts w:eastAsia="Times New Roman" w:cs="Times New Roman"/>
          <w:color w:val="000000" w:themeColor="text1"/>
          <w:lang w:eastAsia="en-AU"/>
        </w:rPr>
        <w:t xml:space="preserve"> </w:t>
      </w:r>
      <w:r w:rsidRPr="00CA23AA">
        <w:rPr>
          <w:rFonts w:eastAsia="Times New Roman" w:cs="Times New Roman"/>
          <w:color w:val="000000" w:themeColor="text1"/>
          <w:lang w:eastAsia="en-AU"/>
        </w:rPr>
        <w:t xml:space="preserve">and </w:t>
      </w:r>
      <w:r w:rsidR="00CF321C" w:rsidRPr="00CA23AA">
        <w:rPr>
          <w:iCs/>
        </w:rPr>
        <w:t>observational</w:t>
      </w:r>
      <w:r w:rsidR="001848CA" w:rsidRPr="00CA23AA">
        <w:rPr>
          <w:iCs/>
        </w:rPr>
        <w:t xml:space="preserve"> Australian data from the </w:t>
      </w:r>
      <w:r w:rsidR="009D501C" w:rsidRPr="00CA23AA">
        <w:rPr>
          <w:iCs/>
        </w:rPr>
        <w:t>Australian Bone Marrow Transplant Recipient Registry (ABMTRR</w:t>
      </w:r>
      <w:r w:rsidR="009D501C" w:rsidRPr="00CA23AA">
        <w:t>)</w:t>
      </w:r>
      <w:r w:rsidR="0063106C" w:rsidRPr="00CA23AA">
        <w:t xml:space="preserve">. Given TIS is </w:t>
      </w:r>
      <w:r w:rsidR="00777C4C" w:rsidRPr="00CA23AA">
        <w:t>jointly funded by the Commonwealth</w:t>
      </w:r>
      <w:r w:rsidRPr="00CA23AA" w:rsidDel="009D501C">
        <w:t xml:space="preserve"> </w:t>
      </w:r>
      <w:r w:rsidR="000A467B" w:rsidRPr="00CA23AA">
        <w:t>and states and territories</w:t>
      </w:r>
      <w:r w:rsidR="00947081" w:rsidRPr="00CA23AA">
        <w:t xml:space="preserve"> </w:t>
      </w:r>
      <w:r w:rsidR="00777C4C" w:rsidRPr="00CA23AA">
        <w:t>in line with</w:t>
      </w:r>
      <w:r w:rsidR="00947081" w:rsidRPr="00CA23AA">
        <w:t xml:space="preserve"> the High-Cost, Highly Specialised Therapy (HST) arrangements outlined in the 202</w:t>
      </w:r>
      <w:r w:rsidR="26020607" w:rsidRPr="00CA23AA">
        <w:t>0</w:t>
      </w:r>
      <w:r w:rsidR="00947081" w:rsidRPr="00CA23AA">
        <w:t>-25 Addendum to the NHRA</w:t>
      </w:r>
      <w:r w:rsidR="00777C4C" w:rsidRPr="00CA23AA">
        <w:t xml:space="preserve">, the states and territories also provided </w:t>
      </w:r>
      <w:r w:rsidR="00F77DDA" w:rsidRPr="00CA23AA">
        <w:t>data to inform the review</w:t>
      </w:r>
      <w:r w:rsidR="00AD3BE7" w:rsidRPr="00CA23AA">
        <w:t xml:space="preserve">. </w:t>
      </w:r>
      <w:r w:rsidR="00A80300" w:rsidRPr="00CA23AA">
        <w:rPr>
          <w:rFonts w:eastAsia="Times New Roman" w:cs="Times New Roman"/>
          <w:color w:val="000000" w:themeColor="text1"/>
          <w:lang w:eastAsia="en-AU"/>
        </w:rPr>
        <w:t xml:space="preserve">MSAC noted the applicant’s pre-MSAC response claimed the updated </w:t>
      </w:r>
      <w:r w:rsidR="00A80300" w:rsidRPr="00CA23AA">
        <w:t>ELIANA report “</w:t>
      </w:r>
      <w:r w:rsidR="00C40819" w:rsidRPr="00CA23AA">
        <w:t xml:space="preserve">provides an additional 3 years of data since the time tisagenlecleucel was first considered by MSAC for </w:t>
      </w:r>
      <w:proofErr w:type="spellStart"/>
      <w:r w:rsidR="00C40819" w:rsidRPr="00CA23AA">
        <w:t>pALL</w:t>
      </w:r>
      <w:proofErr w:type="spellEnd"/>
      <w:r w:rsidR="00C40819" w:rsidRPr="00CA23AA">
        <w:t xml:space="preserve"> and </w:t>
      </w:r>
      <w:r w:rsidR="00A80300" w:rsidRPr="00CA23AA">
        <w:t xml:space="preserve">supports the survival extrapolations in the original economic model” and “suggests that tisagenlecleucel is curative for some patients”. </w:t>
      </w:r>
      <w:r w:rsidR="00DC30E2" w:rsidRPr="00CA23AA">
        <w:t>MSAC noted that while longer duration follow</w:t>
      </w:r>
      <w:r w:rsidR="007D58F8" w:rsidRPr="00CA23AA">
        <w:t>-</w:t>
      </w:r>
      <w:r w:rsidR="00DC30E2" w:rsidRPr="00CA23AA">
        <w:t>up data was provided</w:t>
      </w:r>
      <w:r w:rsidR="00F223FB" w:rsidRPr="00CA23AA">
        <w:t xml:space="preserve"> for overall survival</w:t>
      </w:r>
      <w:r w:rsidR="00DC30E2" w:rsidRPr="00CA23AA">
        <w:t xml:space="preserve">, </w:t>
      </w:r>
      <w:r w:rsidR="003708FA" w:rsidRPr="00CA23AA">
        <w:t>the clinical</w:t>
      </w:r>
      <w:r w:rsidR="009C7EC5" w:rsidRPr="00CA23AA">
        <w:t xml:space="preserve"> </w:t>
      </w:r>
      <w:r w:rsidR="009D501C" w:rsidRPr="00CA23AA">
        <w:t>study</w:t>
      </w:r>
      <w:r w:rsidR="007D1516" w:rsidRPr="00CA23AA">
        <w:t xml:space="preserve"> </w:t>
      </w:r>
      <w:r w:rsidR="009C7EC5" w:rsidRPr="00CA23AA">
        <w:t xml:space="preserve">data </w:t>
      </w:r>
      <w:r w:rsidR="009D501C" w:rsidRPr="00CA23AA">
        <w:t xml:space="preserve">was </w:t>
      </w:r>
      <w:r w:rsidR="00392DF7" w:rsidRPr="00CA23AA">
        <w:t xml:space="preserve">still </w:t>
      </w:r>
      <w:r w:rsidR="009D501C" w:rsidRPr="00CA23AA">
        <w:t xml:space="preserve">mostly </w:t>
      </w:r>
      <w:r w:rsidR="009C7EC5" w:rsidRPr="00CA23AA">
        <w:t>from single-arm studies</w:t>
      </w:r>
      <w:r w:rsidR="009D501C" w:rsidRPr="00CA23AA">
        <w:t>.</w:t>
      </w:r>
      <w:r w:rsidR="009C7EC5" w:rsidRPr="00CA23AA">
        <w:t xml:space="preserve"> </w:t>
      </w:r>
      <w:r w:rsidR="009D501C" w:rsidRPr="00CA23AA">
        <w:t>These reported</w:t>
      </w:r>
      <w:r w:rsidR="009C7EC5" w:rsidRPr="00CA23AA">
        <w:t xml:space="preserve"> substantial loss to follow up. </w:t>
      </w:r>
      <w:r w:rsidR="001B4AC6" w:rsidRPr="00CA23AA">
        <w:t xml:space="preserve">MSAC also noted that the </w:t>
      </w:r>
      <w:r w:rsidR="00C123DE" w:rsidRPr="00CA23AA">
        <w:t xml:space="preserve">additional follow-up </w:t>
      </w:r>
      <w:r w:rsidR="009C7EC5" w:rsidRPr="00CA23AA">
        <w:t>time ha</w:t>
      </w:r>
      <w:r w:rsidR="00C123DE" w:rsidRPr="00CA23AA">
        <w:t>d</w:t>
      </w:r>
      <w:r w:rsidR="009C7EC5" w:rsidRPr="00CA23AA">
        <w:t xml:space="preserve"> not yielded any additional information for some endpoints.</w:t>
      </w:r>
      <w:r w:rsidR="007D6EAB" w:rsidRPr="00CA23AA">
        <w:t xml:space="preserve"> </w:t>
      </w:r>
    </w:p>
    <w:p w14:paraId="471EAD3C" w14:textId="35881DE6" w:rsidR="009247BE" w:rsidRPr="00CA23AA" w:rsidRDefault="00806AFE" w:rsidP="001C162D">
      <w:pPr>
        <w:spacing w:before="0" w:after="240" w:line="240" w:lineRule="auto"/>
      </w:pPr>
      <w:r w:rsidRPr="00CA23AA">
        <w:t xml:space="preserve">MSAC recalled that it had previously </w:t>
      </w:r>
      <w:r w:rsidR="009D521F" w:rsidRPr="00CA23AA">
        <w:t xml:space="preserve">identified </w:t>
      </w:r>
      <w:r w:rsidRPr="00CA23AA">
        <w:t xml:space="preserve">uncertainty </w:t>
      </w:r>
      <w:r w:rsidR="009D521F" w:rsidRPr="00CA23AA">
        <w:t xml:space="preserve">regarding </w:t>
      </w:r>
      <w:r w:rsidRPr="00CA23AA">
        <w:t>the proportion of</w:t>
      </w:r>
      <w:r w:rsidR="009D521F" w:rsidRPr="00CA23AA">
        <w:t xml:space="preserve"> patients experiencing</w:t>
      </w:r>
      <w:r w:rsidRPr="00CA23AA">
        <w:t xml:space="preserve">, and durability of, responses in clinical practice; </w:t>
      </w:r>
      <w:r w:rsidR="00893225" w:rsidRPr="00CA23AA">
        <w:t xml:space="preserve">and </w:t>
      </w:r>
      <w:r w:rsidRPr="00CA23AA">
        <w:t xml:space="preserve">uncertainty </w:t>
      </w:r>
      <w:r w:rsidR="00893225" w:rsidRPr="00CA23AA">
        <w:t xml:space="preserve">regarding </w:t>
      </w:r>
      <w:r w:rsidRPr="00CA23AA">
        <w:t>the number of patients going on to stem cell transplantation</w:t>
      </w:r>
      <w:r w:rsidR="00893225" w:rsidRPr="00CA23AA">
        <w:t xml:space="preserve"> after TIS</w:t>
      </w:r>
      <w:r w:rsidR="005F63A3" w:rsidRPr="00CA23AA">
        <w:t xml:space="preserve"> </w:t>
      </w:r>
      <w:r w:rsidRPr="00CA23AA">
        <w:t xml:space="preserve">(MSAC 1519 PSD, </w:t>
      </w:r>
      <w:proofErr w:type="spellStart"/>
      <w:r w:rsidRPr="00CA23AA">
        <w:t>pg</w:t>
      </w:r>
      <w:proofErr w:type="spellEnd"/>
      <w:r w:rsidRPr="00CA23AA">
        <w:t xml:space="preserve"> 3). In deliberating on whether previous clinical uncertainty had been addressed, </w:t>
      </w:r>
      <w:r w:rsidRPr="00CA23AA">
        <w:rPr>
          <w:rFonts w:eastAsia="Times New Roman" w:cs="Times New Roman"/>
          <w:iCs/>
          <w:color w:val="000000"/>
          <w:szCs w:val="20"/>
          <w:lang w:eastAsia="en-AU"/>
        </w:rPr>
        <w:t xml:space="preserve">MSAC noted that Kaplan Meier (KM) plots for duration of response and overall survival data (see </w:t>
      </w:r>
      <w:r w:rsidR="009D501C" w:rsidRPr="00CA23AA">
        <w:rPr>
          <w:rFonts w:eastAsia="Times New Roman" w:cs="Times New Roman"/>
          <w:iCs/>
          <w:color w:val="000000"/>
          <w:szCs w:val="20"/>
          <w:lang w:eastAsia="en-AU"/>
        </w:rPr>
        <w:fldChar w:fldCharType="begin"/>
      </w:r>
      <w:r w:rsidR="009D501C" w:rsidRPr="00CA23AA">
        <w:rPr>
          <w:rFonts w:eastAsia="Times New Roman" w:cs="Times New Roman"/>
          <w:iCs/>
          <w:color w:val="000000"/>
          <w:szCs w:val="20"/>
          <w:lang w:eastAsia="en-AU"/>
        </w:rPr>
        <w:instrText xml:space="preserve"> REF _Ref142851246 \h </w:instrText>
      </w:r>
      <w:r w:rsidR="00CA23AA">
        <w:rPr>
          <w:rFonts w:eastAsia="Times New Roman" w:cs="Times New Roman"/>
          <w:iCs/>
          <w:color w:val="000000"/>
          <w:szCs w:val="20"/>
          <w:lang w:eastAsia="en-AU"/>
        </w:rPr>
        <w:instrText xml:space="preserve"> \* MERGEFORMAT </w:instrText>
      </w:r>
      <w:r w:rsidR="009D501C" w:rsidRPr="00CA23AA">
        <w:rPr>
          <w:rFonts w:eastAsia="Times New Roman" w:cs="Times New Roman"/>
          <w:iCs/>
          <w:color w:val="000000"/>
          <w:szCs w:val="20"/>
          <w:lang w:eastAsia="en-AU"/>
        </w:rPr>
      </w:r>
      <w:r w:rsidR="009D501C" w:rsidRPr="00CA23AA">
        <w:rPr>
          <w:rFonts w:eastAsia="Times New Roman" w:cs="Times New Roman"/>
          <w:iCs/>
          <w:color w:val="000000"/>
          <w:szCs w:val="20"/>
          <w:lang w:eastAsia="en-AU"/>
        </w:rPr>
        <w:fldChar w:fldCharType="separate"/>
      </w:r>
      <w:r w:rsidR="009D501C" w:rsidRPr="00CA23AA">
        <w:t xml:space="preserve">Figure </w:t>
      </w:r>
      <w:r w:rsidR="009D501C" w:rsidRPr="00CA23AA">
        <w:rPr>
          <w:noProof/>
        </w:rPr>
        <w:t>1</w:t>
      </w:r>
      <w:r w:rsidR="009D501C" w:rsidRPr="00CA23AA">
        <w:rPr>
          <w:rFonts w:eastAsia="Times New Roman" w:cs="Times New Roman"/>
          <w:iCs/>
          <w:color w:val="000000"/>
          <w:szCs w:val="20"/>
          <w:lang w:eastAsia="en-AU"/>
        </w:rPr>
        <w:fldChar w:fldCharType="end"/>
      </w:r>
      <w:r w:rsidR="009D501C" w:rsidRPr="00CA23AA">
        <w:rPr>
          <w:rFonts w:eastAsia="Times New Roman" w:cs="Times New Roman"/>
          <w:iCs/>
          <w:color w:val="000000"/>
          <w:szCs w:val="20"/>
          <w:lang w:eastAsia="en-AU"/>
        </w:rPr>
        <w:t xml:space="preserve"> </w:t>
      </w:r>
      <w:r w:rsidRPr="00CA23AA">
        <w:rPr>
          <w:rFonts w:eastAsia="Times New Roman" w:cs="Times New Roman"/>
          <w:iCs/>
          <w:color w:val="000000"/>
          <w:szCs w:val="20"/>
          <w:lang w:eastAsia="en-AU"/>
        </w:rPr>
        <w:t xml:space="preserve">and </w:t>
      </w:r>
      <w:r w:rsidR="007206DE" w:rsidRPr="00CA23AA">
        <w:rPr>
          <w:rFonts w:eastAsia="Times New Roman" w:cs="Times New Roman"/>
          <w:iCs/>
          <w:color w:val="000000"/>
          <w:szCs w:val="20"/>
          <w:lang w:eastAsia="en-AU"/>
        </w:rPr>
        <w:fldChar w:fldCharType="begin"/>
      </w:r>
      <w:r w:rsidR="007206DE" w:rsidRPr="00CA23AA">
        <w:rPr>
          <w:rFonts w:eastAsia="Times New Roman" w:cs="Times New Roman"/>
          <w:iCs/>
          <w:color w:val="000000"/>
          <w:szCs w:val="20"/>
          <w:lang w:eastAsia="en-AU"/>
        </w:rPr>
        <w:instrText xml:space="preserve"> REF _Ref133942020 \h </w:instrText>
      </w:r>
      <w:r w:rsidR="00CA23AA">
        <w:rPr>
          <w:rFonts w:eastAsia="Times New Roman" w:cs="Times New Roman"/>
          <w:iCs/>
          <w:color w:val="000000"/>
          <w:szCs w:val="20"/>
          <w:lang w:eastAsia="en-AU"/>
        </w:rPr>
        <w:instrText xml:space="preserve"> \* MERGEFORMAT </w:instrText>
      </w:r>
      <w:r w:rsidR="007206DE" w:rsidRPr="00CA23AA">
        <w:rPr>
          <w:rFonts w:eastAsia="Times New Roman" w:cs="Times New Roman"/>
          <w:iCs/>
          <w:color w:val="000000"/>
          <w:szCs w:val="20"/>
          <w:lang w:eastAsia="en-AU"/>
        </w:rPr>
      </w:r>
      <w:r w:rsidR="007206DE" w:rsidRPr="00CA23AA">
        <w:rPr>
          <w:rFonts w:eastAsia="Times New Roman" w:cs="Times New Roman"/>
          <w:iCs/>
          <w:color w:val="000000"/>
          <w:szCs w:val="20"/>
          <w:lang w:eastAsia="en-AU"/>
        </w:rPr>
        <w:fldChar w:fldCharType="separate"/>
      </w:r>
      <w:r w:rsidR="007206DE" w:rsidRPr="00CA23AA">
        <w:t xml:space="preserve">Figure </w:t>
      </w:r>
      <w:r w:rsidR="007206DE" w:rsidRPr="00CA23AA">
        <w:rPr>
          <w:noProof/>
        </w:rPr>
        <w:t>3</w:t>
      </w:r>
      <w:r w:rsidR="007206DE" w:rsidRPr="00CA23AA">
        <w:rPr>
          <w:rFonts w:eastAsia="Times New Roman" w:cs="Times New Roman"/>
          <w:iCs/>
          <w:color w:val="000000"/>
          <w:szCs w:val="20"/>
          <w:lang w:eastAsia="en-AU"/>
        </w:rPr>
        <w:fldChar w:fldCharType="end"/>
      </w:r>
      <w:r w:rsidR="007206DE" w:rsidRPr="00CA23AA">
        <w:rPr>
          <w:rFonts w:eastAsia="Times New Roman" w:cs="Times New Roman"/>
          <w:iCs/>
          <w:color w:val="000000"/>
          <w:szCs w:val="20"/>
          <w:lang w:eastAsia="en-AU"/>
        </w:rPr>
        <w:t xml:space="preserve"> </w:t>
      </w:r>
      <w:r w:rsidRPr="00CA23AA">
        <w:rPr>
          <w:rFonts w:eastAsia="Times New Roman" w:cs="Times New Roman"/>
          <w:iCs/>
          <w:color w:val="000000"/>
          <w:szCs w:val="20"/>
          <w:lang w:eastAsia="en-AU"/>
        </w:rPr>
        <w:t>in Section 12) indicated</w:t>
      </w:r>
      <w:r w:rsidRPr="00CA23AA">
        <w:t xml:space="preserve"> that relapse and death outcomes continue to accrue. Therefore, MSAC considered that these data indicate that most patients are not cured or placed into a stable disease state after treatment with </w:t>
      </w:r>
      <w:r w:rsidR="00B126F6" w:rsidRPr="00CA23AA">
        <w:t>TIS but</w:t>
      </w:r>
      <w:r w:rsidRPr="00CA23AA">
        <w:t xml:space="preserve"> continue to </w:t>
      </w:r>
      <w:r w:rsidR="00116DDE" w:rsidRPr="00CA23AA">
        <w:t>experience disease progression</w:t>
      </w:r>
      <w:r w:rsidRPr="00CA23AA">
        <w:t xml:space="preserve">. </w:t>
      </w:r>
      <w:r w:rsidR="00730E18" w:rsidRPr="00CA23AA">
        <w:t>MSAC noted the New South Wales (NSW) submission stating that some patients experience late relapse greater than 12 months after TIS infusion.</w:t>
      </w:r>
    </w:p>
    <w:p w14:paraId="7F76E613" w14:textId="7D549E21" w:rsidR="00F32E3F" w:rsidRPr="00CA23AA" w:rsidRDefault="00806AFE" w:rsidP="001C162D">
      <w:pPr>
        <w:spacing w:before="0" w:after="240" w:line="240" w:lineRule="auto"/>
      </w:pPr>
      <w:r w:rsidRPr="00CA23AA">
        <w:t xml:space="preserve">MSAC also noted the </w:t>
      </w:r>
      <w:r w:rsidR="00DE31F8" w:rsidRPr="00CA23AA">
        <w:t xml:space="preserve">health system utilisation </w:t>
      </w:r>
      <w:r w:rsidRPr="00CA23AA">
        <w:t xml:space="preserve">data from the states and territories reported the rate of </w:t>
      </w:r>
      <w:proofErr w:type="spellStart"/>
      <w:r w:rsidRPr="00CA23AA">
        <w:t>aHSCT</w:t>
      </w:r>
      <w:proofErr w:type="spellEnd"/>
      <w:r w:rsidRPr="00CA23AA">
        <w:t xml:space="preserve"> after TIS treatment </w:t>
      </w:r>
      <w:r w:rsidR="00386A45" w:rsidRPr="00CA23AA">
        <w:t>(</w:t>
      </w:r>
      <w:r w:rsidR="004022A2" w:rsidRPr="00CA23AA">
        <w:t>31%</w:t>
      </w:r>
      <w:r w:rsidR="003E24F8" w:rsidRPr="00CA23AA">
        <w:t xml:space="preserve">) </w:t>
      </w:r>
      <w:r w:rsidRPr="00CA23AA">
        <w:t xml:space="preserve">was higher than </w:t>
      </w:r>
      <w:r w:rsidR="001D7658" w:rsidRPr="00CA23AA">
        <w:t xml:space="preserve">originally </w:t>
      </w:r>
      <w:r w:rsidRPr="00CA23AA">
        <w:t>expected</w:t>
      </w:r>
      <w:r w:rsidR="003E24F8" w:rsidRPr="00CA23AA">
        <w:t xml:space="preserve"> (19%)</w:t>
      </w:r>
      <w:r w:rsidRPr="00CA23AA">
        <w:t xml:space="preserve">. MSAC considered that this indicated that </w:t>
      </w:r>
      <w:r w:rsidR="00FF792F" w:rsidRPr="00CA23AA">
        <w:t xml:space="preserve">clinicians </w:t>
      </w:r>
      <w:r w:rsidR="00402183" w:rsidRPr="00CA23AA">
        <w:t>do not</w:t>
      </w:r>
      <w:r w:rsidR="00C50CF5" w:rsidRPr="00CA23AA">
        <w:t xml:space="preserve"> consider</w:t>
      </w:r>
      <w:r w:rsidR="00402183" w:rsidRPr="00CA23AA">
        <w:t xml:space="preserve"> </w:t>
      </w:r>
      <w:r w:rsidRPr="00CA23AA">
        <w:t xml:space="preserve">TIS </w:t>
      </w:r>
      <w:r w:rsidR="00402183" w:rsidRPr="00CA23AA">
        <w:t xml:space="preserve">to be </w:t>
      </w:r>
      <w:r w:rsidRPr="00CA23AA">
        <w:t xml:space="preserve">a curative treatment and </w:t>
      </w:r>
      <w:r w:rsidR="00296E2C" w:rsidRPr="00CA23AA">
        <w:t xml:space="preserve">the treatment </w:t>
      </w:r>
      <w:r w:rsidRPr="00CA23AA">
        <w:t xml:space="preserve">is likely being used </w:t>
      </w:r>
      <w:r w:rsidR="00296E2C" w:rsidRPr="00CA23AA">
        <w:t xml:space="preserve">either </w:t>
      </w:r>
      <w:r w:rsidRPr="00CA23AA">
        <w:t xml:space="preserve">as a bridging therapy to </w:t>
      </w:r>
      <w:proofErr w:type="spellStart"/>
      <w:r w:rsidRPr="00CA23AA">
        <w:t>aHSCT</w:t>
      </w:r>
      <w:proofErr w:type="spellEnd"/>
      <w:r w:rsidRPr="00CA23AA">
        <w:t xml:space="preserve"> or </w:t>
      </w:r>
      <w:proofErr w:type="spellStart"/>
      <w:r w:rsidRPr="00CA23AA">
        <w:t>aHSCT</w:t>
      </w:r>
      <w:proofErr w:type="spellEnd"/>
      <w:r w:rsidRPr="00CA23AA">
        <w:t xml:space="preserve"> is being used to </w:t>
      </w:r>
      <w:r w:rsidR="00B25664" w:rsidRPr="00CA23AA">
        <w:t>treat relapse post-TIS</w:t>
      </w:r>
      <w:r w:rsidRPr="00CA23AA">
        <w:t>.</w:t>
      </w:r>
      <w:r w:rsidR="00B4175F" w:rsidRPr="00CA23AA">
        <w:t xml:space="preserve"> MSAC considered that </w:t>
      </w:r>
      <w:r w:rsidR="00AB13BE" w:rsidRPr="00CA23AA">
        <w:t xml:space="preserve">the clinical evidence did not </w:t>
      </w:r>
      <w:r w:rsidR="00D25159" w:rsidRPr="00CA23AA">
        <w:t xml:space="preserve">address </w:t>
      </w:r>
      <w:r w:rsidR="00AB13BE" w:rsidRPr="00CA23AA">
        <w:t>whether the longer</w:t>
      </w:r>
      <w:r w:rsidR="00473F93" w:rsidRPr="00CA23AA">
        <w:t>-</w:t>
      </w:r>
      <w:r w:rsidR="00AB13BE" w:rsidRPr="00CA23AA">
        <w:t xml:space="preserve">term outcomes </w:t>
      </w:r>
      <w:r w:rsidR="00D25159" w:rsidRPr="00CA23AA">
        <w:t xml:space="preserve">observed were </w:t>
      </w:r>
      <w:proofErr w:type="gramStart"/>
      <w:r w:rsidR="00D25159" w:rsidRPr="00CA23AA">
        <w:t>due to the effect</w:t>
      </w:r>
      <w:proofErr w:type="gramEnd"/>
      <w:r w:rsidR="00D25159" w:rsidRPr="00CA23AA">
        <w:t xml:space="preserve"> of TIS alone</w:t>
      </w:r>
      <w:r w:rsidR="00134BD4" w:rsidRPr="00CA23AA">
        <w:t xml:space="preserve"> or from subsequent therapies including </w:t>
      </w:r>
      <w:proofErr w:type="spellStart"/>
      <w:r w:rsidR="00134BD4" w:rsidRPr="00CA23AA">
        <w:t>aHSCT</w:t>
      </w:r>
      <w:proofErr w:type="spellEnd"/>
      <w:r w:rsidR="00134BD4" w:rsidRPr="00CA23AA">
        <w:t xml:space="preserve">. </w:t>
      </w:r>
      <w:r w:rsidR="00CB4C5C" w:rsidRPr="00CA23AA">
        <w:t>MSAC noted median overall survival had not been reached in most studies (see Table 6 in Section 12).</w:t>
      </w:r>
      <w:r w:rsidR="00D66FA6" w:rsidRPr="00CA23AA">
        <w:t xml:space="preserve"> In the ELIANA study, 42% of patients had died by September 2021. In the ENSIGN study, 47% of patients had died at study termination (median 15-month follow up for OS).</w:t>
      </w:r>
    </w:p>
    <w:p w14:paraId="2C9D07A6" w14:textId="49A618AC" w:rsidR="00102D44" w:rsidRPr="00CA23AA" w:rsidRDefault="00102D44" w:rsidP="006E613F">
      <w:pPr>
        <w:spacing w:before="0" w:after="240" w:line="240" w:lineRule="auto"/>
      </w:pPr>
      <w:r w:rsidRPr="00CA23AA">
        <w:rPr>
          <w:rFonts w:eastAsia="Times New Roman" w:cs="Times New Roman"/>
          <w:iCs/>
          <w:color w:val="000000"/>
          <w:szCs w:val="20"/>
          <w:lang w:eastAsia="en-AU"/>
        </w:rPr>
        <w:t xml:space="preserve">MSAC recalled that it had previously </w:t>
      </w:r>
      <w:r w:rsidR="00594A95" w:rsidRPr="00CA23AA">
        <w:rPr>
          <w:rFonts w:eastAsia="Times New Roman" w:cs="Times New Roman"/>
          <w:iCs/>
          <w:color w:val="000000"/>
          <w:szCs w:val="20"/>
          <w:lang w:eastAsia="en-AU"/>
        </w:rPr>
        <w:t xml:space="preserve">identified </w:t>
      </w:r>
      <w:r w:rsidRPr="00CA23AA">
        <w:t xml:space="preserve">uncertainty about the duration of immunoglobulin (intravenous, IVIg, or subcutaneous, SCIg) treatment </w:t>
      </w:r>
      <w:r w:rsidR="00117412" w:rsidRPr="00CA23AA">
        <w:t xml:space="preserve">post TIS </w:t>
      </w:r>
      <w:r w:rsidRPr="00CA23AA">
        <w:t xml:space="preserve">(MSAC 1519 PSD, </w:t>
      </w:r>
      <w:proofErr w:type="spellStart"/>
      <w:r w:rsidRPr="00CA23AA">
        <w:t>pg</w:t>
      </w:r>
      <w:proofErr w:type="spellEnd"/>
      <w:r w:rsidRPr="00CA23AA">
        <w:t xml:space="preserve"> 3). Registry data reported the use of IVIg is substantial with 59% of patients with at least 1 year follow-up still receiving </w:t>
      </w:r>
      <w:r w:rsidR="008066E8" w:rsidRPr="00CA23AA">
        <w:t>IVIg.</w:t>
      </w:r>
      <w:r w:rsidRPr="00CA23AA">
        <w:t xml:space="preserve"> Approximately 30% of patients received tocilizumab within the first 30 days post-TIS.</w:t>
      </w:r>
      <w:r w:rsidR="006E613F" w:rsidRPr="00CA23AA">
        <w:t xml:space="preserve"> </w:t>
      </w:r>
      <w:r w:rsidR="004F69D9" w:rsidRPr="00CA23AA">
        <w:t>MSAC considered that t</w:t>
      </w:r>
      <w:r w:rsidR="006E613F" w:rsidRPr="00CA23AA">
        <w:t xml:space="preserve">here </w:t>
      </w:r>
      <w:r w:rsidR="004F69D9" w:rsidRPr="00CA23AA">
        <w:t>were</w:t>
      </w:r>
      <w:r w:rsidR="006E613F" w:rsidRPr="00CA23AA">
        <w:t xml:space="preserve"> no new safety signals</w:t>
      </w:r>
      <w:r w:rsidR="004F69D9" w:rsidRPr="00CA23AA">
        <w:t xml:space="preserve"> but </w:t>
      </w:r>
      <w:r w:rsidR="00ED3B06" w:rsidRPr="00CA23AA">
        <w:t xml:space="preserve">considered the occurrence of </w:t>
      </w:r>
      <w:r w:rsidR="0014375C" w:rsidRPr="00CA23AA">
        <w:t xml:space="preserve">death due to </w:t>
      </w:r>
      <w:proofErr w:type="spellStart"/>
      <w:r w:rsidR="00ED3B06" w:rsidRPr="00CA23AA">
        <w:t>haemophagocytic</w:t>
      </w:r>
      <w:proofErr w:type="spellEnd"/>
      <w:r w:rsidR="00ED3B06" w:rsidRPr="00CA23AA">
        <w:t xml:space="preserve"> </w:t>
      </w:r>
      <w:proofErr w:type="spellStart"/>
      <w:r w:rsidR="00ED3B06" w:rsidRPr="00CA23AA">
        <w:t>lymphohistiocytosis</w:t>
      </w:r>
      <w:proofErr w:type="spellEnd"/>
      <w:r w:rsidR="00ED3B06" w:rsidRPr="00CA23AA">
        <w:t xml:space="preserve"> in a non-sponsor study</w:t>
      </w:r>
      <w:r w:rsidR="00732C8E" w:rsidRPr="00CA23AA">
        <w:t xml:space="preserve"> (</w:t>
      </w:r>
      <w:proofErr w:type="spellStart"/>
      <w:r w:rsidR="00732C8E" w:rsidRPr="00CA23AA">
        <w:t>Ravich</w:t>
      </w:r>
      <w:proofErr w:type="spellEnd"/>
      <w:r w:rsidR="00732C8E" w:rsidRPr="00CA23AA">
        <w:t xml:space="preserve"> et al 2022)</w:t>
      </w:r>
      <w:r w:rsidR="00B56F4B" w:rsidRPr="00CA23AA">
        <w:rPr>
          <w:rStyle w:val="FootnoteReference"/>
        </w:rPr>
        <w:t xml:space="preserve"> </w:t>
      </w:r>
      <w:r w:rsidR="00B56F4B" w:rsidRPr="00CA23AA">
        <w:rPr>
          <w:rStyle w:val="FootnoteReference"/>
        </w:rPr>
        <w:footnoteReference w:id="2"/>
      </w:r>
      <w:r w:rsidR="00ED3B06" w:rsidRPr="00CA23AA">
        <w:t xml:space="preserve"> should be formally </w:t>
      </w:r>
      <w:r w:rsidR="001104BE" w:rsidRPr="00CA23AA">
        <w:t xml:space="preserve">referred </w:t>
      </w:r>
      <w:r w:rsidR="00ED3B06" w:rsidRPr="00CA23AA">
        <w:t xml:space="preserve">to the TGA by MSAC. </w:t>
      </w:r>
    </w:p>
    <w:p w14:paraId="3A82E230" w14:textId="15C41750" w:rsidR="00C918CF" w:rsidRPr="00CA23AA" w:rsidRDefault="00554886" w:rsidP="00C918CF">
      <w:pPr>
        <w:spacing w:before="0" w:after="240" w:line="240" w:lineRule="auto"/>
      </w:pPr>
      <w:r w:rsidRPr="00CA23AA">
        <w:t xml:space="preserve">MSAC considered </w:t>
      </w:r>
      <w:r w:rsidR="000E40EE" w:rsidRPr="00CA23AA">
        <w:t xml:space="preserve">the data being collected in the ABMTRR </w:t>
      </w:r>
      <w:r w:rsidR="00F414C1" w:rsidRPr="00CA23AA">
        <w:t>was incomplete</w:t>
      </w:r>
      <w:r w:rsidR="002B0620" w:rsidRPr="00CA23AA">
        <w:t xml:space="preserve"> for the purpose of the TIS review</w:t>
      </w:r>
      <w:r w:rsidR="00A62B55" w:rsidRPr="00CA23AA">
        <w:t xml:space="preserve">. </w:t>
      </w:r>
      <w:r w:rsidR="00C918CF" w:rsidRPr="00CA23AA">
        <w:t>MSAC highlighted the following limitations in the ABMTRR data:</w:t>
      </w:r>
    </w:p>
    <w:p w14:paraId="4A2C24FA" w14:textId="3677C29D" w:rsidR="00C918CF" w:rsidRPr="00CA23AA" w:rsidRDefault="00C918CF" w:rsidP="00C918CF">
      <w:pPr>
        <w:pStyle w:val="ListParagraph"/>
        <w:numPr>
          <w:ilvl w:val="0"/>
          <w:numId w:val="29"/>
        </w:numPr>
        <w:spacing w:before="0" w:after="0" w:line="240" w:lineRule="auto"/>
      </w:pPr>
      <w:r w:rsidRPr="00CA23AA">
        <w:t>There were substantial missing data (</w:t>
      </w:r>
      <w:proofErr w:type="gramStart"/>
      <w:r w:rsidRPr="00CA23AA">
        <w:t xml:space="preserve">only </w:t>
      </w:r>
      <w:r w:rsidR="00594907" w:rsidRPr="00186539">
        <w:rPr>
          <w:rFonts w:hint="eastAsia"/>
          <w:color w:val="000000"/>
          <w:w w:val="15"/>
          <w:shd w:val="solid" w:color="000000" w:fill="000000"/>
          <w:fitText w:val="30" w:id="-1161540092"/>
          <w14:textFill>
            <w14:solidFill>
              <w14:srgbClr w14:val="000000">
                <w14:alpha w14:val="100000"/>
              </w14:srgbClr>
            </w14:solidFill>
          </w14:textFill>
        </w:rPr>
        <w:t xml:space="preserve">　</w:t>
      </w:r>
      <w:r w:rsidR="00594907" w:rsidRPr="00186539">
        <w:rPr>
          <w:color w:val="000000"/>
          <w:w w:val="15"/>
          <w:shd w:val="solid" w:color="000000" w:fill="000000"/>
          <w:fitText w:val="30" w:id="-1161540092"/>
          <w14:textFill>
            <w14:solidFill>
              <w14:srgbClr w14:val="000000">
                <w14:alpha w14:val="100000"/>
              </w14:srgbClr>
            </w14:solidFill>
          </w14:textFill>
        </w:rPr>
        <w:t>|</w:t>
      </w:r>
      <w:proofErr w:type="gramEnd"/>
      <w:r w:rsidR="00594907" w:rsidRPr="00186539">
        <w:rPr>
          <w:rFonts w:hint="eastAsia"/>
          <w:color w:val="000000"/>
          <w:spacing w:val="-51"/>
          <w:w w:val="15"/>
          <w:shd w:val="solid" w:color="000000" w:fill="000000"/>
          <w:fitText w:val="30" w:id="-1161540092"/>
          <w14:textFill>
            <w14:solidFill>
              <w14:srgbClr w14:val="000000">
                <w14:alpha w14:val="100000"/>
              </w14:srgbClr>
            </w14:solidFill>
          </w14:textFill>
        </w:rPr>
        <w:t xml:space="preserve">　</w:t>
      </w:r>
      <w:r w:rsidRPr="00CA23AA">
        <w:t xml:space="preserve">% </w:t>
      </w:r>
      <w:r w:rsidR="00193198" w:rsidRPr="00CA23AA">
        <w:t xml:space="preserve">of patients </w:t>
      </w:r>
      <w:r w:rsidRPr="00CA23AA">
        <w:t>had follow-up data at 12 months).</w:t>
      </w:r>
    </w:p>
    <w:p w14:paraId="1A9366FC" w14:textId="77777777" w:rsidR="00C918CF" w:rsidRPr="00CA23AA" w:rsidRDefault="00C918CF" w:rsidP="00C918CF">
      <w:pPr>
        <w:pStyle w:val="ListParagraph"/>
        <w:numPr>
          <w:ilvl w:val="0"/>
          <w:numId w:val="29"/>
        </w:numPr>
        <w:spacing w:before="0" w:after="0" w:line="240" w:lineRule="auto"/>
      </w:pPr>
      <w:r w:rsidRPr="00CA23AA">
        <w:t>Safety data were only recorded for 100 days.</w:t>
      </w:r>
    </w:p>
    <w:p w14:paraId="23E2950F" w14:textId="6FC86DD4" w:rsidR="00C918CF" w:rsidRPr="00CA23AA" w:rsidRDefault="00C918CF" w:rsidP="00C918CF">
      <w:pPr>
        <w:pStyle w:val="ListParagraph"/>
        <w:numPr>
          <w:ilvl w:val="0"/>
          <w:numId w:val="29"/>
        </w:numPr>
        <w:spacing w:before="0" w:after="0" w:line="240" w:lineRule="auto"/>
      </w:pPr>
      <w:r w:rsidRPr="00CA23AA">
        <w:t xml:space="preserve">Efficacy data were confounded </w:t>
      </w:r>
      <w:proofErr w:type="gramStart"/>
      <w:r w:rsidRPr="00CA23AA">
        <w:t xml:space="preserve">because </w:t>
      </w:r>
      <w:r w:rsidR="00594907" w:rsidRPr="00186539">
        <w:rPr>
          <w:rFonts w:hint="eastAsia"/>
          <w:color w:val="000000"/>
          <w:w w:val="15"/>
          <w:shd w:val="solid" w:color="000000" w:fill="000000"/>
          <w:fitText w:val="30" w:id="-1161540091"/>
          <w14:textFill>
            <w14:solidFill>
              <w14:srgbClr w14:val="000000">
                <w14:alpha w14:val="100000"/>
              </w14:srgbClr>
            </w14:solidFill>
          </w14:textFill>
        </w:rPr>
        <w:t xml:space="preserve">　</w:t>
      </w:r>
      <w:r w:rsidR="00594907" w:rsidRPr="00186539">
        <w:rPr>
          <w:color w:val="000000"/>
          <w:w w:val="15"/>
          <w:shd w:val="solid" w:color="000000" w:fill="000000"/>
          <w:fitText w:val="30" w:id="-1161540091"/>
          <w14:textFill>
            <w14:solidFill>
              <w14:srgbClr w14:val="000000">
                <w14:alpha w14:val="100000"/>
              </w14:srgbClr>
            </w14:solidFill>
          </w14:textFill>
        </w:rPr>
        <w:t>|</w:t>
      </w:r>
      <w:proofErr w:type="gramEnd"/>
      <w:r w:rsidR="00594907" w:rsidRPr="00186539">
        <w:rPr>
          <w:rFonts w:hint="eastAsia"/>
          <w:color w:val="000000"/>
          <w:spacing w:val="-51"/>
          <w:w w:val="15"/>
          <w:shd w:val="solid" w:color="000000" w:fill="000000"/>
          <w:fitText w:val="30" w:id="-1161540091"/>
          <w14:textFill>
            <w14:solidFill>
              <w14:srgbClr w14:val="000000">
                <w14:alpha w14:val="100000"/>
              </w14:srgbClr>
            </w14:solidFill>
          </w14:textFill>
        </w:rPr>
        <w:t xml:space="preserve">　</w:t>
      </w:r>
      <w:r w:rsidRPr="00CA23AA">
        <w:t xml:space="preserve">% of patients were in remission at the time of </w:t>
      </w:r>
      <w:r w:rsidR="004F11B7" w:rsidRPr="00CA23AA">
        <w:t>infusion</w:t>
      </w:r>
      <w:r w:rsidRPr="00CA23AA">
        <w:t>, and many patients had multiple therapies (</w:t>
      </w:r>
      <w:r w:rsidR="002B0620" w:rsidRPr="00CA23AA">
        <w:t xml:space="preserve">including </w:t>
      </w:r>
      <w:proofErr w:type="spellStart"/>
      <w:r w:rsidRPr="00CA23AA">
        <w:t>aHSCT</w:t>
      </w:r>
      <w:proofErr w:type="spellEnd"/>
      <w:r w:rsidRPr="00CA23AA">
        <w:t>) within the follow-up timeframe.</w:t>
      </w:r>
    </w:p>
    <w:p w14:paraId="4B3AF130" w14:textId="6007C7E5" w:rsidR="00C918CF" w:rsidRPr="00CA23AA" w:rsidRDefault="00C918CF" w:rsidP="00C918CF">
      <w:pPr>
        <w:pStyle w:val="ListParagraph"/>
        <w:numPr>
          <w:ilvl w:val="0"/>
          <w:numId w:val="29"/>
        </w:numPr>
        <w:spacing w:before="0" w:after="0" w:line="240" w:lineRule="auto"/>
      </w:pPr>
      <w:r w:rsidRPr="00CA23AA">
        <w:t>Quality of life data were inadequate (</w:t>
      </w:r>
      <w:proofErr w:type="gramStart"/>
      <w:r w:rsidRPr="00CA23AA">
        <w:t xml:space="preserve">only </w:t>
      </w:r>
      <w:r w:rsidR="00594907" w:rsidRPr="00186539">
        <w:rPr>
          <w:rFonts w:hint="eastAsia"/>
          <w:color w:val="000000"/>
          <w:w w:val="15"/>
          <w:shd w:val="solid" w:color="000000" w:fill="000000"/>
          <w:fitText w:val="30" w:id="-1161540090"/>
          <w14:textFill>
            <w14:solidFill>
              <w14:srgbClr w14:val="000000">
                <w14:alpha w14:val="100000"/>
              </w14:srgbClr>
            </w14:solidFill>
          </w14:textFill>
        </w:rPr>
        <w:t xml:space="preserve">　</w:t>
      </w:r>
      <w:r w:rsidR="00594907" w:rsidRPr="00186539">
        <w:rPr>
          <w:color w:val="000000"/>
          <w:w w:val="15"/>
          <w:shd w:val="solid" w:color="000000" w:fill="000000"/>
          <w:fitText w:val="30" w:id="-1161540090"/>
          <w14:textFill>
            <w14:solidFill>
              <w14:srgbClr w14:val="000000">
                <w14:alpha w14:val="100000"/>
              </w14:srgbClr>
            </w14:solidFill>
          </w14:textFill>
        </w:rPr>
        <w:t>|</w:t>
      </w:r>
      <w:proofErr w:type="gramEnd"/>
      <w:r w:rsidR="00594907" w:rsidRPr="00186539">
        <w:rPr>
          <w:rFonts w:hint="eastAsia"/>
          <w:color w:val="000000"/>
          <w:spacing w:val="-51"/>
          <w:w w:val="15"/>
          <w:shd w:val="solid" w:color="000000" w:fill="000000"/>
          <w:fitText w:val="30" w:id="-1161540090"/>
          <w14:textFill>
            <w14:solidFill>
              <w14:srgbClr w14:val="000000">
                <w14:alpha w14:val="100000"/>
              </w14:srgbClr>
            </w14:solidFill>
          </w14:textFill>
        </w:rPr>
        <w:t xml:space="preserve">　</w:t>
      </w:r>
      <w:r w:rsidRPr="00CA23AA">
        <w:t xml:space="preserve">% recorded at 12 months). </w:t>
      </w:r>
    </w:p>
    <w:p w14:paraId="4DFC5B90" w14:textId="313C3720" w:rsidR="00C918CF" w:rsidRPr="00CA23AA" w:rsidRDefault="00C918CF" w:rsidP="00C918CF">
      <w:pPr>
        <w:pStyle w:val="ListParagraph"/>
        <w:numPr>
          <w:ilvl w:val="0"/>
          <w:numId w:val="32"/>
        </w:numPr>
        <w:spacing w:before="0" w:line="240" w:lineRule="auto"/>
      </w:pPr>
      <w:r w:rsidRPr="00CA23AA">
        <w:t>Comparison of state and ABMTRR data indicated that not all treatments were recorded on the ABMTRR</w:t>
      </w:r>
      <w:r w:rsidR="009F1164" w:rsidRPr="00CA23AA">
        <w:t xml:space="preserve"> (</w:t>
      </w:r>
      <w:proofErr w:type="gramStart"/>
      <w:r w:rsidR="009F1164" w:rsidRPr="00CA23AA">
        <w:t>e.g.</w:t>
      </w:r>
      <w:proofErr w:type="gramEnd"/>
      <w:r w:rsidR="009F1164" w:rsidRPr="00CA23AA">
        <w:t xml:space="preserve"> </w:t>
      </w:r>
      <w:r w:rsidR="005E792C" w:rsidRPr="00CA23AA">
        <w:t xml:space="preserve">the rate of </w:t>
      </w:r>
      <w:proofErr w:type="spellStart"/>
      <w:r w:rsidR="005E792C" w:rsidRPr="00CA23AA">
        <w:t>aHSCT</w:t>
      </w:r>
      <w:proofErr w:type="spellEnd"/>
      <w:r w:rsidR="005E792C" w:rsidRPr="00CA23AA">
        <w:t xml:space="preserve"> </w:t>
      </w:r>
      <w:r w:rsidR="00B25F22" w:rsidRPr="00CA23AA">
        <w:t xml:space="preserve">was </w:t>
      </w:r>
      <w:r w:rsidR="00594907" w:rsidRPr="00594907">
        <w:rPr>
          <w:color w:val="000000"/>
          <w:shd w:val="solid" w:color="000000" w:fill="000000"/>
          <w14:textFill>
            <w14:solidFill>
              <w14:srgbClr w14:val="000000">
                <w14:alpha w14:val="100000"/>
              </w14:srgbClr>
            </w14:solidFill>
          </w14:textFill>
        </w:rPr>
        <w:t>|</w:t>
      </w:r>
      <w:r w:rsidR="00B25F22" w:rsidRPr="00CA23AA">
        <w:t xml:space="preserve">% based on data </w:t>
      </w:r>
      <w:r w:rsidR="005E792C" w:rsidRPr="00CA23AA">
        <w:t>reported by the ABMTRR versus</w:t>
      </w:r>
      <w:r w:rsidR="00535242" w:rsidRPr="00CA23AA">
        <w:t xml:space="preserve"> </w:t>
      </w:r>
      <w:r w:rsidR="00005B49" w:rsidRPr="00CA23AA">
        <w:t xml:space="preserve">31% </w:t>
      </w:r>
      <w:r w:rsidR="00535242" w:rsidRPr="00CA23AA">
        <w:t>based on data from the states and territories)</w:t>
      </w:r>
      <w:r w:rsidR="008E2287" w:rsidRPr="00CA23AA">
        <w:t>.</w:t>
      </w:r>
    </w:p>
    <w:p w14:paraId="31DC6E7A" w14:textId="3CE58743" w:rsidR="000F5B49" w:rsidRPr="00CA23AA" w:rsidRDefault="00A90471" w:rsidP="00E24E78">
      <w:pPr>
        <w:spacing w:before="0" w:after="240" w:line="240" w:lineRule="auto"/>
      </w:pPr>
      <w:r w:rsidRPr="00CA23AA">
        <w:t xml:space="preserve">Overall, </w:t>
      </w:r>
      <w:r w:rsidR="00095AAB" w:rsidRPr="00CA23AA">
        <w:t>MSAC considered that</w:t>
      </w:r>
      <w:r w:rsidR="00B47E61" w:rsidRPr="00CA23AA">
        <w:t xml:space="preserve"> the available evid</w:t>
      </w:r>
      <w:r w:rsidR="00977278" w:rsidRPr="00CA23AA">
        <w:t>ence</w:t>
      </w:r>
      <w:r w:rsidR="00517489" w:rsidRPr="00CA23AA">
        <w:t xml:space="preserve"> did not address</w:t>
      </w:r>
      <w:r w:rsidR="00CA26C5" w:rsidRPr="00CA23AA">
        <w:t xml:space="preserve"> MSAC’s previous concerns </w:t>
      </w:r>
      <w:r w:rsidR="00095AAB" w:rsidRPr="00CA23AA">
        <w:t xml:space="preserve">regarding </w:t>
      </w:r>
      <w:r w:rsidR="00CA26C5" w:rsidRPr="00CA23AA">
        <w:t xml:space="preserve">the uncertainty of </w:t>
      </w:r>
      <w:r w:rsidR="00095AAB" w:rsidRPr="00CA23AA">
        <w:t xml:space="preserve">clinical outcomes of TIS treatment </w:t>
      </w:r>
      <w:r w:rsidR="00A67D58" w:rsidRPr="00CA23AA">
        <w:t xml:space="preserve">for </w:t>
      </w:r>
      <w:proofErr w:type="spellStart"/>
      <w:r w:rsidR="00A67D58" w:rsidRPr="00CA23AA">
        <w:t>pALL</w:t>
      </w:r>
      <w:proofErr w:type="spellEnd"/>
      <w:r w:rsidR="00A67D58" w:rsidRPr="00CA23AA">
        <w:t xml:space="preserve"> </w:t>
      </w:r>
      <w:r w:rsidR="00095AAB" w:rsidRPr="00CA23AA">
        <w:t xml:space="preserve">beyond 12 months. </w:t>
      </w:r>
      <w:r w:rsidR="0007730B" w:rsidRPr="00CA23AA">
        <w:t>As such</w:t>
      </w:r>
      <w:r w:rsidR="005A2882" w:rsidRPr="00CA23AA">
        <w:t>,</w:t>
      </w:r>
      <w:r w:rsidR="002812D1" w:rsidRPr="00CA23AA">
        <w:t xml:space="preserve"> uncertainty regarding the incremental effectiveness of TIS v</w:t>
      </w:r>
      <w:r w:rsidR="00C94551" w:rsidRPr="00CA23AA">
        <w:t>ersu</w:t>
      </w:r>
      <w:r w:rsidR="002812D1" w:rsidRPr="00CA23AA">
        <w:t xml:space="preserve">s </w:t>
      </w:r>
      <w:r w:rsidR="00C76CE9" w:rsidRPr="00CA23AA">
        <w:t>blinatumomab (</w:t>
      </w:r>
      <w:r w:rsidR="002812D1" w:rsidRPr="00CA23AA">
        <w:t>BLN</w:t>
      </w:r>
      <w:r w:rsidR="00C76CE9" w:rsidRPr="00CA23AA">
        <w:t>)</w:t>
      </w:r>
      <w:r w:rsidR="005B09C9" w:rsidRPr="00CA23AA">
        <w:t xml:space="preserve"> remained</w:t>
      </w:r>
      <w:r w:rsidR="002812D1" w:rsidRPr="00CA23AA">
        <w:t>, and new uncertainty ha</w:t>
      </w:r>
      <w:r w:rsidR="005B09C9" w:rsidRPr="00CA23AA">
        <w:t>d</w:t>
      </w:r>
      <w:r w:rsidR="002812D1" w:rsidRPr="00CA23AA">
        <w:t xml:space="preserve"> been introduced due to the confounding of survival outcomes </w:t>
      </w:r>
      <w:r w:rsidR="00F764C7" w:rsidRPr="00CA23AA">
        <w:t>due to patients</w:t>
      </w:r>
      <w:r w:rsidR="002812D1" w:rsidRPr="00CA23AA">
        <w:t xml:space="preserve"> receiving </w:t>
      </w:r>
      <w:r w:rsidR="00F764C7" w:rsidRPr="00CA23AA">
        <w:t xml:space="preserve">subsequent anti-cancer therapies </w:t>
      </w:r>
      <w:r w:rsidR="002812D1" w:rsidRPr="00CA23AA">
        <w:t xml:space="preserve">post-TIS treatment (including </w:t>
      </w:r>
      <w:r w:rsidR="001A1840" w:rsidRPr="00CA23AA">
        <w:t>additional doses of TIS and</w:t>
      </w:r>
      <w:r w:rsidR="002812D1" w:rsidRPr="00CA23AA">
        <w:t xml:space="preserve"> </w:t>
      </w:r>
      <w:proofErr w:type="spellStart"/>
      <w:r w:rsidR="002812D1" w:rsidRPr="00CA23AA">
        <w:t>aHSCT</w:t>
      </w:r>
      <w:proofErr w:type="spellEnd"/>
      <w:r w:rsidR="002812D1" w:rsidRPr="00CA23AA">
        <w:t>)</w:t>
      </w:r>
      <w:r w:rsidR="00F764C7" w:rsidRPr="00CA23AA">
        <w:t>.</w:t>
      </w:r>
      <w:r w:rsidR="00ED5B22" w:rsidRPr="00CA23AA">
        <w:t xml:space="preserve"> </w:t>
      </w:r>
      <w:r w:rsidR="7D2997FD" w:rsidRPr="00CA23AA">
        <w:t xml:space="preserve">MSAC </w:t>
      </w:r>
      <w:r w:rsidR="78713631" w:rsidRPr="00CA23AA">
        <w:t xml:space="preserve">noted </w:t>
      </w:r>
      <w:r w:rsidR="7D2997FD" w:rsidRPr="00CA23AA">
        <w:t xml:space="preserve">that it had previously raised the potential for TIS to be used as a bridge to </w:t>
      </w:r>
      <w:r w:rsidR="0C2FF89F" w:rsidRPr="00CA23AA">
        <w:t xml:space="preserve">transplant and considered this had been borne out by the data provided by the states and </w:t>
      </w:r>
      <w:r w:rsidR="217AB296" w:rsidRPr="00CA23AA">
        <w:t>territories</w:t>
      </w:r>
      <w:r w:rsidR="0C2FF89F" w:rsidRPr="00CA23AA">
        <w:t xml:space="preserve">, noting that </w:t>
      </w:r>
      <w:r w:rsidR="00107A87" w:rsidRPr="00CA23AA">
        <w:t>31</w:t>
      </w:r>
      <w:r w:rsidR="423A7B2E" w:rsidRPr="00CA23AA">
        <w:t xml:space="preserve">% of patients treated </w:t>
      </w:r>
      <w:r w:rsidR="00CA28D0" w:rsidRPr="00CA23AA">
        <w:t xml:space="preserve">with TIS </w:t>
      </w:r>
      <w:r w:rsidR="423A7B2E" w:rsidRPr="00CA23AA">
        <w:t xml:space="preserve">went on to receive </w:t>
      </w:r>
      <w:proofErr w:type="spellStart"/>
      <w:r w:rsidR="423A7B2E" w:rsidRPr="00CA23AA">
        <w:t>aHSCT</w:t>
      </w:r>
      <w:proofErr w:type="spellEnd"/>
      <w:r w:rsidR="423A7B2E" w:rsidRPr="00CA23AA">
        <w:t>.</w:t>
      </w:r>
    </w:p>
    <w:p w14:paraId="7C63C099" w14:textId="52749211" w:rsidR="00095AAB" w:rsidRPr="00CA23AA" w:rsidRDefault="00095AAB" w:rsidP="00095AAB">
      <w:pPr>
        <w:rPr>
          <w:iCs/>
        </w:rPr>
      </w:pPr>
      <w:r w:rsidRPr="00CA23AA">
        <w:t xml:space="preserve">Regarding the </w:t>
      </w:r>
      <w:r w:rsidRPr="00CA23AA">
        <w:rPr>
          <w:iCs/>
        </w:rPr>
        <w:t xml:space="preserve">cost-effectiveness of TIS treatment, MSAC noted the updates that had been made to the model to include updated trial and registry data. Both MSAC and the applicant accepted the </w:t>
      </w:r>
      <w:r w:rsidR="00C62BF5" w:rsidRPr="00CA23AA">
        <w:rPr>
          <w:iCs/>
        </w:rPr>
        <w:t xml:space="preserve">commentary’s </w:t>
      </w:r>
      <w:r w:rsidRPr="00CA23AA">
        <w:rPr>
          <w:iCs/>
        </w:rPr>
        <w:t xml:space="preserve">corrections to the ‘cure’ assumptions in the applicant’s model. MSAC noted that although costs to deliver TIS had been updated, the costs applied to later health states (progression-free survival and progressive disease) </w:t>
      </w:r>
      <w:r w:rsidR="00861D9E" w:rsidRPr="00CA23AA">
        <w:rPr>
          <w:iCs/>
        </w:rPr>
        <w:t xml:space="preserve">had </w:t>
      </w:r>
      <w:r w:rsidRPr="00CA23AA">
        <w:rPr>
          <w:iCs/>
        </w:rPr>
        <w:t xml:space="preserve">not been updated from the 2019 model. </w:t>
      </w:r>
      <w:r w:rsidR="009527B9" w:rsidRPr="00CA23AA">
        <w:t>MSAC</w:t>
      </w:r>
      <w:r w:rsidR="009527B9" w:rsidRPr="00CA23AA">
        <w:rPr>
          <w:iCs/>
        </w:rPr>
        <w:t xml:space="preserve"> considered that it was</w:t>
      </w:r>
      <w:r w:rsidRPr="00CA23AA">
        <w:rPr>
          <w:iCs/>
        </w:rPr>
        <w:t xml:space="preserve"> unclear whether these costs accurately reflect </w:t>
      </w:r>
      <w:r w:rsidR="00092BD1" w:rsidRPr="00CA23AA">
        <w:rPr>
          <w:iCs/>
        </w:rPr>
        <w:t xml:space="preserve">current </w:t>
      </w:r>
      <w:r w:rsidRPr="00CA23AA">
        <w:rPr>
          <w:iCs/>
        </w:rPr>
        <w:t xml:space="preserve">costs for salvage or support therapy. The comparator remained BLN </w:t>
      </w:r>
      <w:r w:rsidRPr="00CA23AA">
        <w:rPr>
          <w:iCs/>
          <w:lang w:val="it-IT"/>
        </w:rPr>
        <w:t>+/– aHSCT. MSAC noted that although a</w:t>
      </w:r>
      <w:r w:rsidR="00F72DB8" w:rsidRPr="00CA23AA">
        <w:rPr>
          <w:iCs/>
          <w:lang w:val="it-IT"/>
        </w:rPr>
        <w:t>n</w:t>
      </w:r>
      <w:r w:rsidRPr="00CA23AA">
        <w:rPr>
          <w:iCs/>
          <w:lang w:val="it-IT"/>
        </w:rPr>
        <w:t xml:space="preserve"> applicant-funded </w:t>
      </w:r>
      <w:r w:rsidRPr="00CA23AA">
        <w:rPr>
          <w:iCs/>
        </w:rPr>
        <w:t>match</w:t>
      </w:r>
      <w:r w:rsidR="00F72DB8" w:rsidRPr="00CA23AA">
        <w:rPr>
          <w:iCs/>
        </w:rPr>
        <w:t>ed</w:t>
      </w:r>
      <w:r w:rsidRPr="00CA23AA">
        <w:rPr>
          <w:iCs/>
        </w:rPr>
        <w:t>-adjusted indirect comparison</w:t>
      </w:r>
      <w:r w:rsidRPr="00CA23AA">
        <w:rPr>
          <w:rStyle w:val="FootnoteReference"/>
          <w:iCs/>
        </w:rPr>
        <w:footnoteReference w:id="3"/>
      </w:r>
      <w:r w:rsidRPr="00CA23AA">
        <w:rPr>
          <w:iCs/>
          <w:vertAlign w:val="superscript"/>
        </w:rPr>
        <w:t>5</w:t>
      </w:r>
      <w:r w:rsidRPr="00CA23AA">
        <w:rPr>
          <w:iCs/>
        </w:rPr>
        <w:t xml:space="preserve"> has been published, the evidence used for the comparator in the model was from a phase I/II trial and was not updated. This made it difficult to compare the outcomes from TIS to BLN. Recent evidence</w:t>
      </w:r>
      <w:r w:rsidRPr="00CA23AA">
        <w:rPr>
          <w:iCs/>
          <w:vertAlign w:val="superscript"/>
        </w:rPr>
        <w:t>16,17</w:t>
      </w:r>
      <w:r w:rsidRPr="00CA23AA">
        <w:rPr>
          <w:iCs/>
          <w:noProof/>
          <w:vertAlign w:val="superscript"/>
        </w:rPr>
        <w:t xml:space="preserve"> </w:t>
      </w:r>
      <w:r w:rsidRPr="00CA23AA">
        <w:rPr>
          <w:iCs/>
        </w:rPr>
        <w:t xml:space="preserve">indicates that BLN may provide better outcomes and </w:t>
      </w:r>
      <w:r w:rsidR="00F35073" w:rsidRPr="00CA23AA">
        <w:rPr>
          <w:iCs/>
        </w:rPr>
        <w:t xml:space="preserve">be associated with </w:t>
      </w:r>
      <w:r w:rsidRPr="00CA23AA">
        <w:rPr>
          <w:iCs/>
        </w:rPr>
        <w:t xml:space="preserve">higher </w:t>
      </w:r>
      <w:proofErr w:type="spellStart"/>
      <w:r w:rsidRPr="00CA23AA">
        <w:rPr>
          <w:iCs/>
        </w:rPr>
        <w:t>aHSCT</w:t>
      </w:r>
      <w:proofErr w:type="spellEnd"/>
      <w:r w:rsidRPr="00CA23AA">
        <w:rPr>
          <w:iCs/>
        </w:rPr>
        <w:t xml:space="preserve"> rates than were used in the economic model. MSAC considered that the economic model had overestimated the benefits of TIS and underestimated the benefits of BLN. </w:t>
      </w:r>
    </w:p>
    <w:p w14:paraId="19E0A47F" w14:textId="57586DD9" w:rsidR="00095AAB" w:rsidRPr="00CA23AA" w:rsidRDefault="00095AAB" w:rsidP="00095AAB">
      <w:pPr>
        <w:rPr>
          <w:iCs/>
        </w:rPr>
      </w:pPr>
      <w:r w:rsidRPr="00CA23AA">
        <w:rPr>
          <w:iCs/>
        </w:rPr>
        <w:t>A comparison of the costs estimated in the 2019 ADAR with the actual costs incurred by the states showed that real-world costs to deliver the program (excluding the TIS product cost) are higher on average than expected</w:t>
      </w:r>
      <w:r w:rsidR="006427D3" w:rsidRPr="00CA23AA">
        <w:rPr>
          <w:iCs/>
        </w:rPr>
        <w:t>. The</w:t>
      </w:r>
      <w:r w:rsidRPr="00CA23AA" w:rsidDel="006427D3">
        <w:rPr>
          <w:iCs/>
        </w:rPr>
        <w:t xml:space="preserve"> </w:t>
      </w:r>
      <w:r w:rsidR="009B4080" w:rsidRPr="00CA23AA">
        <w:rPr>
          <w:iCs/>
        </w:rPr>
        <w:t>co</w:t>
      </w:r>
      <w:r w:rsidR="006427D3" w:rsidRPr="00CA23AA">
        <w:rPr>
          <w:iCs/>
        </w:rPr>
        <w:t>sts per TIS treatment were estimated as $</w:t>
      </w:r>
      <w:r w:rsidR="00594907" w:rsidRPr="00483F64">
        <w:rPr>
          <w:iCs/>
          <w:color w:val="000000"/>
          <w:spacing w:val="37"/>
          <w:w w:val="61"/>
          <w:shd w:val="solid" w:color="000000" w:fill="000000"/>
          <w:fitText w:val="380" w:id="-1161540089"/>
          <w14:textFill>
            <w14:solidFill>
              <w14:srgbClr w14:val="000000">
                <w14:alpha w14:val="100000"/>
              </w14:srgbClr>
            </w14:solidFill>
          </w14:textFill>
        </w:rPr>
        <w:t>|||</w:t>
      </w:r>
      <w:r w:rsidR="00594907" w:rsidRPr="00483F64">
        <w:rPr>
          <w:iCs/>
          <w:color w:val="000000"/>
          <w:spacing w:val="1"/>
          <w:w w:val="61"/>
          <w:shd w:val="solid" w:color="000000" w:fill="000000"/>
          <w:fitText w:val="380" w:id="-1161540089"/>
          <w14:textFill>
            <w14:solidFill>
              <w14:srgbClr w14:val="000000">
                <w14:alpha w14:val="100000"/>
              </w14:srgbClr>
            </w14:solidFill>
          </w14:textFill>
        </w:rPr>
        <w:t>|</w:t>
      </w:r>
      <w:r w:rsidR="006427D3" w:rsidRPr="00CA23AA">
        <w:rPr>
          <w:iCs/>
        </w:rPr>
        <w:t xml:space="preserve"> per </w:t>
      </w:r>
      <w:r w:rsidRPr="00CA23AA" w:rsidDel="006427D3">
        <w:rPr>
          <w:iCs/>
        </w:rPr>
        <w:t>patient</w:t>
      </w:r>
      <w:r w:rsidRPr="00CA23AA">
        <w:rPr>
          <w:iCs/>
        </w:rPr>
        <w:t xml:space="preserve">, but </w:t>
      </w:r>
      <w:r w:rsidR="00002F2E" w:rsidRPr="00CA23AA">
        <w:rPr>
          <w:iCs/>
        </w:rPr>
        <w:t>NSW</w:t>
      </w:r>
      <w:r w:rsidRPr="00CA23AA">
        <w:rPr>
          <w:iCs/>
        </w:rPr>
        <w:t xml:space="preserve"> reported an average of around $</w:t>
      </w:r>
      <w:r w:rsidR="00594907" w:rsidRPr="00483F64">
        <w:rPr>
          <w:iCs/>
          <w:color w:val="000000"/>
          <w:spacing w:val="37"/>
          <w:w w:val="63"/>
          <w:shd w:val="solid" w:color="000000" w:fill="000000"/>
          <w:fitText w:val="390" w:id="-1161540088"/>
          <w14:textFill>
            <w14:solidFill>
              <w14:srgbClr w14:val="000000">
                <w14:alpha w14:val="100000"/>
              </w14:srgbClr>
            </w14:solidFill>
          </w14:textFill>
        </w:rPr>
        <w:t>|||</w:t>
      </w:r>
      <w:r w:rsidR="00594907" w:rsidRPr="00483F64">
        <w:rPr>
          <w:iCs/>
          <w:color w:val="000000"/>
          <w:spacing w:val="3"/>
          <w:w w:val="63"/>
          <w:shd w:val="solid" w:color="000000" w:fill="000000"/>
          <w:fitText w:val="390" w:id="-1161540088"/>
          <w14:textFill>
            <w14:solidFill>
              <w14:srgbClr w14:val="000000">
                <w14:alpha w14:val="100000"/>
              </w14:srgbClr>
            </w14:solidFill>
          </w14:textFill>
        </w:rPr>
        <w:t>|</w:t>
      </w:r>
      <w:r w:rsidRPr="00CA23AA">
        <w:rPr>
          <w:iCs/>
        </w:rPr>
        <w:t xml:space="preserve"> (range of $</w:t>
      </w:r>
      <w:r w:rsidR="00594907" w:rsidRPr="00483F64">
        <w:rPr>
          <w:color w:val="000000"/>
          <w:spacing w:val="37"/>
          <w:w w:val="63"/>
          <w:shd w:val="solid" w:color="000000" w:fill="000000"/>
          <w:fitText w:val="390" w:id="-1161540087"/>
          <w14:textFill>
            <w14:solidFill>
              <w14:srgbClr w14:val="000000">
                <w14:alpha w14:val="100000"/>
              </w14:srgbClr>
            </w14:solidFill>
          </w14:textFill>
        </w:rPr>
        <w:t>|||</w:t>
      </w:r>
      <w:r w:rsidR="00594907" w:rsidRPr="00483F64">
        <w:rPr>
          <w:color w:val="000000"/>
          <w:spacing w:val="3"/>
          <w:w w:val="63"/>
          <w:shd w:val="solid" w:color="000000" w:fill="000000"/>
          <w:fitText w:val="390" w:id="-1161540087"/>
          <w14:textFill>
            <w14:solidFill>
              <w14:srgbClr w14:val="000000">
                <w14:alpha w14:val="100000"/>
              </w14:srgbClr>
            </w14:solidFill>
          </w14:textFill>
        </w:rPr>
        <w:t>|</w:t>
      </w:r>
      <w:r w:rsidR="005852B6" w:rsidRPr="00CA23AA">
        <w:t xml:space="preserve"> </w:t>
      </w:r>
      <w:r w:rsidRPr="00CA23AA">
        <w:rPr>
          <w:iCs/>
        </w:rPr>
        <w:t>to $</w:t>
      </w:r>
      <w:r w:rsidR="00594907" w:rsidRPr="00483F64">
        <w:rPr>
          <w:iCs/>
          <w:color w:val="000000"/>
          <w:spacing w:val="37"/>
          <w:w w:val="63"/>
          <w:shd w:val="solid" w:color="000000" w:fill="000000"/>
          <w:fitText w:val="390" w:id="-1161540086"/>
          <w14:textFill>
            <w14:solidFill>
              <w14:srgbClr w14:val="000000">
                <w14:alpha w14:val="100000"/>
              </w14:srgbClr>
            </w14:solidFill>
          </w14:textFill>
        </w:rPr>
        <w:t>|||</w:t>
      </w:r>
      <w:r w:rsidR="00594907" w:rsidRPr="00483F64">
        <w:rPr>
          <w:iCs/>
          <w:color w:val="000000"/>
          <w:spacing w:val="3"/>
          <w:w w:val="63"/>
          <w:shd w:val="solid" w:color="000000" w:fill="000000"/>
          <w:fitText w:val="390" w:id="-1161540086"/>
          <w14:textFill>
            <w14:solidFill>
              <w14:srgbClr w14:val="000000">
                <w14:alpha w14:val="100000"/>
              </w14:srgbClr>
            </w14:solidFill>
          </w14:textFill>
        </w:rPr>
        <w:t>|</w:t>
      </w:r>
      <w:r w:rsidRPr="00CA23AA">
        <w:rPr>
          <w:iCs/>
        </w:rPr>
        <w:t xml:space="preserve">). This includes costs such as infusion admission, inpatient and outpatient costs, and program costs. </w:t>
      </w:r>
    </w:p>
    <w:p w14:paraId="5A1359CD" w14:textId="45DCF05E" w:rsidR="00095AAB" w:rsidRPr="00CA23AA" w:rsidRDefault="00095AAB" w:rsidP="00095AAB">
      <w:pPr>
        <w:rPr>
          <w:iCs/>
        </w:rPr>
      </w:pPr>
      <w:r w:rsidRPr="00CA23AA">
        <w:rPr>
          <w:iCs/>
        </w:rPr>
        <w:t xml:space="preserve">MSAC noted that the updated cost per quality-adjusted life year (QALY) with technical corrections applied was calculated as </w:t>
      </w:r>
      <w:r w:rsidRPr="00CA23AA" w:rsidDel="007160B2">
        <w:rPr>
          <w:iCs/>
        </w:rPr>
        <w:t>$</w:t>
      </w:r>
      <w:r w:rsidR="00594907" w:rsidRPr="00483F64">
        <w:rPr>
          <w:iCs/>
          <w:color w:val="000000"/>
          <w:spacing w:val="37"/>
          <w:w w:val="63"/>
          <w:shd w:val="solid" w:color="000000" w:fill="000000"/>
          <w:fitText w:val="390" w:id="-1161540085"/>
          <w14:textFill>
            <w14:solidFill>
              <w14:srgbClr w14:val="000000">
                <w14:alpha w14:val="100000"/>
              </w14:srgbClr>
            </w14:solidFill>
          </w14:textFill>
        </w:rPr>
        <w:t>|||</w:t>
      </w:r>
      <w:r w:rsidR="00594907" w:rsidRPr="00483F64">
        <w:rPr>
          <w:iCs/>
          <w:color w:val="000000"/>
          <w:spacing w:val="3"/>
          <w:w w:val="63"/>
          <w:shd w:val="solid" w:color="000000" w:fill="000000"/>
          <w:fitText w:val="390" w:id="-1161540085"/>
          <w14:textFill>
            <w14:solidFill>
              <w14:srgbClr w14:val="000000">
                <w14:alpha w14:val="100000"/>
              </w14:srgbClr>
            </w14:solidFill>
          </w14:textFill>
        </w:rPr>
        <w:t>|</w:t>
      </w:r>
      <w:r w:rsidR="007160B2" w:rsidRPr="00CA23AA">
        <w:rPr>
          <w:iCs/>
        </w:rPr>
        <w:t>but</w:t>
      </w:r>
      <w:r w:rsidRPr="00CA23AA">
        <w:rPr>
          <w:iCs/>
        </w:rPr>
        <w:t xml:space="preserve"> </w:t>
      </w:r>
      <w:r w:rsidR="002A1E31" w:rsidRPr="00CA23AA">
        <w:rPr>
          <w:iCs/>
        </w:rPr>
        <w:t>increased to over $</w:t>
      </w:r>
      <w:r w:rsidR="00594907" w:rsidRPr="00483F64">
        <w:rPr>
          <w:iCs/>
          <w:color w:val="000000"/>
          <w:spacing w:val="37"/>
          <w:w w:val="63"/>
          <w:shd w:val="solid" w:color="000000" w:fill="000000"/>
          <w:fitText w:val="390" w:id="-1161540084"/>
          <w14:textFill>
            <w14:solidFill>
              <w14:srgbClr w14:val="000000">
                <w14:alpha w14:val="100000"/>
              </w14:srgbClr>
            </w14:solidFill>
          </w14:textFill>
        </w:rPr>
        <w:t>|||</w:t>
      </w:r>
      <w:r w:rsidR="00594907" w:rsidRPr="00483F64">
        <w:rPr>
          <w:iCs/>
          <w:color w:val="000000"/>
          <w:spacing w:val="3"/>
          <w:w w:val="63"/>
          <w:shd w:val="solid" w:color="000000" w:fill="000000"/>
          <w:fitText w:val="390" w:id="-1161540084"/>
          <w14:textFill>
            <w14:solidFill>
              <w14:srgbClr w14:val="000000">
                <w14:alpha w14:val="100000"/>
              </w14:srgbClr>
            </w14:solidFill>
          </w14:textFill>
        </w:rPr>
        <w:t>|</w:t>
      </w:r>
      <w:r w:rsidR="002A1E31" w:rsidRPr="00CA23AA">
        <w:rPr>
          <w:iCs/>
        </w:rPr>
        <w:t xml:space="preserve">per QALY when </w:t>
      </w:r>
      <w:r w:rsidR="00F27BE0" w:rsidRPr="00CA23AA">
        <w:rPr>
          <w:iCs/>
        </w:rPr>
        <w:t xml:space="preserve">the real-world costs of </w:t>
      </w:r>
      <w:r w:rsidR="001D035D" w:rsidRPr="00CA23AA">
        <w:rPr>
          <w:iCs/>
        </w:rPr>
        <w:t xml:space="preserve">providing TIS (provided by </w:t>
      </w:r>
      <w:r w:rsidR="00C62BF5" w:rsidRPr="00CA23AA">
        <w:rPr>
          <w:iCs/>
        </w:rPr>
        <w:t>public hospitals</w:t>
      </w:r>
      <w:r w:rsidR="001D035D" w:rsidRPr="00CA23AA">
        <w:rPr>
          <w:iCs/>
        </w:rPr>
        <w:t>) were included.</w:t>
      </w:r>
      <w:r w:rsidR="00EC0D18" w:rsidRPr="00CA23AA">
        <w:rPr>
          <w:iCs/>
        </w:rPr>
        <w:t xml:space="preserve"> </w:t>
      </w:r>
      <w:r w:rsidR="00E53B8B" w:rsidRPr="00CA23AA">
        <w:rPr>
          <w:iCs/>
        </w:rPr>
        <w:t xml:space="preserve">MSAC recalled that its previous support for funding TIS for </w:t>
      </w:r>
      <w:proofErr w:type="spellStart"/>
      <w:r w:rsidR="00E53B8B" w:rsidRPr="00CA23AA">
        <w:rPr>
          <w:iCs/>
        </w:rPr>
        <w:t>pALL</w:t>
      </w:r>
      <w:proofErr w:type="spellEnd"/>
      <w:r w:rsidR="00E53B8B" w:rsidRPr="00CA23AA">
        <w:rPr>
          <w:iCs/>
        </w:rPr>
        <w:t xml:space="preserve"> was based on an ICER of $</w:t>
      </w:r>
      <w:r w:rsidR="00594907" w:rsidRPr="00483F64">
        <w:rPr>
          <w:iCs/>
          <w:color w:val="000000"/>
          <w:spacing w:val="37"/>
          <w:w w:val="63"/>
          <w:shd w:val="solid" w:color="000000" w:fill="000000"/>
          <w:fitText w:val="390" w:id="-1161540083"/>
          <w14:textFill>
            <w14:solidFill>
              <w14:srgbClr w14:val="000000">
                <w14:alpha w14:val="100000"/>
              </w14:srgbClr>
            </w14:solidFill>
          </w14:textFill>
        </w:rPr>
        <w:t>|||</w:t>
      </w:r>
      <w:r w:rsidR="00594907" w:rsidRPr="00483F64">
        <w:rPr>
          <w:iCs/>
          <w:color w:val="000000"/>
          <w:spacing w:val="3"/>
          <w:w w:val="63"/>
          <w:shd w:val="solid" w:color="000000" w:fill="000000"/>
          <w:fitText w:val="390" w:id="-1161540083"/>
          <w14:textFill>
            <w14:solidFill>
              <w14:srgbClr w14:val="000000">
                <w14:alpha w14:val="100000"/>
              </w14:srgbClr>
            </w14:solidFill>
          </w14:textFill>
        </w:rPr>
        <w:t>|</w:t>
      </w:r>
      <w:r w:rsidR="00E53B8B" w:rsidRPr="00CA23AA">
        <w:rPr>
          <w:iCs/>
        </w:rPr>
        <w:t xml:space="preserve">per QALY and to maintain this using the commentary respecified model, the price of TIS would need to be </w:t>
      </w:r>
      <w:r w:rsidR="005E1E6A" w:rsidRPr="00CA23AA">
        <w:rPr>
          <w:iCs/>
        </w:rPr>
        <w:t xml:space="preserve">reduced to </w:t>
      </w:r>
      <w:r w:rsidR="00E53B8B" w:rsidRPr="00CA23AA">
        <w:rPr>
          <w:iCs/>
        </w:rPr>
        <w:t>$</w:t>
      </w:r>
      <w:r w:rsidR="00594907" w:rsidRPr="00483F64">
        <w:rPr>
          <w:iCs/>
          <w:color w:val="000000"/>
          <w:spacing w:val="37"/>
          <w:w w:val="63"/>
          <w:shd w:val="solid" w:color="000000" w:fill="000000"/>
          <w:fitText w:val="390" w:id="-1161540082"/>
          <w14:textFill>
            <w14:solidFill>
              <w14:srgbClr w14:val="000000">
                <w14:alpha w14:val="100000"/>
              </w14:srgbClr>
            </w14:solidFill>
          </w14:textFill>
        </w:rPr>
        <w:t>|||</w:t>
      </w:r>
      <w:r w:rsidR="00594907" w:rsidRPr="00483F64">
        <w:rPr>
          <w:iCs/>
          <w:color w:val="000000"/>
          <w:spacing w:val="3"/>
          <w:w w:val="63"/>
          <w:shd w:val="solid" w:color="000000" w:fill="000000"/>
          <w:fitText w:val="390" w:id="-1161540082"/>
          <w14:textFill>
            <w14:solidFill>
              <w14:srgbClr w14:val="000000">
                <w14:alpha w14:val="100000"/>
              </w14:srgbClr>
            </w14:solidFill>
          </w14:textFill>
        </w:rPr>
        <w:t>|</w:t>
      </w:r>
      <w:r w:rsidR="00E53B8B" w:rsidRPr="00CA23AA">
        <w:rPr>
          <w:iCs/>
        </w:rPr>
        <w:t>.</w:t>
      </w:r>
      <w:r w:rsidR="005E1E6A" w:rsidRPr="00CA23AA">
        <w:rPr>
          <w:iCs/>
        </w:rPr>
        <w:t xml:space="preserve"> </w:t>
      </w:r>
      <w:r w:rsidRPr="00CA23AA">
        <w:rPr>
          <w:iCs/>
        </w:rPr>
        <w:t xml:space="preserve">MSAC considered the respecified ICERs were still uncertain due to an implausible extrapolation of overall survival (OS) for TIS, incomplete cost data, and no updated cost or effectiveness data for BLN. MSAC noted that the ICER is sensitive to non-TIS costs and the percentage of patients receiving </w:t>
      </w:r>
      <w:proofErr w:type="spellStart"/>
      <w:r w:rsidRPr="00CA23AA">
        <w:rPr>
          <w:iCs/>
        </w:rPr>
        <w:t>aHSCT</w:t>
      </w:r>
      <w:proofErr w:type="spellEnd"/>
      <w:r w:rsidRPr="00CA23AA">
        <w:rPr>
          <w:iCs/>
        </w:rPr>
        <w:t>, which underscores the importance of continuing to collect data on these parameters.</w:t>
      </w:r>
      <w:r w:rsidR="00884CEC" w:rsidRPr="00CA23AA">
        <w:rPr>
          <w:iCs/>
        </w:rPr>
        <w:t xml:space="preserve"> </w:t>
      </w:r>
    </w:p>
    <w:p w14:paraId="117E3396" w14:textId="6B208898" w:rsidR="00697061" w:rsidRPr="00CA23AA" w:rsidRDefault="00095AAB" w:rsidP="00697061">
      <w:pPr>
        <w:pStyle w:val="NoSpacing"/>
      </w:pPr>
      <w:r w:rsidRPr="00CA23AA">
        <w:rPr>
          <w:iCs/>
        </w:rPr>
        <w:t xml:space="preserve">Regarding the financial costs of the treatment, MSAC noted that the total financial impact was close to the level expected, but this was due to fewer patients being treated at a higher cost per patient. </w:t>
      </w:r>
      <w:r w:rsidR="0043799B" w:rsidRPr="00CA23AA">
        <w:t>MSAC recalled that it had previously raised uncertainty in the number of patients who w</w:t>
      </w:r>
      <w:r w:rsidR="668EC40D" w:rsidRPr="00CA23AA">
        <w:t>ould be</w:t>
      </w:r>
      <w:r w:rsidR="0043799B" w:rsidRPr="00CA23AA">
        <w:t xml:space="preserve"> selected for treatment, and the number of patients who </w:t>
      </w:r>
      <w:r w:rsidR="009E5402" w:rsidRPr="00CA23AA">
        <w:t xml:space="preserve">would </w:t>
      </w:r>
      <w:r w:rsidR="0043799B" w:rsidRPr="00CA23AA">
        <w:t xml:space="preserve">ultimately receive treatment (MSAC 1519 PSD, </w:t>
      </w:r>
      <w:proofErr w:type="spellStart"/>
      <w:r w:rsidR="0043799B" w:rsidRPr="00CA23AA">
        <w:t>pg</w:t>
      </w:r>
      <w:proofErr w:type="spellEnd"/>
      <w:r w:rsidR="0043799B" w:rsidRPr="00CA23AA">
        <w:t xml:space="preserve"> 3). </w:t>
      </w:r>
      <w:r w:rsidR="00697061" w:rsidRPr="00CA23AA">
        <w:t xml:space="preserve">MSAC noted that </w:t>
      </w:r>
      <w:r w:rsidR="0043799B" w:rsidRPr="00CA23AA">
        <w:t xml:space="preserve">the actual </w:t>
      </w:r>
      <w:r w:rsidR="00697061" w:rsidRPr="00CA23AA">
        <w:t xml:space="preserve">utilisation had been lower than </w:t>
      </w:r>
      <w:r w:rsidR="0043799B" w:rsidRPr="00CA23AA">
        <w:t>originally predicted</w:t>
      </w:r>
      <w:r w:rsidR="00FC2671" w:rsidRPr="00CA23AA">
        <w:t>. That is,</w:t>
      </w:r>
      <w:r w:rsidR="00697061" w:rsidRPr="00CA23AA">
        <w:t xml:space="preserve"> in Year 1, </w:t>
      </w:r>
      <w:r w:rsidR="004A710A">
        <w:t>&lt;100</w:t>
      </w:r>
      <w:r w:rsidR="00697061" w:rsidRPr="00CA23AA">
        <w:t xml:space="preserve"> patients had undergone TIS treatment compared with an expected </w:t>
      </w:r>
      <w:r w:rsidR="00594907" w:rsidRPr="00483F64">
        <w:rPr>
          <w:color w:val="000000"/>
          <w:spacing w:val="37"/>
          <w:w w:val="61"/>
          <w:shd w:val="solid" w:color="000000" w:fill="000000"/>
          <w:fitText w:val="380" w:id="-1161540081"/>
          <w14:textFill>
            <w14:solidFill>
              <w14:srgbClr w14:val="000000">
                <w14:alpha w14:val="100000"/>
              </w14:srgbClr>
            </w14:solidFill>
          </w14:textFill>
        </w:rPr>
        <w:t>|||</w:t>
      </w:r>
      <w:r w:rsidR="00594907" w:rsidRPr="00483F64">
        <w:rPr>
          <w:color w:val="000000"/>
          <w:spacing w:val="1"/>
          <w:w w:val="61"/>
          <w:shd w:val="solid" w:color="000000" w:fill="000000"/>
          <w:fitText w:val="380" w:id="-1161540081"/>
          <w14:textFill>
            <w14:solidFill>
              <w14:srgbClr w14:val="000000">
                <w14:alpha w14:val="100000"/>
              </w14:srgbClr>
            </w14:solidFill>
          </w14:textFill>
        </w:rPr>
        <w:t>|</w:t>
      </w:r>
      <w:r w:rsidR="00697061" w:rsidRPr="00CA23AA">
        <w:t xml:space="preserve">; in Year 2, the numbers were </w:t>
      </w:r>
      <w:r w:rsidR="004A710A">
        <w:t>&lt;100</w:t>
      </w:r>
      <w:r w:rsidR="00697061" w:rsidRPr="00CA23AA">
        <w:t xml:space="preserve"> versus </w:t>
      </w:r>
      <w:r w:rsidR="00594907" w:rsidRPr="00483F64">
        <w:rPr>
          <w:color w:val="000000"/>
          <w:spacing w:val="37"/>
          <w:w w:val="61"/>
          <w:shd w:val="solid" w:color="000000" w:fill="000000"/>
          <w:fitText w:val="380" w:id="-1161540080"/>
          <w14:textFill>
            <w14:solidFill>
              <w14:srgbClr w14:val="000000">
                <w14:alpha w14:val="100000"/>
              </w14:srgbClr>
            </w14:solidFill>
          </w14:textFill>
        </w:rPr>
        <w:t>|||</w:t>
      </w:r>
      <w:r w:rsidR="00594907" w:rsidRPr="00483F64">
        <w:rPr>
          <w:color w:val="000000"/>
          <w:spacing w:val="1"/>
          <w:w w:val="61"/>
          <w:shd w:val="solid" w:color="000000" w:fill="000000"/>
          <w:fitText w:val="380" w:id="-1161540080"/>
          <w14:textFill>
            <w14:solidFill>
              <w14:srgbClr w14:val="000000">
                <w14:alpha w14:val="100000"/>
              </w14:srgbClr>
            </w14:solidFill>
          </w14:textFill>
        </w:rPr>
        <w:t>|</w:t>
      </w:r>
      <w:r w:rsidR="00697061" w:rsidRPr="00CA23AA">
        <w:t xml:space="preserve">; and in Year 3, the numbers were </w:t>
      </w:r>
      <w:r w:rsidR="004A710A">
        <w:t>&lt;100</w:t>
      </w:r>
      <w:r w:rsidR="00697061" w:rsidRPr="00CA23AA">
        <w:t xml:space="preserve"> versus </w:t>
      </w:r>
      <w:r w:rsidR="00594907" w:rsidRPr="00483F64">
        <w:rPr>
          <w:color w:val="000000"/>
          <w:spacing w:val="37"/>
          <w:w w:val="61"/>
          <w:shd w:val="solid" w:color="000000" w:fill="000000"/>
          <w:fitText w:val="380" w:id="-1161540096"/>
          <w14:textFill>
            <w14:solidFill>
              <w14:srgbClr w14:val="000000">
                <w14:alpha w14:val="100000"/>
              </w14:srgbClr>
            </w14:solidFill>
          </w14:textFill>
        </w:rPr>
        <w:t>|||</w:t>
      </w:r>
      <w:r w:rsidR="00594907" w:rsidRPr="00483F64">
        <w:rPr>
          <w:color w:val="000000"/>
          <w:spacing w:val="1"/>
          <w:w w:val="61"/>
          <w:shd w:val="solid" w:color="000000" w:fill="000000"/>
          <w:fitText w:val="380" w:id="-1161540096"/>
          <w14:textFill>
            <w14:solidFill>
              <w14:srgbClr w14:val="000000">
                <w14:alpha w14:val="100000"/>
              </w14:srgbClr>
            </w14:solidFill>
          </w14:textFill>
        </w:rPr>
        <w:t>|</w:t>
      </w:r>
      <w:r w:rsidR="00697061" w:rsidRPr="00CA23AA">
        <w:t>. Possible reasons may include:</w:t>
      </w:r>
    </w:p>
    <w:p w14:paraId="318DABAE" w14:textId="77777777" w:rsidR="00697061" w:rsidRPr="00CA23AA" w:rsidRDefault="00697061" w:rsidP="00697061">
      <w:pPr>
        <w:pStyle w:val="ListParagraph"/>
        <w:numPr>
          <w:ilvl w:val="0"/>
          <w:numId w:val="29"/>
        </w:numPr>
        <w:spacing w:before="0" w:after="0" w:line="240" w:lineRule="auto"/>
      </w:pPr>
      <w:r w:rsidRPr="00CA23AA">
        <w:t>the COVID-19 pandemic and its impact on health care delivery, border closures and supply chain disruptions</w:t>
      </w:r>
    </w:p>
    <w:p w14:paraId="22FFEFCE" w14:textId="677E0775" w:rsidR="00697061" w:rsidRPr="00CA23AA" w:rsidRDefault="00697061" w:rsidP="00697061">
      <w:pPr>
        <w:pStyle w:val="ListParagraph"/>
        <w:numPr>
          <w:ilvl w:val="0"/>
          <w:numId w:val="29"/>
        </w:numPr>
        <w:spacing w:before="0" w:after="0" w:line="240" w:lineRule="auto"/>
      </w:pPr>
      <w:r w:rsidRPr="00CA23AA">
        <w:t>implementation issues</w:t>
      </w:r>
      <w:r w:rsidR="00972A63" w:rsidRPr="00CA23AA">
        <w:t xml:space="preserve"> including:</w:t>
      </w:r>
    </w:p>
    <w:p w14:paraId="4F9F7126" w14:textId="30C61458" w:rsidR="00697061" w:rsidRPr="00CA23AA" w:rsidRDefault="007C0882" w:rsidP="009E1802">
      <w:pPr>
        <w:pStyle w:val="ListParagraph"/>
        <w:numPr>
          <w:ilvl w:val="1"/>
          <w:numId w:val="29"/>
        </w:numPr>
        <w:spacing w:before="0" w:after="0" w:line="240" w:lineRule="auto"/>
      </w:pPr>
      <w:r w:rsidRPr="00CA23AA">
        <w:t xml:space="preserve">limited </w:t>
      </w:r>
      <w:r w:rsidR="00697061" w:rsidRPr="00CA23AA">
        <w:t xml:space="preserve">clinician confidence in the therapy as it was first in </w:t>
      </w:r>
      <w:proofErr w:type="gramStart"/>
      <w:r w:rsidR="00697061" w:rsidRPr="00CA23AA">
        <w:t>class</w:t>
      </w:r>
      <w:proofErr w:type="gramEnd"/>
    </w:p>
    <w:p w14:paraId="32C4AB4D" w14:textId="77777777" w:rsidR="00697061" w:rsidRPr="00CA23AA" w:rsidRDefault="00697061" w:rsidP="009E1802">
      <w:pPr>
        <w:pStyle w:val="ListParagraph"/>
        <w:numPr>
          <w:ilvl w:val="1"/>
          <w:numId w:val="29"/>
        </w:numPr>
        <w:spacing w:before="0" w:after="0" w:line="240" w:lineRule="auto"/>
      </w:pPr>
      <w:r w:rsidRPr="00CA23AA">
        <w:t xml:space="preserve">significant effort required to establish models of care and train the </w:t>
      </w:r>
      <w:proofErr w:type="gramStart"/>
      <w:r w:rsidRPr="00CA23AA">
        <w:t>workforce</w:t>
      </w:r>
      <w:proofErr w:type="gramEnd"/>
    </w:p>
    <w:p w14:paraId="3DEC8369" w14:textId="77777777" w:rsidR="00697061" w:rsidRPr="00CA23AA" w:rsidRDefault="00697061" w:rsidP="009E1802">
      <w:pPr>
        <w:pStyle w:val="ListParagraph"/>
        <w:numPr>
          <w:ilvl w:val="1"/>
          <w:numId w:val="29"/>
        </w:numPr>
        <w:spacing w:before="0" w:after="0" w:line="240" w:lineRule="auto"/>
      </w:pPr>
      <w:r w:rsidRPr="00CA23AA">
        <w:t xml:space="preserve">lack of provider awareness for eligibility and toxicity management. </w:t>
      </w:r>
    </w:p>
    <w:p w14:paraId="3368FA1F" w14:textId="78054DFD" w:rsidR="00095AAB" w:rsidRPr="00CA23AA" w:rsidRDefault="008215B6" w:rsidP="00095AAB">
      <w:r w:rsidRPr="00CA23AA">
        <w:t>MSAC considered that it</w:t>
      </w:r>
      <w:r w:rsidR="00697061" w:rsidRPr="00CA23AA" w:rsidDel="008215B6">
        <w:t xml:space="preserve"> </w:t>
      </w:r>
      <w:r w:rsidRPr="00CA23AA">
        <w:t xml:space="preserve">was </w:t>
      </w:r>
      <w:r w:rsidR="00697061" w:rsidRPr="00CA23AA">
        <w:t>unclear whether utilisation will increase in future. While it is plausible that utilisation may increase, it is also possible that clinicians may move away from TIS treatment and use other immunotherapies as bridging therapy</w:t>
      </w:r>
      <w:r w:rsidRPr="00CA23AA">
        <w:t xml:space="preserve"> </w:t>
      </w:r>
      <w:r w:rsidR="007C0882" w:rsidRPr="00CA23AA">
        <w:t xml:space="preserve">to </w:t>
      </w:r>
      <w:proofErr w:type="spellStart"/>
      <w:r w:rsidRPr="00CA23AA">
        <w:t>aHSCT</w:t>
      </w:r>
      <w:proofErr w:type="spellEnd"/>
      <w:r w:rsidR="00697061" w:rsidRPr="00CA23AA">
        <w:t xml:space="preserve">. </w:t>
      </w:r>
    </w:p>
    <w:p w14:paraId="4EC30170" w14:textId="42E0B98F" w:rsidR="0082459D" w:rsidRPr="00CA23AA" w:rsidRDefault="0082459D">
      <w:pPr>
        <w:spacing w:before="0" w:after="240" w:line="240" w:lineRule="auto"/>
        <w:rPr>
          <w:rFonts w:eastAsia="Times New Roman" w:cs="Times New Roman"/>
          <w:iCs/>
          <w:color w:val="000000"/>
          <w:szCs w:val="20"/>
          <w:lang w:eastAsia="en-AU"/>
        </w:rPr>
      </w:pPr>
      <w:r w:rsidRPr="00CA23AA">
        <w:rPr>
          <w:iCs/>
        </w:rPr>
        <w:t>MSAC noted submissions from the s</w:t>
      </w:r>
      <w:r w:rsidRPr="00CA23AA">
        <w:rPr>
          <w:rFonts w:eastAsia="Times New Roman" w:cs="Times New Roman"/>
          <w:iCs/>
          <w:color w:val="000000"/>
          <w:szCs w:val="20"/>
          <w:lang w:eastAsia="en-AU"/>
        </w:rPr>
        <w:t>tates and territories raised several key issues. These included challenges with access to and transparency of the ABMTRR data to inform clinician decision making regarding treatment, additional information that should be collected by the registry (</w:t>
      </w:r>
      <w:proofErr w:type="gramStart"/>
      <w:r w:rsidRPr="00CA23AA">
        <w:rPr>
          <w:rFonts w:eastAsia="Times New Roman" w:cs="Times New Roman"/>
          <w:iCs/>
          <w:color w:val="000000"/>
          <w:szCs w:val="20"/>
          <w:lang w:eastAsia="en-AU"/>
        </w:rPr>
        <w:t>e.g.</w:t>
      </w:r>
      <w:proofErr w:type="gramEnd"/>
      <w:r w:rsidRPr="00CA23AA">
        <w:rPr>
          <w:rFonts w:eastAsia="Times New Roman" w:cs="Times New Roman"/>
          <w:iCs/>
          <w:color w:val="000000"/>
          <w:szCs w:val="20"/>
          <w:lang w:eastAsia="en-AU"/>
        </w:rPr>
        <w:t xml:space="preserve"> </w:t>
      </w:r>
      <w:r w:rsidR="00957769" w:rsidRPr="00CA23AA">
        <w:rPr>
          <w:rFonts w:eastAsia="Times New Roman" w:cs="Times New Roman"/>
          <w:iCs/>
          <w:color w:val="000000"/>
          <w:szCs w:val="20"/>
          <w:lang w:eastAsia="en-AU"/>
        </w:rPr>
        <w:t xml:space="preserve">measurable </w:t>
      </w:r>
      <w:r w:rsidR="00B533AA" w:rsidRPr="00CA23AA">
        <w:rPr>
          <w:rFonts w:eastAsia="Times New Roman" w:cs="Times New Roman"/>
          <w:iCs/>
          <w:color w:val="000000"/>
          <w:szCs w:val="20"/>
          <w:lang w:eastAsia="en-AU"/>
        </w:rPr>
        <w:t>residual disease, B</w:t>
      </w:r>
      <w:r w:rsidRPr="00CA23AA">
        <w:rPr>
          <w:rFonts w:eastAsia="Times New Roman" w:cs="Times New Roman"/>
          <w:iCs/>
          <w:color w:val="000000"/>
          <w:szCs w:val="20"/>
          <w:lang w:eastAsia="en-AU"/>
        </w:rPr>
        <w:t xml:space="preserve">-cell aplasia), higher resource requirements than anticipated, and issues around service delivery and organisation. </w:t>
      </w:r>
    </w:p>
    <w:p w14:paraId="1206C392" w14:textId="423B82B5" w:rsidR="001A20F5" w:rsidRPr="00CA23AA" w:rsidRDefault="001A20F5" w:rsidP="00B533AA">
      <w:pPr>
        <w:rPr>
          <w:rFonts w:eastAsia="Times New Roman" w:cs="Times New Roman"/>
          <w:color w:val="000000" w:themeColor="text1"/>
          <w:lang w:eastAsia="en-AU"/>
        </w:rPr>
      </w:pPr>
      <w:r w:rsidRPr="00CA23AA">
        <w:rPr>
          <w:iCs/>
        </w:rPr>
        <w:t xml:space="preserve">MSAC noted the findings from the NSW patient and carer experience evaluation of recent CAR-T therapy. MSAC noted that patients and carers may be incurring substantial out-of-pocket costs for travel where this is not funded through other mechanisms. MSAC </w:t>
      </w:r>
      <w:r w:rsidR="007C0882" w:rsidRPr="00CA23AA">
        <w:rPr>
          <w:iCs/>
        </w:rPr>
        <w:t xml:space="preserve">noted </w:t>
      </w:r>
      <w:r w:rsidRPr="00CA23AA">
        <w:rPr>
          <w:iCs/>
        </w:rPr>
        <w:t xml:space="preserve">that some travel costs </w:t>
      </w:r>
      <w:r w:rsidR="1B2710B9" w:rsidRPr="00CA23AA">
        <w:t>for patients were</w:t>
      </w:r>
      <w:r w:rsidRPr="00CA23AA">
        <w:t xml:space="preserve"> </w:t>
      </w:r>
      <w:r w:rsidRPr="00CA23AA">
        <w:rPr>
          <w:iCs/>
        </w:rPr>
        <w:t>being funded by the applicant.</w:t>
      </w:r>
      <w:r w:rsidRPr="00CA23AA">
        <w:rPr>
          <w:rFonts w:eastAsia="Times New Roman" w:cs="Times New Roman"/>
          <w:color w:val="000000" w:themeColor="text1"/>
          <w:lang w:eastAsia="en-AU"/>
        </w:rPr>
        <w:t xml:space="preserve"> </w:t>
      </w:r>
      <w:r w:rsidR="10C461C2" w:rsidRPr="00CA23AA">
        <w:rPr>
          <w:rFonts w:eastAsia="Times New Roman" w:cs="Times New Roman"/>
          <w:color w:val="000000" w:themeColor="text1"/>
          <w:lang w:eastAsia="en-AU"/>
        </w:rPr>
        <w:t>MSAC noted tha</w:t>
      </w:r>
      <w:r w:rsidR="10C461C2" w:rsidRPr="00CA23AA">
        <w:rPr>
          <w:rFonts w:eastAsiaTheme="minorEastAsia"/>
          <w:color w:val="000000" w:themeColor="text1"/>
          <w:lang w:eastAsia="en-AU"/>
        </w:rPr>
        <w:t xml:space="preserve">t access to social workers was cited as an important, unmet need by the families of patients with ALL. </w:t>
      </w:r>
      <w:r w:rsidRPr="00CA23AA">
        <w:rPr>
          <w:rFonts w:eastAsiaTheme="minorEastAsia"/>
          <w:color w:val="000000" w:themeColor="text1"/>
          <w:lang w:eastAsia="en-AU"/>
        </w:rPr>
        <w:t xml:space="preserve">MSAC </w:t>
      </w:r>
      <w:r w:rsidR="00D620A1" w:rsidRPr="00CA23AA">
        <w:rPr>
          <w:rFonts w:eastAsiaTheme="minorEastAsia"/>
          <w:color w:val="000000" w:themeColor="text1"/>
          <w:lang w:eastAsia="en-AU"/>
        </w:rPr>
        <w:t>appreciated feedback provided by</w:t>
      </w:r>
      <w:r w:rsidRPr="00CA23AA">
        <w:rPr>
          <w:rFonts w:eastAsia="Times New Roman" w:cs="Times New Roman"/>
          <w:color w:val="000000" w:themeColor="text1"/>
          <w:lang w:eastAsia="en-AU"/>
        </w:rPr>
        <w:t xml:space="preserve"> patients and carers regarding their lived experience of TIS treatment. </w:t>
      </w:r>
    </w:p>
    <w:p w14:paraId="1C070BB3" w14:textId="32483D7E" w:rsidR="00B87F42" w:rsidRPr="00CA23AA" w:rsidRDefault="00594907" w:rsidP="00095AAB">
      <w:pPr>
        <w:rPr>
          <w:iCs/>
        </w:rPr>
      </w:pPr>
      <w:r w:rsidRPr="00483F64">
        <w:rPr>
          <w:iCs/>
          <w:color w:val="000000"/>
          <w:spacing w:val="21"/>
          <w:w w:val="44"/>
          <w:shd w:val="solid" w:color="000000" w:fill="000000"/>
          <w:fitText w:val="680" w:id="-1161540094"/>
          <w14:textFill>
            <w14:solidFill>
              <w14:srgbClr w14:val="000000">
                <w14:alpha w14:val="100000"/>
              </w14:srgbClr>
            </w14:solidFill>
          </w14:textFill>
        </w:rPr>
        <w:t>|||||||||</w:t>
      </w:r>
      <w:r w:rsidRPr="00483F64">
        <w:rPr>
          <w:iCs/>
          <w:color w:val="000000"/>
          <w:spacing w:val="8"/>
          <w:w w:val="44"/>
          <w:shd w:val="solid" w:color="000000" w:fill="000000"/>
          <w:fitText w:val="680" w:id="-1161540094"/>
          <w14:textFill>
            <w14:solidFill>
              <w14:srgbClr w14:val="000000">
                <w14:alpha w14:val="100000"/>
              </w14:srgbClr>
            </w14:solidFill>
          </w14:textFill>
        </w:rPr>
        <w:t>|</w:t>
      </w:r>
      <w:r w:rsidR="006C2CFC" w:rsidRPr="00CA23AA">
        <w:rPr>
          <w:iCs/>
        </w:rPr>
        <w:t xml:space="preserve"> </w:t>
      </w:r>
      <w:r w:rsidR="008E0E9D" w:rsidRPr="00CA23AA">
        <w:rPr>
          <w:iCs/>
        </w:rPr>
        <w:t>MBS funding for t</w:t>
      </w:r>
      <w:r w:rsidR="000C5F38" w:rsidRPr="00CA23AA">
        <w:rPr>
          <w:iCs/>
        </w:rPr>
        <w:t>esting for MRD</w:t>
      </w:r>
      <w:r w:rsidR="0061610E" w:rsidRPr="00CA23AA">
        <w:rPr>
          <w:iCs/>
        </w:rPr>
        <w:t xml:space="preserve"> in </w:t>
      </w:r>
      <w:r w:rsidR="008E0E9D" w:rsidRPr="00CA23AA">
        <w:rPr>
          <w:iCs/>
        </w:rPr>
        <w:t>patients with ALL is being implemented</w:t>
      </w:r>
      <w:r w:rsidR="008E0E9D" w:rsidRPr="00CA23AA">
        <w:rPr>
          <w:rStyle w:val="FootnoteReference"/>
          <w:iCs/>
        </w:rPr>
        <w:footnoteReference w:id="4"/>
      </w:r>
      <w:r w:rsidR="008E0E9D" w:rsidRPr="00CA23AA">
        <w:rPr>
          <w:iCs/>
        </w:rPr>
        <w:t xml:space="preserve"> and </w:t>
      </w:r>
      <w:r w:rsidR="000D522A" w:rsidRPr="00CA23AA">
        <w:rPr>
          <w:iCs/>
        </w:rPr>
        <w:t xml:space="preserve">may represent more contemporary clinical care noting that </w:t>
      </w:r>
      <w:r w:rsidR="00736897" w:rsidRPr="00CA23AA">
        <w:rPr>
          <w:iCs/>
        </w:rPr>
        <w:t>MRD</w:t>
      </w:r>
      <w:r w:rsidR="00EA6A4A" w:rsidRPr="00CA23AA">
        <w:rPr>
          <w:iCs/>
        </w:rPr>
        <w:t xml:space="preserve"> thresholds are </w:t>
      </w:r>
      <w:r w:rsidR="000D522A" w:rsidRPr="00CA23AA">
        <w:rPr>
          <w:iCs/>
        </w:rPr>
        <w:t xml:space="preserve">also </w:t>
      </w:r>
      <w:r w:rsidR="00EA6A4A" w:rsidRPr="00CA23AA">
        <w:rPr>
          <w:iCs/>
        </w:rPr>
        <w:t xml:space="preserve">used to specify eligibility for access to BLN under the </w:t>
      </w:r>
      <w:r w:rsidR="008A1DF1" w:rsidRPr="00CA23AA">
        <w:rPr>
          <w:iCs/>
        </w:rPr>
        <w:t>Pharmaceutical Benefits Scheme (</w:t>
      </w:r>
      <w:r w:rsidR="00EA6A4A" w:rsidRPr="00CA23AA">
        <w:rPr>
          <w:iCs/>
        </w:rPr>
        <w:t>PBS</w:t>
      </w:r>
      <w:r w:rsidR="008A1DF1" w:rsidRPr="00CA23AA">
        <w:rPr>
          <w:iCs/>
        </w:rPr>
        <w:t>)</w:t>
      </w:r>
      <w:r w:rsidR="00EA6A4A" w:rsidRPr="00CA23AA">
        <w:rPr>
          <w:rStyle w:val="FootnoteReference"/>
          <w:iCs/>
        </w:rPr>
        <w:footnoteReference w:id="5"/>
      </w:r>
      <w:r w:rsidR="00EA6A4A" w:rsidRPr="00CA23AA">
        <w:rPr>
          <w:iCs/>
        </w:rPr>
        <w:t>.</w:t>
      </w:r>
      <w:r w:rsidR="00022392" w:rsidRPr="00CA23AA">
        <w:rPr>
          <w:iCs/>
        </w:rPr>
        <w:t xml:space="preserve"> </w:t>
      </w:r>
      <w:r w:rsidR="0076528A" w:rsidRPr="00CA23AA">
        <w:rPr>
          <w:iCs/>
        </w:rPr>
        <w:t xml:space="preserve"> </w:t>
      </w:r>
      <w:r w:rsidRPr="00483F64">
        <w:rPr>
          <w:iCs/>
          <w:color w:val="000000"/>
          <w:spacing w:val="37"/>
          <w:w w:val="63"/>
          <w:shd w:val="solid" w:color="000000" w:fill="000000"/>
          <w:fitText w:val="390" w:id="-1161540093"/>
          <w14:textFill>
            <w14:solidFill>
              <w14:srgbClr w14:val="000000">
                <w14:alpha w14:val="100000"/>
              </w14:srgbClr>
            </w14:solidFill>
          </w14:textFill>
        </w:rPr>
        <w:t>|||</w:t>
      </w:r>
      <w:r w:rsidRPr="00483F64">
        <w:rPr>
          <w:iCs/>
          <w:color w:val="000000"/>
          <w:spacing w:val="3"/>
          <w:w w:val="63"/>
          <w:shd w:val="solid" w:color="000000" w:fill="000000"/>
          <w:fitText w:val="390" w:id="-1161540093"/>
          <w14:textFill>
            <w14:solidFill>
              <w14:srgbClr w14:val="000000">
                <w14:alpha w14:val="100000"/>
              </w14:srgbClr>
            </w14:solidFill>
          </w14:textFill>
        </w:rPr>
        <w:t>|</w:t>
      </w:r>
      <w:r w:rsidR="003B0DCD" w:rsidRPr="00CA23AA">
        <w:t xml:space="preserve"> </w:t>
      </w:r>
    </w:p>
    <w:p w14:paraId="5D503946" w14:textId="4AF15CDA" w:rsidR="00095AAB" w:rsidRPr="00CA23AA" w:rsidRDefault="00F00E67" w:rsidP="00095AAB">
      <w:r w:rsidRPr="00CA23AA">
        <w:rPr>
          <w:iCs/>
        </w:rPr>
        <w:t>MSAC considered further evidence and review was required be</w:t>
      </w:r>
      <w:r w:rsidR="007B0C21" w:rsidRPr="00CA23AA">
        <w:rPr>
          <w:iCs/>
        </w:rPr>
        <w:t xml:space="preserve">fore </w:t>
      </w:r>
      <w:r w:rsidR="007B2689" w:rsidRPr="00CA23AA">
        <w:rPr>
          <w:iCs/>
        </w:rPr>
        <w:t>it</w:t>
      </w:r>
      <w:r w:rsidR="007B0C21" w:rsidRPr="00CA23AA">
        <w:rPr>
          <w:iCs/>
        </w:rPr>
        <w:t xml:space="preserve"> could advise on </w:t>
      </w:r>
      <w:r w:rsidR="00EE2BCF" w:rsidRPr="00CA23AA">
        <w:rPr>
          <w:iCs/>
        </w:rPr>
        <w:t xml:space="preserve">an appropriate </w:t>
      </w:r>
      <w:r w:rsidR="00095AAB" w:rsidRPr="00CA23AA">
        <w:rPr>
          <w:iCs/>
        </w:rPr>
        <w:t xml:space="preserve">single payment </w:t>
      </w:r>
      <w:r w:rsidR="00B66783" w:rsidRPr="00CA23AA">
        <w:rPr>
          <w:iCs/>
        </w:rPr>
        <w:t xml:space="preserve">price for TIS for </w:t>
      </w:r>
      <w:proofErr w:type="spellStart"/>
      <w:r w:rsidR="00B66783" w:rsidRPr="00CA23AA">
        <w:rPr>
          <w:iCs/>
        </w:rPr>
        <w:t>pALL</w:t>
      </w:r>
      <w:proofErr w:type="spellEnd"/>
      <w:r w:rsidR="007B0C21" w:rsidRPr="00CA23AA">
        <w:rPr>
          <w:iCs/>
        </w:rPr>
        <w:t xml:space="preserve">. </w:t>
      </w:r>
      <w:r w:rsidR="0085413B" w:rsidRPr="00CA23AA">
        <w:rPr>
          <w:iCs/>
        </w:rPr>
        <w:t xml:space="preserve">MSAC considered that additional data to support </w:t>
      </w:r>
      <w:r w:rsidR="002C7FEF" w:rsidRPr="00CA23AA">
        <w:rPr>
          <w:iCs/>
        </w:rPr>
        <w:t>a single payment</w:t>
      </w:r>
      <w:r w:rsidR="00095AAB" w:rsidRPr="00CA23AA" w:rsidDel="002C7FEF">
        <w:rPr>
          <w:iCs/>
        </w:rPr>
        <w:t xml:space="preserve"> </w:t>
      </w:r>
      <w:r w:rsidR="00095AAB" w:rsidRPr="00CA23AA">
        <w:rPr>
          <w:iCs/>
        </w:rPr>
        <w:t xml:space="preserve">should demonstrate that </w:t>
      </w:r>
      <w:r w:rsidR="002C7FEF" w:rsidRPr="00CA23AA">
        <w:rPr>
          <w:iCs/>
        </w:rPr>
        <w:t xml:space="preserve">the </w:t>
      </w:r>
      <w:r w:rsidR="00095AAB" w:rsidRPr="00CA23AA">
        <w:rPr>
          <w:iCs/>
        </w:rPr>
        <w:t>t</w:t>
      </w:r>
      <w:r w:rsidR="00095AAB" w:rsidRPr="00CA23AA">
        <w:t xml:space="preserve">reatment response is attributable to </w:t>
      </w:r>
      <w:r w:rsidR="003E09E9" w:rsidRPr="00CA23AA">
        <w:t xml:space="preserve">a single treatment with </w:t>
      </w:r>
      <w:r w:rsidR="00095AAB" w:rsidRPr="00CA23AA">
        <w:t xml:space="preserve">TIS (without confounding by repeat infusions or </w:t>
      </w:r>
      <w:r w:rsidR="00D747AB" w:rsidRPr="00CA23AA">
        <w:t xml:space="preserve">subsequent therapies including </w:t>
      </w:r>
      <w:proofErr w:type="spellStart"/>
      <w:r w:rsidR="00095AAB" w:rsidRPr="00CA23AA">
        <w:t>aHSCT</w:t>
      </w:r>
      <w:proofErr w:type="spellEnd"/>
      <w:r w:rsidR="00095AAB" w:rsidRPr="00CA23AA">
        <w:t xml:space="preserve">), and that residual disease-free survival is a surrogate outcome for </w:t>
      </w:r>
      <w:r w:rsidR="00684BCA" w:rsidRPr="00CA23AA">
        <w:t>overall survival</w:t>
      </w:r>
      <w:r w:rsidR="00095AAB" w:rsidRPr="00CA23AA">
        <w:t>. This</w:t>
      </w:r>
      <w:r w:rsidR="00095AAB" w:rsidRPr="00CA23AA" w:rsidDel="004F70B4">
        <w:t xml:space="preserve"> </w:t>
      </w:r>
      <w:r w:rsidR="003E09E9" w:rsidRPr="00CA23AA">
        <w:t xml:space="preserve">further evidence </w:t>
      </w:r>
      <w:r w:rsidR="00095AAB" w:rsidRPr="00CA23AA">
        <w:t>should be based on reliable collection of outcomes and full cost data for TIS and BLN in the Australian health system.</w:t>
      </w:r>
      <w:r w:rsidR="00B649CA" w:rsidRPr="00CA23AA">
        <w:t xml:space="preserve"> </w:t>
      </w:r>
    </w:p>
    <w:p w14:paraId="322022BE" w14:textId="15455E40" w:rsidR="00773779" w:rsidRPr="00CA23AA" w:rsidRDefault="005F7271" w:rsidP="00095AAB">
      <w:r w:rsidRPr="00CA23AA">
        <w:t xml:space="preserve">MSAC </w:t>
      </w:r>
      <w:r w:rsidR="00FD6B9B" w:rsidRPr="00CA23AA">
        <w:t>noted</w:t>
      </w:r>
      <w:r w:rsidRPr="00CA23AA">
        <w:t xml:space="preserve"> that while the actual utilisation of TIS for </w:t>
      </w:r>
      <w:proofErr w:type="spellStart"/>
      <w:r w:rsidRPr="00CA23AA">
        <w:t>pALL</w:t>
      </w:r>
      <w:proofErr w:type="spellEnd"/>
      <w:r w:rsidR="00FD6B9B" w:rsidRPr="00CA23AA">
        <w:t xml:space="preserve"> had been lower than predicted, </w:t>
      </w:r>
      <w:r w:rsidR="00982219" w:rsidRPr="00982219">
        <w:rPr>
          <w:color w:val="000000"/>
          <w:spacing w:val="37"/>
          <w:w w:val="63"/>
          <w:shd w:val="solid" w:color="000000" w:fill="000000"/>
          <w:fitText w:val="390" w:id="-1157969661"/>
          <w14:textFill>
            <w14:solidFill>
              <w14:srgbClr w14:val="000000">
                <w14:alpha w14:val="100000"/>
              </w14:srgbClr>
            </w14:solidFill>
          </w14:textFill>
        </w:rPr>
        <w:t>|||</w:t>
      </w:r>
      <w:r w:rsidR="00982219" w:rsidRPr="00982219">
        <w:rPr>
          <w:color w:val="000000"/>
          <w:spacing w:val="3"/>
          <w:w w:val="63"/>
          <w:shd w:val="solid" w:color="000000" w:fill="000000"/>
          <w:fitText w:val="390" w:id="-1157969661"/>
          <w14:textFill>
            <w14:solidFill>
              <w14:srgbClr w14:val="000000">
                <w14:alpha w14:val="100000"/>
              </w14:srgbClr>
            </w14:solidFill>
          </w14:textFill>
        </w:rPr>
        <w:t>|</w:t>
      </w:r>
      <w:r w:rsidR="002D7B72" w:rsidRPr="00CA23AA">
        <w:t>. This is because MSAC considered</w:t>
      </w:r>
      <w:r w:rsidRPr="00CA23AA">
        <w:t xml:space="preserve"> there is a risk of TIS being used in earlier lines of therapy, or multiple times in the intended population, </w:t>
      </w:r>
      <w:r w:rsidR="00982219" w:rsidRPr="00982219">
        <w:rPr>
          <w:color w:val="000000"/>
          <w:spacing w:val="37"/>
          <w:w w:val="60"/>
          <w:shd w:val="solid" w:color="000000" w:fill="000000"/>
          <w:fitText w:val="375" w:id="-1157969660"/>
          <w14:textFill>
            <w14:solidFill>
              <w14:srgbClr w14:val="000000">
                <w14:alpha w14:val="100000"/>
              </w14:srgbClr>
            </w14:solidFill>
          </w14:textFill>
        </w:rPr>
        <w:t>|||</w:t>
      </w:r>
      <w:r w:rsidR="00982219" w:rsidRPr="00982219">
        <w:rPr>
          <w:color w:val="000000"/>
          <w:spacing w:val="1"/>
          <w:w w:val="60"/>
          <w:shd w:val="solid" w:color="000000" w:fill="000000"/>
          <w:fitText w:val="375" w:id="-1157969660"/>
          <w14:textFill>
            <w14:solidFill>
              <w14:srgbClr w14:val="000000">
                <w14:alpha w14:val="100000"/>
              </w14:srgbClr>
            </w14:solidFill>
          </w14:textFill>
        </w:rPr>
        <w:t>|</w:t>
      </w:r>
      <w:r w:rsidRPr="00CA23AA">
        <w:t>.</w:t>
      </w:r>
      <w:r w:rsidR="006B070C" w:rsidRPr="00CA23AA">
        <w:t xml:space="preserve"> MSAC considered that the limit of one treatment per lifetime remains appropriate, as there is insufficient evidence regarding the incremental safety or effectiveness of second or third treatment with TIS. </w:t>
      </w:r>
      <w:r w:rsidR="00594907" w:rsidRPr="00982219">
        <w:rPr>
          <w:color w:val="000000"/>
          <w:spacing w:val="37"/>
          <w:w w:val="63"/>
          <w:shd w:val="solid" w:color="000000" w:fill="000000"/>
          <w:fitText w:val="390" w:id="-1161540092"/>
          <w14:textFill>
            <w14:solidFill>
              <w14:srgbClr w14:val="000000">
                <w14:alpha w14:val="100000"/>
              </w14:srgbClr>
            </w14:solidFill>
          </w14:textFill>
        </w:rPr>
        <w:t>|||</w:t>
      </w:r>
      <w:r w:rsidR="00594907" w:rsidRPr="00982219">
        <w:rPr>
          <w:color w:val="000000"/>
          <w:spacing w:val="3"/>
          <w:w w:val="63"/>
          <w:shd w:val="solid" w:color="000000" w:fill="000000"/>
          <w:fitText w:val="390" w:id="-1161540092"/>
          <w14:textFill>
            <w14:solidFill>
              <w14:srgbClr w14:val="000000">
                <w14:alpha w14:val="100000"/>
              </w14:srgbClr>
            </w14:solidFill>
          </w14:textFill>
        </w:rPr>
        <w:t>|</w:t>
      </w:r>
    </w:p>
    <w:p w14:paraId="055C0654" w14:textId="6B971759" w:rsidR="00AA08E8" w:rsidRPr="00CA23AA" w:rsidRDefault="00471EEE" w:rsidP="00095AAB">
      <w:r w:rsidRPr="00CA23AA">
        <w:rPr>
          <w:iCs/>
        </w:rPr>
        <w:t>MSAC recalled that the inten</w:t>
      </w:r>
      <w:r w:rsidR="00582119" w:rsidRPr="00CA23AA">
        <w:rPr>
          <w:iCs/>
        </w:rPr>
        <w:t xml:space="preserve">tion </w:t>
      </w:r>
      <w:r w:rsidR="009B0C7A" w:rsidRPr="00CA23AA">
        <w:rPr>
          <w:iCs/>
        </w:rPr>
        <w:t xml:space="preserve">of </w:t>
      </w:r>
      <w:r w:rsidR="00A37FA3" w:rsidRPr="00CA23AA">
        <w:rPr>
          <w:iCs/>
        </w:rPr>
        <w:t xml:space="preserve">the RSA and Deed specifying </w:t>
      </w:r>
      <w:r w:rsidR="00272EFE" w:rsidRPr="00CA23AA">
        <w:rPr>
          <w:iCs/>
        </w:rPr>
        <w:t>registry data collection via the ABMTRR was</w:t>
      </w:r>
      <w:r w:rsidR="001465D3" w:rsidRPr="00CA23AA">
        <w:rPr>
          <w:iCs/>
        </w:rPr>
        <w:t xml:space="preserve"> to</w:t>
      </w:r>
      <w:r w:rsidR="00272EFE" w:rsidRPr="00CA23AA">
        <w:rPr>
          <w:iCs/>
        </w:rPr>
        <w:t xml:space="preserve"> </w:t>
      </w:r>
      <w:r w:rsidR="005D08D4" w:rsidRPr="00CA23AA">
        <w:rPr>
          <w:iCs/>
        </w:rPr>
        <w:t xml:space="preserve">facilitate </w:t>
      </w:r>
      <w:r w:rsidR="00C44693" w:rsidRPr="00CA23AA">
        <w:rPr>
          <w:iCs/>
        </w:rPr>
        <w:t xml:space="preserve">comprehensive </w:t>
      </w:r>
      <w:r w:rsidR="005D08D4" w:rsidRPr="00CA23AA">
        <w:rPr>
          <w:iCs/>
        </w:rPr>
        <w:t>accessib</w:t>
      </w:r>
      <w:r w:rsidR="00BE5AB9" w:rsidRPr="00CA23AA">
        <w:rPr>
          <w:iCs/>
        </w:rPr>
        <w:t>le</w:t>
      </w:r>
      <w:r w:rsidR="00F252B2" w:rsidRPr="00CA23AA">
        <w:rPr>
          <w:iCs/>
        </w:rPr>
        <w:t xml:space="preserve"> real-world Australian data</w:t>
      </w:r>
      <w:r w:rsidR="00BE5AB9" w:rsidRPr="00CA23AA">
        <w:rPr>
          <w:iCs/>
        </w:rPr>
        <w:t xml:space="preserve"> collection </w:t>
      </w:r>
      <w:r w:rsidR="001240CD" w:rsidRPr="00CA23AA">
        <w:rPr>
          <w:iCs/>
        </w:rPr>
        <w:t>(both health outcome and hea</w:t>
      </w:r>
      <w:r w:rsidR="00C14CE7" w:rsidRPr="00CA23AA">
        <w:rPr>
          <w:iCs/>
        </w:rPr>
        <w:t>lthcare resource use)</w:t>
      </w:r>
      <w:r w:rsidR="00BE5AB9" w:rsidRPr="00CA23AA">
        <w:rPr>
          <w:iCs/>
        </w:rPr>
        <w:t xml:space="preserve"> following TIS treatment for </w:t>
      </w:r>
      <w:proofErr w:type="spellStart"/>
      <w:r w:rsidR="00BE5AB9" w:rsidRPr="00CA23AA">
        <w:rPr>
          <w:iCs/>
        </w:rPr>
        <w:t>pALL</w:t>
      </w:r>
      <w:proofErr w:type="spellEnd"/>
      <w:r w:rsidR="00F252B2" w:rsidRPr="00CA23AA">
        <w:rPr>
          <w:iCs/>
        </w:rPr>
        <w:t xml:space="preserve"> to help address </w:t>
      </w:r>
      <w:r w:rsidR="006B7429" w:rsidRPr="00CA23AA">
        <w:rPr>
          <w:iCs/>
        </w:rPr>
        <w:t xml:space="preserve">the uncertainties raised by </w:t>
      </w:r>
      <w:r w:rsidR="00F252B2" w:rsidRPr="00CA23AA">
        <w:rPr>
          <w:iCs/>
        </w:rPr>
        <w:t>MSAC</w:t>
      </w:r>
      <w:r w:rsidR="00C25ED5" w:rsidRPr="00CA23AA">
        <w:rPr>
          <w:iCs/>
        </w:rPr>
        <w:t xml:space="preserve">. </w:t>
      </w:r>
      <w:r w:rsidR="00424C0A" w:rsidRPr="00CA23AA">
        <w:rPr>
          <w:iCs/>
        </w:rPr>
        <w:t xml:space="preserve">However, </w:t>
      </w:r>
      <w:r w:rsidR="00A23A6A" w:rsidRPr="00CA23AA">
        <w:rPr>
          <w:iCs/>
        </w:rPr>
        <w:t>MSAC had not</w:t>
      </w:r>
      <w:r w:rsidR="00F07E5E" w:rsidRPr="00CA23AA">
        <w:rPr>
          <w:iCs/>
        </w:rPr>
        <w:t>ed</w:t>
      </w:r>
      <w:r w:rsidR="00491289" w:rsidRPr="00CA23AA">
        <w:rPr>
          <w:iCs/>
        </w:rPr>
        <w:t xml:space="preserve"> </w:t>
      </w:r>
      <w:r w:rsidR="00D63BE6" w:rsidRPr="00CA23AA">
        <w:rPr>
          <w:iCs/>
        </w:rPr>
        <w:t>significant</w:t>
      </w:r>
      <w:r w:rsidR="00277921" w:rsidRPr="00CA23AA">
        <w:rPr>
          <w:iCs/>
        </w:rPr>
        <w:t xml:space="preserve"> issues with the ABMTRR data in terms of both quality (incomplete</w:t>
      </w:r>
      <w:r w:rsidR="00277BF4" w:rsidRPr="00CA23AA">
        <w:rPr>
          <w:iCs/>
        </w:rPr>
        <w:t xml:space="preserve"> and</w:t>
      </w:r>
      <w:r w:rsidR="00277921" w:rsidRPr="00CA23AA">
        <w:rPr>
          <w:iCs/>
        </w:rPr>
        <w:t xml:space="preserve"> missing data) and accessibility</w:t>
      </w:r>
      <w:r w:rsidR="00D63BE6" w:rsidRPr="00CA23AA">
        <w:rPr>
          <w:iCs/>
        </w:rPr>
        <w:t>.</w:t>
      </w:r>
      <w:r w:rsidR="000E72FF" w:rsidRPr="00CA23AA">
        <w:rPr>
          <w:iCs/>
        </w:rPr>
        <w:t xml:space="preserve"> </w:t>
      </w:r>
      <w:r w:rsidR="00AA08E8" w:rsidRPr="00CA23AA">
        <w:t xml:space="preserve">MSAC considered the ABMTRR data was incomplete and inadequate to inform whether the expected longer-term effectiveness and safety outcomes from TIS are occurring in practice. </w:t>
      </w:r>
      <w:r w:rsidR="00ED4A6F" w:rsidRPr="00CA23AA">
        <w:rPr>
          <w:iCs/>
        </w:rPr>
        <w:t xml:space="preserve">MSAC noted that confidentiality clauses in the contractual arrangement between CAR-T sponsors </w:t>
      </w:r>
      <w:r w:rsidR="00DA4F15" w:rsidRPr="00CA23AA">
        <w:rPr>
          <w:iCs/>
        </w:rPr>
        <w:t xml:space="preserve">(who fund data collection) </w:t>
      </w:r>
      <w:r w:rsidR="00ED4A6F" w:rsidRPr="00CA23AA">
        <w:rPr>
          <w:iCs/>
        </w:rPr>
        <w:t>and the ABMTRR had restricted the sharing and use of the data.</w:t>
      </w:r>
      <w:r w:rsidR="00BD79E4" w:rsidRPr="00CA23AA">
        <w:rPr>
          <w:iCs/>
        </w:rPr>
        <w:t xml:space="preserve"> </w:t>
      </w:r>
      <w:r w:rsidR="00534ADF" w:rsidRPr="00CA23AA">
        <w:t xml:space="preserve"> MSAC considered </w:t>
      </w:r>
      <w:r w:rsidR="00B32E1F" w:rsidRPr="00CA23AA">
        <w:t xml:space="preserve">that the objectives of its requested data collection were not being adequately met by the </w:t>
      </w:r>
      <w:r w:rsidR="00534ADF" w:rsidRPr="00CA23AA">
        <w:t xml:space="preserve">registry and </w:t>
      </w:r>
      <w:r w:rsidR="00BD79E4" w:rsidRPr="00CA23AA">
        <w:t xml:space="preserve">advised the </w:t>
      </w:r>
      <w:r w:rsidR="00534ADF" w:rsidRPr="00CA23AA">
        <w:t>Department</w:t>
      </w:r>
      <w:r w:rsidR="00BD79E4" w:rsidRPr="00CA23AA">
        <w:t xml:space="preserve"> should explore </w:t>
      </w:r>
      <w:r w:rsidR="00534ADF" w:rsidRPr="00CA23AA">
        <w:t>how</w:t>
      </w:r>
      <w:r w:rsidR="00BD79E4" w:rsidRPr="00CA23AA">
        <w:t xml:space="preserve"> to </w:t>
      </w:r>
      <w:proofErr w:type="gramStart"/>
      <w:r w:rsidR="00534ADF" w:rsidRPr="00CA23AA">
        <w:t>most effectively and efficiently capture complete data</w:t>
      </w:r>
      <w:proofErr w:type="gramEnd"/>
      <w:r w:rsidR="00534ADF" w:rsidRPr="00CA23AA">
        <w:t xml:space="preserve"> for TIS but also for other CAR-T therapies into the future.  MSAC advised that the Department work with all stakeholders, including the states and territories that already capture this data, to develop a robust, </w:t>
      </w:r>
      <w:proofErr w:type="gramStart"/>
      <w:r w:rsidR="00534ADF" w:rsidRPr="00CA23AA">
        <w:t>efficient</w:t>
      </w:r>
      <w:proofErr w:type="gramEnd"/>
      <w:r w:rsidR="00534ADF" w:rsidRPr="00CA23AA">
        <w:t xml:space="preserve"> and transparent registry system. </w:t>
      </w:r>
      <w:r w:rsidR="00BD79E4" w:rsidRPr="00CA23AA">
        <w:rPr>
          <w:iCs/>
        </w:rPr>
        <w:t xml:space="preserve">Data collection should include </w:t>
      </w:r>
      <w:r w:rsidR="004C48D2" w:rsidRPr="00CA23AA">
        <w:rPr>
          <w:iCs/>
        </w:rPr>
        <w:t xml:space="preserve">the reason for subsequent treatment and </w:t>
      </w:r>
      <w:r w:rsidR="007535F8" w:rsidRPr="00CA23AA">
        <w:rPr>
          <w:iCs/>
        </w:rPr>
        <w:t>longer-</w:t>
      </w:r>
      <w:r w:rsidR="004C48D2" w:rsidRPr="00CA23AA">
        <w:rPr>
          <w:iCs/>
        </w:rPr>
        <w:t>term outcomes post 12 months</w:t>
      </w:r>
      <w:r w:rsidR="00BD79E4" w:rsidRPr="00CA23AA">
        <w:t xml:space="preserve">. Patient-reported outcome measures and quality of life measures should also be included. </w:t>
      </w:r>
      <w:r w:rsidR="00EA6A8A" w:rsidRPr="00CA23AA">
        <w:t xml:space="preserve">MSAC considered greater patient and carer involvement </w:t>
      </w:r>
      <w:r w:rsidR="00754859" w:rsidRPr="00CA23AA">
        <w:t xml:space="preserve">may help capture more </w:t>
      </w:r>
      <w:r w:rsidR="001171C6" w:rsidRPr="00CA23AA">
        <w:t>quality-of-life</w:t>
      </w:r>
      <w:r w:rsidR="00754859" w:rsidRPr="00CA23AA">
        <w:t xml:space="preserve"> data</w:t>
      </w:r>
      <w:r w:rsidR="005E67E3" w:rsidRPr="00CA23AA">
        <w:t xml:space="preserve"> as this could be directly reported by patients</w:t>
      </w:r>
      <w:r w:rsidR="001171C6" w:rsidRPr="00CA23AA">
        <w:t xml:space="preserve">. </w:t>
      </w:r>
    </w:p>
    <w:p w14:paraId="68AD0DC1" w14:textId="6B8D8DB6" w:rsidR="001450B4" w:rsidRPr="00CA23AA" w:rsidRDefault="001450B4" w:rsidP="00095AAB">
      <w:pPr>
        <w:rPr>
          <w:iCs/>
        </w:rPr>
      </w:pPr>
      <w:r w:rsidRPr="00CA23AA">
        <w:t>MSAC considered the findings of this review</w:t>
      </w:r>
      <w:r w:rsidR="001370AB" w:rsidRPr="00CA23AA">
        <w:t xml:space="preserve"> should be provided to the </w:t>
      </w:r>
      <w:r w:rsidR="00FE78F9" w:rsidRPr="00CA23AA">
        <w:t>Pharmaceutical</w:t>
      </w:r>
      <w:r w:rsidR="001370AB" w:rsidRPr="00CA23AA">
        <w:t xml:space="preserve"> Benefits Advisory Committee (PBAC) and </w:t>
      </w:r>
      <w:r w:rsidR="00FE78F9" w:rsidRPr="00CA23AA">
        <w:t>the HTA Review Reference Committee</w:t>
      </w:r>
      <w:r w:rsidR="00FB55A0" w:rsidRPr="00CA23AA">
        <w:t>. MSAC considered the findings</w:t>
      </w:r>
      <w:r w:rsidR="0065556E" w:rsidRPr="00CA23AA">
        <w:t xml:space="preserve"> highlight the challenges associated with </w:t>
      </w:r>
      <w:r w:rsidR="009012A5" w:rsidRPr="00CA23AA">
        <w:t xml:space="preserve">collecting real-world evidence to </w:t>
      </w:r>
      <w:r w:rsidR="007143B5" w:rsidRPr="00CA23AA">
        <w:t xml:space="preserve">inform </w:t>
      </w:r>
      <w:r w:rsidR="0069414C" w:rsidRPr="00CA23AA">
        <w:t>‘</w:t>
      </w:r>
      <w:r w:rsidR="00911EE3" w:rsidRPr="00CA23AA">
        <w:t>coverage with evidence development</w:t>
      </w:r>
      <w:r w:rsidR="0069414C" w:rsidRPr="00CA23AA">
        <w:t>’ approach</w:t>
      </w:r>
      <w:r w:rsidR="00A45188" w:rsidRPr="00CA23AA">
        <w:t>es</w:t>
      </w:r>
      <w:r w:rsidR="0069414C" w:rsidRPr="00CA23AA">
        <w:t xml:space="preserve"> to funding health technologies.</w:t>
      </w:r>
    </w:p>
    <w:p w14:paraId="03FC73BD" w14:textId="77777777" w:rsidR="00095AAB" w:rsidRPr="00CA23AA" w:rsidRDefault="00095AAB" w:rsidP="00095AAB">
      <w:r w:rsidRPr="00CA23AA">
        <w:t>MSAC considered that a nationally coordinated process for patient selection and allocation should be adopted for CAR-T (</w:t>
      </w:r>
      <w:proofErr w:type="gramStart"/>
      <w:r w:rsidRPr="00CA23AA">
        <w:t>similar to</w:t>
      </w:r>
      <w:proofErr w:type="gramEnd"/>
      <w:r w:rsidRPr="00CA23AA">
        <w:t xml:space="preserve"> the solid organ transplantation process). This may offer a way to improve access (availability and affordability) to TIS for patients living at a distance from a treating centre. Centralised governance would require interjurisdictional support to be successful.</w:t>
      </w:r>
    </w:p>
    <w:p w14:paraId="38EF1B6B" w14:textId="1A05E439" w:rsidR="003E2662" w:rsidRPr="00CA23AA" w:rsidRDefault="00095AAB" w:rsidP="003E2662">
      <w:r w:rsidRPr="00CA23AA">
        <w:t>MSAC</w:t>
      </w:r>
      <w:r w:rsidRPr="00CA23AA" w:rsidDel="00702FF4">
        <w:t xml:space="preserve"> </w:t>
      </w:r>
      <w:r w:rsidR="00702FF4" w:rsidRPr="00CA23AA">
        <w:t xml:space="preserve">advised </w:t>
      </w:r>
      <w:r w:rsidRPr="00CA23AA">
        <w:t xml:space="preserve">that future CAR-T reviews should update real-world safety, effectiveness, </w:t>
      </w:r>
      <w:proofErr w:type="gramStart"/>
      <w:r w:rsidRPr="00CA23AA">
        <w:t>usage</w:t>
      </w:r>
      <w:proofErr w:type="gramEnd"/>
      <w:r w:rsidRPr="00CA23AA">
        <w:t xml:space="preserve"> and cost data for both the intervention and the comparator. Future CAR-T reviews may need to add in analysis of the sequential use of therapies over time. MSAC considered that the next TIS review </w:t>
      </w:r>
      <w:r w:rsidR="006B070C" w:rsidRPr="00CA23AA">
        <w:t xml:space="preserve">for this population </w:t>
      </w:r>
      <w:r w:rsidRPr="00CA23AA">
        <w:t>should occur in another 3 years.</w:t>
      </w:r>
    </w:p>
    <w:p w14:paraId="6710B69D" w14:textId="5C90929B" w:rsidR="00772829" w:rsidRPr="00CA23AA" w:rsidRDefault="003E2662" w:rsidP="002A18BE">
      <w:pPr>
        <w:pStyle w:val="Heading2"/>
        <w:numPr>
          <w:ilvl w:val="0"/>
          <w:numId w:val="0"/>
        </w:numPr>
      </w:pPr>
      <w:r w:rsidRPr="00CA23AA">
        <w:t>4.</w:t>
      </w:r>
      <w:r w:rsidRPr="00CA23AA">
        <w:tab/>
      </w:r>
      <w:r w:rsidR="00772829" w:rsidRPr="00CA23AA">
        <w:t>Background</w:t>
      </w:r>
      <w:bookmarkEnd w:id="4"/>
    </w:p>
    <w:p w14:paraId="7321E208" w14:textId="3E86723E" w:rsidR="008C272C" w:rsidRPr="00CA23AA" w:rsidRDefault="006A3B7E" w:rsidP="005E5D2A">
      <w:pPr>
        <w:spacing w:after="240"/>
        <w:rPr>
          <w:iCs/>
        </w:rPr>
      </w:pPr>
      <w:bookmarkStart w:id="5" w:name="_Hlk69734494"/>
      <w:r w:rsidRPr="00CA23AA">
        <w:rPr>
          <w:iCs/>
        </w:rPr>
        <w:t xml:space="preserve">In November 2018, </w:t>
      </w:r>
      <w:r w:rsidR="00FE59A2" w:rsidRPr="00CA23AA">
        <w:rPr>
          <w:iCs/>
        </w:rPr>
        <w:t xml:space="preserve">MSAC first considered </w:t>
      </w:r>
      <w:r w:rsidR="007954A9" w:rsidRPr="00CA23AA">
        <w:rPr>
          <w:iCs/>
        </w:rPr>
        <w:t xml:space="preserve">an application from Novartis requesting a new national funding mechanism for access to TIS for patients with relapsed or refractory </w:t>
      </w:r>
      <w:proofErr w:type="spellStart"/>
      <w:r w:rsidR="007954A9" w:rsidRPr="00CA23AA">
        <w:rPr>
          <w:iCs/>
        </w:rPr>
        <w:t>pALL</w:t>
      </w:r>
      <w:proofErr w:type="spellEnd"/>
      <w:r w:rsidR="007954A9" w:rsidRPr="00CA23AA">
        <w:rPr>
          <w:iCs/>
        </w:rPr>
        <w:t xml:space="preserve"> or diffuse large B-cell lymphoma (DLBCL</w:t>
      </w:r>
      <w:r w:rsidR="002E0A67" w:rsidRPr="00CA23AA">
        <w:rPr>
          <w:iCs/>
        </w:rPr>
        <w:t xml:space="preserve">; </w:t>
      </w:r>
      <w:hyperlink r:id="rId10" w:history="1">
        <w:r w:rsidR="002E0A67" w:rsidRPr="00CA23AA">
          <w:rPr>
            <w:rStyle w:val="Hyperlink"/>
            <w:iCs/>
          </w:rPr>
          <w:t>MSAC application 1519</w:t>
        </w:r>
      </w:hyperlink>
      <w:r w:rsidR="002E0A67" w:rsidRPr="00CA23AA">
        <w:rPr>
          <w:iCs/>
        </w:rPr>
        <w:t>)</w:t>
      </w:r>
      <w:r w:rsidR="00107CA2" w:rsidRPr="00CA23AA">
        <w:rPr>
          <w:iCs/>
        </w:rPr>
        <w:t>.</w:t>
      </w:r>
      <w:r w:rsidR="00BD11A5" w:rsidRPr="00CA23AA">
        <w:rPr>
          <w:iCs/>
        </w:rPr>
        <w:t xml:space="preserve"> </w:t>
      </w:r>
      <w:r w:rsidR="008C272C" w:rsidRPr="00CA23AA">
        <w:rPr>
          <w:iCs/>
        </w:rPr>
        <w:t xml:space="preserve">At </w:t>
      </w:r>
      <w:r w:rsidR="007032A5" w:rsidRPr="00CA23AA">
        <w:rPr>
          <w:iCs/>
        </w:rPr>
        <w:t>the</w:t>
      </w:r>
      <w:r w:rsidR="00502C3C" w:rsidRPr="00CA23AA">
        <w:rPr>
          <w:iCs/>
        </w:rPr>
        <w:t xml:space="preserve"> </w:t>
      </w:r>
      <w:r w:rsidR="008C272C" w:rsidRPr="00CA23AA">
        <w:rPr>
          <w:iCs/>
        </w:rPr>
        <w:t xml:space="preserve">November 2018 meeting, MSAC deferred the decision in relation to the </w:t>
      </w:r>
      <w:proofErr w:type="spellStart"/>
      <w:r w:rsidR="008C272C" w:rsidRPr="00CA23AA">
        <w:rPr>
          <w:iCs/>
        </w:rPr>
        <w:t>pALL</w:t>
      </w:r>
      <w:proofErr w:type="spellEnd"/>
      <w:r w:rsidR="008C272C" w:rsidRPr="00CA23AA">
        <w:rPr>
          <w:iCs/>
        </w:rPr>
        <w:t xml:space="preserve"> indication and did not support public funding for DLBCL.</w:t>
      </w:r>
    </w:p>
    <w:p w14:paraId="1717DF5F" w14:textId="3D051412" w:rsidR="008C272C" w:rsidRPr="00CA23AA" w:rsidRDefault="008C272C" w:rsidP="005E5D2A">
      <w:pPr>
        <w:spacing w:after="240"/>
        <w:rPr>
          <w:iCs/>
        </w:rPr>
      </w:pPr>
      <w:r w:rsidRPr="00CA23AA">
        <w:rPr>
          <w:iCs/>
        </w:rPr>
        <w:t xml:space="preserve">In March 2019, MSAC considered a revised application for TIS in </w:t>
      </w:r>
      <w:proofErr w:type="spellStart"/>
      <w:r w:rsidRPr="00CA23AA">
        <w:rPr>
          <w:iCs/>
        </w:rPr>
        <w:t>pALL</w:t>
      </w:r>
      <w:proofErr w:type="spellEnd"/>
      <w:r w:rsidRPr="00CA23AA">
        <w:rPr>
          <w:iCs/>
        </w:rPr>
        <w:t xml:space="preserve"> </w:t>
      </w:r>
      <w:r w:rsidR="00895AC7" w:rsidRPr="00CA23AA">
        <w:rPr>
          <w:iCs/>
        </w:rPr>
        <w:t xml:space="preserve">(MSAC application 1519) </w:t>
      </w:r>
      <w:r w:rsidRPr="00CA23AA">
        <w:rPr>
          <w:iCs/>
        </w:rPr>
        <w:t>but again deferred its advice on public funding. While recognising the large unmet clinical need for a small group of patients and the preliminary supportive evidence of a clinically important treatment effect, MSAC considered that TIS would be acceptably cost-effective only with additional risk share measures to those proposed in the application to manage the remaining areas of clinical, economic and financial uncertainty that existed in the funding proposal</w:t>
      </w:r>
      <w:r w:rsidR="000D3607" w:rsidRPr="00CA23AA">
        <w:rPr>
          <w:iCs/>
        </w:rPr>
        <w:t xml:space="preserve"> (see March 2019 consideration in </w:t>
      </w:r>
      <w:hyperlink r:id="rId11" w:history="1">
        <w:r w:rsidR="000D3607" w:rsidRPr="00CA23AA">
          <w:rPr>
            <w:rStyle w:val="Hyperlink"/>
            <w:iCs/>
          </w:rPr>
          <w:t>MSAC 1519 Public Summary Document</w:t>
        </w:r>
      </w:hyperlink>
      <w:r w:rsidR="000D3607" w:rsidRPr="00CA23AA">
        <w:rPr>
          <w:iCs/>
        </w:rPr>
        <w:t xml:space="preserve"> [PSD])</w:t>
      </w:r>
      <w:r w:rsidRPr="00CA23AA">
        <w:rPr>
          <w:iCs/>
        </w:rPr>
        <w:t>.</w:t>
      </w:r>
    </w:p>
    <w:p w14:paraId="253A1067" w14:textId="4E82BF37" w:rsidR="005E5D2A" w:rsidRPr="00CA23AA" w:rsidRDefault="005E5D2A" w:rsidP="005E5D2A">
      <w:pPr>
        <w:spacing w:after="240"/>
        <w:rPr>
          <w:iCs/>
        </w:rPr>
      </w:pPr>
      <w:r w:rsidRPr="00CA23AA">
        <w:rPr>
          <w:iCs/>
        </w:rPr>
        <w:t xml:space="preserve">In April 2019, MSAC recommended public funding for TIS </w:t>
      </w:r>
      <w:r w:rsidR="008C272C" w:rsidRPr="00CA23AA">
        <w:rPr>
          <w:iCs/>
        </w:rPr>
        <w:t>in</w:t>
      </w:r>
      <w:r w:rsidRPr="00CA23AA">
        <w:rPr>
          <w:iCs/>
        </w:rPr>
        <w:t xml:space="preserve"> </w:t>
      </w:r>
      <w:proofErr w:type="spellStart"/>
      <w:r w:rsidRPr="00CA23AA">
        <w:rPr>
          <w:iCs/>
        </w:rPr>
        <w:t>pALL</w:t>
      </w:r>
      <w:proofErr w:type="spellEnd"/>
      <w:r w:rsidRPr="00CA23AA">
        <w:rPr>
          <w:iCs/>
        </w:rPr>
        <w:t xml:space="preserve"> based on an incremental cost-effectiveness ratio (ICER) of $</w:t>
      </w:r>
      <w:r w:rsidR="00594907" w:rsidRPr="00982219">
        <w:rPr>
          <w:iCs/>
          <w:color w:val="000000"/>
          <w:spacing w:val="37"/>
          <w:w w:val="63"/>
          <w:shd w:val="solid" w:color="000000" w:fill="000000"/>
          <w:fitText w:val="390" w:id="-1161540091"/>
          <w14:textFill>
            <w14:solidFill>
              <w14:srgbClr w14:val="000000">
                <w14:alpha w14:val="100000"/>
              </w14:srgbClr>
            </w14:solidFill>
          </w14:textFill>
        </w:rPr>
        <w:t>|||</w:t>
      </w:r>
      <w:r w:rsidR="00594907" w:rsidRPr="00982219">
        <w:rPr>
          <w:iCs/>
          <w:color w:val="000000"/>
          <w:spacing w:val="3"/>
          <w:w w:val="63"/>
          <w:shd w:val="solid" w:color="000000" w:fill="000000"/>
          <w:fitText w:val="390" w:id="-1161540091"/>
          <w14:textFill>
            <w14:solidFill>
              <w14:srgbClr w14:val="000000">
                <w14:alpha w14:val="100000"/>
              </w14:srgbClr>
            </w14:solidFill>
          </w14:textFill>
        </w:rPr>
        <w:t>|</w:t>
      </w:r>
      <w:r w:rsidRPr="00CA23AA">
        <w:rPr>
          <w:iCs/>
        </w:rPr>
        <w:t xml:space="preserve">per quality adjusted life year (QALY) for TIS versus blinatumomab (BLN). </w:t>
      </w:r>
      <w:r w:rsidR="008C272C" w:rsidRPr="00CA23AA">
        <w:rPr>
          <w:iCs/>
        </w:rPr>
        <w:t xml:space="preserve">The recommendation required a risk sharing arrangement (RSA) to manage any remaining uncertainties in the funding proposal for TIS in </w:t>
      </w:r>
      <w:proofErr w:type="spellStart"/>
      <w:r w:rsidR="008C272C" w:rsidRPr="00CA23AA">
        <w:rPr>
          <w:iCs/>
        </w:rPr>
        <w:t>pALL</w:t>
      </w:r>
      <w:proofErr w:type="spellEnd"/>
      <w:r w:rsidR="008C272C" w:rsidRPr="00CA23AA">
        <w:rPr>
          <w:iCs/>
        </w:rPr>
        <w:t xml:space="preserve"> that comprised several elements, </w:t>
      </w:r>
      <w:r w:rsidR="00982219" w:rsidRPr="00982219">
        <w:rPr>
          <w:iCs/>
          <w:color w:val="000000"/>
          <w:spacing w:val="37"/>
          <w:w w:val="63"/>
          <w:shd w:val="solid" w:color="000000" w:fill="000000"/>
          <w:fitText w:val="390" w:id="-1157969659"/>
          <w14:textFill>
            <w14:solidFill>
              <w14:srgbClr w14:val="000000">
                <w14:alpha w14:val="100000"/>
              </w14:srgbClr>
            </w14:solidFill>
          </w14:textFill>
        </w:rPr>
        <w:t>|||</w:t>
      </w:r>
      <w:r w:rsidR="00982219" w:rsidRPr="00982219">
        <w:rPr>
          <w:iCs/>
          <w:color w:val="000000"/>
          <w:spacing w:val="3"/>
          <w:w w:val="63"/>
          <w:shd w:val="solid" w:color="000000" w:fill="000000"/>
          <w:fitText w:val="390" w:id="-1157969659"/>
          <w14:textFill>
            <w14:solidFill>
              <w14:srgbClr w14:val="000000">
                <w14:alpha w14:val="100000"/>
              </w14:srgbClr>
            </w14:solidFill>
          </w14:textFill>
        </w:rPr>
        <w:t>|</w:t>
      </w:r>
      <w:r w:rsidRPr="00CA23AA">
        <w:rPr>
          <w:iCs/>
        </w:rPr>
        <w:t xml:space="preserve">, </w:t>
      </w:r>
      <w:r w:rsidR="00594907" w:rsidRPr="00982219">
        <w:rPr>
          <w:iCs/>
          <w:color w:val="000000"/>
          <w:spacing w:val="37"/>
          <w:w w:val="63"/>
          <w:shd w:val="solid" w:color="000000" w:fill="000000"/>
          <w:fitText w:val="390" w:id="-1161540090"/>
          <w14:textFill>
            <w14:solidFill>
              <w14:srgbClr w14:val="000000">
                <w14:alpha w14:val="100000"/>
              </w14:srgbClr>
            </w14:solidFill>
          </w14:textFill>
        </w:rPr>
        <w:t>|||</w:t>
      </w:r>
      <w:r w:rsidR="00594907" w:rsidRPr="00982219">
        <w:rPr>
          <w:iCs/>
          <w:color w:val="000000"/>
          <w:spacing w:val="3"/>
          <w:w w:val="63"/>
          <w:shd w:val="solid" w:color="000000" w:fill="000000"/>
          <w:fitText w:val="390" w:id="-1161540090"/>
          <w14:textFill>
            <w14:solidFill>
              <w14:srgbClr w14:val="000000">
                <w14:alpha w14:val="100000"/>
              </w14:srgbClr>
            </w14:solidFill>
          </w14:textFill>
        </w:rPr>
        <w:t>|</w:t>
      </w:r>
      <w:r w:rsidRPr="00CA23AA">
        <w:rPr>
          <w:iCs/>
        </w:rPr>
        <w:t xml:space="preserve">, </w:t>
      </w:r>
      <w:r w:rsidR="008C272C" w:rsidRPr="00CA23AA">
        <w:rPr>
          <w:iCs/>
        </w:rPr>
        <w:t xml:space="preserve">limitation to a single course of treatment per patient, </w:t>
      </w:r>
      <w:r w:rsidRPr="00CA23AA">
        <w:rPr>
          <w:iCs/>
        </w:rPr>
        <w:t xml:space="preserve">and the requirement for review of the clinical and cost effectiveness and budget impact of TIS at least </w:t>
      </w:r>
      <w:r w:rsidR="3F199ABF" w:rsidRPr="00CA23AA">
        <w:t>three</w:t>
      </w:r>
      <w:r w:rsidRPr="00CA23AA">
        <w:rPr>
          <w:iCs/>
        </w:rPr>
        <w:t xml:space="preserve"> years after the commencement of public subsidy. </w:t>
      </w:r>
      <w:r w:rsidR="00EB338C" w:rsidRPr="00CA23AA">
        <w:rPr>
          <w:iCs/>
        </w:rPr>
        <w:t xml:space="preserve"> These </w:t>
      </w:r>
      <w:r w:rsidR="00F62E2B" w:rsidRPr="00CA23AA">
        <w:rPr>
          <w:iCs/>
        </w:rPr>
        <w:t xml:space="preserve">recommendations were subsequently outlined in the Deed of Agreement executed between the applicant and the Commonwealth. </w:t>
      </w:r>
      <w:r w:rsidRPr="00CA23AA">
        <w:rPr>
          <w:iCs/>
        </w:rPr>
        <w:t>The purpose of t</w:t>
      </w:r>
      <w:r w:rsidR="65DDD840" w:rsidRPr="00CA23AA">
        <w:t>he ADAR</w:t>
      </w:r>
      <w:r w:rsidRPr="00CA23AA">
        <w:rPr>
          <w:iCs/>
        </w:rPr>
        <w:t xml:space="preserve"> is to mee</w:t>
      </w:r>
      <w:r w:rsidR="00BB7345" w:rsidRPr="00CA23AA">
        <w:rPr>
          <w:iCs/>
        </w:rPr>
        <w:t xml:space="preserve">t MSAC’s recommendation that a review of the clinical and cost effectiveness and budget impact of TIS </w:t>
      </w:r>
      <w:r w:rsidR="00687198" w:rsidRPr="00CA23AA">
        <w:rPr>
          <w:iCs/>
        </w:rPr>
        <w:t xml:space="preserve">is conducted </w:t>
      </w:r>
      <w:r w:rsidR="00BB7345" w:rsidRPr="00CA23AA">
        <w:rPr>
          <w:iCs/>
        </w:rPr>
        <w:t xml:space="preserve">at least </w:t>
      </w:r>
      <w:r w:rsidR="00BB7345" w:rsidRPr="00CA23AA">
        <w:t>three</w:t>
      </w:r>
      <w:r w:rsidR="00BB7345" w:rsidRPr="00CA23AA">
        <w:rPr>
          <w:iCs/>
        </w:rPr>
        <w:t xml:space="preserve"> years after the commencement of public subsidy</w:t>
      </w:r>
      <w:r w:rsidRPr="00CA23AA">
        <w:rPr>
          <w:iCs/>
        </w:rPr>
        <w:t xml:space="preserve">. </w:t>
      </w:r>
      <w:r w:rsidR="00892A06" w:rsidRPr="00CA23AA">
        <w:rPr>
          <w:iCs/>
        </w:rPr>
        <w:t>As reflected in the Deed of Agreement,</w:t>
      </w:r>
      <w:r w:rsidR="001F2488" w:rsidRPr="00CA23AA">
        <w:rPr>
          <w:iCs/>
        </w:rPr>
        <w:t xml:space="preserve"> </w:t>
      </w:r>
      <w:r w:rsidR="00892A06" w:rsidRPr="00CA23AA">
        <w:rPr>
          <w:iCs/>
        </w:rPr>
        <w:t>t</w:t>
      </w:r>
      <w:r w:rsidR="00C94446" w:rsidRPr="00CA23AA">
        <w:rPr>
          <w:iCs/>
        </w:rPr>
        <w:t xml:space="preserve">his review was to include all matters relevant to the provision of the treatment, including but not limited to the clinical and cost-effectiveness of the treatment, usage of the treatment, financial costs of the </w:t>
      </w:r>
      <w:r w:rsidR="005900B0" w:rsidRPr="00CA23AA">
        <w:rPr>
          <w:iCs/>
        </w:rPr>
        <w:t>t</w:t>
      </w:r>
      <w:r w:rsidR="00C94446" w:rsidRPr="00CA23AA">
        <w:rPr>
          <w:iCs/>
        </w:rPr>
        <w:t xml:space="preserve">reatment or any other matter relevant to the effectiveness, </w:t>
      </w:r>
      <w:proofErr w:type="gramStart"/>
      <w:r w:rsidR="00C94446" w:rsidRPr="00CA23AA">
        <w:rPr>
          <w:iCs/>
        </w:rPr>
        <w:t>supply</w:t>
      </w:r>
      <w:proofErr w:type="gramEnd"/>
      <w:r w:rsidR="00C94446" w:rsidRPr="00CA23AA">
        <w:rPr>
          <w:iCs/>
        </w:rPr>
        <w:t xml:space="preserve"> or funding of the </w:t>
      </w:r>
      <w:r w:rsidR="005900B0" w:rsidRPr="00CA23AA">
        <w:rPr>
          <w:iCs/>
        </w:rPr>
        <w:t>t</w:t>
      </w:r>
      <w:r w:rsidR="00C94446" w:rsidRPr="00CA23AA">
        <w:rPr>
          <w:iCs/>
        </w:rPr>
        <w:t>reatment</w:t>
      </w:r>
      <w:r w:rsidR="005900B0" w:rsidRPr="00CA23AA">
        <w:rPr>
          <w:iCs/>
        </w:rPr>
        <w:t>.</w:t>
      </w:r>
    </w:p>
    <w:p w14:paraId="6EC12EDF" w14:textId="62C6BAE9" w:rsidR="0068682C" w:rsidRPr="00CA23AA" w:rsidRDefault="0068682C" w:rsidP="00814D77">
      <w:pPr>
        <w:pStyle w:val="TableHeading0"/>
      </w:pPr>
      <w:bookmarkStart w:id="6" w:name="_Ref69480768"/>
      <w:bookmarkStart w:id="7" w:name="_Hlk69734557"/>
      <w:bookmarkEnd w:id="5"/>
      <w:r w:rsidRPr="00CA23AA">
        <w:t>Table</w:t>
      </w:r>
      <w:r w:rsidR="00033ACB" w:rsidRPr="00CA23AA">
        <w:t xml:space="preserve"> </w:t>
      </w:r>
      <w:r w:rsidRPr="00CA23AA">
        <w:fldChar w:fldCharType="begin"/>
      </w:r>
      <w:r w:rsidRPr="00CA23AA">
        <w:instrText>SEQ Table \* ARABIC</w:instrText>
      </w:r>
      <w:r w:rsidRPr="00CA23AA">
        <w:fldChar w:fldCharType="separate"/>
      </w:r>
      <w:r w:rsidR="00175880" w:rsidRPr="00CA23AA">
        <w:rPr>
          <w:noProof/>
        </w:rPr>
        <w:t>1</w:t>
      </w:r>
      <w:r w:rsidRPr="00CA23AA">
        <w:fldChar w:fldCharType="end"/>
      </w:r>
      <w:bookmarkEnd w:id="6"/>
      <w:r w:rsidRPr="00CA23AA">
        <w:tab/>
        <w:t xml:space="preserve">Summary of </w:t>
      </w:r>
      <w:r w:rsidR="00AB50FB" w:rsidRPr="00CA23AA">
        <w:t>information provided by the applicant</w:t>
      </w:r>
      <w:r w:rsidR="00033ACB" w:rsidRPr="00CA23AA">
        <w:t xml:space="preserve"> for the review </w:t>
      </w:r>
      <w:r w:rsidR="008A6C31" w:rsidRPr="00CA23AA">
        <w:t xml:space="preserve">requirements as specified in the </w:t>
      </w:r>
      <w:proofErr w:type="gramStart"/>
      <w:r w:rsidR="008A6C31" w:rsidRPr="00CA23AA">
        <w:t>Deed</w:t>
      </w:r>
      <w:proofErr w:type="gramEnd"/>
    </w:p>
    <w:tbl>
      <w:tblPr>
        <w:tblStyle w:val="Summarybox1"/>
        <w:tblW w:w="5000" w:type="pct"/>
        <w:tblLook w:val="04A0" w:firstRow="1" w:lastRow="0" w:firstColumn="1" w:lastColumn="0" w:noHBand="0" w:noVBand="1"/>
      </w:tblPr>
      <w:tblGrid>
        <w:gridCol w:w="1838"/>
        <w:gridCol w:w="3590"/>
        <w:gridCol w:w="3588"/>
      </w:tblGrid>
      <w:tr w:rsidR="00F57885" w:rsidRPr="00CA23AA" w14:paraId="2BDCC27B" w14:textId="77777777" w:rsidTr="1FD66A7D">
        <w:trPr>
          <w:cantSplit/>
          <w:tblHeader/>
        </w:trPr>
        <w:tc>
          <w:tcPr>
            <w:tcW w:w="1019" w:type="pct"/>
            <w:shd w:val="clear" w:color="auto" w:fill="auto"/>
          </w:tcPr>
          <w:p w14:paraId="58F6A808" w14:textId="77777777" w:rsidR="00F57885" w:rsidRPr="00CA23AA" w:rsidRDefault="00F57885" w:rsidP="00824458">
            <w:pPr>
              <w:pStyle w:val="In-tableHeading"/>
              <w:rPr>
                <w:lang w:val="en-AU"/>
              </w:rPr>
            </w:pPr>
            <w:bookmarkStart w:id="8" w:name="ColumnTitle_Table1"/>
            <w:bookmarkStart w:id="9" w:name="_Hlk68275590"/>
            <w:bookmarkEnd w:id="8"/>
            <w:r w:rsidRPr="00CA23AA">
              <w:rPr>
                <w:lang w:val="en-AU"/>
              </w:rPr>
              <w:t>Component</w:t>
            </w:r>
          </w:p>
        </w:tc>
        <w:tc>
          <w:tcPr>
            <w:tcW w:w="1991" w:type="pct"/>
            <w:shd w:val="clear" w:color="auto" w:fill="auto"/>
          </w:tcPr>
          <w:p w14:paraId="09992FB9" w14:textId="1E4A9754" w:rsidR="00F57885" w:rsidRPr="00CA23AA" w:rsidRDefault="000257C2" w:rsidP="00824458">
            <w:pPr>
              <w:pStyle w:val="In-tableHeading"/>
              <w:rPr>
                <w:lang w:val="en-AU"/>
              </w:rPr>
            </w:pPr>
            <w:r w:rsidRPr="00CA23AA">
              <w:rPr>
                <w:lang w:val="en-AU"/>
              </w:rPr>
              <w:t xml:space="preserve">Information provided </w:t>
            </w:r>
            <w:r w:rsidR="00B55914" w:rsidRPr="00CA23AA">
              <w:rPr>
                <w:lang w:val="en-AU"/>
              </w:rPr>
              <w:t>in the ADAR review</w:t>
            </w:r>
          </w:p>
        </w:tc>
        <w:tc>
          <w:tcPr>
            <w:tcW w:w="1990" w:type="pct"/>
            <w:shd w:val="clear" w:color="auto" w:fill="auto"/>
          </w:tcPr>
          <w:p w14:paraId="54C88680" w14:textId="77777777" w:rsidR="00F57885" w:rsidRPr="00CA23AA" w:rsidRDefault="00F57885" w:rsidP="00824458">
            <w:pPr>
              <w:pStyle w:val="In-tableHeading"/>
              <w:rPr>
                <w:lang w:val="en-AU"/>
              </w:rPr>
            </w:pPr>
            <w:r w:rsidRPr="00CA23AA">
              <w:rPr>
                <w:lang w:val="en-AU"/>
              </w:rPr>
              <w:t>How the current assessment report addresses it</w:t>
            </w:r>
          </w:p>
        </w:tc>
      </w:tr>
      <w:tr w:rsidR="00760CCC" w:rsidRPr="00CA23AA" w14:paraId="73A6D804" w14:textId="77777777" w:rsidTr="1FD66A7D">
        <w:trPr>
          <w:cantSplit/>
        </w:trPr>
        <w:tc>
          <w:tcPr>
            <w:tcW w:w="5000" w:type="pct"/>
            <w:gridSpan w:val="3"/>
            <w:shd w:val="clear" w:color="auto" w:fill="auto"/>
          </w:tcPr>
          <w:p w14:paraId="0C0D41ED" w14:textId="4E18D5DD" w:rsidR="00760CCC" w:rsidRPr="00CA23AA" w:rsidRDefault="00760CCC" w:rsidP="00760CCC">
            <w:pPr>
              <w:pStyle w:val="In-tableHeading"/>
              <w:spacing w:before="40" w:after="40"/>
              <w:rPr>
                <w:lang w:val="en-AU"/>
              </w:rPr>
            </w:pPr>
            <w:r w:rsidRPr="00CA23AA">
              <w:rPr>
                <w:lang w:val="en-AU"/>
              </w:rPr>
              <w:t>To meet the requirements as specified in the Deed</w:t>
            </w:r>
          </w:p>
        </w:tc>
      </w:tr>
      <w:tr w:rsidR="00F57885" w:rsidRPr="00CA23AA" w14:paraId="0D0A7682" w14:textId="77777777" w:rsidTr="1FD66A7D">
        <w:tc>
          <w:tcPr>
            <w:tcW w:w="1019" w:type="pct"/>
          </w:tcPr>
          <w:p w14:paraId="025456D2" w14:textId="3DD3847E" w:rsidR="00F57885" w:rsidRPr="00CA23AA" w:rsidRDefault="00033ACB" w:rsidP="00A965BF">
            <w:pPr>
              <w:pStyle w:val="TableText"/>
            </w:pPr>
            <w:r w:rsidRPr="00CA23AA">
              <w:t>Clinical effectiveness</w:t>
            </w:r>
          </w:p>
        </w:tc>
        <w:tc>
          <w:tcPr>
            <w:tcW w:w="1991" w:type="pct"/>
          </w:tcPr>
          <w:p w14:paraId="3F35F478" w14:textId="658830BF" w:rsidR="00F57885" w:rsidRPr="00CA23AA" w:rsidRDefault="005900B0" w:rsidP="00824458">
            <w:pPr>
              <w:pStyle w:val="TableText"/>
              <w:rPr>
                <w:szCs w:val="20"/>
              </w:rPr>
            </w:pPr>
            <w:r w:rsidRPr="00CA23AA">
              <w:t>U</w:t>
            </w:r>
            <w:r w:rsidR="00033ACB" w:rsidRPr="00CA23AA">
              <w:t>pdates for all company-sponsored clinical trials, and results for all protocol specified primary and secondary outcomes be provided</w:t>
            </w:r>
            <w:r w:rsidR="00A965BF" w:rsidRPr="00CA23AA">
              <w:t xml:space="preserve">. </w:t>
            </w:r>
          </w:p>
        </w:tc>
        <w:tc>
          <w:tcPr>
            <w:tcW w:w="1990" w:type="pct"/>
          </w:tcPr>
          <w:p w14:paraId="3C28B647" w14:textId="7AB17D17" w:rsidR="00B441CE" w:rsidRPr="00CA23AA" w:rsidRDefault="00033ACB" w:rsidP="00824458">
            <w:pPr>
              <w:pStyle w:val="TableText"/>
            </w:pPr>
            <w:r w:rsidRPr="00CA23AA">
              <w:t>T</w:t>
            </w:r>
            <w:r w:rsidR="00AB50FB" w:rsidRPr="00CA23AA">
              <w:t>h</w:t>
            </w:r>
            <w:r w:rsidR="00B441CE" w:rsidRPr="00CA23AA">
              <w:t>is was addressed in</w:t>
            </w:r>
            <w:r w:rsidRPr="00CA23AA">
              <w:t xml:space="preserve"> </w:t>
            </w:r>
            <w:r w:rsidR="00A965BF" w:rsidRPr="00CA23AA">
              <w:t>in Section 2.2</w:t>
            </w:r>
            <w:r w:rsidR="00B441CE" w:rsidRPr="00CA23AA">
              <w:t>.</w:t>
            </w:r>
          </w:p>
          <w:p w14:paraId="13F08427" w14:textId="790CAA2A" w:rsidR="00F57885" w:rsidRPr="00CA23AA" w:rsidRDefault="00B441CE" w:rsidP="00824458">
            <w:pPr>
              <w:pStyle w:val="TableText"/>
            </w:pPr>
            <w:r w:rsidRPr="00CA23AA">
              <w:t>However,</w:t>
            </w:r>
            <w:r w:rsidR="00033ACB" w:rsidRPr="00CA23AA">
              <w:t xml:space="preserve"> the information was not presented in a logical order</w:t>
            </w:r>
            <w:r w:rsidRPr="00CA23AA">
              <w:t>.</w:t>
            </w:r>
          </w:p>
        </w:tc>
      </w:tr>
      <w:tr w:rsidR="00033ACB" w:rsidRPr="00CA23AA" w14:paraId="7F84675D" w14:textId="77777777" w:rsidTr="1FD66A7D">
        <w:tc>
          <w:tcPr>
            <w:tcW w:w="1019" w:type="pct"/>
          </w:tcPr>
          <w:p w14:paraId="683BBEAD" w14:textId="77777777" w:rsidR="00033ACB" w:rsidRPr="00CA23AA" w:rsidRDefault="00033ACB" w:rsidP="00A965BF">
            <w:pPr>
              <w:pStyle w:val="TableText"/>
            </w:pPr>
          </w:p>
        </w:tc>
        <w:tc>
          <w:tcPr>
            <w:tcW w:w="1991" w:type="pct"/>
          </w:tcPr>
          <w:p w14:paraId="570EDE4B" w14:textId="6E277093" w:rsidR="00033ACB" w:rsidRPr="00CA23AA" w:rsidRDefault="005900B0" w:rsidP="00824458">
            <w:pPr>
              <w:pStyle w:val="TableText"/>
            </w:pPr>
            <w:r w:rsidRPr="00CA23AA">
              <w:t>R</w:t>
            </w:r>
            <w:r w:rsidR="00033ACB" w:rsidRPr="00CA23AA">
              <w:t>eports or publications located by the Company on studies of the treatment not sponsored by the company be included in the review.</w:t>
            </w:r>
          </w:p>
        </w:tc>
        <w:tc>
          <w:tcPr>
            <w:tcW w:w="1990" w:type="pct"/>
          </w:tcPr>
          <w:p w14:paraId="05AB3C97" w14:textId="796D424E" w:rsidR="00B441CE" w:rsidRPr="00CA23AA" w:rsidRDefault="00A965BF" w:rsidP="00824458">
            <w:pPr>
              <w:pStyle w:val="TableText"/>
            </w:pPr>
            <w:r w:rsidRPr="00CA23AA">
              <w:t xml:space="preserve">This was addressed in </w:t>
            </w:r>
            <w:r w:rsidR="2CEE3BD7" w:rsidRPr="00CA23AA">
              <w:t>Section</w:t>
            </w:r>
            <w:r w:rsidRPr="00CA23AA">
              <w:t xml:space="preserve"> 2.3.</w:t>
            </w:r>
          </w:p>
          <w:p w14:paraId="5AF77785" w14:textId="59C7CCD8" w:rsidR="00033ACB" w:rsidRPr="00CA23AA" w:rsidRDefault="66ABA4DE" w:rsidP="00824458">
            <w:pPr>
              <w:pStyle w:val="TableText"/>
            </w:pPr>
            <w:r w:rsidRPr="00CA23AA">
              <w:t xml:space="preserve">However, this was </w:t>
            </w:r>
            <w:r w:rsidR="01789A23" w:rsidRPr="00CA23AA">
              <w:t>in</w:t>
            </w:r>
            <w:r w:rsidRPr="00CA23AA">
              <w:t xml:space="preserve">adequately addressed. </w:t>
            </w:r>
            <w:r w:rsidR="7E91D89F" w:rsidRPr="00CA23AA">
              <w:t xml:space="preserve">The ADAR excluded retrospective studies from the literature </w:t>
            </w:r>
            <w:r w:rsidR="636403C3" w:rsidRPr="00CA23AA">
              <w:t>review</w:t>
            </w:r>
            <w:r w:rsidR="7E91D89F" w:rsidRPr="00CA23AA">
              <w:t>. As most real</w:t>
            </w:r>
            <w:r w:rsidRPr="00CA23AA">
              <w:t>-</w:t>
            </w:r>
            <w:r w:rsidR="7E91D89F" w:rsidRPr="00CA23AA">
              <w:t xml:space="preserve">world experience studies are retrospective analyses of registries or hospital databases, </w:t>
            </w:r>
            <w:r w:rsidR="6FD7D35D" w:rsidRPr="00CA23AA">
              <w:t>most of the real</w:t>
            </w:r>
            <w:r w:rsidRPr="00CA23AA">
              <w:t>-</w:t>
            </w:r>
            <w:r w:rsidR="6FD7D35D" w:rsidRPr="00CA23AA">
              <w:t>world data on the safety and effectiveness of TIS w</w:t>
            </w:r>
            <w:r w:rsidR="1F808305" w:rsidRPr="00CA23AA">
              <w:t>ere</w:t>
            </w:r>
            <w:r w:rsidR="6FD7D35D" w:rsidRPr="00CA23AA">
              <w:t xml:space="preserve"> not presented.</w:t>
            </w:r>
          </w:p>
          <w:p w14:paraId="7072CF37" w14:textId="11CDFEED" w:rsidR="000E2B5D" w:rsidRPr="00CA23AA" w:rsidRDefault="000E2B5D" w:rsidP="00824458">
            <w:pPr>
              <w:pStyle w:val="TableText"/>
            </w:pPr>
            <w:r w:rsidRPr="00CA23AA">
              <w:t xml:space="preserve">Seven studies that were excluded </w:t>
            </w:r>
            <w:r w:rsidR="0C147D9F" w:rsidRPr="00CA23AA">
              <w:t>due to</w:t>
            </w:r>
            <w:r w:rsidRPr="00CA23AA">
              <w:t xml:space="preserve"> a retrospective design, were identified </w:t>
            </w:r>
            <w:r w:rsidR="730EE6A4" w:rsidRPr="00CA23AA">
              <w:t>in the commentary</w:t>
            </w:r>
            <w:r w:rsidRPr="00CA23AA">
              <w:t xml:space="preserve"> as relevant to the </w:t>
            </w:r>
            <w:r w:rsidR="02645B3A" w:rsidRPr="00CA23AA">
              <w:t>ADAR</w:t>
            </w:r>
            <w:r w:rsidR="2CED6D15" w:rsidRPr="00CA23AA">
              <w:t>.</w:t>
            </w:r>
            <w:r w:rsidRPr="00CA23AA">
              <w:t xml:space="preserve"> One additional study (Bader et al. 2023) that was published after the literature search date was also identified </w:t>
            </w:r>
            <w:r w:rsidR="543CF030" w:rsidRPr="00CA23AA">
              <w:t>in the commentary</w:t>
            </w:r>
            <w:r w:rsidR="00346204" w:rsidRPr="00CA23AA">
              <w:t xml:space="preserve">. </w:t>
            </w:r>
            <w:r w:rsidR="00575421" w:rsidRPr="00CA23AA">
              <w:t>These have been included in the commentary.</w:t>
            </w:r>
          </w:p>
        </w:tc>
      </w:tr>
      <w:tr w:rsidR="00F57885" w:rsidRPr="00CA23AA" w14:paraId="4C3B6A2C" w14:textId="77777777" w:rsidTr="1FD66A7D">
        <w:trPr>
          <w:cantSplit/>
        </w:trPr>
        <w:tc>
          <w:tcPr>
            <w:tcW w:w="1019" w:type="pct"/>
          </w:tcPr>
          <w:p w14:paraId="3B9DABB3" w14:textId="6A1619EB" w:rsidR="00F57885" w:rsidRPr="00CA23AA" w:rsidRDefault="00F57885" w:rsidP="00033ACB">
            <w:pPr>
              <w:pStyle w:val="TableText"/>
            </w:pPr>
          </w:p>
        </w:tc>
        <w:tc>
          <w:tcPr>
            <w:tcW w:w="1991" w:type="pct"/>
          </w:tcPr>
          <w:p w14:paraId="29BB6916" w14:textId="421DADE4" w:rsidR="00F57885" w:rsidRPr="00CA23AA" w:rsidRDefault="00A965BF" w:rsidP="00824458">
            <w:pPr>
              <w:pStyle w:val="TableText"/>
              <w:rPr>
                <w:rFonts w:eastAsia="Times New Roman" w:cs="Arial"/>
                <w:snapToGrid w:val="0"/>
                <w:szCs w:val="20"/>
              </w:rPr>
            </w:pPr>
            <w:r w:rsidRPr="00CA23AA">
              <w:rPr>
                <w:rFonts w:eastAsia="Times New Roman" w:cs="Arial"/>
                <w:snapToGrid w:val="0"/>
                <w:szCs w:val="20"/>
              </w:rPr>
              <w:t>An u</w:t>
            </w:r>
            <w:r w:rsidR="00C94446" w:rsidRPr="00CA23AA">
              <w:rPr>
                <w:rFonts w:eastAsia="Times New Roman" w:cs="Arial"/>
                <w:snapToGrid w:val="0"/>
                <w:szCs w:val="20"/>
              </w:rPr>
              <w:t>pdated combined analysis of the ELIANA and ENSIGN studies using latest available data cut from each</w:t>
            </w:r>
            <w:r w:rsidRPr="00CA23AA">
              <w:rPr>
                <w:rFonts w:eastAsia="Times New Roman" w:cs="Arial"/>
                <w:snapToGrid w:val="0"/>
                <w:szCs w:val="20"/>
              </w:rPr>
              <w:t xml:space="preserve"> was provided</w:t>
            </w:r>
          </w:p>
        </w:tc>
        <w:tc>
          <w:tcPr>
            <w:tcW w:w="1990" w:type="pct"/>
          </w:tcPr>
          <w:p w14:paraId="273F8FCE" w14:textId="77777777" w:rsidR="00B441CE" w:rsidRPr="00CA23AA" w:rsidRDefault="00A965BF" w:rsidP="00824458">
            <w:pPr>
              <w:pStyle w:val="TableText"/>
              <w:rPr>
                <w:rFonts w:eastAsia="Times New Roman" w:cs="Arial"/>
                <w:snapToGrid w:val="0"/>
                <w:szCs w:val="20"/>
              </w:rPr>
            </w:pPr>
            <w:r w:rsidRPr="00CA23AA">
              <w:rPr>
                <w:rFonts w:eastAsia="Times New Roman" w:cs="Arial"/>
                <w:snapToGrid w:val="0"/>
                <w:szCs w:val="20"/>
              </w:rPr>
              <w:t>This was provided in Section 2.2.5</w:t>
            </w:r>
            <w:r w:rsidR="00B441CE" w:rsidRPr="00CA23AA">
              <w:rPr>
                <w:rFonts w:eastAsia="Times New Roman" w:cs="Arial"/>
                <w:snapToGrid w:val="0"/>
                <w:szCs w:val="20"/>
              </w:rPr>
              <w:t>.</w:t>
            </w:r>
          </w:p>
          <w:p w14:paraId="0FFADC90" w14:textId="77777777" w:rsidR="00F57885" w:rsidRPr="00CA23AA" w:rsidRDefault="00B441CE" w:rsidP="00824458">
            <w:pPr>
              <w:pStyle w:val="TableText"/>
              <w:rPr>
                <w:rFonts w:eastAsia="Times New Roman" w:cs="Arial"/>
                <w:snapToGrid w:val="0"/>
                <w:szCs w:val="20"/>
              </w:rPr>
            </w:pPr>
            <w:r w:rsidRPr="00CA23AA">
              <w:rPr>
                <w:rFonts w:eastAsia="Times New Roman" w:cs="Arial"/>
                <w:snapToGrid w:val="0"/>
                <w:szCs w:val="20"/>
              </w:rPr>
              <w:t>However,</w:t>
            </w:r>
            <w:r w:rsidR="00A965BF" w:rsidRPr="00CA23AA">
              <w:rPr>
                <w:rFonts w:eastAsia="Times New Roman" w:cs="Arial"/>
                <w:snapToGrid w:val="0"/>
                <w:szCs w:val="20"/>
              </w:rPr>
              <w:t xml:space="preserve"> it is not clear why the results presented from the B2001X study were not also included in the combined analysis. </w:t>
            </w:r>
          </w:p>
          <w:p w14:paraId="18F0EBE3" w14:textId="0742FA7B" w:rsidR="00A40FAE" w:rsidRPr="00CA23AA" w:rsidRDefault="00A40FAE" w:rsidP="00A40FAE">
            <w:pPr>
              <w:pStyle w:val="TableText"/>
              <w:rPr>
                <w:rFonts w:eastAsia="Times New Roman" w:cs="Arial"/>
                <w:snapToGrid w:val="0"/>
              </w:rPr>
            </w:pPr>
            <w:r w:rsidRPr="00CA23AA">
              <w:rPr>
                <w:rFonts w:eastAsia="Times New Roman" w:cs="Arial"/>
                <w:snapToGrid w:val="0"/>
              </w:rPr>
              <w:t xml:space="preserve">An additional study (Levine 2021) reported a pooled </w:t>
            </w:r>
            <w:r w:rsidR="311B9E62" w:rsidRPr="00CA23AA">
              <w:rPr>
                <w:rFonts w:eastAsia="Times New Roman" w:cs="Arial"/>
                <w:snapToGrid w:val="0"/>
              </w:rPr>
              <w:t>s</w:t>
            </w:r>
            <w:r w:rsidR="0FBFDD89" w:rsidRPr="00CA23AA">
              <w:rPr>
                <w:rFonts w:eastAsia="Times New Roman" w:cs="Arial"/>
                <w:snapToGrid w:val="0"/>
              </w:rPr>
              <w:t>afety</w:t>
            </w:r>
            <w:r w:rsidRPr="00CA23AA">
              <w:rPr>
                <w:rFonts w:eastAsia="Times New Roman" w:cs="Arial"/>
                <w:snapToGrid w:val="0"/>
              </w:rPr>
              <w:t xml:space="preserve"> analysis of ELIANA and ENSIGN of key adverse events (</w:t>
            </w:r>
            <w:proofErr w:type="gramStart"/>
            <w:r w:rsidRPr="00CA23AA">
              <w:rPr>
                <w:rFonts w:eastAsia="Times New Roman" w:cs="Arial"/>
                <w:snapToGrid w:val="0"/>
              </w:rPr>
              <w:t>e.g.</w:t>
            </w:r>
            <w:proofErr w:type="gramEnd"/>
            <w:r w:rsidRPr="00CA23AA">
              <w:rPr>
                <w:rFonts w:eastAsia="Times New Roman" w:cs="Arial"/>
                <w:snapToGrid w:val="0"/>
              </w:rPr>
              <w:t xml:space="preserve"> CRS, neutropenia, neurologic events).</w:t>
            </w:r>
          </w:p>
          <w:p w14:paraId="15BB4464" w14:textId="09678C55" w:rsidR="00A40FAE" w:rsidRPr="00CA23AA" w:rsidRDefault="00A40FAE" w:rsidP="00A40FAE">
            <w:pPr>
              <w:pStyle w:val="TableText"/>
              <w:rPr>
                <w:rFonts w:eastAsia="Times New Roman" w:cs="Arial"/>
                <w:bCs/>
                <w:snapToGrid w:val="0"/>
                <w:szCs w:val="20"/>
              </w:rPr>
            </w:pPr>
            <w:r w:rsidRPr="00CA23AA">
              <w:rPr>
                <w:rFonts w:eastAsia="Times New Roman" w:cs="Arial"/>
                <w:bCs/>
                <w:snapToGrid w:val="0"/>
                <w:szCs w:val="20"/>
              </w:rPr>
              <w:t xml:space="preserve">It is unclear why this study was discussed in the Pharmacovigilance section and not in Section 2.2.4 where the pooled analysis of the two </w:t>
            </w:r>
            <w:r w:rsidR="00541169" w:rsidRPr="00CA23AA">
              <w:rPr>
                <w:rFonts w:eastAsia="Times New Roman" w:cs="Arial"/>
                <w:bCs/>
                <w:snapToGrid w:val="0"/>
                <w:szCs w:val="20"/>
              </w:rPr>
              <w:t xml:space="preserve">sponsored </w:t>
            </w:r>
            <w:r w:rsidRPr="00CA23AA">
              <w:rPr>
                <w:rFonts w:eastAsia="Times New Roman" w:cs="Arial"/>
                <w:bCs/>
                <w:snapToGrid w:val="0"/>
                <w:szCs w:val="20"/>
              </w:rPr>
              <w:t>studies was undertaken by the applicant.</w:t>
            </w:r>
          </w:p>
        </w:tc>
      </w:tr>
      <w:tr w:rsidR="00B441CE" w:rsidRPr="00CA23AA" w14:paraId="7A60A5D3" w14:textId="77777777" w:rsidTr="1FD66A7D">
        <w:trPr>
          <w:cantSplit/>
        </w:trPr>
        <w:tc>
          <w:tcPr>
            <w:tcW w:w="1019" w:type="pct"/>
          </w:tcPr>
          <w:p w14:paraId="3CC58CE0" w14:textId="1E3A4F8A" w:rsidR="00B441CE" w:rsidRPr="00CA23AA" w:rsidRDefault="00E2142D" w:rsidP="00033ACB">
            <w:pPr>
              <w:pStyle w:val="TableText"/>
            </w:pPr>
            <w:r w:rsidRPr="00CA23AA">
              <w:t>Clinical safety</w:t>
            </w:r>
          </w:p>
        </w:tc>
        <w:tc>
          <w:tcPr>
            <w:tcW w:w="1991" w:type="pct"/>
          </w:tcPr>
          <w:p w14:paraId="01BA4B7D" w14:textId="44D92FA3" w:rsidR="00B441CE" w:rsidRPr="00CA23AA" w:rsidRDefault="00B441CE" w:rsidP="00824458">
            <w:pPr>
              <w:pStyle w:val="TableText"/>
              <w:rPr>
                <w:rFonts w:eastAsia="Times New Roman" w:cs="Arial"/>
                <w:snapToGrid w:val="0"/>
                <w:szCs w:val="20"/>
              </w:rPr>
            </w:pPr>
            <w:r w:rsidRPr="00CA23AA">
              <w:rPr>
                <w:rFonts w:eastAsia="Times New Roman" w:cs="Arial"/>
                <w:snapToGrid w:val="0"/>
                <w:szCs w:val="20"/>
              </w:rPr>
              <w:t>Copies of any pharmacovigilance or safety reports available</w:t>
            </w:r>
          </w:p>
        </w:tc>
        <w:tc>
          <w:tcPr>
            <w:tcW w:w="1990" w:type="pct"/>
          </w:tcPr>
          <w:p w14:paraId="386AFBC8" w14:textId="1F39E3C5" w:rsidR="00AB50FB" w:rsidRPr="00CA23AA" w:rsidRDefault="00AB50FB" w:rsidP="00AB50FB">
            <w:pPr>
              <w:pStyle w:val="TableText"/>
              <w:rPr>
                <w:rFonts w:eastAsia="Times New Roman" w:cs="Arial"/>
                <w:bCs/>
                <w:snapToGrid w:val="0"/>
                <w:szCs w:val="20"/>
              </w:rPr>
            </w:pPr>
            <w:r w:rsidRPr="00CA23AA">
              <w:rPr>
                <w:rFonts w:eastAsia="Times New Roman" w:cs="Arial"/>
                <w:bCs/>
                <w:snapToGrid w:val="0"/>
                <w:szCs w:val="20"/>
              </w:rPr>
              <w:t>This was provided in Section 2.6.</w:t>
            </w:r>
          </w:p>
          <w:p w14:paraId="62EEB347" w14:textId="70BAA1A4" w:rsidR="00B441CE" w:rsidRPr="00CA23AA" w:rsidRDefault="0A214CFD" w:rsidP="1FD66A7D">
            <w:pPr>
              <w:pStyle w:val="TableText"/>
              <w:rPr>
                <w:rFonts w:eastAsia="Times New Roman" w:cs="Arial"/>
                <w:snapToGrid w:val="0"/>
              </w:rPr>
            </w:pPr>
            <w:r w:rsidRPr="00CA23AA">
              <w:rPr>
                <w:rFonts w:eastAsia="Times New Roman" w:cs="Arial"/>
                <w:snapToGrid w:val="0"/>
              </w:rPr>
              <w:t>Pharmacovigilance was presented from FDA only. No data w</w:t>
            </w:r>
            <w:r w:rsidR="40FBADAE" w:rsidRPr="00CA23AA">
              <w:rPr>
                <w:rFonts w:eastAsia="Times New Roman" w:cs="Arial"/>
                <w:snapToGrid w:val="0"/>
              </w:rPr>
              <w:t>ere</w:t>
            </w:r>
            <w:r w:rsidRPr="00CA23AA">
              <w:rPr>
                <w:rFonts w:eastAsia="Times New Roman" w:cs="Arial"/>
                <w:snapToGrid w:val="0"/>
              </w:rPr>
              <w:t xml:space="preserve"> presented from the TGA.</w:t>
            </w:r>
          </w:p>
        </w:tc>
      </w:tr>
      <w:tr w:rsidR="00F57885" w:rsidRPr="00CA23AA" w14:paraId="3B9AD9C3" w14:textId="77777777" w:rsidTr="1FD66A7D">
        <w:trPr>
          <w:cantSplit/>
        </w:trPr>
        <w:tc>
          <w:tcPr>
            <w:tcW w:w="1019" w:type="pct"/>
          </w:tcPr>
          <w:p w14:paraId="23382853" w14:textId="38597D8F" w:rsidR="00F57885" w:rsidRPr="00CA23AA" w:rsidRDefault="00B441CE" w:rsidP="00824458">
            <w:pPr>
              <w:pStyle w:val="TableText"/>
            </w:pPr>
            <w:r w:rsidRPr="00CA23AA">
              <w:t>Cost-effectiveness</w:t>
            </w:r>
          </w:p>
        </w:tc>
        <w:tc>
          <w:tcPr>
            <w:tcW w:w="1991" w:type="pct"/>
          </w:tcPr>
          <w:p w14:paraId="3DBA0804" w14:textId="5D6041E5" w:rsidR="00F57885" w:rsidRPr="00CA23AA" w:rsidRDefault="00B441CE" w:rsidP="00824458">
            <w:pPr>
              <w:pStyle w:val="TableText"/>
            </w:pPr>
            <w:r w:rsidRPr="00CA23AA">
              <w:t xml:space="preserve">Update to the economic model presented to MSAC in March 2019 </w:t>
            </w:r>
          </w:p>
          <w:p w14:paraId="57BB3EDD" w14:textId="27E16598" w:rsidR="00F57885" w:rsidRPr="00CA23AA" w:rsidRDefault="25F44440" w:rsidP="00824458">
            <w:pPr>
              <w:pStyle w:val="TableText"/>
            </w:pPr>
            <w:r w:rsidRPr="00CA23AA">
              <w:t xml:space="preserve">A) </w:t>
            </w:r>
            <w:r w:rsidR="00B441CE" w:rsidRPr="00CA23AA">
              <w:t>to include results of updated combined analysis of the ELIANA and ENSIGN studies and without other changes</w:t>
            </w:r>
            <w:r w:rsidR="381FA328" w:rsidRPr="00CA23AA">
              <w:t>.</w:t>
            </w:r>
          </w:p>
          <w:p w14:paraId="3C6FBFDC" w14:textId="55E91CE9" w:rsidR="00F57885" w:rsidRPr="00CA23AA" w:rsidRDefault="43B7F101" w:rsidP="00824458">
            <w:pPr>
              <w:pStyle w:val="TableText"/>
            </w:pPr>
            <w:r w:rsidRPr="00CA23AA">
              <w:t xml:space="preserve">B) to include </w:t>
            </w:r>
            <w:r w:rsidR="3F793458" w:rsidRPr="00CA23AA">
              <w:t xml:space="preserve">data from </w:t>
            </w:r>
            <w:r w:rsidRPr="00CA23AA">
              <w:t>ABMTRR</w:t>
            </w:r>
          </w:p>
        </w:tc>
        <w:tc>
          <w:tcPr>
            <w:tcW w:w="1990" w:type="pct"/>
          </w:tcPr>
          <w:p w14:paraId="61E67A67" w14:textId="0FAB0FE5" w:rsidR="5C4F8AA0" w:rsidRPr="00CA23AA" w:rsidRDefault="00541169" w:rsidP="5C4F8AA0">
            <w:pPr>
              <w:pStyle w:val="TableText"/>
              <w:rPr>
                <w:rFonts w:eastAsia="Times New Roman" w:cs="Arial"/>
              </w:rPr>
            </w:pPr>
            <w:r w:rsidRPr="00CA23AA">
              <w:rPr>
                <w:rFonts w:eastAsia="Times New Roman" w:cs="Arial"/>
              </w:rPr>
              <w:br/>
            </w:r>
          </w:p>
          <w:p w14:paraId="4A6E84B5" w14:textId="1A4C27DE" w:rsidR="00B441CE" w:rsidRPr="00CA23AA" w:rsidRDefault="28573B9C" w:rsidP="5C4F8AA0">
            <w:pPr>
              <w:pStyle w:val="TableText"/>
              <w:rPr>
                <w:rFonts w:eastAsia="Times New Roman" w:cs="Arial"/>
              </w:rPr>
            </w:pPr>
            <w:r w:rsidRPr="00CA23AA">
              <w:rPr>
                <w:rFonts w:eastAsia="Times New Roman" w:cs="Arial"/>
              </w:rPr>
              <w:t>This was provided in Section 3.2.2.</w:t>
            </w:r>
            <w:r w:rsidR="00541169" w:rsidRPr="00CA23AA">
              <w:rPr>
                <w:rFonts w:eastAsia="Times New Roman" w:cs="Arial"/>
              </w:rPr>
              <w:br/>
            </w:r>
            <w:r w:rsidR="00541169" w:rsidRPr="00CA23AA">
              <w:rPr>
                <w:rFonts w:eastAsia="Times New Roman" w:cs="Arial"/>
              </w:rPr>
              <w:br/>
            </w:r>
          </w:p>
          <w:p w14:paraId="26202E3E" w14:textId="51E99915" w:rsidR="00B441CE" w:rsidRPr="00CA23AA" w:rsidRDefault="3BD02A26" w:rsidP="5C4F8AA0">
            <w:pPr>
              <w:pStyle w:val="TableText"/>
              <w:rPr>
                <w:rFonts w:eastAsia="Times New Roman" w:cs="Arial"/>
                <w:snapToGrid w:val="0"/>
              </w:rPr>
            </w:pPr>
            <w:r w:rsidRPr="00CA23AA">
              <w:rPr>
                <w:rFonts w:eastAsia="Times New Roman" w:cs="Arial"/>
              </w:rPr>
              <w:t>This was provided in Section 3.2.3.</w:t>
            </w:r>
          </w:p>
        </w:tc>
      </w:tr>
      <w:tr w:rsidR="00B441CE" w:rsidRPr="00CA23AA" w14:paraId="5D8986FF" w14:textId="77777777" w:rsidTr="1FD66A7D">
        <w:trPr>
          <w:cantSplit/>
        </w:trPr>
        <w:tc>
          <w:tcPr>
            <w:tcW w:w="1019" w:type="pct"/>
          </w:tcPr>
          <w:p w14:paraId="1C796E5C" w14:textId="5FB7D45C" w:rsidR="00B441CE" w:rsidRPr="00CA23AA" w:rsidRDefault="00541169" w:rsidP="00824458">
            <w:pPr>
              <w:pStyle w:val="TableText"/>
            </w:pPr>
            <w:r w:rsidRPr="00CA23AA">
              <w:t>Financial cost</w:t>
            </w:r>
          </w:p>
        </w:tc>
        <w:tc>
          <w:tcPr>
            <w:tcW w:w="1991" w:type="pct"/>
          </w:tcPr>
          <w:p w14:paraId="798B8673" w14:textId="5D457BF6" w:rsidR="00B441CE" w:rsidRPr="00CA23AA" w:rsidRDefault="00B441CE" w:rsidP="00B441CE">
            <w:pPr>
              <w:pStyle w:val="TableText"/>
            </w:pPr>
            <w:r w:rsidRPr="00CA23AA">
              <w:t>Updated utilisation and financial estimates with reasoning for any changes</w:t>
            </w:r>
          </w:p>
        </w:tc>
        <w:tc>
          <w:tcPr>
            <w:tcW w:w="1990" w:type="pct"/>
          </w:tcPr>
          <w:p w14:paraId="78B1F178" w14:textId="12039447" w:rsidR="00B441CE" w:rsidRPr="00CA23AA" w:rsidRDefault="118FB17F" w:rsidP="5C4F8AA0">
            <w:pPr>
              <w:pStyle w:val="TableText"/>
              <w:rPr>
                <w:rFonts w:eastAsia="Times New Roman" w:cs="Arial"/>
                <w:snapToGrid w:val="0"/>
              </w:rPr>
            </w:pPr>
            <w:r w:rsidRPr="00CA23AA">
              <w:rPr>
                <w:rFonts w:eastAsia="Times New Roman" w:cs="Arial"/>
              </w:rPr>
              <w:t>This was provided in Section 4.1 and 4.2.</w:t>
            </w:r>
          </w:p>
        </w:tc>
      </w:tr>
      <w:tr w:rsidR="00B441CE" w:rsidRPr="00CA23AA" w14:paraId="10F91AE2" w14:textId="77777777" w:rsidTr="1FD66A7D">
        <w:trPr>
          <w:cantSplit/>
        </w:trPr>
        <w:tc>
          <w:tcPr>
            <w:tcW w:w="1019" w:type="pct"/>
          </w:tcPr>
          <w:p w14:paraId="69484340" w14:textId="77777777" w:rsidR="00B441CE" w:rsidRPr="00CA23AA" w:rsidRDefault="00B441CE" w:rsidP="00824458">
            <w:pPr>
              <w:pStyle w:val="TableText"/>
            </w:pPr>
          </w:p>
        </w:tc>
        <w:tc>
          <w:tcPr>
            <w:tcW w:w="1991" w:type="pct"/>
          </w:tcPr>
          <w:p w14:paraId="1448DD5F" w14:textId="642A03A2" w:rsidR="00B441CE" w:rsidRPr="00CA23AA" w:rsidRDefault="00B441CE" w:rsidP="00824458">
            <w:pPr>
              <w:pStyle w:val="TableText"/>
            </w:pPr>
            <w:r w:rsidRPr="00CA23AA">
              <w:t>Overseas subsidy status</w:t>
            </w:r>
          </w:p>
        </w:tc>
        <w:tc>
          <w:tcPr>
            <w:tcW w:w="1990" w:type="pct"/>
          </w:tcPr>
          <w:p w14:paraId="4A61474C" w14:textId="3AF8CED7" w:rsidR="00B441CE" w:rsidRPr="00CA23AA" w:rsidRDefault="2F870949" w:rsidP="5C4F8AA0">
            <w:pPr>
              <w:pStyle w:val="TableText"/>
              <w:rPr>
                <w:rFonts w:eastAsia="Times New Roman" w:cs="Arial"/>
                <w:snapToGrid w:val="0"/>
              </w:rPr>
            </w:pPr>
            <w:r w:rsidRPr="00CA23AA">
              <w:rPr>
                <w:rFonts w:eastAsia="Times New Roman" w:cs="Arial"/>
              </w:rPr>
              <w:t>This was p</w:t>
            </w:r>
            <w:r w:rsidR="5BD069AF" w:rsidRPr="00CA23AA">
              <w:rPr>
                <w:rFonts w:eastAsia="Times New Roman" w:cs="Arial"/>
              </w:rPr>
              <w:t>rovided in Section 5</w:t>
            </w:r>
            <w:r w:rsidR="276B712E" w:rsidRPr="00CA23AA">
              <w:rPr>
                <w:rFonts w:eastAsia="Times New Roman" w:cs="Arial"/>
              </w:rPr>
              <w:t>.</w:t>
            </w:r>
          </w:p>
        </w:tc>
      </w:tr>
      <w:tr w:rsidR="00760CCC" w:rsidRPr="00CA23AA" w14:paraId="1F4A86D2" w14:textId="77777777" w:rsidTr="1FD66A7D">
        <w:trPr>
          <w:cantSplit/>
        </w:trPr>
        <w:tc>
          <w:tcPr>
            <w:tcW w:w="5000" w:type="pct"/>
            <w:gridSpan w:val="3"/>
          </w:tcPr>
          <w:p w14:paraId="2FE92C05" w14:textId="745683E8" w:rsidR="00760CCC" w:rsidRPr="00CA23AA" w:rsidRDefault="00760CCC" w:rsidP="5C4F8AA0">
            <w:pPr>
              <w:pStyle w:val="TableText"/>
              <w:rPr>
                <w:rFonts w:eastAsia="Times New Roman" w:cs="Arial"/>
                <w:b/>
              </w:rPr>
            </w:pPr>
            <w:r w:rsidRPr="00CA23AA">
              <w:rPr>
                <w:b/>
              </w:rPr>
              <w:t>To address uncertainties highlighted by MSAC in the March 2019 PSD</w:t>
            </w:r>
          </w:p>
        </w:tc>
      </w:tr>
      <w:tr w:rsidR="00541169" w:rsidRPr="00CA23AA" w14:paraId="6EA9D69B" w14:textId="77777777" w:rsidTr="1FD66A7D">
        <w:trPr>
          <w:cantSplit/>
        </w:trPr>
        <w:tc>
          <w:tcPr>
            <w:tcW w:w="1019" w:type="pct"/>
            <w:tcBorders>
              <w:top w:val="single" w:sz="4" w:space="0" w:color="auto"/>
              <w:left w:val="single" w:sz="4" w:space="0" w:color="auto"/>
              <w:bottom w:val="single" w:sz="4" w:space="0" w:color="auto"/>
              <w:right w:val="single" w:sz="4" w:space="0" w:color="auto"/>
            </w:tcBorders>
          </w:tcPr>
          <w:p w14:paraId="37EAD5A3" w14:textId="2BF7240B" w:rsidR="00541169" w:rsidRPr="00CA23AA" w:rsidRDefault="00760CCC" w:rsidP="008D7601">
            <w:pPr>
              <w:pStyle w:val="TableText"/>
            </w:pPr>
            <w:r w:rsidRPr="00CA23AA">
              <w:t>Clinical safety and effectiveness</w:t>
            </w:r>
          </w:p>
        </w:tc>
        <w:tc>
          <w:tcPr>
            <w:tcW w:w="1991" w:type="pct"/>
            <w:tcBorders>
              <w:top w:val="single" w:sz="4" w:space="0" w:color="auto"/>
              <w:left w:val="single" w:sz="4" w:space="0" w:color="auto"/>
              <w:bottom w:val="single" w:sz="4" w:space="0" w:color="auto"/>
              <w:right w:val="single" w:sz="4" w:space="0" w:color="auto"/>
            </w:tcBorders>
          </w:tcPr>
          <w:p w14:paraId="4712A20F" w14:textId="77777777" w:rsidR="00541169" w:rsidRPr="00CA23AA" w:rsidRDefault="00541169" w:rsidP="008D7601">
            <w:pPr>
              <w:pStyle w:val="TableText"/>
            </w:pPr>
            <w:r w:rsidRPr="00CA23AA">
              <w:t>An assessment of any new clinical data available and whether the clinical outcomes from the original submission are supported by the updated clinical study data as well as Australian patient outcomes as captured in the relevant registry</w:t>
            </w:r>
          </w:p>
        </w:tc>
        <w:tc>
          <w:tcPr>
            <w:tcW w:w="1990" w:type="pct"/>
            <w:tcBorders>
              <w:top w:val="single" w:sz="4" w:space="0" w:color="auto"/>
              <w:left w:val="single" w:sz="4" w:space="0" w:color="auto"/>
              <w:bottom w:val="single" w:sz="4" w:space="0" w:color="auto"/>
              <w:right w:val="single" w:sz="4" w:space="0" w:color="auto"/>
            </w:tcBorders>
          </w:tcPr>
          <w:p w14:paraId="30DFFD1B" w14:textId="77777777" w:rsidR="00541169" w:rsidRPr="00CA23AA" w:rsidRDefault="00541169" w:rsidP="008D7601">
            <w:pPr>
              <w:pStyle w:val="TableText"/>
              <w:rPr>
                <w:rFonts w:eastAsia="Times New Roman" w:cs="Arial"/>
              </w:rPr>
            </w:pPr>
            <w:r w:rsidRPr="00CA23AA">
              <w:rPr>
                <w:rFonts w:eastAsia="Times New Roman" w:cs="Arial"/>
              </w:rPr>
              <w:t>The applicant included a superficial combined analysis of the safety and effectiveness data from the three sponsored and two non-sponsored studies included in the ADAR.</w:t>
            </w:r>
          </w:p>
          <w:p w14:paraId="1BFDBE9E" w14:textId="35F937BB" w:rsidR="00541169" w:rsidRPr="00CA23AA" w:rsidRDefault="00541169" w:rsidP="008D7601">
            <w:pPr>
              <w:pStyle w:val="TableText"/>
              <w:rPr>
                <w:rFonts w:eastAsia="Times New Roman" w:cs="Arial"/>
              </w:rPr>
            </w:pPr>
            <w:r w:rsidRPr="00CA23AA">
              <w:rPr>
                <w:rFonts w:eastAsia="Times New Roman" w:cs="Arial"/>
              </w:rPr>
              <w:t xml:space="preserve">Seven additional studies that </w:t>
            </w:r>
            <w:r w:rsidR="6ECDC5D7" w:rsidRPr="00CA23AA">
              <w:rPr>
                <w:rFonts w:eastAsia="Times New Roman" w:cs="Arial"/>
              </w:rPr>
              <w:t xml:space="preserve">it is assumed </w:t>
            </w:r>
            <w:r w:rsidRPr="00CA23AA">
              <w:rPr>
                <w:rFonts w:eastAsia="Times New Roman" w:cs="Arial"/>
              </w:rPr>
              <w:t xml:space="preserve">were excluded for a retrospective design, were identified </w:t>
            </w:r>
            <w:r w:rsidR="2E154C44" w:rsidRPr="00CA23AA">
              <w:rPr>
                <w:rFonts w:eastAsia="Times New Roman" w:cs="Arial"/>
              </w:rPr>
              <w:t>in the commentary</w:t>
            </w:r>
            <w:r w:rsidRPr="00CA23AA">
              <w:rPr>
                <w:rFonts w:eastAsia="Times New Roman" w:cs="Arial"/>
              </w:rPr>
              <w:t>, as well as another study published after the literature search date.</w:t>
            </w:r>
          </w:p>
          <w:p w14:paraId="708663A6" w14:textId="77777777" w:rsidR="00541169" w:rsidRPr="00CA23AA" w:rsidRDefault="00541169" w:rsidP="008D7601">
            <w:pPr>
              <w:pStyle w:val="TableText"/>
              <w:rPr>
                <w:rFonts w:eastAsia="Times New Roman" w:cs="Arial"/>
              </w:rPr>
            </w:pPr>
            <w:r w:rsidRPr="00CA23AA">
              <w:rPr>
                <w:rFonts w:eastAsia="Times New Roman" w:cs="Arial"/>
              </w:rPr>
              <w:t>The commentary has provided a more comprehensive comparison of the data presented in the sponsored and non-sponsored studies, and the Australian registry for both safety and effectiveness in Section 2.5.</w:t>
            </w:r>
          </w:p>
        </w:tc>
      </w:tr>
      <w:tr w:rsidR="00541169" w:rsidRPr="00CA23AA" w14:paraId="3E9ADFAC" w14:textId="77777777" w:rsidTr="1FD66A7D">
        <w:trPr>
          <w:cantSplit/>
        </w:trPr>
        <w:tc>
          <w:tcPr>
            <w:tcW w:w="1019" w:type="pct"/>
          </w:tcPr>
          <w:p w14:paraId="1767DF15" w14:textId="26217851" w:rsidR="00541169" w:rsidRPr="00CA23AA" w:rsidRDefault="00760CCC" w:rsidP="00824458">
            <w:pPr>
              <w:pStyle w:val="TableText"/>
            </w:pPr>
            <w:r w:rsidRPr="00CA23AA">
              <w:t>Registry safety and effectiveness data</w:t>
            </w:r>
          </w:p>
        </w:tc>
        <w:tc>
          <w:tcPr>
            <w:tcW w:w="1991" w:type="pct"/>
          </w:tcPr>
          <w:p w14:paraId="3460ABBD" w14:textId="77777777" w:rsidR="00760CCC" w:rsidRPr="00CA23AA" w:rsidRDefault="00760CCC" w:rsidP="00760CCC">
            <w:pPr>
              <w:pStyle w:val="TableText"/>
            </w:pPr>
            <w:r w:rsidRPr="00CA23AA">
              <w:t>The Australian Bone Marrow Transplant Recipient Registry must include the following data:</w:t>
            </w:r>
          </w:p>
          <w:p w14:paraId="7BA93EC2" w14:textId="77777777" w:rsidR="00760CCC" w:rsidRPr="00CA23AA" w:rsidRDefault="00760CCC" w:rsidP="00760CCC">
            <w:pPr>
              <w:pStyle w:val="TableText"/>
              <w:ind w:left="318" w:hanging="318"/>
            </w:pPr>
            <w:r w:rsidRPr="00CA23AA">
              <w:t>1.</w:t>
            </w:r>
            <w:r w:rsidRPr="00CA23AA">
              <w:tab/>
              <w:t xml:space="preserve">patient-reported </w:t>
            </w:r>
            <w:proofErr w:type="gramStart"/>
            <w:r w:rsidRPr="00CA23AA">
              <w:t>outcomes;</w:t>
            </w:r>
            <w:proofErr w:type="gramEnd"/>
          </w:p>
          <w:p w14:paraId="26D99529" w14:textId="77777777" w:rsidR="00760CCC" w:rsidRPr="00CA23AA" w:rsidRDefault="00760CCC" w:rsidP="00760CCC">
            <w:pPr>
              <w:pStyle w:val="TableText"/>
              <w:ind w:left="318" w:hanging="318"/>
            </w:pPr>
            <w:r w:rsidRPr="00CA23AA">
              <w:t>2.</w:t>
            </w:r>
            <w:r w:rsidRPr="00CA23AA">
              <w:tab/>
              <w:t>leukaemia-free survival (morphological complete remission and complete molecular remission</w:t>
            </w:r>
            <w:proofErr w:type="gramStart"/>
            <w:r w:rsidRPr="00CA23AA">
              <w:t>);</w:t>
            </w:r>
            <w:proofErr w:type="gramEnd"/>
          </w:p>
          <w:p w14:paraId="043C02F7" w14:textId="77777777" w:rsidR="00760CCC" w:rsidRPr="00CA23AA" w:rsidRDefault="00760CCC" w:rsidP="00760CCC">
            <w:pPr>
              <w:pStyle w:val="TableText"/>
              <w:ind w:left="318" w:hanging="318"/>
            </w:pPr>
            <w:r w:rsidRPr="00CA23AA">
              <w:t>3.</w:t>
            </w:r>
            <w:r w:rsidRPr="00CA23AA">
              <w:tab/>
              <w:t xml:space="preserve">complications, use of </w:t>
            </w:r>
            <w:proofErr w:type="gramStart"/>
            <w:r w:rsidRPr="00CA23AA">
              <w:t>high cost</w:t>
            </w:r>
            <w:proofErr w:type="gramEnd"/>
            <w:r w:rsidRPr="00CA23AA">
              <w:t xml:space="preserve"> medicines, late-onset adverse events and adverse events requiring hospitalisation admission and adverse events including those requiring ICU admission;</w:t>
            </w:r>
          </w:p>
          <w:p w14:paraId="0D4A72A2" w14:textId="77777777" w:rsidR="00760CCC" w:rsidRPr="00CA23AA" w:rsidRDefault="00760CCC" w:rsidP="00760CCC">
            <w:pPr>
              <w:pStyle w:val="TableText"/>
              <w:ind w:left="318" w:hanging="318"/>
            </w:pPr>
            <w:r w:rsidRPr="00CA23AA">
              <w:t>4.</w:t>
            </w:r>
            <w:r w:rsidRPr="00CA23AA">
              <w:tab/>
              <w:t xml:space="preserve">use and duration of </w:t>
            </w:r>
            <w:proofErr w:type="gramStart"/>
            <w:r w:rsidRPr="00CA23AA">
              <w:t>immunoglobulin;</w:t>
            </w:r>
            <w:proofErr w:type="gramEnd"/>
          </w:p>
          <w:p w14:paraId="7C1C6D77" w14:textId="77777777" w:rsidR="00760CCC" w:rsidRPr="00CA23AA" w:rsidRDefault="00760CCC" w:rsidP="00760CCC">
            <w:pPr>
              <w:pStyle w:val="TableText"/>
              <w:ind w:left="318" w:hanging="318"/>
            </w:pPr>
            <w:r w:rsidRPr="00CA23AA">
              <w:t>5.</w:t>
            </w:r>
            <w:r w:rsidRPr="00CA23AA">
              <w:tab/>
              <w:t xml:space="preserve">rate of reinfusion with any CAR-T </w:t>
            </w:r>
            <w:proofErr w:type="gramStart"/>
            <w:r w:rsidRPr="00CA23AA">
              <w:t>therapy;</w:t>
            </w:r>
            <w:proofErr w:type="gramEnd"/>
          </w:p>
          <w:p w14:paraId="69A06C68" w14:textId="77777777" w:rsidR="00760CCC" w:rsidRPr="00CA23AA" w:rsidRDefault="00760CCC" w:rsidP="00760CCC">
            <w:pPr>
              <w:pStyle w:val="TableText"/>
              <w:ind w:left="318" w:hanging="318"/>
            </w:pPr>
            <w:r w:rsidRPr="00CA23AA">
              <w:t>6.</w:t>
            </w:r>
            <w:r w:rsidRPr="00CA23AA">
              <w:tab/>
              <w:t>indication for use of CAR-T – for example bridge to stem cell transplant, following transplant; and</w:t>
            </w:r>
          </w:p>
          <w:p w14:paraId="06E5E28D" w14:textId="4A6BCD7D" w:rsidR="00541169" w:rsidRPr="00CA23AA" w:rsidRDefault="00760CCC" w:rsidP="00760CCC">
            <w:pPr>
              <w:pStyle w:val="TableText"/>
              <w:ind w:left="318" w:hanging="318"/>
            </w:pPr>
            <w:r w:rsidRPr="00CA23AA">
              <w:t>7.</w:t>
            </w:r>
            <w:r w:rsidRPr="00CA23AA">
              <w:tab/>
              <w:t>results for patients infused with non-optimal cell numbers.</w:t>
            </w:r>
          </w:p>
        </w:tc>
        <w:tc>
          <w:tcPr>
            <w:tcW w:w="1990" w:type="pct"/>
          </w:tcPr>
          <w:p w14:paraId="3F5483C6" w14:textId="77777777" w:rsidR="00760CCC" w:rsidRPr="00CA23AA" w:rsidRDefault="00760CCC" w:rsidP="00760CCC">
            <w:pPr>
              <w:pStyle w:val="TableText"/>
              <w:rPr>
                <w:rFonts w:eastAsia="Times New Roman" w:cs="Arial"/>
              </w:rPr>
            </w:pPr>
            <w:r w:rsidRPr="00CA23AA">
              <w:rPr>
                <w:rFonts w:eastAsia="Times New Roman" w:cs="Arial"/>
              </w:rPr>
              <w:t>Data have been provided, however there is minimal discussion presented.</w:t>
            </w:r>
          </w:p>
          <w:p w14:paraId="285023F7" w14:textId="12E6D00D" w:rsidR="00760CCC" w:rsidRPr="00CA23AA" w:rsidRDefault="00760CCC" w:rsidP="00760CCC">
            <w:pPr>
              <w:pStyle w:val="TableText"/>
              <w:ind w:left="272" w:hanging="272"/>
              <w:rPr>
                <w:rFonts w:eastAsia="Times New Roman" w:cs="Arial"/>
              </w:rPr>
            </w:pPr>
            <w:r w:rsidRPr="00CA23AA">
              <w:rPr>
                <w:rFonts w:eastAsia="Times New Roman" w:cs="Arial"/>
              </w:rPr>
              <w:t>1.</w:t>
            </w:r>
            <w:r w:rsidRPr="00CA23AA">
              <w:tab/>
            </w:r>
            <w:r w:rsidRPr="00CA23AA">
              <w:rPr>
                <w:rFonts w:eastAsia="Times New Roman" w:cs="Arial"/>
              </w:rPr>
              <w:t xml:space="preserve">Patient reported outcomes are presented for </w:t>
            </w:r>
            <w:r w:rsidR="52136C0F" w:rsidRPr="00CA23AA">
              <w:rPr>
                <w:rFonts w:eastAsia="Times New Roman" w:cs="Arial"/>
              </w:rPr>
              <w:t>only</w:t>
            </w:r>
            <w:r w:rsidR="7E42B212" w:rsidRPr="00CA23AA">
              <w:rPr>
                <w:rFonts w:eastAsia="Times New Roman" w:cs="Arial"/>
              </w:rPr>
              <w:t xml:space="preserve"> </w:t>
            </w:r>
            <w:r w:rsidRPr="00CA23AA">
              <w:rPr>
                <w:rFonts w:eastAsia="Times New Roman" w:cs="Arial"/>
              </w:rPr>
              <w:t>17% of registry cohort at 12 months follow up.</w:t>
            </w:r>
          </w:p>
          <w:p w14:paraId="258076D3" w14:textId="428DBC9E" w:rsidR="00760CCC" w:rsidRPr="00CA23AA" w:rsidRDefault="00760CCC" w:rsidP="00760CCC">
            <w:pPr>
              <w:pStyle w:val="TableText"/>
              <w:ind w:left="272" w:hanging="272"/>
              <w:rPr>
                <w:rFonts w:eastAsia="Times New Roman" w:cs="Arial"/>
              </w:rPr>
            </w:pPr>
            <w:r w:rsidRPr="00CA23AA">
              <w:rPr>
                <w:rFonts w:eastAsia="Times New Roman" w:cs="Arial"/>
              </w:rPr>
              <w:t>2.</w:t>
            </w:r>
            <w:r w:rsidRPr="00CA23AA">
              <w:tab/>
            </w:r>
            <w:r w:rsidRPr="00CA23AA">
              <w:rPr>
                <w:rFonts w:eastAsia="Times New Roman" w:cs="Arial"/>
              </w:rPr>
              <w:t xml:space="preserve">Remission is reported. It is unclear how this was measured (e.g., </w:t>
            </w:r>
            <w:proofErr w:type="gramStart"/>
            <w:r w:rsidRPr="00CA23AA">
              <w:rPr>
                <w:rFonts w:eastAsia="Times New Roman" w:cs="Arial"/>
              </w:rPr>
              <w:t>morphological</w:t>
            </w:r>
            <w:proofErr w:type="gramEnd"/>
            <w:r w:rsidRPr="00CA23AA">
              <w:rPr>
                <w:rFonts w:eastAsia="Times New Roman" w:cs="Arial"/>
              </w:rPr>
              <w:t xml:space="preserve"> or molecular)</w:t>
            </w:r>
            <w:r w:rsidR="4E8FD277" w:rsidRPr="00CA23AA">
              <w:rPr>
                <w:rFonts w:eastAsia="Times New Roman" w:cs="Arial"/>
              </w:rPr>
              <w:t>.</w:t>
            </w:r>
          </w:p>
          <w:p w14:paraId="4C5B4A0E" w14:textId="77777777" w:rsidR="00760CCC" w:rsidRPr="00CA23AA" w:rsidRDefault="00760CCC" w:rsidP="00760CCC">
            <w:pPr>
              <w:pStyle w:val="TableText"/>
              <w:ind w:left="272" w:hanging="272"/>
              <w:rPr>
                <w:rFonts w:eastAsia="Times New Roman" w:cs="Arial"/>
              </w:rPr>
            </w:pPr>
            <w:r w:rsidRPr="00CA23AA">
              <w:rPr>
                <w:rFonts w:eastAsia="Times New Roman" w:cs="Arial"/>
              </w:rPr>
              <w:t>3.</w:t>
            </w:r>
            <w:r w:rsidRPr="00CA23AA">
              <w:rPr>
                <w:rFonts w:eastAsia="Times New Roman" w:cs="Arial"/>
              </w:rPr>
              <w:tab/>
              <w:t>Complications and adverse events requiring hospitalisation/ICU admission have only been provided up to 100 days of follow-up. Late-onset events have not been described.</w:t>
            </w:r>
          </w:p>
          <w:p w14:paraId="6534C6E9" w14:textId="34DBC38C" w:rsidR="00760CCC" w:rsidRPr="00CA23AA" w:rsidRDefault="00760CCC" w:rsidP="00760CCC">
            <w:pPr>
              <w:pStyle w:val="TableText"/>
              <w:ind w:left="272" w:hanging="272"/>
              <w:rPr>
                <w:rFonts w:eastAsia="Times New Roman" w:cs="Arial"/>
              </w:rPr>
            </w:pPr>
            <w:r w:rsidRPr="00CA23AA">
              <w:rPr>
                <w:rFonts w:eastAsia="Times New Roman" w:cs="Arial"/>
              </w:rPr>
              <w:t>4.</w:t>
            </w:r>
            <w:r w:rsidRPr="00CA23AA">
              <w:tab/>
            </w:r>
            <w:r w:rsidRPr="00CA23AA">
              <w:rPr>
                <w:rFonts w:eastAsia="Times New Roman" w:cs="Arial"/>
              </w:rPr>
              <w:t xml:space="preserve">Use of immunoglobulin has only been provided up to </w:t>
            </w:r>
            <w:r w:rsidR="229CCC9D" w:rsidRPr="00CA23AA">
              <w:rPr>
                <w:rFonts w:eastAsia="Times New Roman" w:cs="Arial"/>
              </w:rPr>
              <w:t>12-months</w:t>
            </w:r>
            <w:r w:rsidRPr="00CA23AA">
              <w:rPr>
                <w:rFonts w:eastAsia="Times New Roman" w:cs="Arial"/>
              </w:rPr>
              <w:t xml:space="preserve"> of follow-up. Duration </w:t>
            </w:r>
            <w:r w:rsidR="09C555C1" w:rsidRPr="00CA23AA">
              <w:rPr>
                <w:rFonts w:eastAsia="Times New Roman" w:cs="Arial"/>
              </w:rPr>
              <w:t xml:space="preserve">is </w:t>
            </w:r>
            <w:r w:rsidRPr="00CA23AA">
              <w:rPr>
                <w:rFonts w:eastAsia="Times New Roman" w:cs="Arial"/>
              </w:rPr>
              <w:t>not reported</w:t>
            </w:r>
            <w:r w:rsidR="3431ACDF" w:rsidRPr="00CA23AA">
              <w:rPr>
                <w:rFonts w:eastAsia="Times New Roman" w:cs="Arial"/>
              </w:rPr>
              <w:t>.</w:t>
            </w:r>
          </w:p>
          <w:p w14:paraId="34BFD1F4" w14:textId="77777777" w:rsidR="00760CCC" w:rsidRPr="00CA23AA" w:rsidRDefault="00760CCC" w:rsidP="00760CCC">
            <w:pPr>
              <w:pStyle w:val="TableText"/>
              <w:ind w:left="272" w:hanging="272"/>
              <w:rPr>
                <w:rFonts w:eastAsia="Times New Roman" w:cs="Arial"/>
              </w:rPr>
            </w:pPr>
            <w:r w:rsidRPr="00CA23AA">
              <w:rPr>
                <w:rFonts w:eastAsia="Times New Roman" w:cs="Arial"/>
              </w:rPr>
              <w:t>5.</w:t>
            </w:r>
            <w:r w:rsidRPr="00CA23AA">
              <w:rPr>
                <w:rFonts w:eastAsia="Times New Roman" w:cs="Arial"/>
              </w:rPr>
              <w:tab/>
              <w:t>Presented. No reasons provided for reinfusion.</w:t>
            </w:r>
          </w:p>
          <w:p w14:paraId="3DE65A67" w14:textId="3DD29C5C" w:rsidR="00760CCC" w:rsidRPr="00CA23AA" w:rsidRDefault="00760CCC" w:rsidP="00760CCC">
            <w:pPr>
              <w:pStyle w:val="TableText"/>
              <w:ind w:left="272" w:hanging="272"/>
              <w:rPr>
                <w:rFonts w:eastAsia="Times New Roman" w:cs="Arial"/>
              </w:rPr>
            </w:pPr>
            <w:r w:rsidRPr="00CA23AA">
              <w:rPr>
                <w:rFonts w:eastAsia="Times New Roman" w:cs="Arial"/>
              </w:rPr>
              <w:t>6.</w:t>
            </w:r>
            <w:r w:rsidRPr="00CA23AA">
              <w:rPr>
                <w:rFonts w:eastAsia="Times New Roman" w:cs="Arial"/>
              </w:rPr>
              <w:tab/>
              <w:t xml:space="preserve">Indication for use of </w:t>
            </w:r>
            <w:r w:rsidR="00072B4E" w:rsidRPr="00CA23AA">
              <w:rPr>
                <w:rFonts w:eastAsia="Times New Roman" w:cs="Arial"/>
              </w:rPr>
              <w:t>CAR-</w:t>
            </w:r>
            <w:r w:rsidRPr="00CA23AA">
              <w:rPr>
                <w:rFonts w:eastAsia="Times New Roman" w:cs="Arial"/>
              </w:rPr>
              <w:t>T not provided</w:t>
            </w:r>
            <w:r w:rsidR="490C1A88" w:rsidRPr="00CA23AA">
              <w:rPr>
                <w:rFonts w:eastAsia="Times New Roman" w:cs="Arial"/>
              </w:rPr>
              <w:t>.</w:t>
            </w:r>
          </w:p>
          <w:p w14:paraId="3C30FE5C" w14:textId="145FDBFE" w:rsidR="00541169" w:rsidRPr="00CA23AA" w:rsidRDefault="00760CCC" w:rsidP="00760CCC">
            <w:pPr>
              <w:pStyle w:val="TableText"/>
              <w:ind w:left="272" w:hanging="272"/>
              <w:rPr>
                <w:rFonts w:eastAsia="Times New Roman" w:cs="Arial"/>
              </w:rPr>
            </w:pPr>
            <w:r w:rsidRPr="00CA23AA">
              <w:rPr>
                <w:rFonts w:eastAsia="Times New Roman" w:cs="Arial"/>
              </w:rPr>
              <w:t>7.</w:t>
            </w:r>
            <w:r w:rsidRPr="00CA23AA">
              <w:rPr>
                <w:rFonts w:eastAsia="Times New Roman" w:cs="Arial"/>
              </w:rPr>
              <w:tab/>
              <w:t>Presented with best response of patients recorded</w:t>
            </w:r>
            <w:r w:rsidR="66DD2DB6" w:rsidRPr="00CA23AA">
              <w:rPr>
                <w:rFonts w:eastAsia="Times New Roman" w:cs="Arial"/>
              </w:rPr>
              <w:t>.</w:t>
            </w:r>
          </w:p>
        </w:tc>
      </w:tr>
      <w:tr w:rsidR="00760CCC" w:rsidRPr="00CA23AA" w14:paraId="733CD0EF" w14:textId="77777777" w:rsidTr="1FD66A7D">
        <w:trPr>
          <w:cantSplit/>
        </w:trPr>
        <w:tc>
          <w:tcPr>
            <w:tcW w:w="1019" w:type="pct"/>
          </w:tcPr>
          <w:p w14:paraId="76233501" w14:textId="6735703C" w:rsidR="00760CCC" w:rsidRPr="00CA23AA" w:rsidRDefault="00760CCC" w:rsidP="00824458">
            <w:pPr>
              <w:pStyle w:val="TableText"/>
            </w:pPr>
            <w:r w:rsidRPr="00CA23AA">
              <w:t xml:space="preserve">Registry TIS, </w:t>
            </w:r>
            <w:proofErr w:type="spellStart"/>
            <w:r w:rsidR="00E06280" w:rsidRPr="00CA23AA">
              <w:t>a</w:t>
            </w:r>
            <w:r w:rsidRPr="00CA23AA">
              <w:t>HSCT</w:t>
            </w:r>
            <w:proofErr w:type="spellEnd"/>
            <w:r w:rsidRPr="00CA23AA">
              <w:t xml:space="preserve"> and Ig usage data </w:t>
            </w:r>
          </w:p>
        </w:tc>
        <w:tc>
          <w:tcPr>
            <w:tcW w:w="1991" w:type="pct"/>
          </w:tcPr>
          <w:p w14:paraId="77F8779B" w14:textId="77777777" w:rsidR="00760CCC" w:rsidRPr="00CA23AA" w:rsidRDefault="00760CCC" w:rsidP="00760CCC">
            <w:pPr>
              <w:pStyle w:val="TableText"/>
            </w:pPr>
            <w:r w:rsidRPr="00CA23AA">
              <w:t>Information required from registry data to answer uncertainties highlighted by MSAC:</w:t>
            </w:r>
          </w:p>
          <w:p w14:paraId="12117E21" w14:textId="77777777" w:rsidR="00760CCC" w:rsidRPr="00CA23AA" w:rsidRDefault="00760CCC" w:rsidP="00760CCC">
            <w:pPr>
              <w:pStyle w:val="TableText"/>
              <w:ind w:left="318" w:hanging="318"/>
            </w:pPr>
            <w:r w:rsidRPr="00CA23AA">
              <w:t>1.</w:t>
            </w:r>
            <w:r w:rsidRPr="00CA23AA">
              <w:tab/>
              <w:t>The number of patients who will be selected for treatment, and the number of patients who will ultimately receive treatment.</w:t>
            </w:r>
          </w:p>
          <w:p w14:paraId="4420858A" w14:textId="77777777" w:rsidR="00760CCC" w:rsidRPr="00CA23AA" w:rsidRDefault="00760CCC" w:rsidP="00760CCC">
            <w:pPr>
              <w:pStyle w:val="TableText"/>
              <w:ind w:left="318" w:hanging="318"/>
            </w:pPr>
            <w:r w:rsidRPr="00CA23AA">
              <w:t>2.</w:t>
            </w:r>
            <w:r w:rsidRPr="00CA23AA">
              <w:tab/>
              <w:t>The number of patients going on to stem cell transplantation</w:t>
            </w:r>
          </w:p>
          <w:p w14:paraId="3FB55150" w14:textId="2EAFD8E6" w:rsidR="00760CCC" w:rsidRPr="00CA23AA" w:rsidRDefault="00760CCC" w:rsidP="00760CCC">
            <w:pPr>
              <w:pStyle w:val="TableText"/>
              <w:ind w:left="318" w:hanging="318"/>
            </w:pPr>
            <w:r w:rsidRPr="00CA23AA">
              <w:t>3.</w:t>
            </w:r>
            <w:r w:rsidRPr="00CA23AA">
              <w:tab/>
              <w:t>The duration of immunoglobulin (intravenous, IVIg, or subcutaneous, SCIg) treatment</w:t>
            </w:r>
          </w:p>
        </w:tc>
        <w:tc>
          <w:tcPr>
            <w:tcW w:w="1990" w:type="pct"/>
          </w:tcPr>
          <w:p w14:paraId="6C5EB7C7" w14:textId="356D463B" w:rsidR="00760CCC" w:rsidRPr="00CA23AA" w:rsidRDefault="2388970B" w:rsidP="00760CCC">
            <w:pPr>
              <w:pStyle w:val="TableText"/>
              <w:rPr>
                <w:rFonts w:eastAsia="Times New Roman" w:cs="Arial"/>
              </w:rPr>
            </w:pPr>
            <w:r w:rsidRPr="00CA23AA">
              <w:rPr>
                <w:rFonts w:eastAsia="Times New Roman" w:cs="Arial"/>
              </w:rPr>
              <w:t>ABMTRR data provided the following information:</w:t>
            </w:r>
          </w:p>
          <w:p w14:paraId="08BD39F1" w14:textId="5C31A9F2" w:rsidR="00760CCC" w:rsidRPr="00CA23AA" w:rsidRDefault="00760CCC" w:rsidP="00760CCC">
            <w:pPr>
              <w:pStyle w:val="TableText"/>
              <w:ind w:left="272" w:hanging="272"/>
              <w:rPr>
                <w:rFonts w:eastAsia="Times New Roman" w:cs="Arial"/>
              </w:rPr>
            </w:pPr>
            <w:r w:rsidRPr="00CA23AA">
              <w:rPr>
                <w:rFonts w:eastAsia="Times New Roman" w:cs="Arial"/>
              </w:rPr>
              <w:t>1.</w:t>
            </w:r>
            <w:r w:rsidRPr="00CA23AA">
              <w:tab/>
            </w:r>
            <w:r w:rsidR="5575B8EC" w:rsidRPr="00CA23AA">
              <w:rPr>
                <w:rFonts w:eastAsia="Times New Roman" w:cs="Arial"/>
              </w:rPr>
              <w:t xml:space="preserve">All patients who were eligible for TIS were </w:t>
            </w:r>
            <w:r w:rsidR="008A38FE" w:rsidRPr="00CA23AA">
              <w:rPr>
                <w:rFonts w:eastAsia="Times New Roman" w:cs="Arial"/>
              </w:rPr>
              <w:t xml:space="preserve">infused. </w:t>
            </w:r>
            <w:r w:rsidR="00594907" w:rsidRPr="00186539">
              <w:rPr>
                <w:rFonts w:eastAsia="Times New Roman" w:cs="Arial" w:hint="eastAsia"/>
                <w:color w:val="000000"/>
                <w:w w:val="15"/>
                <w:shd w:val="solid" w:color="000000" w:fill="000000"/>
                <w:fitText w:val="10" w:id="-1161540089"/>
                <w14:textFill>
                  <w14:solidFill>
                    <w14:srgbClr w14:val="000000">
                      <w14:alpha w14:val="100000"/>
                    </w14:srgbClr>
                  </w14:solidFill>
                </w14:textFill>
              </w:rPr>
              <w:t xml:space="preserve">　</w:t>
            </w:r>
            <w:r w:rsidR="00594907" w:rsidRPr="00186539">
              <w:rPr>
                <w:rFonts w:eastAsia="Times New Roman" w:cs="Arial"/>
                <w:color w:val="000000"/>
                <w:w w:val="15"/>
                <w:shd w:val="solid" w:color="000000" w:fill="000000"/>
                <w:fitText w:val="10" w:id="-1161540089"/>
                <w14:textFill>
                  <w14:solidFill>
                    <w14:srgbClr w14:val="000000">
                      <w14:alpha w14:val="100000"/>
                    </w14:srgbClr>
                  </w14:solidFill>
                </w14:textFill>
              </w:rPr>
              <w:t>|</w:t>
            </w:r>
            <w:r w:rsidR="00594907" w:rsidRPr="00186539">
              <w:rPr>
                <w:rFonts w:eastAsia="Times New Roman" w:cs="Arial" w:hint="eastAsia"/>
                <w:color w:val="000000"/>
                <w:spacing w:val="-56"/>
                <w:w w:val="15"/>
                <w:shd w:val="solid" w:color="000000" w:fill="000000"/>
                <w:fitText w:val="10" w:id="-1161540089"/>
                <w14:textFill>
                  <w14:solidFill>
                    <w14:srgbClr w14:val="000000">
                      <w14:alpha w14:val="100000"/>
                    </w14:srgbClr>
                  </w14:solidFill>
                </w14:textFill>
              </w:rPr>
              <w:t xml:space="preserve">　</w:t>
            </w:r>
            <w:r w:rsidR="58278F1B" w:rsidRPr="00CA23AA">
              <w:rPr>
                <w:rFonts w:eastAsia="Times New Roman" w:cs="Arial"/>
              </w:rPr>
              <w:t>.</w:t>
            </w:r>
          </w:p>
          <w:p w14:paraId="5E6494B6" w14:textId="519DD526" w:rsidR="00760CCC" w:rsidRPr="00CA23AA" w:rsidRDefault="00760CCC" w:rsidP="00760CCC">
            <w:pPr>
              <w:pStyle w:val="TableText"/>
              <w:ind w:left="272" w:hanging="272"/>
              <w:rPr>
                <w:rFonts w:eastAsia="Times New Roman" w:cs="Arial"/>
              </w:rPr>
            </w:pPr>
            <w:r w:rsidRPr="00CA23AA">
              <w:rPr>
                <w:rFonts w:eastAsia="Times New Roman" w:cs="Arial"/>
              </w:rPr>
              <w:t>2.</w:t>
            </w:r>
            <w:r w:rsidRPr="00CA23AA">
              <w:tab/>
            </w:r>
            <w:r w:rsidR="00594907" w:rsidRPr="00982219">
              <w:rPr>
                <w:rFonts w:eastAsia="Times New Roman" w:cs="Arial"/>
                <w:color w:val="000000"/>
                <w:spacing w:val="194"/>
                <w:shd w:val="solid" w:color="000000" w:fill="000000"/>
                <w:fitText w:val="280" w:id="-1161540088"/>
                <w14:textFill>
                  <w14:solidFill>
                    <w14:srgbClr w14:val="000000">
                      <w14:alpha w14:val="100000"/>
                    </w14:srgbClr>
                  </w14:solidFill>
                </w14:textFill>
              </w:rPr>
              <w:t>|</w:t>
            </w:r>
            <w:r w:rsidR="00594907" w:rsidRPr="00982219">
              <w:rPr>
                <w:rFonts w:eastAsia="Times New Roman" w:cs="Arial"/>
                <w:color w:val="000000"/>
                <w:spacing w:val="1"/>
                <w:shd w:val="solid" w:color="000000" w:fill="000000"/>
                <w:fitText w:val="280" w:id="-1161540088"/>
                <w14:textFill>
                  <w14:solidFill>
                    <w14:srgbClr w14:val="000000">
                      <w14:alpha w14:val="100000"/>
                    </w14:srgbClr>
                  </w14:solidFill>
                </w14:textFill>
              </w:rPr>
              <w:t>|</w:t>
            </w:r>
            <w:r w:rsidR="06FC59FB" w:rsidRPr="00CA23AA">
              <w:rPr>
                <w:rFonts w:eastAsia="Times New Roman" w:cs="Arial"/>
              </w:rPr>
              <w:t xml:space="preserve"> </w:t>
            </w:r>
            <w:r w:rsidR="00594907" w:rsidRPr="00982219">
              <w:rPr>
                <w:rFonts w:eastAsia="Times New Roman" w:cs="Arial"/>
                <w:color w:val="000000"/>
                <w:spacing w:val="184"/>
                <w:shd w:val="solid" w:color="000000" w:fill="000000"/>
                <w:fitText w:val="270" w:id="-1161540087"/>
                <w14:textFill>
                  <w14:solidFill>
                    <w14:srgbClr w14:val="000000">
                      <w14:alpha w14:val="100000"/>
                    </w14:srgbClr>
                  </w14:solidFill>
                </w14:textFill>
              </w:rPr>
              <w:t>|</w:t>
            </w:r>
            <w:r w:rsidR="00594907" w:rsidRPr="00982219">
              <w:rPr>
                <w:rFonts w:eastAsia="Times New Roman" w:cs="Arial"/>
                <w:color w:val="000000"/>
                <w:spacing w:val="1"/>
                <w:shd w:val="solid" w:color="000000" w:fill="000000"/>
                <w:fitText w:val="270" w:id="-1161540087"/>
                <w14:textFill>
                  <w14:solidFill>
                    <w14:srgbClr w14:val="000000">
                      <w14:alpha w14:val="100000"/>
                    </w14:srgbClr>
                  </w14:solidFill>
                </w14:textFill>
              </w:rPr>
              <w:t>|</w:t>
            </w:r>
            <w:r w:rsidR="57D12293" w:rsidRPr="00CA23AA">
              <w:rPr>
                <w:rFonts w:eastAsia="Times New Roman" w:cs="Arial"/>
              </w:rPr>
              <w:t>.</w:t>
            </w:r>
          </w:p>
          <w:p w14:paraId="29FD3DE9" w14:textId="75BC5B84" w:rsidR="00760CCC" w:rsidRPr="00CA23AA" w:rsidRDefault="00760CCC" w:rsidP="00760CCC">
            <w:pPr>
              <w:pStyle w:val="TableText"/>
              <w:ind w:left="272" w:hanging="272"/>
              <w:rPr>
                <w:rFonts w:eastAsia="Times New Roman" w:cs="Arial"/>
              </w:rPr>
            </w:pPr>
            <w:r w:rsidRPr="00CA23AA">
              <w:rPr>
                <w:rFonts w:eastAsia="Times New Roman" w:cs="Arial"/>
              </w:rPr>
              <w:t>3.</w:t>
            </w:r>
            <w:r w:rsidRPr="00CA23AA">
              <w:tab/>
            </w:r>
            <w:r w:rsidRPr="00CA23AA">
              <w:rPr>
                <w:rFonts w:eastAsia="Times New Roman" w:cs="Arial"/>
              </w:rPr>
              <w:t xml:space="preserve">Immunoglobulin usage was only reported as a proportion of patients who received therapy in </w:t>
            </w:r>
            <w:r w:rsidR="55EBB1F4" w:rsidRPr="00CA23AA">
              <w:rPr>
                <w:rFonts w:eastAsia="Times New Roman" w:cs="Arial"/>
              </w:rPr>
              <w:t>within</w:t>
            </w:r>
            <w:r w:rsidRPr="00CA23AA">
              <w:rPr>
                <w:rFonts w:eastAsia="Times New Roman" w:cs="Arial"/>
              </w:rPr>
              <w:t xml:space="preserve"> first </w:t>
            </w:r>
            <w:r w:rsidR="79CC76BC" w:rsidRPr="00CA23AA">
              <w:rPr>
                <w:rFonts w:eastAsia="Times New Roman" w:cs="Arial"/>
              </w:rPr>
              <w:t xml:space="preserve">12 months. </w:t>
            </w:r>
            <w:r w:rsidR="6A5E7DCF" w:rsidRPr="00CA23AA">
              <w:rPr>
                <w:rFonts w:eastAsia="Times New Roman" w:cs="Arial"/>
              </w:rPr>
              <w:t>Duration was not reported.</w:t>
            </w:r>
          </w:p>
        </w:tc>
      </w:tr>
      <w:tr w:rsidR="00760CCC" w:rsidRPr="00CA23AA" w14:paraId="71511897" w14:textId="77777777" w:rsidTr="1FD66A7D">
        <w:trPr>
          <w:cantSplit/>
        </w:trPr>
        <w:tc>
          <w:tcPr>
            <w:tcW w:w="1019" w:type="pct"/>
          </w:tcPr>
          <w:p w14:paraId="18766A06" w14:textId="69D9CD62" w:rsidR="00760CCC" w:rsidRPr="00CA23AA" w:rsidRDefault="00072B4E" w:rsidP="00824458">
            <w:pPr>
              <w:pStyle w:val="TableText"/>
            </w:pPr>
            <w:r w:rsidRPr="00CA23AA">
              <w:t>Cost-effectiveness</w:t>
            </w:r>
          </w:p>
        </w:tc>
        <w:tc>
          <w:tcPr>
            <w:tcW w:w="1991" w:type="pct"/>
          </w:tcPr>
          <w:p w14:paraId="11CE185D" w14:textId="43263C6A" w:rsidR="00760CCC" w:rsidRPr="00CA23AA" w:rsidRDefault="00072B4E" w:rsidP="00760CCC">
            <w:pPr>
              <w:pStyle w:val="TableText"/>
            </w:pPr>
            <w:r w:rsidRPr="00CA23AA">
              <w:t>An assessment of whether the costings provided in the initial submission are consistent with the actual costs of treating patients in Australia;</w:t>
            </w:r>
          </w:p>
        </w:tc>
        <w:tc>
          <w:tcPr>
            <w:tcW w:w="1990" w:type="pct"/>
          </w:tcPr>
          <w:p w14:paraId="31E0A2B0" w14:textId="317350AF" w:rsidR="00760CCC" w:rsidRPr="00CA23AA" w:rsidRDefault="005003B9" w:rsidP="00760CCC">
            <w:pPr>
              <w:pStyle w:val="TableText"/>
              <w:rPr>
                <w:rFonts w:eastAsia="Times New Roman" w:cs="Arial"/>
              </w:rPr>
            </w:pPr>
            <w:r w:rsidRPr="00CA23AA">
              <w:rPr>
                <w:rFonts w:eastAsia="Times New Roman" w:cs="Arial"/>
              </w:rPr>
              <w:t>Resource use and cost associated with TIS infusion (excluding cost of TIS)</w:t>
            </w:r>
            <w:r w:rsidR="00AF280F" w:rsidRPr="00CA23AA">
              <w:rPr>
                <w:rFonts w:eastAsia="Times New Roman" w:cs="Arial"/>
              </w:rPr>
              <w:t xml:space="preserve"> and disease management </w:t>
            </w:r>
            <w:r w:rsidRPr="00CA23AA">
              <w:rPr>
                <w:rFonts w:eastAsia="Times New Roman" w:cs="Arial"/>
              </w:rPr>
              <w:t xml:space="preserve">are </w:t>
            </w:r>
            <w:r w:rsidR="00975651" w:rsidRPr="00CA23AA">
              <w:rPr>
                <w:rFonts w:eastAsia="Times New Roman" w:cs="Arial"/>
              </w:rPr>
              <w:t xml:space="preserve">substantially </w:t>
            </w:r>
            <w:r w:rsidR="003F01C8" w:rsidRPr="00CA23AA">
              <w:rPr>
                <w:rFonts w:eastAsia="Times New Roman" w:cs="Arial"/>
              </w:rPr>
              <w:t>lower</w:t>
            </w:r>
            <w:r w:rsidRPr="00CA23AA">
              <w:rPr>
                <w:rFonts w:eastAsia="Times New Roman" w:cs="Arial"/>
              </w:rPr>
              <w:t xml:space="preserve"> in the modelled evaluation compared with those </w:t>
            </w:r>
            <w:r w:rsidR="003F01C8" w:rsidRPr="00CA23AA">
              <w:rPr>
                <w:rFonts w:eastAsia="Times New Roman" w:cs="Arial"/>
              </w:rPr>
              <w:t>provided by</w:t>
            </w:r>
            <w:r w:rsidRPr="00CA23AA">
              <w:rPr>
                <w:rFonts w:eastAsia="Times New Roman" w:cs="Arial"/>
              </w:rPr>
              <w:t xml:space="preserve"> the </w:t>
            </w:r>
            <w:r w:rsidR="003F01C8" w:rsidRPr="00CA23AA">
              <w:rPr>
                <w:rFonts w:eastAsia="Times New Roman" w:cs="Arial"/>
              </w:rPr>
              <w:t>State hospitals</w:t>
            </w:r>
            <w:r w:rsidRPr="00CA23AA">
              <w:rPr>
                <w:rFonts w:eastAsia="Times New Roman" w:cs="Arial"/>
              </w:rPr>
              <w:t>.</w:t>
            </w:r>
          </w:p>
          <w:p w14:paraId="2A895365" w14:textId="560FDA87" w:rsidR="009221D1" w:rsidRPr="00CA23AA" w:rsidRDefault="009221D1" w:rsidP="00760CCC">
            <w:pPr>
              <w:pStyle w:val="TableText"/>
              <w:rPr>
                <w:rFonts w:eastAsia="Times New Roman" w:cs="Arial"/>
              </w:rPr>
            </w:pPr>
            <w:r w:rsidRPr="00CA23AA">
              <w:rPr>
                <w:rFonts w:eastAsia="Times New Roman" w:cs="Arial"/>
              </w:rPr>
              <w:t>Use of subsequent therapies (including</w:t>
            </w:r>
            <w:r w:rsidR="00AF280F" w:rsidRPr="00CA23AA">
              <w:rPr>
                <w:rFonts w:eastAsia="Times New Roman" w:cs="Arial"/>
              </w:rPr>
              <w:t xml:space="preserve"> Ig,</w:t>
            </w:r>
            <w:r w:rsidRPr="00CA23AA">
              <w:rPr>
                <w:rFonts w:eastAsia="Times New Roman" w:cs="Arial"/>
              </w:rPr>
              <w:t xml:space="preserve"> subsequent dose of TIS, </w:t>
            </w:r>
            <w:proofErr w:type="spellStart"/>
            <w:r w:rsidR="008C5435" w:rsidRPr="00CA23AA">
              <w:rPr>
                <w:rFonts w:eastAsia="Times New Roman" w:cs="Arial"/>
              </w:rPr>
              <w:t>aHSCT</w:t>
            </w:r>
            <w:proofErr w:type="spellEnd"/>
            <w:r w:rsidRPr="00CA23AA">
              <w:rPr>
                <w:rFonts w:eastAsia="Times New Roman" w:cs="Arial"/>
              </w:rPr>
              <w:t xml:space="preserve"> and other therapies) </w:t>
            </w:r>
            <w:r w:rsidR="0052121D" w:rsidRPr="00CA23AA">
              <w:rPr>
                <w:rFonts w:eastAsia="Times New Roman" w:cs="Arial"/>
              </w:rPr>
              <w:t>was</w:t>
            </w:r>
            <w:r w:rsidRPr="00CA23AA">
              <w:rPr>
                <w:rFonts w:eastAsia="Times New Roman" w:cs="Arial"/>
              </w:rPr>
              <w:t xml:space="preserve"> much higher than modelled</w:t>
            </w:r>
            <w:r w:rsidR="00AF280F" w:rsidRPr="00CA23AA">
              <w:rPr>
                <w:rFonts w:eastAsia="Times New Roman" w:cs="Arial"/>
              </w:rPr>
              <w:t xml:space="preserve">. </w:t>
            </w:r>
          </w:p>
        </w:tc>
      </w:tr>
      <w:tr w:rsidR="00072B4E" w:rsidRPr="00CA23AA" w14:paraId="5DC6E46D" w14:textId="77777777" w:rsidTr="1FD66A7D">
        <w:trPr>
          <w:cantSplit/>
        </w:trPr>
        <w:tc>
          <w:tcPr>
            <w:tcW w:w="1019" w:type="pct"/>
          </w:tcPr>
          <w:p w14:paraId="5A598D07" w14:textId="77777777" w:rsidR="00072B4E" w:rsidRPr="00CA23AA" w:rsidRDefault="00072B4E" w:rsidP="00824458">
            <w:pPr>
              <w:pStyle w:val="TableText"/>
            </w:pPr>
          </w:p>
        </w:tc>
        <w:tc>
          <w:tcPr>
            <w:tcW w:w="1991" w:type="pct"/>
          </w:tcPr>
          <w:p w14:paraId="38841CE9" w14:textId="760E2E58" w:rsidR="00072B4E" w:rsidRPr="00CA23AA" w:rsidRDefault="00072B4E" w:rsidP="00072B4E">
            <w:pPr>
              <w:pStyle w:val="TableText"/>
            </w:pPr>
            <w:r w:rsidRPr="00CA23AA">
              <w:t>Where there are changes to clinical outcomes or costs, whether the cost effectiveness as estimated in the original application is still supported.</w:t>
            </w:r>
          </w:p>
        </w:tc>
        <w:tc>
          <w:tcPr>
            <w:tcW w:w="1990" w:type="pct"/>
          </w:tcPr>
          <w:p w14:paraId="3F55E88B" w14:textId="071F5E40" w:rsidR="00072B4E" w:rsidRPr="00CA23AA" w:rsidRDefault="005003B9" w:rsidP="00760CCC">
            <w:pPr>
              <w:pStyle w:val="TableText"/>
              <w:rPr>
                <w:rFonts w:eastAsia="Times New Roman" w:cs="Arial"/>
              </w:rPr>
            </w:pPr>
            <w:r w:rsidRPr="00CA23AA">
              <w:rPr>
                <w:rFonts w:eastAsia="Times New Roman" w:cs="Arial"/>
              </w:rPr>
              <w:t xml:space="preserve">Based on the higher program costs than estimated by the modelled evaluation, the incremental cost effectiveness ratio is likely much higher than </w:t>
            </w:r>
            <w:r w:rsidRPr="00CA23AA">
              <w:t>estimated in the original application.</w:t>
            </w:r>
          </w:p>
        </w:tc>
      </w:tr>
      <w:tr w:rsidR="00072B4E" w:rsidRPr="00CA23AA" w14:paraId="31DA2B8F" w14:textId="77777777" w:rsidTr="1FD66A7D">
        <w:trPr>
          <w:cantSplit/>
        </w:trPr>
        <w:tc>
          <w:tcPr>
            <w:tcW w:w="1019" w:type="pct"/>
          </w:tcPr>
          <w:p w14:paraId="0CF8A810" w14:textId="0748BF1B" w:rsidR="00072B4E" w:rsidRPr="00CA23AA" w:rsidRDefault="00226CC6" w:rsidP="00824458">
            <w:pPr>
              <w:pStyle w:val="TableText"/>
            </w:pPr>
            <w:r w:rsidRPr="00CA23AA">
              <w:t>Utilisation</w:t>
            </w:r>
          </w:p>
        </w:tc>
        <w:tc>
          <w:tcPr>
            <w:tcW w:w="1991" w:type="pct"/>
          </w:tcPr>
          <w:p w14:paraId="3A54270F" w14:textId="57763E77" w:rsidR="00072B4E" w:rsidRPr="00CA23AA" w:rsidRDefault="00072B4E" w:rsidP="00072B4E">
            <w:pPr>
              <w:pStyle w:val="TableText"/>
            </w:pPr>
            <w:r w:rsidRPr="00CA23AA">
              <w:t>An assessment of utilisation and whether these are as expected and justified</w:t>
            </w:r>
          </w:p>
        </w:tc>
        <w:tc>
          <w:tcPr>
            <w:tcW w:w="1990" w:type="pct"/>
          </w:tcPr>
          <w:p w14:paraId="496B3B99" w14:textId="7C2F1E97" w:rsidR="00072B4E" w:rsidRPr="00CA23AA" w:rsidRDefault="006F4F82" w:rsidP="00760CCC">
            <w:pPr>
              <w:pStyle w:val="TableText"/>
              <w:rPr>
                <w:rFonts w:eastAsia="Times New Roman" w:cs="Arial"/>
              </w:rPr>
            </w:pPr>
            <w:r w:rsidRPr="00CA23AA">
              <w:rPr>
                <w:rFonts w:eastAsia="Times New Roman" w:cs="Arial"/>
              </w:rPr>
              <w:t xml:space="preserve">The utilisation of TIS for </w:t>
            </w:r>
            <w:proofErr w:type="spellStart"/>
            <w:r w:rsidRPr="00CA23AA">
              <w:rPr>
                <w:rFonts w:eastAsia="Times New Roman" w:cs="Arial"/>
              </w:rPr>
              <w:t>pALL</w:t>
            </w:r>
            <w:proofErr w:type="spellEnd"/>
            <w:r w:rsidRPr="00CA23AA">
              <w:rPr>
                <w:rFonts w:eastAsia="Times New Roman" w:cs="Arial"/>
              </w:rPr>
              <w:t xml:space="preserve"> has been lower than estimated by Novartis and accepted by MSAC under the Deed. </w:t>
            </w:r>
            <w:r w:rsidR="005003B9" w:rsidRPr="00CA23AA">
              <w:rPr>
                <w:rFonts w:eastAsia="Times New Roman" w:cs="Arial"/>
              </w:rPr>
              <w:t xml:space="preserve">This may have been </w:t>
            </w:r>
            <w:r w:rsidR="005003B9" w:rsidRPr="00CA23AA">
              <w:t>due to many possible reasons, including the COVID-19 pandemic, implementation issues, low clinician confidence in the therapy being first in the class and lack of provider awareness for eligibility and toxicity management.</w:t>
            </w:r>
          </w:p>
        </w:tc>
      </w:tr>
      <w:tr w:rsidR="00072B4E" w:rsidRPr="00CA23AA" w14:paraId="6999950A" w14:textId="77777777" w:rsidTr="1FD66A7D">
        <w:trPr>
          <w:cantSplit/>
        </w:trPr>
        <w:tc>
          <w:tcPr>
            <w:tcW w:w="1019" w:type="pct"/>
          </w:tcPr>
          <w:p w14:paraId="069829C6" w14:textId="313BD87C" w:rsidR="00072B4E" w:rsidRPr="00CA23AA" w:rsidRDefault="00226CC6" w:rsidP="00072B4E">
            <w:pPr>
              <w:pStyle w:val="TableText"/>
            </w:pPr>
            <w:r w:rsidRPr="00CA23AA">
              <w:t>Financial cost</w:t>
            </w:r>
          </w:p>
        </w:tc>
        <w:tc>
          <w:tcPr>
            <w:tcW w:w="1991" w:type="pct"/>
          </w:tcPr>
          <w:p w14:paraId="16873918" w14:textId="60A0614B" w:rsidR="00072B4E" w:rsidRPr="00CA23AA" w:rsidRDefault="00072B4E" w:rsidP="00072B4E">
            <w:pPr>
              <w:pStyle w:val="TableText"/>
            </w:pPr>
            <w:r w:rsidRPr="00CA23AA">
              <w:t>Whether the updated information supports any changes to the arrangements for payment in the Deed</w:t>
            </w:r>
          </w:p>
        </w:tc>
        <w:tc>
          <w:tcPr>
            <w:tcW w:w="1990" w:type="pct"/>
          </w:tcPr>
          <w:p w14:paraId="5CFE7464" w14:textId="27B7AD19" w:rsidR="00072B4E" w:rsidRPr="00CA23AA" w:rsidRDefault="00594907" w:rsidP="00072B4E">
            <w:pPr>
              <w:pStyle w:val="TableText"/>
              <w:rPr>
                <w:rFonts w:eastAsia="Times New Roman" w:cs="Arial"/>
              </w:rPr>
            </w:pPr>
            <w:r w:rsidRPr="00982219">
              <w:rPr>
                <w:rFonts w:eastAsia="Times New Roman" w:cs="Arial"/>
                <w:color w:val="000000"/>
                <w:spacing w:val="184"/>
                <w:shd w:val="solid" w:color="000000" w:fill="000000"/>
                <w:fitText w:val="270" w:id="-1161540086"/>
                <w14:textFill>
                  <w14:solidFill>
                    <w14:srgbClr w14:val="000000">
                      <w14:alpha w14:val="100000"/>
                    </w14:srgbClr>
                  </w14:solidFill>
                </w14:textFill>
              </w:rPr>
              <w:t>|</w:t>
            </w:r>
            <w:r w:rsidRPr="00982219">
              <w:rPr>
                <w:rFonts w:eastAsia="Times New Roman" w:cs="Arial"/>
                <w:color w:val="000000"/>
                <w:spacing w:val="1"/>
                <w:shd w:val="solid" w:color="000000" w:fill="000000"/>
                <w:fitText w:val="270" w:id="-1161540086"/>
                <w14:textFill>
                  <w14:solidFill>
                    <w14:srgbClr w14:val="000000">
                      <w14:alpha w14:val="100000"/>
                    </w14:srgbClr>
                  </w14:solidFill>
                </w14:textFill>
              </w:rPr>
              <w:t>|</w:t>
            </w:r>
            <w:r w:rsidR="0012169C" w:rsidRPr="00CA23AA">
              <w:rPr>
                <w:rFonts w:eastAsia="Times New Roman" w:cs="Arial"/>
              </w:rPr>
              <w:t xml:space="preserve"> the </w:t>
            </w:r>
            <w:r w:rsidR="002D64A2" w:rsidRPr="00CA23AA">
              <w:rPr>
                <w:rFonts w:eastAsia="Times New Roman" w:cs="Arial"/>
              </w:rPr>
              <w:t>other program</w:t>
            </w:r>
            <w:r w:rsidR="0012169C" w:rsidRPr="00CA23AA">
              <w:rPr>
                <w:rFonts w:eastAsia="Times New Roman" w:cs="Arial"/>
              </w:rPr>
              <w:t xml:space="preserve"> costs realised in </w:t>
            </w:r>
            <w:r w:rsidR="003F01C8" w:rsidRPr="00CA23AA">
              <w:rPr>
                <w:rFonts w:eastAsia="Times New Roman" w:cs="Arial"/>
              </w:rPr>
              <w:t xml:space="preserve">the </w:t>
            </w:r>
            <w:r w:rsidR="0012169C" w:rsidRPr="00CA23AA">
              <w:rPr>
                <w:rFonts w:eastAsia="Times New Roman" w:cs="Arial"/>
              </w:rPr>
              <w:t xml:space="preserve">clinical practice are much higher than </w:t>
            </w:r>
            <w:r w:rsidR="003F01C8" w:rsidRPr="00CA23AA">
              <w:rPr>
                <w:rFonts w:eastAsia="Times New Roman" w:cs="Arial"/>
              </w:rPr>
              <w:t>modelled</w:t>
            </w:r>
            <w:r w:rsidR="0012169C" w:rsidRPr="00CA23AA">
              <w:rPr>
                <w:rFonts w:eastAsia="Times New Roman" w:cs="Arial"/>
              </w:rPr>
              <w:t xml:space="preserve"> in the </w:t>
            </w:r>
            <w:r w:rsidR="6BE877B4" w:rsidRPr="00CA23AA">
              <w:rPr>
                <w:rFonts w:eastAsia="Times New Roman" w:cs="Arial"/>
              </w:rPr>
              <w:t>ADAR</w:t>
            </w:r>
            <w:r w:rsidR="002D64A2" w:rsidRPr="00CA23AA">
              <w:rPr>
                <w:rFonts w:eastAsia="Times New Roman" w:cs="Arial"/>
              </w:rPr>
              <w:t xml:space="preserve">. </w:t>
            </w:r>
          </w:p>
          <w:p w14:paraId="5CA60EFB" w14:textId="4FDF456E" w:rsidR="002D64A2" w:rsidRPr="00CA23AA" w:rsidRDefault="002D64A2" w:rsidP="00072B4E">
            <w:pPr>
              <w:pStyle w:val="TableText"/>
              <w:rPr>
                <w:rFonts w:eastAsia="Times New Roman" w:cs="Arial"/>
              </w:rPr>
            </w:pPr>
            <w:r w:rsidRPr="00CA23AA">
              <w:rPr>
                <w:rFonts w:eastAsia="Times New Roman" w:cs="Arial"/>
              </w:rPr>
              <w:t>Sponsor estimated net cost of TIS program to be approximately $</w:t>
            </w:r>
            <w:r w:rsidR="00594907" w:rsidRPr="00982219">
              <w:rPr>
                <w:rFonts w:eastAsia="Times New Roman" w:cs="Arial"/>
                <w:color w:val="000000"/>
                <w:spacing w:val="184"/>
                <w:shd w:val="solid" w:color="000000" w:fill="000000"/>
                <w:fitText w:val="270" w:id="-1161540085"/>
                <w14:textFill>
                  <w14:solidFill>
                    <w14:srgbClr w14:val="000000">
                      <w14:alpha w14:val="100000"/>
                    </w14:srgbClr>
                  </w14:solidFill>
                </w14:textFill>
              </w:rPr>
              <w:t>|</w:t>
            </w:r>
            <w:r w:rsidR="00594907" w:rsidRPr="00982219">
              <w:rPr>
                <w:rFonts w:eastAsia="Times New Roman" w:cs="Arial"/>
                <w:color w:val="000000"/>
                <w:spacing w:val="1"/>
                <w:shd w:val="solid" w:color="000000" w:fill="000000"/>
                <w:fitText w:val="270" w:id="-1161540085"/>
                <w14:textFill>
                  <w14:solidFill>
                    <w14:srgbClr w14:val="000000">
                      <w14:alpha w14:val="100000"/>
                    </w14:srgbClr>
                  </w14:solidFill>
                </w14:textFill>
              </w:rPr>
              <w:t>|</w:t>
            </w:r>
            <w:r w:rsidRPr="00CA23AA">
              <w:rPr>
                <w:rFonts w:eastAsia="Times New Roman" w:cs="Arial"/>
              </w:rPr>
              <w:t xml:space="preserve"> for the first three years of Deed. However, based on the data provided by states, the actual estimates are probably </w:t>
            </w:r>
            <w:r w:rsidR="009147AC" w:rsidRPr="00CA23AA">
              <w:rPr>
                <w:rFonts w:eastAsia="Times New Roman" w:cs="Arial"/>
              </w:rPr>
              <w:t>as high as</w:t>
            </w:r>
            <w:r w:rsidRPr="00CA23AA">
              <w:rPr>
                <w:rFonts w:eastAsia="Times New Roman" w:cs="Arial"/>
              </w:rPr>
              <w:t xml:space="preserve"> $</w:t>
            </w:r>
            <w:r w:rsidR="00594907" w:rsidRPr="00982219">
              <w:rPr>
                <w:rFonts w:eastAsia="Times New Roman" w:cs="Arial"/>
                <w:color w:val="000000"/>
                <w:spacing w:val="184"/>
                <w:shd w:val="solid" w:color="000000" w:fill="000000"/>
                <w:fitText w:val="270" w:id="-1161540084"/>
                <w14:textFill>
                  <w14:solidFill>
                    <w14:srgbClr w14:val="000000">
                      <w14:alpha w14:val="100000"/>
                    </w14:srgbClr>
                  </w14:solidFill>
                </w14:textFill>
              </w:rPr>
              <w:t>|</w:t>
            </w:r>
            <w:r w:rsidR="00594907" w:rsidRPr="00982219">
              <w:rPr>
                <w:rFonts w:eastAsia="Times New Roman" w:cs="Arial"/>
                <w:color w:val="000000"/>
                <w:spacing w:val="1"/>
                <w:shd w:val="solid" w:color="000000" w:fill="000000"/>
                <w:fitText w:val="270" w:id="-1161540084"/>
                <w14:textFill>
                  <w14:solidFill>
                    <w14:srgbClr w14:val="000000">
                      <w14:alpha w14:val="100000"/>
                    </w14:srgbClr>
                  </w14:solidFill>
                </w14:textFill>
              </w:rPr>
              <w:t>|</w:t>
            </w:r>
            <w:r w:rsidRPr="00CA23AA">
              <w:rPr>
                <w:rFonts w:eastAsia="Times New Roman" w:cs="Arial"/>
              </w:rPr>
              <w:t xml:space="preserve"> in the first three years.</w:t>
            </w:r>
          </w:p>
        </w:tc>
      </w:tr>
    </w:tbl>
    <w:p w14:paraId="3EA0F47E" w14:textId="35C48EE9" w:rsidR="00F57885" w:rsidRPr="00CA23AA" w:rsidRDefault="0B5920B6" w:rsidP="0065549C">
      <w:pPr>
        <w:pStyle w:val="TableFigureFooter"/>
        <w:spacing w:after="240"/>
      </w:pPr>
      <w:r w:rsidRPr="00CA23AA">
        <w:t xml:space="preserve">ABMTRR = Australian Bone Marrow Transplant Recipient Registry; </w:t>
      </w:r>
      <w:bookmarkStart w:id="10" w:name="_Hlk68275617"/>
      <w:bookmarkEnd w:id="9"/>
      <w:r w:rsidR="00346D59" w:rsidRPr="00CA23AA">
        <w:t>ADAR = Applicant-Developed Assessment Report;</w:t>
      </w:r>
      <w:r w:rsidR="00F57885" w:rsidRPr="00CA23AA">
        <w:t xml:space="preserve"> </w:t>
      </w:r>
      <w:proofErr w:type="spellStart"/>
      <w:r w:rsidR="003F01C8" w:rsidRPr="00CA23AA">
        <w:t>aHSCT</w:t>
      </w:r>
      <w:proofErr w:type="spellEnd"/>
      <w:r w:rsidR="003F01C8" w:rsidRPr="00CA23AA">
        <w:t xml:space="preserve"> = allogenic haematopoietic stem cell transplantation; </w:t>
      </w:r>
      <w:r w:rsidR="00072B4E" w:rsidRPr="00CA23AA">
        <w:t xml:space="preserve">CAR-T = </w:t>
      </w:r>
      <w:r w:rsidR="00226CC6" w:rsidRPr="00CA23AA">
        <w:t>Chimeric antigen receptor T-cell</w:t>
      </w:r>
      <w:r w:rsidR="00072B4E" w:rsidRPr="00CA23AA">
        <w:t xml:space="preserve">; CRS = </w:t>
      </w:r>
      <w:r w:rsidR="00226CC6" w:rsidRPr="00CA23AA">
        <w:t>Cytokine Release Syndrome</w:t>
      </w:r>
      <w:r w:rsidR="00072B4E" w:rsidRPr="00CA23AA">
        <w:t xml:space="preserve">; FDA = Federal Drug Administration; ICU = intensive care unit; Ig = immunoglobulin; </w:t>
      </w:r>
      <w:r w:rsidR="00F57885" w:rsidRPr="00CA23AA">
        <w:t xml:space="preserve">MSAC = Medical Services Advisory Committee; </w:t>
      </w:r>
      <w:proofErr w:type="spellStart"/>
      <w:r w:rsidR="29DD9FF7" w:rsidRPr="00CA23AA">
        <w:t>pALL</w:t>
      </w:r>
      <w:proofErr w:type="spellEnd"/>
      <w:r w:rsidR="29DD9FF7" w:rsidRPr="00CA23AA">
        <w:t xml:space="preserve"> = paediatric and young adult patients up to 25 years of age with B-cell precursor acute lymphoblastic leukaemia; </w:t>
      </w:r>
      <w:r w:rsidR="00594907" w:rsidRPr="00982219">
        <w:rPr>
          <w:color w:val="000000"/>
          <w:spacing w:val="173"/>
          <w:shd w:val="solid" w:color="000000" w:fill="000000"/>
          <w:fitText w:val="250" w:id="-1161540083"/>
          <w14:textFill>
            <w14:solidFill>
              <w14:srgbClr w14:val="000000">
                <w14:alpha w14:val="100000"/>
              </w14:srgbClr>
            </w14:solidFill>
          </w14:textFill>
        </w:rPr>
        <w:t>|</w:t>
      </w:r>
      <w:r w:rsidR="00594907" w:rsidRPr="00982219">
        <w:rPr>
          <w:color w:val="000000"/>
          <w:spacing w:val="1"/>
          <w:shd w:val="solid" w:color="000000" w:fill="000000"/>
          <w:fitText w:val="250" w:id="-1161540083"/>
          <w14:textFill>
            <w14:solidFill>
              <w14:srgbClr w14:val="000000">
                <w14:alpha w14:val="100000"/>
              </w14:srgbClr>
            </w14:solidFill>
          </w14:textFill>
        </w:rPr>
        <w:t>|</w:t>
      </w:r>
      <w:r w:rsidR="29DD9FF7" w:rsidRPr="00CA23AA">
        <w:t xml:space="preserve">; </w:t>
      </w:r>
      <w:r w:rsidR="00F57885" w:rsidRPr="00CA23AA">
        <w:t>PSD = Public Summary Document</w:t>
      </w:r>
      <w:r w:rsidR="00072B4E" w:rsidRPr="00CA23AA">
        <w:t xml:space="preserve">; </w:t>
      </w:r>
      <w:r w:rsidR="7F27EE00" w:rsidRPr="00CA23AA">
        <w:t xml:space="preserve">SCT = stem cell transplant; </w:t>
      </w:r>
      <w:r w:rsidR="00072B4E" w:rsidRPr="00CA23AA">
        <w:t xml:space="preserve">TGA = Therapeutics Goods Administration; TIS = </w:t>
      </w:r>
      <w:r w:rsidR="00226CC6" w:rsidRPr="00CA23AA">
        <w:t>tisagenlecleucel</w:t>
      </w:r>
    </w:p>
    <w:p w14:paraId="6F52500A" w14:textId="7DE8E8B6" w:rsidR="00772829" w:rsidRPr="00CA23AA" w:rsidRDefault="003E2662" w:rsidP="002A18BE">
      <w:pPr>
        <w:pStyle w:val="Heading2"/>
        <w:numPr>
          <w:ilvl w:val="0"/>
          <w:numId w:val="0"/>
        </w:numPr>
      </w:pPr>
      <w:bookmarkStart w:id="11" w:name="_Toc69491417"/>
      <w:bookmarkEnd w:id="7"/>
      <w:bookmarkEnd w:id="10"/>
      <w:r w:rsidRPr="00CA23AA">
        <w:t>5</w:t>
      </w:r>
      <w:r w:rsidR="00C36633" w:rsidRPr="00CA23AA">
        <w:t>.</w:t>
      </w:r>
      <w:r w:rsidR="00C36633" w:rsidRPr="00CA23AA">
        <w:tab/>
      </w:r>
      <w:r w:rsidR="00772829" w:rsidRPr="00CA23AA">
        <w:t>Prerequisites to implementation of any funding advice</w:t>
      </w:r>
      <w:bookmarkEnd w:id="11"/>
    </w:p>
    <w:p w14:paraId="52AC3D9A" w14:textId="329F9178" w:rsidR="00310C3F" w:rsidRPr="00CA23AA" w:rsidRDefault="00D81603" w:rsidP="00D81603">
      <w:r w:rsidRPr="00CA23AA">
        <w:t>Not applicable</w:t>
      </w:r>
      <w:r w:rsidR="36D28286" w:rsidRPr="00CA23AA">
        <w:t>.</w:t>
      </w:r>
    </w:p>
    <w:p w14:paraId="44C3B242" w14:textId="095973C9" w:rsidR="00772829" w:rsidRPr="00CA23AA" w:rsidRDefault="003E2662" w:rsidP="002A18BE">
      <w:pPr>
        <w:pStyle w:val="Heading2"/>
        <w:numPr>
          <w:ilvl w:val="1"/>
          <w:numId w:val="0"/>
        </w:numPr>
      </w:pPr>
      <w:bookmarkStart w:id="12" w:name="_Toc69491418"/>
      <w:r w:rsidRPr="00CA23AA">
        <w:t>6</w:t>
      </w:r>
      <w:r w:rsidR="00C36633" w:rsidRPr="00CA23AA">
        <w:t>.</w:t>
      </w:r>
      <w:r w:rsidR="00C36633" w:rsidRPr="00CA23AA">
        <w:tab/>
      </w:r>
      <w:r w:rsidR="00772829" w:rsidRPr="00CA23AA">
        <w:t>Proposal for public funding</w:t>
      </w:r>
      <w:bookmarkEnd w:id="12"/>
    </w:p>
    <w:p w14:paraId="0B6FF350" w14:textId="18B887F3" w:rsidR="00B95D3D" w:rsidRPr="00CA23AA" w:rsidRDefault="00B95D3D" w:rsidP="00FA01A2">
      <w:r w:rsidRPr="00CA23AA">
        <w:t xml:space="preserve">In April 2019, MSAC recommended public funding for TIS in </w:t>
      </w:r>
      <w:proofErr w:type="spellStart"/>
      <w:r w:rsidRPr="00CA23AA">
        <w:t>pALL</w:t>
      </w:r>
      <w:proofErr w:type="spellEnd"/>
      <w:r w:rsidRPr="00CA23AA">
        <w:t xml:space="preserve"> based on an incremental cost-effectiveness ratio (ICER) of $</w:t>
      </w:r>
      <w:r w:rsidR="00594907" w:rsidRPr="00982219">
        <w:rPr>
          <w:color w:val="000000"/>
          <w:spacing w:val="37"/>
          <w:w w:val="63"/>
          <w:shd w:val="solid" w:color="000000" w:fill="000000"/>
          <w:fitText w:val="390" w:id="-1161540082"/>
          <w14:textFill>
            <w14:solidFill>
              <w14:srgbClr w14:val="000000">
                <w14:alpha w14:val="100000"/>
              </w14:srgbClr>
            </w14:solidFill>
          </w14:textFill>
        </w:rPr>
        <w:t>|||</w:t>
      </w:r>
      <w:r w:rsidR="00594907" w:rsidRPr="00982219">
        <w:rPr>
          <w:color w:val="000000"/>
          <w:spacing w:val="3"/>
          <w:w w:val="63"/>
          <w:shd w:val="solid" w:color="000000" w:fill="000000"/>
          <w:fitText w:val="390" w:id="-1161540082"/>
          <w14:textFill>
            <w14:solidFill>
              <w14:srgbClr w14:val="000000">
                <w14:alpha w14:val="100000"/>
              </w14:srgbClr>
            </w14:solidFill>
          </w14:textFill>
        </w:rPr>
        <w:t>|</w:t>
      </w:r>
      <w:r w:rsidRPr="00CA23AA">
        <w:t xml:space="preserve">per quality adjusted life year (QALY). The recommendation required a risk sharing arrangement (RSA) to manage any remaining uncertainties in the funding proposal for TIS in </w:t>
      </w:r>
      <w:proofErr w:type="spellStart"/>
      <w:r w:rsidRPr="00CA23AA">
        <w:t>pALL</w:t>
      </w:r>
      <w:proofErr w:type="spellEnd"/>
      <w:r w:rsidRPr="00CA23AA">
        <w:t xml:space="preserve">. That agreement comprised several elements, including </w:t>
      </w:r>
      <w:r w:rsidR="00594907" w:rsidRPr="00982219">
        <w:rPr>
          <w:color w:val="000000"/>
          <w:spacing w:val="37"/>
          <w:w w:val="61"/>
          <w:shd w:val="solid" w:color="000000" w:fill="000000"/>
          <w:fitText w:val="380" w:id="-1161540081"/>
          <w14:textFill>
            <w14:solidFill>
              <w14:srgbClr w14:val="000000">
                <w14:alpha w14:val="100000"/>
              </w14:srgbClr>
            </w14:solidFill>
          </w14:textFill>
        </w:rPr>
        <w:t>|||</w:t>
      </w:r>
      <w:r w:rsidR="00594907" w:rsidRPr="00982219">
        <w:rPr>
          <w:color w:val="000000"/>
          <w:spacing w:val="1"/>
          <w:w w:val="61"/>
          <w:shd w:val="solid" w:color="000000" w:fill="000000"/>
          <w:fitText w:val="380" w:id="-1161540081"/>
          <w14:textFill>
            <w14:solidFill>
              <w14:srgbClr w14:val="000000">
                <w14:alpha w14:val="100000"/>
              </w14:srgbClr>
            </w14:solidFill>
          </w14:textFill>
        </w:rPr>
        <w:t>|</w:t>
      </w:r>
      <w:r w:rsidRPr="00CA23AA">
        <w:t xml:space="preserve">, limitation to a single course of treatment per patient, and the requirement for MSAC to undertake a review of the clinical and cost effectiveness and budget impact of TIS in </w:t>
      </w:r>
      <w:proofErr w:type="spellStart"/>
      <w:r w:rsidRPr="00CA23AA">
        <w:t>pALL</w:t>
      </w:r>
      <w:proofErr w:type="spellEnd"/>
      <w:r w:rsidR="00A91808" w:rsidRPr="00CA23AA">
        <w:t>,</w:t>
      </w:r>
      <w:r w:rsidRPr="00CA23AA">
        <w:t xml:space="preserve"> </w:t>
      </w:r>
      <w:r w:rsidR="006F7A48" w:rsidRPr="00CA23AA">
        <w:t>two</w:t>
      </w:r>
      <w:r w:rsidRPr="00CA23AA">
        <w:t xml:space="preserve"> years after the commencement of public subsidy, which was extended to 3 years in November 2021.</w:t>
      </w:r>
      <w:r w:rsidR="006F7A48" w:rsidRPr="00CA23AA">
        <w:t xml:space="preserve"> Public subsidy for TIS in </w:t>
      </w:r>
      <w:proofErr w:type="spellStart"/>
      <w:r w:rsidR="006F7A48" w:rsidRPr="00CA23AA">
        <w:t>pALL</w:t>
      </w:r>
      <w:proofErr w:type="spellEnd"/>
      <w:r w:rsidR="006F7A48" w:rsidRPr="00CA23AA">
        <w:t xml:space="preserve">, through National Health Reform Agreement (NHRA) commenced on 31 July 2019. </w:t>
      </w:r>
    </w:p>
    <w:p w14:paraId="3055F9C7" w14:textId="15FCEA82" w:rsidR="003244F4" w:rsidRPr="00CA23AA" w:rsidRDefault="00594907" w:rsidP="00FA01A2">
      <w:pPr>
        <w:rPr>
          <w:sz w:val="23"/>
          <w:szCs w:val="23"/>
        </w:rPr>
      </w:pPr>
      <w:r w:rsidRPr="00982219">
        <w:rPr>
          <w:color w:val="000000"/>
          <w:spacing w:val="40"/>
          <w:w w:val="63"/>
          <w:sz w:val="23"/>
          <w:szCs w:val="23"/>
          <w:shd w:val="solid" w:color="000000" w:fill="000000"/>
          <w:fitText w:val="410" w:id="-1161540080"/>
          <w14:textFill>
            <w14:solidFill>
              <w14:srgbClr w14:val="000000">
                <w14:alpha w14:val="100000"/>
              </w14:srgbClr>
            </w14:solidFill>
          </w14:textFill>
        </w:rPr>
        <w:t>|||</w:t>
      </w:r>
      <w:r w:rsidRPr="00982219">
        <w:rPr>
          <w:color w:val="000000"/>
          <w:spacing w:val="1"/>
          <w:w w:val="63"/>
          <w:sz w:val="23"/>
          <w:szCs w:val="23"/>
          <w:shd w:val="solid" w:color="000000" w:fill="000000"/>
          <w:fitText w:val="410" w:id="-1161540080"/>
          <w14:textFill>
            <w14:solidFill>
              <w14:srgbClr w14:val="000000">
                <w14:alpha w14:val="100000"/>
              </w14:srgbClr>
            </w14:solidFill>
          </w14:textFill>
        </w:rPr>
        <w:t>|</w:t>
      </w:r>
      <w:r w:rsidR="003244F4" w:rsidRPr="00CA23AA">
        <w:rPr>
          <w:sz w:val="23"/>
          <w:szCs w:val="23"/>
        </w:rPr>
        <w:t>:</w:t>
      </w:r>
    </w:p>
    <w:p w14:paraId="0A6F0AA6" w14:textId="21683EF3" w:rsidR="00751617" w:rsidRPr="00CA23AA" w:rsidRDefault="00594907" w:rsidP="008C66F4">
      <w:pPr>
        <w:pStyle w:val="ListParagraph"/>
        <w:numPr>
          <w:ilvl w:val="0"/>
          <w:numId w:val="12"/>
        </w:numPr>
      </w:pPr>
      <w:r w:rsidRPr="00982219">
        <w:rPr>
          <w:rFonts w:hint="eastAsia"/>
          <w:color w:val="000000"/>
          <w:w w:val="15"/>
          <w:sz w:val="23"/>
          <w:szCs w:val="23"/>
          <w:shd w:val="solid" w:color="000000" w:fill="000000"/>
          <w:fitText w:val="50" w:id="-1161540096"/>
          <w14:textFill>
            <w14:solidFill>
              <w14:srgbClr w14:val="000000">
                <w14:alpha w14:val="100000"/>
              </w14:srgbClr>
            </w14:solidFill>
          </w14:textFill>
        </w:rPr>
        <w:t xml:space="preserve">　</w:t>
      </w:r>
      <w:r w:rsidRPr="00982219">
        <w:rPr>
          <w:color w:val="000000"/>
          <w:w w:val="15"/>
          <w:sz w:val="23"/>
          <w:szCs w:val="23"/>
          <w:shd w:val="solid" w:color="000000" w:fill="000000"/>
          <w:fitText w:val="50" w:id="-1161540096"/>
          <w14:textFill>
            <w14:solidFill>
              <w14:srgbClr w14:val="000000">
                <w14:alpha w14:val="100000"/>
              </w14:srgbClr>
            </w14:solidFill>
          </w14:textFill>
        </w:rPr>
        <w:t>|</w:t>
      </w:r>
      <w:r w:rsidRPr="00982219">
        <w:rPr>
          <w:rFonts w:hint="eastAsia"/>
          <w:color w:val="000000"/>
          <w:spacing w:val="-35"/>
          <w:w w:val="15"/>
          <w:sz w:val="23"/>
          <w:szCs w:val="23"/>
          <w:shd w:val="solid" w:color="000000" w:fill="000000"/>
          <w:fitText w:val="50" w:id="-1161540096"/>
          <w14:textFill>
            <w14:solidFill>
              <w14:srgbClr w14:val="000000">
                <w14:alpha w14:val="100000"/>
              </w14:srgbClr>
            </w14:solidFill>
          </w14:textFill>
        </w:rPr>
        <w:t xml:space="preserve">　</w:t>
      </w:r>
      <w:r w:rsidR="295B6848" w:rsidRPr="00CA23AA">
        <w:t>:</w:t>
      </w:r>
    </w:p>
    <w:p w14:paraId="60F83BA0" w14:textId="12F2B315" w:rsidR="00751617" w:rsidRPr="00CA23AA" w:rsidRDefault="00594907" w:rsidP="008C66F4">
      <w:pPr>
        <w:pStyle w:val="ListParagraph"/>
        <w:numPr>
          <w:ilvl w:val="1"/>
          <w:numId w:val="12"/>
        </w:numPr>
      </w:pPr>
      <w:r w:rsidRPr="00594907">
        <w:rPr>
          <w:color w:val="000000"/>
          <w:sz w:val="23"/>
          <w:szCs w:val="23"/>
          <w:shd w:val="solid" w:color="000000" w:fill="000000"/>
          <w14:textFill>
            <w14:solidFill>
              <w14:srgbClr w14:val="000000">
                <w14:alpha w14:val="100000"/>
              </w14:srgbClr>
            </w14:solidFill>
          </w14:textFill>
        </w:rPr>
        <w:t>|</w:t>
      </w:r>
      <w:r w:rsidR="00751617" w:rsidRPr="00CA23AA">
        <w:t>;</w:t>
      </w:r>
    </w:p>
    <w:p w14:paraId="6D090A07" w14:textId="04B12497" w:rsidR="003244F4" w:rsidRPr="00CA23AA" w:rsidRDefault="00594907" w:rsidP="008C66F4">
      <w:pPr>
        <w:pStyle w:val="ListParagraph"/>
        <w:numPr>
          <w:ilvl w:val="1"/>
          <w:numId w:val="12"/>
        </w:numPr>
      </w:pPr>
      <w:r w:rsidRPr="00594907">
        <w:rPr>
          <w:color w:val="000000"/>
          <w:sz w:val="23"/>
          <w:szCs w:val="23"/>
          <w:shd w:val="solid" w:color="000000" w:fill="000000"/>
          <w14:textFill>
            <w14:solidFill>
              <w14:srgbClr w14:val="000000">
                <w14:alpha w14:val="100000"/>
              </w14:srgbClr>
            </w14:solidFill>
          </w14:textFill>
        </w:rPr>
        <w:t>|</w:t>
      </w:r>
      <w:r w:rsidR="00751617" w:rsidRPr="00CA23AA">
        <w:t>.</w:t>
      </w:r>
    </w:p>
    <w:p w14:paraId="6E12E47C" w14:textId="3AD5E39B" w:rsidR="006F7A48" w:rsidRPr="00CA23AA" w:rsidRDefault="00594907" w:rsidP="008C66F4">
      <w:pPr>
        <w:pStyle w:val="ListParagraph"/>
        <w:numPr>
          <w:ilvl w:val="0"/>
          <w:numId w:val="12"/>
        </w:numPr>
      </w:pPr>
      <w:r w:rsidRPr="00594907">
        <w:rPr>
          <w:rFonts w:hint="eastAsia"/>
          <w:color w:val="000000"/>
          <w:w w:val="15"/>
          <w:sz w:val="23"/>
          <w:szCs w:val="23"/>
          <w:shd w:val="solid" w:color="000000" w:fill="000000"/>
          <w:fitText w:val="50" w:id="-1161540095"/>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95"/>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95"/>
          <w14:textFill>
            <w14:solidFill>
              <w14:srgbClr w14:val="000000">
                <w14:alpha w14:val="100000"/>
              </w14:srgbClr>
            </w14:solidFill>
          </w14:textFill>
        </w:rPr>
        <w:t xml:space="preserve">　</w:t>
      </w:r>
      <w:r w:rsidR="64AB2985" w:rsidRPr="00CA23AA">
        <w:t>:</w:t>
      </w:r>
    </w:p>
    <w:p w14:paraId="1D4FF69C" w14:textId="46E3A40F" w:rsidR="006F7A48" w:rsidRPr="00CA23AA" w:rsidRDefault="00594907" w:rsidP="008C66F4">
      <w:pPr>
        <w:pStyle w:val="ListParagraph"/>
        <w:numPr>
          <w:ilvl w:val="1"/>
          <w:numId w:val="17"/>
        </w:numPr>
      </w:pPr>
      <w:r w:rsidRPr="00594907">
        <w:rPr>
          <w:color w:val="000000"/>
          <w:shd w:val="solid" w:color="000000" w:fill="000000"/>
          <w14:textFill>
            <w14:solidFill>
              <w14:srgbClr w14:val="000000">
                <w14:alpha w14:val="100000"/>
              </w14:srgbClr>
            </w14:solidFill>
          </w14:textFill>
        </w:rPr>
        <w:t>|</w:t>
      </w:r>
    </w:p>
    <w:p w14:paraId="1FB46E54" w14:textId="598A1DAE" w:rsidR="006F7A48" w:rsidRPr="00CA23AA" w:rsidRDefault="00594907" w:rsidP="008C66F4">
      <w:pPr>
        <w:pStyle w:val="ListParagraph"/>
        <w:numPr>
          <w:ilvl w:val="1"/>
          <w:numId w:val="17"/>
        </w:numPr>
      </w:pPr>
      <w:r w:rsidRPr="00594907">
        <w:rPr>
          <w:color w:val="000000"/>
          <w:sz w:val="23"/>
          <w:szCs w:val="23"/>
          <w:shd w:val="solid" w:color="000000" w:fill="000000"/>
          <w14:textFill>
            <w14:solidFill>
              <w14:srgbClr w14:val="000000">
                <w14:alpha w14:val="100000"/>
              </w14:srgbClr>
            </w14:solidFill>
          </w14:textFill>
        </w:rPr>
        <w:t>|</w:t>
      </w:r>
      <w:r w:rsidR="006F7A48" w:rsidRPr="00CA23AA">
        <w:t>:</w:t>
      </w:r>
    </w:p>
    <w:p w14:paraId="67F95412" w14:textId="3ADB1BF4" w:rsidR="006F7A48" w:rsidRPr="00CA23AA" w:rsidRDefault="00594907" w:rsidP="008C66F4">
      <w:pPr>
        <w:pStyle w:val="ListParagraph"/>
        <w:numPr>
          <w:ilvl w:val="2"/>
          <w:numId w:val="17"/>
        </w:numPr>
      </w:pPr>
      <w:r w:rsidRPr="00594907">
        <w:rPr>
          <w:color w:val="000000"/>
          <w:sz w:val="23"/>
          <w:szCs w:val="23"/>
          <w:shd w:val="solid" w:color="000000" w:fill="000000"/>
          <w14:textFill>
            <w14:solidFill>
              <w14:srgbClr w14:val="000000">
                <w14:alpha w14:val="100000"/>
              </w14:srgbClr>
            </w14:solidFill>
          </w14:textFill>
        </w:rPr>
        <w:t>|</w:t>
      </w:r>
    </w:p>
    <w:p w14:paraId="631B2249" w14:textId="6740B341" w:rsidR="006F7A48" w:rsidRPr="00CA23AA" w:rsidRDefault="00594907" w:rsidP="008C66F4">
      <w:pPr>
        <w:pStyle w:val="ListParagraph"/>
        <w:numPr>
          <w:ilvl w:val="2"/>
          <w:numId w:val="17"/>
        </w:numPr>
      </w:pPr>
      <w:r w:rsidRPr="00594907">
        <w:rPr>
          <w:color w:val="000000"/>
          <w:sz w:val="23"/>
          <w:szCs w:val="23"/>
          <w:shd w:val="solid" w:color="000000" w:fill="000000"/>
          <w14:textFill>
            <w14:solidFill>
              <w14:srgbClr w14:val="000000">
                <w14:alpha w14:val="100000"/>
              </w14:srgbClr>
            </w14:solidFill>
          </w14:textFill>
        </w:rPr>
        <w:t>|</w:t>
      </w:r>
    </w:p>
    <w:p w14:paraId="22FF2C01" w14:textId="1FB4D577" w:rsidR="006F7A48" w:rsidRPr="00CA23AA" w:rsidRDefault="00594907" w:rsidP="008C66F4">
      <w:pPr>
        <w:pStyle w:val="ListParagraph"/>
        <w:numPr>
          <w:ilvl w:val="2"/>
          <w:numId w:val="17"/>
        </w:numPr>
      </w:pPr>
      <w:r w:rsidRPr="00594907">
        <w:rPr>
          <w:color w:val="000000"/>
          <w:sz w:val="23"/>
          <w:szCs w:val="23"/>
          <w:shd w:val="solid" w:color="000000" w:fill="000000"/>
          <w14:textFill>
            <w14:solidFill>
              <w14:srgbClr w14:val="000000">
                <w14:alpha w14:val="100000"/>
              </w14:srgbClr>
            </w14:solidFill>
          </w14:textFill>
        </w:rPr>
        <w:t>|</w:t>
      </w:r>
      <w:r w:rsidR="001E310E" w:rsidRPr="00CA23AA">
        <w:t>.</w:t>
      </w:r>
    </w:p>
    <w:p w14:paraId="3DCFE20F" w14:textId="24CE2C0D" w:rsidR="001E310E" w:rsidRPr="00CA23AA" w:rsidRDefault="00594907" w:rsidP="008C66F4">
      <w:pPr>
        <w:pStyle w:val="ListParagraph"/>
        <w:numPr>
          <w:ilvl w:val="0"/>
          <w:numId w:val="12"/>
        </w:numPr>
      </w:pPr>
      <w:r w:rsidRPr="00594907">
        <w:rPr>
          <w:rFonts w:hint="eastAsia"/>
          <w:color w:val="000000"/>
          <w:w w:val="15"/>
          <w:sz w:val="23"/>
          <w:szCs w:val="23"/>
          <w:shd w:val="solid" w:color="000000" w:fill="000000"/>
          <w:fitText w:val="50" w:id="-1161540094"/>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94"/>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94"/>
          <w14:textFill>
            <w14:solidFill>
              <w14:srgbClr w14:val="000000">
                <w14:alpha w14:val="100000"/>
              </w14:srgbClr>
            </w14:solidFill>
          </w14:textFill>
        </w:rPr>
        <w:t xml:space="preserve">　</w:t>
      </w:r>
      <w:r w:rsidR="2BDC6F64" w:rsidRPr="00CA23AA">
        <w:t>;</w:t>
      </w:r>
    </w:p>
    <w:p w14:paraId="6B202A38" w14:textId="19255736" w:rsidR="001E310E" w:rsidRPr="00CA23AA" w:rsidRDefault="2BDC6F64" w:rsidP="008C66F4">
      <w:pPr>
        <w:pStyle w:val="ListParagraph"/>
        <w:numPr>
          <w:ilvl w:val="0"/>
          <w:numId w:val="12"/>
        </w:numPr>
      </w:pPr>
      <w:r w:rsidRPr="00CA23AA">
        <w:t xml:space="preserve">No amount is payable for a Treatment that does not result in a successful infusion for the </w:t>
      </w:r>
      <w:proofErr w:type="gramStart"/>
      <w:r w:rsidRPr="00CA23AA">
        <w:t>patient;</w:t>
      </w:r>
      <w:proofErr w:type="gramEnd"/>
    </w:p>
    <w:p w14:paraId="4C009F34" w14:textId="5436FE5B" w:rsidR="001E310E" w:rsidRPr="00CA23AA" w:rsidRDefault="00594907" w:rsidP="008C66F4">
      <w:pPr>
        <w:pStyle w:val="ListParagraph"/>
        <w:numPr>
          <w:ilvl w:val="0"/>
          <w:numId w:val="12"/>
        </w:numPr>
      </w:pPr>
      <w:r w:rsidRPr="00594907">
        <w:rPr>
          <w:rFonts w:hint="eastAsia"/>
          <w:color w:val="000000"/>
          <w:w w:val="15"/>
          <w:sz w:val="23"/>
          <w:szCs w:val="23"/>
          <w:shd w:val="solid" w:color="000000" w:fill="000000"/>
          <w:fitText w:val="50" w:id="-1161540093"/>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93"/>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93"/>
          <w14:textFill>
            <w14:solidFill>
              <w14:srgbClr w14:val="000000">
                <w14:alpha w14:val="100000"/>
              </w14:srgbClr>
            </w14:solidFill>
          </w14:textFill>
        </w:rPr>
        <w:t xml:space="preserve">　</w:t>
      </w:r>
      <w:r w:rsidR="2BDC6F64" w:rsidRPr="00CA23AA">
        <w:t xml:space="preserve">; </w:t>
      </w:r>
    </w:p>
    <w:p w14:paraId="0324D245" w14:textId="1634C621" w:rsidR="001E310E" w:rsidRPr="00CA23AA" w:rsidRDefault="00594907" w:rsidP="008C66F4">
      <w:pPr>
        <w:pStyle w:val="ListParagraph"/>
        <w:numPr>
          <w:ilvl w:val="0"/>
          <w:numId w:val="12"/>
        </w:numPr>
      </w:pPr>
      <w:r w:rsidRPr="00594907">
        <w:rPr>
          <w:rFonts w:hint="eastAsia"/>
          <w:color w:val="000000"/>
          <w:w w:val="15"/>
          <w:sz w:val="23"/>
          <w:szCs w:val="23"/>
          <w:shd w:val="solid" w:color="000000" w:fill="000000"/>
          <w:fitText w:val="50" w:id="-1161540092"/>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92"/>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92"/>
          <w14:textFill>
            <w14:solidFill>
              <w14:srgbClr w14:val="000000">
                <w14:alpha w14:val="100000"/>
              </w14:srgbClr>
            </w14:solidFill>
          </w14:textFill>
        </w:rPr>
        <w:t xml:space="preserve">　</w:t>
      </w:r>
      <w:r w:rsidR="2BDC6F64" w:rsidRPr="00CA23AA">
        <w:t>.</w:t>
      </w:r>
    </w:p>
    <w:p w14:paraId="5DE9E0FF" w14:textId="1424A0AC" w:rsidR="00540A86" w:rsidRPr="00CA23AA" w:rsidRDefault="00594907" w:rsidP="002608FC">
      <w:r w:rsidRPr="00594907">
        <w:rPr>
          <w:color w:val="000000"/>
          <w:w w:val="89"/>
          <w:sz w:val="23"/>
          <w:szCs w:val="23"/>
          <w:shd w:val="solid" w:color="000000" w:fill="000000"/>
          <w:fitText w:val="410" w:id="-1161540091"/>
          <w14:textFill>
            <w14:solidFill>
              <w14:srgbClr w14:val="000000">
                <w14:alpha w14:val="100000"/>
              </w14:srgbClr>
            </w14:solidFill>
          </w14:textFill>
        </w:rPr>
        <w:t>||||</w:t>
      </w:r>
      <w:r w:rsidR="00D33ECF" w:rsidRPr="00CA23AA">
        <w:t>:</w:t>
      </w:r>
    </w:p>
    <w:p w14:paraId="7069714C" w14:textId="0582578D" w:rsidR="00540A86" w:rsidRPr="00CA23AA" w:rsidRDefault="00594907" w:rsidP="00540A86">
      <w:pPr>
        <w:pStyle w:val="ListParagraph"/>
        <w:numPr>
          <w:ilvl w:val="0"/>
          <w:numId w:val="25"/>
        </w:numPr>
      </w:pPr>
      <w:r w:rsidRPr="00594907">
        <w:rPr>
          <w:rFonts w:hint="eastAsia"/>
          <w:color w:val="000000"/>
          <w:w w:val="15"/>
          <w:sz w:val="23"/>
          <w:szCs w:val="23"/>
          <w:shd w:val="solid" w:color="000000" w:fill="000000"/>
          <w:fitText w:val="50" w:id="-1161540090"/>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90"/>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90"/>
          <w14:textFill>
            <w14:solidFill>
              <w14:srgbClr w14:val="000000">
                <w14:alpha w14:val="100000"/>
              </w14:srgbClr>
            </w14:solidFill>
          </w14:textFill>
        </w:rPr>
        <w:t xml:space="preserve">　</w:t>
      </w:r>
      <w:r w:rsidR="009B21B0" w:rsidRPr="00CA23AA">
        <w:rPr>
          <w:sz w:val="23"/>
          <w:szCs w:val="23"/>
        </w:rPr>
        <w:t xml:space="preserve"> </w:t>
      </w:r>
    </w:p>
    <w:p w14:paraId="182C6893" w14:textId="7A54F2CC" w:rsidR="00540A86" w:rsidRPr="00CA23AA" w:rsidRDefault="00594907" w:rsidP="002608FC">
      <w:pPr>
        <w:pStyle w:val="ListParagraph"/>
        <w:numPr>
          <w:ilvl w:val="1"/>
          <w:numId w:val="25"/>
        </w:numPr>
      </w:pPr>
      <w:r w:rsidRPr="00594907">
        <w:rPr>
          <w:color w:val="000000"/>
          <w:sz w:val="23"/>
          <w:szCs w:val="23"/>
          <w:shd w:val="solid" w:color="000000" w:fill="000000"/>
          <w14:textFill>
            <w14:solidFill>
              <w14:srgbClr w14:val="000000">
                <w14:alpha w14:val="100000"/>
              </w14:srgbClr>
            </w14:solidFill>
          </w14:textFill>
        </w:rPr>
        <w:t>|</w:t>
      </w:r>
      <w:r w:rsidR="009B21B0" w:rsidRPr="00CA23AA">
        <w:rPr>
          <w:sz w:val="23"/>
          <w:szCs w:val="23"/>
        </w:rPr>
        <w:t xml:space="preserve"> </w:t>
      </w:r>
    </w:p>
    <w:p w14:paraId="7AB47B88" w14:textId="61D5D1B2" w:rsidR="00540A86" w:rsidRPr="00CA23AA" w:rsidRDefault="00594907" w:rsidP="00540A86">
      <w:pPr>
        <w:pStyle w:val="ListParagraph"/>
        <w:numPr>
          <w:ilvl w:val="0"/>
          <w:numId w:val="25"/>
        </w:numPr>
      </w:pPr>
      <w:r w:rsidRPr="00594907">
        <w:rPr>
          <w:rFonts w:hint="eastAsia"/>
          <w:color w:val="000000"/>
          <w:w w:val="15"/>
          <w:sz w:val="23"/>
          <w:szCs w:val="23"/>
          <w:shd w:val="solid" w:color="000000" w:fill="000000"/>
          <w:fitText w:val="50" w:id="-1161540089"/>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9"/>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9"/>
          <w14:textFill>
            <w14:solidFill>
              <w14:srgbClr w14:val="000000">
                <w14:alpha w14:val="100000"/>
              </w14:srgbClr>
            </w14:solidFill>
          </w14:textFill>
        </w:rPr>
        <w:t xml:space="preserve">　</w:t>
      </w:r>
      <w:r w:rsidR="00540A86" w:rsidRPr="00CA23AA">
        <w:t xml:space="preserve"> </w:t>
      </w:r>
    </w:p>
    <w:p w14:paraId="78F41015" w14:textId="6901CC5A" w:rsidR="00540A86" w:rsidRPr="00CA23AA" w:rsidRDefault="00594907" w:rsidP="002608FC">
      <w:pPr>
        <w:pStyle w:val="ListParagraph"/>
        <w:numPr>
          <w:ilvl w:val="1"/>
          <w:numId w:val="25"/>
        </w:numPr>
      </w:pPr>
      <w:r w:rsidRPr="00594907">
        <w:rPr>
          <w:color w:val="000000"/>
          <w:sz w:val="23"/>
          <w:szCs w:val="23"/>
          <w:shd w:val="solid" w:color="000000" w:fill="000000"/>
          <w14:textFill>
            <w14:solidFill>
              <w14:srgbClr w14:val="000000">
                <w14:alpha w14:val="100000"/>
              </w14:srgbClr>
            </w14:solidFill>
          </w14:textFill>
        </w:rPr>
        <w:t>|</w:t>
      </w:r>
      <w:r w:rsidR="00540A86" w:rsidRPr="00CA23AA">
        <w:t xml:space="preserve"> </w:t>
      </w:r>
    </w:p>
    <w:p w14:paraId="4619E340" w14:textId="1599335B" w:rsidR="00540A86" w:rsidRPr="00CA23AA" w:rsidRDefault="00594907" w:rsidP="002608FC">
      <w:pPr>
        <w:pStyle w:val="ListParagraph"/>
        <w:numPr>
          <w:ilvl w:val="1"/>
          <w:numId w:val="25"/>
        </w:numPr>
      </w:pPr>
      <w:r w:rsidRPr="00594907">
        <w:rPr>
          <w:color w:val="000000"/>
          <w:sz w:val="23"/>
          <w:szCs w:val="23"/>
          <w:shd w:val="solid" w:color="000000" w:fill="000000"/>
          <w14:textFill>
            <w14:solidFill>
              <w14:srgbClr w14:val="000000">
                <w14:alpha w14:val="100000"/>
              </w14:srgbClr>
            </w14:solidFill>
          </w14:textFill>
        </w:rPr>
        <w:t>|</w:t>
      </w:r>
      <w:r w:rsidR="00540A86" w:rsidRPr="00CA23AA">
        <w:t xml:space="preserve"> </w:t>
      </w:r>
    </w:p>
    <w:p w14:paraId="6A2FDE32" w14:textId="535C2395" w:rsidR="00540A86" w:rsidRPr="00CA23AA" w:rsidRDefault="00594907" w:rsidP="002608FC">
      <w:pPr>
        <w:pStyle w:val="ListParagraph"/>
        <w:numPr>
          <w:ilvl w:val="1"/>
          <w:numId w:val="25"/>
        </w:numPr>
      </w:pPr>
      <w:r w:rsidRPr="00594907">
        <w:rPr>
          <w:color w:val="000000"/>
          <w:sz w:val="23"/>
          <w:szCs w:val="23"/>
          <w:shd w:val="solid" w:color="000000" w:fill="000000"/>
          <w14:textFill>
            <w14:solidFill>
              <w14:srgbClr w14:val="000000">
                <w14:alpha w14:val="100000"/>
              </w14:srgbClr>
            </w14:solidFill>
          </w14:textFill>
        </w:rPr>
        <w:t>|</w:t>
      </w:r>
      <w:r w:rsidR="00540A86" w:rsidRPr="00CA23AA">
        <w:t xml:space="preserve"> </w:t>
      </w:r>
    </w:p>
    <w:p w14:paraId="496C1D19" w14:textId="46A685C1" w:rsidR="00540A86" w:rsidRPr="00CA23AA" w:rsidRDefault="00594907" w:rsidP="00540A86">
      <w:pPr>
        <w:pStyle w:val="ListParagraph"/>
        <w:numPr>
          <w:ilvl w:val="0"/>
          <w:numId w:val="25"/>
        </w:numPr>
      </w:pPr>
      <w:r w:rsidRPr="00594907">
        <w:rPr>
          <w:rFonts w:hint="eastAsia"/>
          <w:color w:val="000000"/>
          <w:w w:val="15"/>
          <w:sz w:val="23"/>
          <w:szCs w:val="23"/>
          <w:shd w:val="solid" w:color="000000" w:fill="000000"/>
          <w:fitText w:val="50" w:id="-1161540088"/>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8"/>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8"/>
          <w14:textFill>
            <w14:solidFill>
              <w14:srgbClr w14:val="000000">
                <w14:alpha w14:val="100000"/>
              </w14:srgbClr>
            </w14:solidFill>
          </w14:textFill>
        </w:rPr>
        <w:t xml:space="preserve">　</w:t>
      </w:r>
      <w:r w:rsidR="00540A86" w:rsidRPr="00CA23AA">
        <w:t xml:space="preserve"> </w:t>
      </w:r>
    </w:p>
    <w:p w14:paraId="53A5285D" w14:textId="2ADC0E0E" w:rsidR="00540A86" w:rsidRPr="00CA23AA" w:rsidRDefault="00594907" w:rsidP="002608FC">
      <w:pPr>
        <w:pStyle w:val="ListParagraph"/>
        <w:numPr>
          <w:ilvl w:val="1"/>
          <w:numId w:val="25"/>
        </w:numPr>
      </w:pPr>
      <w:r w:rsidRPr="00594907">
        <w:rPr>
          <w:color w:val="000000"/>
          <w:sz w:val="23"/>
          <w:szCs w:val="23"/>
          <w:shd w:val="solid" w:color="000000" w:fill="000000"/>
          <w14:textFill>
            <w14:solidFill>
              <w14:srgbClr w14:val="000000">
                <w14:alpha w14:val="100000"/>
              </w14:srgbClr>
            </w14:solidFill>
          </w14:textFill>
        </w:rPr>
        <w:t>|</w:t>
      </w:r>
      <w:r w:rsidR="00540A86" w:rsidRPr="00CA23AA">
        <w:t xml:space="preserve"> </w:t>
      </w:r>
    </w:p>
    <w:p w14:paraId="020A614A" w14:textId="06148433" w:rsidR="00540A86" w:rsidRPr="00CA23AA" w:rsidRDefault="00594907" w:rsidP="00540A86">
      <w:pPr>
        <w:pStyle w:val="ListParagraph"/>
        <w:numPr>
          <w:ilvl w:val="0"/>
          <w:numId w:val="25"/>
        </w:numPr>
      </w:pPr>
      <w:r w:rsidRPr="00594907">
        <w:rPr>
          <w:rFonts w:hint="eastAsia"/>
          <w:color w:val="000000"/>
          <w:w w:val="15"/>
          <w:sz w:val="23"/>
          <w:szCs w:val="23"/>
          <w:shd w:val="solid" w:color="000000" w:fill="000000"/>
          <w:fitText w:val="50" w:id="-1161540087"/>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7"/>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7"/>
          <w14:textFill>
            <w14:solidFill>
              <w14:srgbClr w14:val="000000">
                <w14:alpha w14:val="100000"/>
              </w14:srgbClr>
            </w14:solidFill>
          </w14:textFill>
        </w:rPr>
        <w:t xml:space="preserve">　</w:t>
      </w:r>
      <w:r w:rsidR="00540A86" w:rsidRPr="00CA23AA">
        <w:t xml:space="preserve"> </w:t>
      </w:r>
    </w:p>
    <w:p w14:paraId="6342FDC4" w14:textId="3B3CCE57" w:rsidR="00540A86" w:rsidRPr="00CA23AA" w:rsidRDefault="00594907" w:rsidP="002608FC">
      <w:pPr>
        <w:pStyle w:val="ListParagraph"/>
        <w:numPr>
          <w:ilvl w:val="1"/>
          <w:numId w:val="25"/>
        </w:numPr>
      </w:pPr>
      <w:r w:rsidRPr="00594907">
        <w:rPr>
          <w:color w:val="000000"/>
          <w:sz w:val="23"/>
          <w:szCs w:val="23"/>
          <w:shd w:val="solid" w:color="000000" w:fill="000000"/>
          <w14:textFill>
            <w14:solidFill>
              <w14:srgbClr w14:val="000000">
                <w14:alpha w14:val="100000"/>
              </w14:srgbClr>
            </w14:solidFill>
          </w14:textFill>
        </w:rPr>
        <w:t>|</w:t>
      </w:r>
      <w:r w:rsidR="00540A86" w:rsidRPr="00CA23AA">
        <w:t xml:space="preserve"> </w:t>
      </w:r>
    </w:p>
    <w:p w14:paraId="33FA6CB0" w14:textId="12727EA4" w:rsidR="00426FA9" w:rsidRPr="00CA23AA" w:rsidRDefault="00594907" w:rsidP="00426FA9">
      <w:r w:rsidRPr="00594907">
        <w:rPr>
          <w:color w:val="000000"/>
          <w:w w:val="89"/>
          <w:sz w:val="23"/>
          <w:szCs w:val="23"/>
          <w:shd w:val="solid" w:color="000000" w:fill="000000"/>
          <w:fitText w:val="410" w:id="-1161540086"/>
          <w14:textFill>
            <w14:solidFill>
              <w14:srgbClr w14:val="000000">
                <w14:alpha w14:val="100000"/>
              </w14:srgbClr>
            </w14:solidFill>
          </w14:textFill>
        </w:rPr>
        <w:t>||||</w:t>
      </w:r>
      <w:r w:rsidR="00426FA9" w:rsidRPr="00CA23AA">
        <w:t xml:space="preserve">: </w:t>
      </w:r>
    </w:p>
    <w:p w14:paraId="2928666B" w14:textId="40726119" w:rsidR="00426FA9" w:rsidRPr="00CA23AA" w:rsidRDefault="00594907" w:rsidP="002608FC">
      <w:pPr>
        <w:pStyle w:val="ListParagraph"/>
        <w:numPr>
          <w:ilvl w:val="0"/>
          <w:numId w:val="25"/>
        </w:numPr>
      </w:pPr>
      <w:r w:rsidRPr="00594907">
        <w:rPr>
          <w:rFonts w:hint="eastAsia"/>
          <w:color w:val="000000"/>
          <w:w w:val="15"/>
          <w:sz w:val="23"/>
          <w:szCs w:val="23"/>
          <w:shd w:val="solid" w:color="000000" w:fill="000000"/>
          <w:fitText w:val="50" w:id="-1161540085"/>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5"/>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5"/>
          <w14:textFill>
            <w14:solidFill>
              <w14:srgbClr w14:val="000000">
                <w14:alpha w14:val="100000"/>
              </w14:srgbClr>
            </w14:solidFill>
          </w14:textFill>
        </w:rPr>
        <w:t xml:space="preserve">　</w:t>
      </w:r>
      <w:r w:rsidR="00426FA9" w:rsidRPr="00CA23AA">
        <w:t xml:space="preserve"> </w:t>
      </w:r>
    </w:p>
    <w:p w14:paraId="0DEDDF7B" w14:textId="3B9ABED2" w:rsidR="00426FA9" w:rsidRPr="00CA23AA" w:rsidRDefault="00594907" w:rsidP="002608FC">
      <w:pPr>
        <w:pStyle w:val="ListParagraph"/>
        <w:numPr>
          <w:ilvl w:val="0"/>
          <w:numId w:val="25"/>
        </w:numPr>
      </w:pPr>
      <w:r w:rsidRPr="00594907">
        <w:rPr>
          <w:rFonts w:hint="eastAsia"/>
          <w:color w:val="000000"/>
          <w:w w:val="15"/>
          <w:sz w:val="23"/>
          <w:szCs w:val="23"/>
          <w:shd w:val="solid" w:color="000000" w:fill="000000"/>
          <w:fitText w:val="50" w:id="-1161540084"/>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4"/>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4"/>
          <w14:textFill>
            <w14:solidFill>
              <w14:srgbClr w14:val="000000">
                <w14:alpha w14:val="100000"/>
              </w14:srgbClr>
            </w14:solidFill>
          </w14:textFill>
        </w:rPr>
        <w:t xml:space="preserve">　</w:t>
      </w:r>
      <w:r w:rsidR="00426FA9" w:rsidRPr="00CA23AA">
        <w:t xml:space="preserve"> </w:t>
      </w:r>
    </w:p>
    <w:p w14:paraId="41CA23C1" w14:textId="09D3A32A" w:rsidR="00D33ECF" w:rsidRPr="00CA23AA" w:rsidRDefault="00594907" w:rsidP="002608FC">
      <w:pPr>
        <w:pStyle w:val="ListParagraph"/>
        <w:numPr>
          <w:ilvl w:val="0"/>
          <w:numId w:val="25"/>
        </w:numPr>
      </w:pPr>
      <w:r w:rsidRPr="00594907">
        <w:rPr>
          <w:rFonts w:hint="eastAsia"/>
          <w:color w:val="000000"/>
          <w:w w:val="15"/>
          <w:sz w:val="23"/>
          <w:szCs w:val="23"/>
          <w:shd w:val="solid" w:color="000000" w:fill="000000"/>
          <w:fitText w:val="50" w:id="-1161540083"/>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3"/>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3"/>
          <w14:textFill>
            <w14:solidFill>
              <w14:srgbClr w14:val="000000">
                <w14:alpha w14:val="100000"/>
              </w14:srgbClr>
            </w14:solidFill>
          </w14:textFill>
        </w:rPr>
        <w:t xml:space="preserve">　</w:t>
      </w:r>
      <w:r w:rsidR="00426FA9" w:rsidRPr="00CA23AA">
        <w:t xml:space="preserve"> </w:t>
      </w:r>
    </w:p>
    <w:p w14:paraId="044B9570" w14:textId="5F62B207" w:rsidR="00FA01A2" w:rsidRPr="00CA23AA" w:rsidRDefault="00594907" w:rsidP="00FA01A2">
      <w:r w:rsidRPr="00594907">
        <w:rPr>
          <w:color w:val="000000"/>
          <w:w w:val="89"/>
          <w:sz w:val="23"/>
          <w:szCs w:val="23"/>
          <w:shd w:val="solid" w:color="000000" w:fill="000000"/>
          <w:fitText w:val="410" w:id="-1161540082"/>
          <w14:textFill>
            <w14:solidFill>
              <w14:srgbClr w14:val="000000">
                <w14:alpha w14:val="100000"/>
              </w14:srgbClr>
            </w14:solidFill>
          </w14:textFill>
        </w:rPr>
        <w:t>||||</w:t>
      </w:r>
      <w:r w:rsidR="00FA01A2" w:rsidRPr="00CA23AA">
        <w:t xml:space="preserve">: </w:t>
      </w:r>
    </w:p>
    <w:p w14:paraId="62B08A21" w14:textId="64451E87" w:rsidR="00FA01A2" w:rsidRPr="00CA23AA" w:rsidRDefault="00594907" w:rsidP="008C66F4">
      <w:pPr>
        <w:pStyle w:val="ListParagraph"/>
        <w:numPr>
          <w:ilvl w:val="0"/>
          <w:numId w:val="15"/>
        </w:numPr>
      </w:pPr>
      <w:r w:rsidRPr="00594907">
        <w:rPr>
          <w:rFonts w:hint="eastAsia"/>
          <w:color w:val="000000"/>
          <w:w w:val="15"/>
          <w:sz w:val="23"/>
          <w:szCs w:val="23"/>
          <w:shd w:val="solid" w:color="000000" w:fill="000000"/>
          <w:fitText w:val="50" w:id="-1161540081"/>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1"/>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1"/>
          <w14:textFill>
            <w14:solidFill>
              <w14:srgbClr w14:val="000000">
                <w14:alpha w14:val="100000"/>
              </w14:srgbClr>
            </w14:solidFill>
          </w14:textFill>
        </w:rPr>
        <w:t xml:space="preserve">　</w:t>
      </w:r>
    </w:p>
    <w:p w14:paraId="29B006C8" w14:textId="571FFD7E" w:rsidR="00FA01A2" w:rsidRPr="00CA23AA" w:rsidRDefault="00594907" w:rsidP="008C66F4">
      <w:pPr>
        <w:pStyle w:val="ListParagraph"/>
        <w:numPr>
          <w:ilvl w:val="0"/>
          <w:numId w:val="15"/>
        </w:numPr>
      </w:pPr>
      <w:r w:rsidRPr="00594907">
        <w:rPr>
          <w:rFonts w:hint="eastAsia"/>
          <w:color w:val="000000"/>
          <w:w w:val="15"/>
          <w:sz w:val="23"/>
          <w:szCs w:val="23"/>
          <w:shd w:val="solid" w:color="000000" w:fill="000000"/>
          <w:fitText w:val="50" w:id="-1161540080"/>
          <w14:textFill>
            <w14:solidFill>
              <w14:srgbClr w14:val="000000">
                <w14:alpha w14:val="100000"/>
              </w14:srgbClr>
            </w14:solidFill>
          </w14:textFill>
        </w:rPr>
        <w:t xml:space="preserve">　</w:t>
      </w:r>
      <w:r w:rsidRPr="00594907">
        <w:rPr>
          <w:color w:val="000000"/>
          <w:w w:val="15"/>
          <w:sz w:val="23"/>
          <w:szCs w:val="23"/>
          <w:shd w:val="solid" w:color="000000" w:fill="000000"/>
          <w:fitText w:val="50" w:id="-1161540080"/>
          <w14:textFill>
            <w14:solidFill>
              <w14:srgbClr w14:val="000000">
                <w14:alpha w14:val="100000"/>
              </w14:srgbClr>
            </w14:solidFill>
          </w14:textFill>
        </w:rPr>
        <w:t>|</w:t>
      </w:r>
      <w:r w:rsidRPr="00594907">
        <w:rPr>
          <w:rFonts w:hint="eastAsia"/>
          <w:color w:val="000000"/>
          <w:spacing w:val="-35"/>
          <w:w w:val="15"/>
          <w:sz w:val="23"/>
          <w:szCs w:val="23"/>
          <w:shd w:val="solid" w:color="000000" w:fill="000000"/>
          <w:fitText w:val="50" w:id="-1161540080"/>
          <w14:textFill>
            <w14:solidFill>
              <w14:srgbClr w14:val="000000">
                <w14:alpha w14:val="100000"/>
              </w14:srgbClr>
            </w14:solidFill>
          </w14:textFill>
        </w:rPr>
        <w:t xml:space="preserve">　</w:t>
      </w:r>
    </w:p>
    <w:p w14:paraId="34E0B08F" w14:textId="0CCE5DFF" w:rsidR="00772829" w:rsidRPr="00CA23AA" w:rsidRDefault="003E2662" w:rsidP="002A18BE">
      <w:pPr>
        <w:pStyle w:val="Heading2"/>
        <w:numPr>
          <w:ilvl w:val="0"/>
          <w:numId w:val="0"/>
        </w:numPr>
      </w:pPr>
      <w:bookmarkStart w:id="13" w:name="_Toc69491419"/>
      <w:r w:rsidRPr="00CA23AA">
        <w:t>7</w:t>
      </w:r>
      <w:r w:rsidR="00C36633" w:rsidRPr="00CA23AA">
        <w:t>.</w:t>
      </w:r>
      <w:r w:rsidR="00C36633" w:rsidRPr="00CA23AA">
        <w:tab/>
      </w:r>
      <w:r w:rsidR="00772829" w:rsidRPr="00CA23AA">
        <w:t>Population</w:t>
      </w:r>
      <w:bookmarkEnd w:id="13"/>
      <w:r w:rsidR="00772829" w:rsidRPr="00CA23AA">
        <w:t xml:space="preserve"> </w:t>
      </w:r>
    </w:p>
    <w:p w14:paraId="0974E7F7" w14:textId="45E9FA0D" w:rsidR="00602F43" w:rsidRPr="00CA23AA" w:rsidRDefault="00D81603" w:rsidP="00D81603">
      <w:r w:rsidRPr="00CA23AA">
        <w:t>The population to be treated by TIS was defined as paediatric and young adult patients up to 25 years of age with B-cell ALL that is refractory, in relapse post-transplant, or in second or later relapse.</w:t>
      </w:r>
    </w:p>
    <w:p w14:paraId="6BA803A7" w14:textId="78471790" w:rsidR="00D81603" w:rsidRPr="00CA23AA" w:rsidRDefault="00D81603" w:rsidP="00D81603">
      <w:r w:rsidRPr="00CA23AA">
        <w:t xml:space="preserve">This has not changed from </w:t>
      </w:r>
      <w:r w:rsidR="006A23E9" w:rsidRPr="00CA23AA">
        <w:t>that described in ADAR 1519</w:t>
      </w:r>
      <w:r w:rsidRPr="00CA23AA">
        <w:t>.</w:t>
      </w:r>
    </w:p>
    <w:p w14:paraId="66BDFCC1" w14:textId="0A7D77EA" w:rsidR="00772829" w:rsidRPr="00CA23AA" w:rsidRDefault="003E2662" w:rsidP="002A18BE">
      <w:pPr>
        <w:pStyle w:val="Heading2"/>
        <w:numPr>
          <w:ilvl w:val="1"/>
          <w:numId w:val="0"/>
        </w:numPr>
      </w:pPr>
      <w:bookmarkStart w:id="14" w:name="_Toc69491420"/>
      <w:r w:rsidRPr="00CA23AA">
        <w:t>8</w:t>
      </w:r>
      <w:r w:rsidR="00C36633" w:rsidRPr="00CA23AA">
        <w:t>.</w:t>
      </w:r>
      <w:r w:rsidR="00C36633" w:rsidRPr="00CA23AA">
        <w:tab/>
      </w:r>
      <w:r w:rsidR="00772829" w:rsidRPr="00CA23AA">
        <w:t>Comparator</w:t>
      </w:r>
      <w:bookmarkEnd w:id="14"/>
    </w:p>
    <w:p w14:paraId="4B3D5E90" w14:textId="5A5FE27A" w:rsidR="00D024D4" w:rsidRPr="00CA23AA" w:rsidRDefault="00F86D6F" w:rsidP="00EC1998">
      <w:r w:rsidRPr="00CA23AA">
        <w:t xml:space="preserve">The comparator has not changed from </w:t>
      </w:r>
      <w:r w:rsidR="006A23E9" w:rsidRPr="00CA23AA">
        <w:t xml:space="preserve">that described in </w:t>
      </w:r>
      <w:r w:rsidR="00730591" w:rsidRPr="00CA23AA">
        <w:t>ADAR 1</w:t>
      </w:r>
      <w:r w:rsidR="006A23E9" w:rsidRPr="00CA23AA">
        <w:t>519</w:t>
      </w:r>
      <w:r w:rsidRPr="00CA23AA">
        <w:t>.</w:t>
      </w:r>
      <w:r w:rsidR="00877792" w:rsidRPr="00CA23AA">
        <w:t xml:space="preserve"> </w:t>
      </w:r>
      <w:r w:rsidR="00D024D4" w:rsidRPr="00CA23AA">
        <w:t xml:space="preserve">Blinatumomab is still a valid comparator for relapse/refractory ALL according to both the </w:t>
      </w:r>
      <w:proofErr w:type="spellStart"/>
      <w:r w:rsidR="00D024D4" w:rsidRPr="00CA23AA">
        <w:t>EviQ</w:t>
      </w:r>
      <w:proofErr w:type="spellEnd"/>
      <w:r w:rsidR="00D024D4" w:rsidRPr="00CA23AA">
        <w:rPr>
          <w:vertAlign w:val="superscript"/>
        </w:rPr>
        <w:footnoteReference w:id="6"/>
      </w:r>
      <w:r w:rsidR="00D024D4" w:rsidRPr="00CA23AA">
        <w:t xml:space="preserve"> and the NCCN Clinical Practice Guidelines in Oncology for both paediatric ALL</w:t>
      </w:r>
      <w:r w:rsidR="00D024D4" w:rsidRPr="00CA23AA">
        <w:rPr>
          <w:vertAlign w:val="superscript"/>
        </w:rPr>
        <w:footnoteReference w:id="7"/>
      </w:r>
      <w:r w:rsidR="00D024D4" w:rsidRPr="00CA23AA">
        <w:t xml:space="preserve"> and ALL in adolescents and young adults</w:t>
      </w:r>
      <w:r w:rsidR="00D024D4" w:rsidRPr="00CA23AA">
        <w:rPr>
          <w:vertAlign w:val="superscript"/>
        </w:rPr>
        <w:footnoteReference w:id="8"/>
      </w:r>
      <w:r w:rsidR="00D024D4" w:rsidRPr="00CA23AA">
        <w:t>.</w:t>
      </w:r>
    </w:p>
    <w:p w14:paraId="33CA1805" w14:textId="3A47FA33" w:rsidR="00772829" w:rsidRPr="00CA23AA" w:rsidRDefault="003E2662" w:rsidP="002A18BE">
      <w:pPr>
        <w:pStyle w:val="Heading2"/>
        <w:numPr>
          <w:ilvl w:val="0"/>
          <w:numId w:val="0"/>
        </w:numPr>
      </w:pPr>
      <w:bookmarkStart w:id="15" w:name="_Toc69491421"/>
      <w:r w:rsidRPr="00CA23AA">
        <w:t>9</w:t>
      </w:r>
      <w:r w:rsidR="00C36633" w:rsidRPr="00CA23AA">
        <w:t>.</w:t>
      </w:r>
      <w:r w:rsidR="00C36633" w:rsidRPr="00CA23AA">
        <w:tab/>
      </w:r>
      <w:r w:rsidR="00772829" w:rsidRPr="00CA23AA">
        <w:t xml:space="preserve">Summary of public consultation </w:t>
      </w:r>
      <w:r w:rsidR="0052575D" w:rsidRPr="00CA23AA">
        <w:t>input</w:t>
      </w:r>
      <w:bookmarkEnd w:id="15"/>
    </w:p>
    <w:p w14:paraId="0635338B" w14:textId="77777777" w:rsidR="00D010E1" w:rsidRPr="00CA23AA" w:rsidRDefault="00D010E1" w:rsidP="00D010E1">
      <w:r w:rsidRPr="00CA23AA">
        <w:t xml:space="preserve">Consultation feedback was received from one (1) professional organisation and targeted consultation feedback from one (1) consumer organisation. The organisations that submitted input were: </w:t>
      </w:r>
    </w:p>
    <w:p w14:paraId="420706E1" w14:textId="77777777" w:rsidR="00D010E1" w:rsidRPr="00CA23AA" w:rsidRDefault="00D010E1" w:rsidP="00D010E1">
      <w:pPr>
        <w:pStyle w:val="ListParagraph"/>
        <w:numPr>
          <w:ilvl w:val="0"/>
          <w:numId w:val="39"/>
        </w:numPr>
        <w:rPr>
          <w:rFonts w:eastAsia="Franklin Gothic Book" w:cs="Franklin Gothic Book"/>
        </w:rPr>
      </w:pPr>
      <w:r w:rsidRPr="00CA23AA">
        <w:rPr>
          <w:rFonts w:eastAsia="Franklin Gothic Book" w:cs="Franklin Gothic Book"/>
        </w:rPr>
        <w:t>Transplant and Cellular Therapy in Children (TACTIC) group, part of the Australian &amp; New Zealand Childrens Haematology/Oncology Group (ANZCHOG)</w:t>
      </w:r>
    </w:p>
    <w:p w14:paraId="229FC619" w14:textId="77777777" w:rsidR="00D010E1" w:rsidRPr="00CA23AA" w:rsidRDefault="00D010E1" w:rsidP="00D010E1">
      <w:pPr>
        <w:pStyle w:val="ListParagraph"/>
        <w:numPr>
          <w:ilvl w:val="0"/>
          <w:numId w:val="39"/>
        </w:numPr>
        <w:rPr>
          <w:rFonts w:eastAsia="Franklin Gothic Book" w:cs="Franklin Gothic Book"/>
        </w:rPr>
      </w:pPr>
      <w:r w:rsidRPr="00CA23AA">
        <w:rPr>
          <w:rFonts w:eastAsia="Franklin Gothic Book" w:cs="Franklin Gothic Book"/>
        </w:rPr>
        <w:t>Canteen</w:t>
      </w:r>
    </w:p>
    <w:p w14:paraId="430C3891" w14:textId="77777777" w:rsidR="00D010E1" w:rsidRPr="00CA23AA" w:rsidRDefault="00D010E1" w:rsidP="00D010E1">
      <w:pPr>
        <w:spacing w:after="0" w:line="240" w:lineRule="auto"/>
      </w:pPr>
      <w:r w:rsidRPr="00CA23AA">
        <w:t xml:space="preserve">TACTIC and Canteen were both strongly supportive of the application. Canteen provided a young patients story of his treatment with CAR-T therapy for ALL to demonstrate the benefits of this treatment for young cancer patients. </w:t>
      </w:r>
    </w:p>
    <w:p w14:paraId="07FD73A2" w14:textId="77777777" w:rsidR="00D010E1" w:rsidRPr="00CA23AA" w:rsidRDefault="00D010E1" w:rsidP="003277D4">
      <w:pPr>
        <w:spacing w:before="240" w:after="0" w:line="240" w:lineRule="auto"/>
      </w:pPr>
      <w:r w:rsidRPr="00CA23AA">
        <w:t xml:space="preserve">The benefits of the proposed medical service for young cancer patients </w:t>
      </w:r>
      <w:proofErr w:type="gramStart"/>
      <w:r w:rsidRPr="00CA23AA">
        <w:t>were considered to be</w:t>
      </w:r>
      <w:proofErr w:type="gramEnd"/>
      <w:r w:rsidRPr="00CA23AA">
        <w:t xml:space="preserve">: </w:t>
      </w:r>
    </w:p>
    <w:p w14:paraId="2149BDE2" w14:textId="77777777" w:rsidR="00D010E1" w:rsidRPr="00CA23AA" w:rsidRDefault="00D010E1" w:rsidP="00D010E1">
      <w:pPr>
        <w:pStyle w:val="ListParagraph"/>
        <w:numPr>
          <w:ilvl w:val="0"/>
          <w:numId w:val="40"/>
        </w:numPr>
        <w:spacing w:before="0" w:after="0" w:line="240" w:lineRule="auto"/>
      </w:pPr>
      <w:r w:rsidRPr="00CA23AA">
        <w:t>that TIS is an effective cellular based treatment for eligible patients with relapsed/refractory acute lymphoblastic leukaemia (ALL)</w:t>
      </w:r>
    </w:p>
    <w:p w14:paraId="25064B23" w14:textId="77777777" w:rsidR="00D010E1" w:rsidRPr="00CA23AA" w:rsidRDefault="00D010E1" w:rsidP="00D010E1">
      <w:pPr>
        <w:pStyle w:val="ListParagraph"/>
        <w:numPr>
          <w:ilvl w:val="0"/>
          <w:numId w:val="40"/>
        </w:numPr>
        <w:spacing w:before="0" w:after="0" w:line="240" w:lineRule="auto"/>
      </w:pPr>
      <w:r w:rsidRPr="00CA23AA">
        <w:t xml:space="preserve">that this treatment is less burdensome to the patient with reduced side effects compared to traditional cancer treatments </w:t>
      </w:r>
    </w:p>
    <w:p w14:paraId="7D7D54DA" w14:textId="77777777" w:rsidR="00D010E1" w:rsidRPr="00CA23AA" w:rsidRDefault="00D010E1" w:rsidP="00D010E1">
      <w:pPr>
        <w:pStyle w:val="ListParagraph"/>
        <w:numPr>
          <w:ilvl w:val="0"/>
          <w:numId w:val="40"/>
        </w:numPr>
        <w:spacing w:before="0" w:after="0" w:line="240" w:lineRule="auto"/>
      </w:pPr>
      <w:r w:rsidRPr="00CA23AA">
        <w:t xml:space="preserve">improved quality of life for patients, having enough health and energy to engage in meaningful activities, have precious moments with loved ones and maintain their </w:t>
      </w:r>
      <w:proofErr w:type="gramStart"/>
      <w:r w:rsidRPr="00CA23AA">
        <w:t>independence</w:t>
      </w:r>
      <w:proofErr w:type="gramEnd"/>
    </w:p>
    <w:p w14:paraId="4C2D38EA" w14:textId="77777777" w:rsidR="00D010E1" w:rsidRPr="00CA23AA" w:rsidRDefault="00D010E1" w:rsidP="00D010E1">
      <w:pPr>
        <w:pStyle w:val="ListParagraph"/>
        <w:numPr>
          <w:ilvl w:val="0"/>
          <w:numId w:val="40"/>
        </w:numPr>
        <w:spacing w:before="0" w:after="0" w:line="240" w:lineRule="auto"/>
      </w:pPr>
      <w:r w:rsidRPr="00CA23AA">
        <w:t xml:space="preserve"> important for young people to be ‘normal’ throughout treatment, which includes working or studying, maintaining friendships, pursuing hobbies and passions, and making meaningful contributions such as through fundraising, volunteering and advocacy.</w:t>
      </w:r>
    </w:p>
    <w:p w14:paraId="638CAD39" w14:textId="7F2C9677" w:rsidR="00D010E1" w:rsidRPr="00CA23AA" w:rsidRDefault="00D010E1" w:rsidP="003277D4">
      <w:pPr>
        <w:spacing w:before="240"/>
      </w:pPr>
      <w:r w:rsidRPr="00CA23AA">
        <w:t xml:space="preserve">There were no disadvantages raised in the consultation feedback, however TACTIC did raise some concerns regarding refinement of the eligibility criteria to ensure that patients who would benefit most from this therapy, but are currently ineligible, have timely access to it. For </w:t>
      </w:r>
      <w:proofErr w:type="gramStart"/>
      <w:r w:rsidRPr="00CA23AA">
        <w:t>example</w:t>
      </w:r>
      <w:proofErr w:type="gramEnd"/>
      <w:r w:rsidRPr="00CA23AA">
        <w:t xml:space="preserve"> in patients that have experienced extreme toxicity from therapy, or those that may be at increased risk of morbidity and mortality from other therapy (including HSCT), or in the setting of Central Nervous System (CNS) disease. TACTIC also raised that the role of re-infusion and optimal dosing strategies need to be further elucidated.</w:t>
      </w:r>
    </w:p>
    <w:p w14:paraId="32C4BF0A" w14:textId="55F999C3" w:rsidR="3FAE6AF8" w:rsidRPr="00CA23AA" w:rsidRDefault="3FAE6AF8" w:rsidP="085CCDD4">
      <w:pPr>
        <w:pStyle w:val="Heading3"/>
      </w:pPr>
      <w:r w:rsidRPr="00CA23AA">
        <w:t>State and territory feedback</w:t>
      </w:r>
    </w:p>
    <w:p w14:paraId="09E4566B" w14:textId="77777777" w:rsidR="007B2D1F" w:rsidRPr="00CA23AA" w:rsidRDefault="007B2D1F" w:rsidP="007B2D1F">
      <w:r w:rsidRPr="00CA23AA">
        <w:t>Reports from state and territory data have included experiences from different stakeholders of the TIS treatment program in Australia. These have been summarised in this section.</w:t>
      </w:r>
    </w:p>
    <w:p w14:paraId="17D403B7" w14:textId="77777777" w:rsidR="007B2D1F" w:rsidRPr="00CA23AA" w:rsidRDefault="007B2D1F" w:rsidP="007B2D1F">
      <w:r w:rsidRPr="00CA23AA">
        <w:t>Patients and Caregivers</w:t>
      </w:r>
    </w:p>
    <w:p w14:paraId="3B9F49D7" w14:textId="143843C8" w:rsidR="007B2D1F" w:rsidRPr="00CA23AA" w:rsidRDefault="007B2D1F" w:rsidP="007B2D1F">
      <w:r w:rsidRPr="00CA23AA">
        <w:t xml:space="preserve">The NSW Review commissioned a patient and carer experience evaluation of recent CAR-T therapy (it is unclear if feedback was specific to TIS or included other types of CAR-T) in the latter part of 2022. </w:t>
      </w:r>
    </w:p>
    <w:p w14:paraId="6FDB3850" w14:textId="6AB5F738" w:rsidR="3FAE6AF8" w:rsidRPr="00CA23AA" w:rsidRDefault="3FAE6AF8" w:rsidP="085CCDD4">
      <w:pPr>
        <w:pStyle w:val="Heading4"/>
      </w:pPr>
      <w:r w:rsidRPr="00CA23AA">
        <w:t>State Health departments and healthcare providers</w:t>
      </w:r>
    </w:p>
    <w:p w14:paraId="5B7A7F09" w14:textId="77777777" w:rsidR="00C52013" w:rsidRPr="00CA23AA" w:rsidRDefault="00C52013" w:rsidP="00C52013">
      <w:r w:rsidRPr="00CA23AA">
        <w:t>Stakeholder feedback from state health departments and hospitals was provided by New South Wales, Queensland, Victoria, and Western Australia. Across all reviews, three major themes were apparent:</w:t>
      </w:r>
    </w:p>
    <w:p w14:paraId="056865FF" w14:textId="77777777" w:rsidR="00C52013" w:rsidRPr="00CA23AA" w:rsidRDefault="00C52013" w:rsidP="00C52013">
      <w:pPr>
        <w:pStyle w:val="ListParagraph"/>
        <w:numPr>
          <w:ilvl w:val="0"/>
          <w:numId w:val="2"/>
        </w:numPr>
      </w:pPr>
      <w:r w:rsidRPr="00CA23AA">
        <w:t>Evidence for decision-making</w:t>
      </w:r>
    </w:p>
    <w:p w14:paraId="111DA66E" w14:textId="77777777" w:rsidR="00C52013" w:rsidRPr="00CA23AA" w:rsidRDefault="00C52013" w:rsidP="00C52013">
      <w:pPr>
        <w:pStyle w:val="ListParagraph"/>
        <w:numPr>
          <w:ilvl w:val="0"/>
          <w:numId w:val="2"/>
        </w:numPr>
      </w:pPr>
      <w:r w:rsidRPr="00CA23AA">
        <w:t>Resource requirements</w:t>
      </w:r>
    </w:p>
    <w:p w14:paraId="398685AE" w14:textId="60E0B8FA" w:rsidR="00C52013" w:rsidRPr="00CA23AA" w:rsidRDefault="00C52013" w:rsidP="00C52013">
      <w:pPr>
        <w:pStyle w:val="ListParagraph"/>
        <w:numPr>
          <w:ilvl w:val="0"/>
          <w:numId w:val="2"/>
        </w:numPr>
      </w:pPr>
      <w:r w:rsidRPr="00CA23AA">
        <w:t>Service delivery and organisation.</w:t>
      </w:r>
    </w:p>
    <w:p w14:paraId="51C69F89" w14:textId="261A3420" w:rsidR="3FAE6AF8" w:rsidRPr="00CA23AA" w:rsidRDefault="3FAE6AF8" w:rsidP="003A2049">
      <w:pPr>
        <w:keepNext/>
        <w:keepLines/>
        <w:rPr>
          <w:b/>
          <w:bCs/>
        </w:rPr>
      </w:pPr>
      <w:r w:rsidRPr="00CA23AA">
        <w:rPr>
          <w:b/>
          <w:bCs/>
        </w:rPr>
        <w:t>Evidence for decision-making</w:t>
      </w:r>
    </w:p>
    <w:p w14:paraId="13A5EABD" w14:textId="77777777" w:rsidR="005632AE" w:rsidRPr="00CA23AA" w:rsidRDefault="005632AE" w:rsidP="003A2049">
      <w:pPr>
        <w:keepNext/>
        <w:keepLines/>
      </w:pPr>
      <w:r w:rsidRPr="00CA23AA">
        <w:t xml:space="preserve">The future of TIS therapy should be guided by a body of evidence that is relevant to the Australian clinical context. This evidence largely comes from the TIS sub-cohort from the Australian Bone Marrow Transplant Recipient Registry. </w:t>
      </w:r>
    </w:p>
    <w:p w14:paraId="5F2B11F3" w14:textId="77777777" w:rsidR="005632AE" w:rsidRPr="00CA23AA" w:rsidRDefault="005632AE" w:rsidP="005632AE">
      <w:r w:rsidRPr="00CA23AA">
        <w:t xml:space="preserve">Feedback from the states identified significant issues around data access and transparency. States expressed a desire for access to real-time registry data to assist with accurate costing, and future development of CAR-T programs though evaluation. </w:t>
      </w:r>
    </w:p>
    <w:p w14:paraId="125C8773" w14:textId="77777777" w:rsidR="005632AE" w:rsidRPr="00CA23AA" w:rsidRDefault="005632AE" w:rsidP="005632AE">
      <w:r w:rsidRPr="00CA23AA">
        <w:t>States also expressed concern around lack of resources for the registry itself due to “limited departmental resources.” Specifically, there are concerns around receipt of complete data in a timely fashion.</w:t>
      </w:r>
    </w:p>
    <w:p w14:paraId="02C4F709" w14:textId="77777777" w:rsidR="005632AE" w:rsidRPr="00CA23AA" w:rsidRDefault="005632AE" w:rsidP="005632AE">
      <w:pPr>
        <w:rPr>
          <w:rFonts w:eastAsia="Franklin Gothic Book" w:cs="Franklin Gothic Book"/>
        </w:rPr>
      </w:pPr>
      <w:r w:rsidRPr="00CA23AA">
        <w:t xml:space="preserve">Outcomes collected by the registry were also raised. Queensland recommended that inclusion of loss of B-Cell Aplasia (BCA) be collected, particularly in patients who have had a complete remission, as it can indicate that relapse is imminent. These data may be useful to inform which patients may derive benefit in consolidative </w:t>
      </w:r>
      <w:proofErr w:type="spellStart"/>
      <w:r w:rsidRPr="00CA23AA">
        <w:t>aHSCT</w:t>
      </w:r>
      <w:proofErr w:type="spellEnd"/>
      <w:r w:rsidRPr="00CA23AA">
        <w:t xml:space="preserve">. Consequently, there is a desire to review definitions of “complete remission” or “complete remission with incomplete blood count recovery”, as outlined in the Kymriah Deed of Agreement. These composite endpoints may be redefined to include other outcomes such as loss of BCA and Minimal Residual Disease (MRD) which are indicative of imminent relapse. The commentary agrees with this as it was found that recent studies of TIS in ALL are also monitoring duration of BCA. Schultz 2022 reported that BCA was observes in 57% of ALL patients treated with TIS. Additionally, </w:t>
      </w:r>
      <w:proofErr w:type="spellStart"/>
      <w:r w:rsidRPr="00CA23AA">
        <w:rPr>
          <w:rFonts w:eastAsia="Franklin Gothic Book" w:cs="Franklin Gothic Book"/>
        </w:rPr>
        <w:t>Dourthe</w:t>
      </w:r>
      <w:proofErr w:type="spellEnd"/>
      <w:r w:rsidRPr="00CA23AA">
        <w:rPr>
          <w:rFonts w:eastAsia="Franklin Gothic Book" w:cs="Franklin Gothic Book"/>
        </w:rPr>
        <w:t xml:space="preserve"> 2021 identified that loss of BCA was associated with CD19-positive relapse (SHR 21.7, 95% CI [2.65–177.70], p = 0.004). The median time to loss of BCA was 7.7 months, with the vast majority occurring within the first 12 months of follow-up. </w:t>
      </w:r>
    </w:p>
    <w:p w14:paraId="5945C6D8" w14:textId="77777777" w:rsidR="005632AE" w:rsidRPr="00CA23AA" w:rsidRDefault="005632AE" w:rsidP="005632AE">
      <w:pPr>
        <w:rPr>
          <w:rFonts w:eastAsia="Franklin Gothic Book" w:cs="Franklin Gothic Book"/>
        </w:rPr>
      </w:pPr>
      <w:r w:rsidRPr="00CA23AA">
        <w:rPr>
          <w:rFonts w:eastAsia="Franklin Gothic Book" w:cs="Franklin Gothic Book"/>
        </w:rPr>
        <w:t>Given this, it may also be useful to gather genomics data, if available to identify patients with genetic relapse factors to assist with additional consolidatory therapies.</w:t>
      </w:r>
    </w:p>
    <w:p w14:paraId="3CBACE13" w14:textId="613D6D0B" w:rsidR="3FAE6AF8" w:rsidRPr="00CA23AA" w:rsidRDefault="3FAE6AF8" w:rsidP="085CCDD4">
      <w:pPr>
        <w:rPr>
          <w:b/>
          <w:bCs/>
        </w:rPr>
      </w:pPr>
      <w:r w:rsidRPr="00CA23AA">
        <w:rPr>
          <w:b/>
          <w:bCs/>
        </w:rPr>
        <w:t>Resource requirements</w:t>
      </w:r>
    </w:p>
    <w:p w14:paraId="27381382" w14:textId="77777777" w:rsidR="00820258" w:rsidRPr="00CA23AA" w:rsidRDefault="00820258" w:rsidP="00820258">
      <w:r w:rsidRPr="00CA23AA">
        <w:t xml:space="preserve">The most-common theme, raised by all responding states, was that the TIS program requires a substantial number of resources regarding staffing, time, and consumables, compared to other treatment programs. This increases the burden on other departments leading to inequity of good health outcomes to other patients. </w:t>
      </w:r>
    </w:p>
    <w:p w14:paraId="2D51395F" w14:textId="77777777" w:rsidR="00820258" w:rsidRPr="00CA23AA" w:rsidRDefault="00820258" w:rsidP="00820258">
      <w:r w:rsidRPr="00CA23AA">
        <w:t xml:space="preserve">Limited staffing is a particular concern as the infusion/reinfusion of cells requires specialised training as does laboratory processing and management. In addition, the side effects of CAR-T therapy can be acute and potentially fatal. Therefore, healthcare professionals require additional training to diagnose and treat these events quickly and appropriately. </w:t>
      </w:r>
    </w:p>
    <w:p w14:paraId="2012AE81" w14:textId="77777777" w:rsidR="00820258" w:rsidRPr="00CA23AA" w:rsidRDefault="00820258" w:rsidP="00820258">
      <w:r w:rsidRPr="00CA23AA">
        <w:t xml:space="preserve">Across states, it was noted that the cost of treating patients was greater than modelled by the sponsor. While infusion costs were consistent with the model, on-going costs have not been captured appropriately, notably, </w:t>
      </w:r>
      <w:proofErr w:type="spellStart"/>
      <w:r w:rsidRPr="00CA23AA">
        <w:t>aHSCT</w:t>
      </w:r>
      <w:proofErr w:type="spellEnd"/>
      <w:r w:rsidRPr="00CA23AA">
        <w:t xml:space="preserve"> which is costly in of itself. </w:t>
      </w:r>
    </w:p>
    <w:p w14:paraId="07BD5F29" w14:textId="77777777" w:rsidR="00820258" w:rsidRPr="00CA23AA" w:rsidRDefault="00820258" w:rsidP="00820258">
      <w:r w:rsidRPr="00CA23AA">
        <w:t xml:space="preserve">Additional costs may also be borne from patients who require a second infusion. While the treatment itself is not charged, health systems still bear external costs for the therapy (e.g., cell collection, adverse events etc.). </w:t>
      </w:r>
    </w:p>
    <w:p w14:paraId="75098DBF" w14:textId="64F1D584" w:rsidR="3FAE6AF8" w:rsidRPr="00CA23AA" w:rsidRDefault="3FAE6AF8" w:rsidP="085CCDD4">
      <w:pPr>
        <w:rPr>
          <w:b/>
          <w:bCs/>
        </w:rPr>
      </w:pPr>
      <w:r w:rsidRPr="00CA23AA">
        <w:rPr>
          <w:b/>
          <w:bCs/>
        </w:rPr>
        <w:t>Service delivery and organisation</w:t>
      </w:r>
    </w:p>
    <w:p w14:paraId="55370A2C" w14:textId="77777777" w:rsidR="009126DA" w:rsidRPr="00CA23AA" w:rsidRDefault="009126DA" w:rsidP="009126DA">
      <w:r w:rsidRPr="00CA23AA">
        <w:t>Across states, healthcare provider-sponsor relationships were positive. However, one hospital noted that this benefit was predicated on a substantial number of resources to collaborate with the sponsor. These included educational opportunities and review meetings to address service improvement.</w:t>
      </w:r>
    </w:p>
    <w:p w14:paraId="3B8E2AC1" w14:textId="77777777" w:rsidR="009126DA" w:rsidRPr="00CA23AA" w:rsidRDefault="009126DA" w:rsidP="009126DA">
      <w:r w:rsidRPr="00CA23AA">
        <w:t xml:space="preserve">Issues with production times were also noted, which has serious implications for the treatment of patients. During the first quarter of 2020, there were shortages in the supply chain that resulted in a median turnaround time of 51 days. By the same time in 2021, turnaround time was reduced to 31 days. </w:t>
      </w:r>
    </w:p>
    <w:p w14:paraId="580AEFC0" w14:textId="77777777" w:rsidR="009126DA" w:rsidRPr="00CA23AA" w:rsidRDefault="009126DA" w:rsidP="009126DA">
      <w:r w:rsidRPr="00CA23AA">
        <w:t>To compound issues, Cell Therapies terminated their manufacturing contract with the sponsor in mid- 2021. To date, this has not adversely affected service delivery yet but may restrict the program’s potential for growth.</w:t>
      </w:r>
    </w:p>
    <w:p w14:paraId="4A5B53B5" w14:textId="3A0DD5AB" w:rsidR="3FAE6AF8" w:rsidRPr="00CA23AA" w:rsidRDefault="3FAE6AF8" w:rsidP="085CCDD4">
      <w:pPr>
        <w:pStyle w:val="Heading4"/>
      </w:pPr>
      <w:r w:rsidRPr="00CA23AA">
        <w:t xml:space="preserve">Recommendations </w:t>
      </w:r>
    </w:p>
    <w:p w14:paraId="5124F7A8" w14:textId="711CA060" w:rsidR="3FAE6AF8" w:rsidRPr="00CA23AA" w:rsidRDefault="3FAE6AF8" w:rsidP="085CCDD4">
      <w:pPr>
        <w:rPr>
          <w:b/>
          <w:bCs/>
        </w:rPr>
      </w:pPr>
      <w:r w:rsidRPr="00CA23AA">
        <w:rPr>
          <w:b/>
          <w:bCs/>
        </w:rPr>
        <w:t>Patients and carers</w:t>
      </w:r>
    </w:p>
    <w:p w14:paraId="59BA041D" w14:textId="77777777" w:rsidR="00114ACB" w:rsidRPr="00CA23AA" w:rsidRDefault="00114ACB" w:rsidP="00114ACB">
      <w:pPr>
        <w:pStyle w:val="ListParagraph"/>
        <w:numPr>
          <w:ilvl w:val="0"/>
          <w:numId w:val="16"/>
        </w:numPr>
      </w:pPr>
      <w:r w:rsidRPr="00CA23AA">
        <w:t xml:space="preserve">Due to the small number of hospitals offering TIS, up to 40% off patients require interstate travel. Additionally, </w:t>
      </w:r>
      <w:r w:rsidRPr="00CA23AA">
        <w:rPr>
          <w:rFonts w:eastAsia="Franklin Gothic Book" w:cs="Franklin Gothic Book"/>
        </w:rPr>
        <w:t>that TIS treatment and its management of complications can be lengthy for patients (up to 3 months). Therefore, a</w:t>
      </w:r>
      <w:r w:rsidRPr="00CA23AA">
        <w:t xml:space="preserve">dditional support for patients and carers </w:t>
      </w:r>
      <w:proofErr w:type="gramStart"/>
      <w:r w:rsidRPr="00CA23AA">
        <w:t>with regard to</w:t>
      </w:r>
      <w:proofErr w:type="gramEnd"/>
      <w:r w:rsidRPr="00CA23AA">
        <w:t xml:space="preserve"> travel and accommodation needs.</w:t>
      </w:r>
    </w:p>
    <w:p w14:paraId="0F2C0225" w14:textId="5B0754D3" w:rsidR="3FAE6AF8" w:rsidRPr="00CA23AA" w:rsidRDefault="3FAE6AF8" w:rsidP="085CCDD4">
      <w:pPr>
        <w:rPr>
          <w:b/>
          <w:bCs/>
        </w:rPr>
      </w:pPr>
      <w:r w:rsidRPr="00CA23AA">
        <w:rPr>
          <w:b/>
          <w:bCs/>
        </w:rPr>
        <w:t>TIS registry</w:t>
      </w:r>
    </w:p>
    <w:p w14:paraId="46696B6D" w14:textId="77777777" w:rsidR="00E801AF" w:rsidRPr="00CA23AA" w:rsidRDefault="00E801AF" w:rsidP="00E801AF">
      <w:pPr>
        <w:pStyle w:val="ListParagraph"/>
        <w:numPr>
          <w:ilvl w:val="0"/>
          <w:numId w:val="1"/>
        </w:numPr>
      </w:pPr>
      <w:r w:rsidRPr="00CA23AA">
        <w:t>Realtime access to the ABMTRR for ongoing monitoring and quality control with other administrative datasets.</w:t>
      </w:r>
    </w:p>
    <w:p w14:paraId="554B0153" w14:textId="77777777" w:rsidR="00E801AF" w:rsidRPr="00CA23AA" w:rsidRDefault="00E801AF" w:rsidP="00E801AF">
      <w:pPr>
        <w:pStyle w:val="ListParagraph"/>
        <w:numPr>
          <w:ilvl w:val="0"/>
          <w:numId w:val="1"/>
        </w:numPr>
      </w:pPr>
      <w:r w:rsidRPr="00CA23AA">
        <w:t>Data collection and reporting to include additional information such as genomic risk factors, MRD, loss of BCA.</w:t>
      </w:r>
    </w:p>
    <w:p w14:paraId="397EA6FE" w14:textId="77777777" w:rsidR="00E801AF" w:rsidRPr="00CA23AA" w:rsidRDefault="00E801AF" w:rsidP="00E801AF">
      <w:pPr>
        <w:pStyle w:val="ListParagraph"/>
        <w:numPr>
          <w:ilvl w:val="0"/>
          <w:numId w:val="1"/>
        </w:numPr>
      </w:pPr>
      <w:r w:rsidRPr="00CA23AA">
        <w:t>Refinement of endpoint definition of “complete remission” to include predictors of relapse (e.g., MRD, presence of BCA).</w:t>
      </w:r>
    </w:p>
    <w:p w14:paraId="4AD92FF2" w14:textId="77777777" w:rsidR="00E801AF" w:rsidRPr="00CA23AA" w:rsidRDefault="00E801AF" w:rsidP="00E801AF">
      <w:pPr>
        <w:pStyle w:val="ListParagraph"/>
        <w:numPr>
          <w:ilvl w:val="0"/>
          <w:numId w:val="1"/>
        </w:numPr>
      </w:pPr>
      <w:r w:rsidRPr="00CA23AA">
        <w:t>Continued support for surveillance on long-term safety and efficacy.</w:t>
      </w:r>
    </w:p>
    <w:p w14:paraId="03C7A1F1" w14:textId="354B0409" w:rsidR="00772829" w:rsidRPr="00CA23AA" w:rsidRDefault="00132006" w:rsidP="002A18BE">
      <w:pPr>
        <w:pStyle w:val="Heading2"/>
        <w:numPr>
          <w:ilvl w:val="0"/>
          <w:numId w:val="0"/>
        </w:numPr>
      </w:pPr>
      <w:bookmarkStart w:id="16" w:name="_Toc69491422"/>
      <w:r w:rsidRPr="00CA23AA">
        <w:t>10</w:t>
      </w:r>
      <w:r w:rsidR="00C36633" w:rsidRPr="00CA23AA">
        <w:t>.</w:t>
      </w:r>
      <w:r w:rsidR="00C36633" w:rsidRPr="00CA23AA">
        <w:tab/>
      </w:r>
      <w:r w:rsidR="00772829" w:rsidRPr="00CA23AA">
        <w:t>Characteristics of the evidence base</w:t>
      </w:r>
      <w:bookmarkEnd w:id="16"/>
    </w:p>
    <w:p w14:paraId="0FBDB55D" w14:textId="1ADC33F3" w:rsidR="00C81CD8" w:rsidRPr="00CA23AA" w:rsidRDefault="00593E92" w:rsidP="00C81CD8">
      <w:pPr>
        <w:rPr>
          <w:lang w:eastAsia="en-AU"/>
        </w:rPr>
      </w:pPr>
      <w:r w:rsidRPr="00CA23AA">
        <w:rPr>
          <w:lang w:eastAsia="en-AU"/>
        </w:rPr>
        <w:t>The ADAR presented an</w:t>
      </w:r>
      <w:r w:rsidR="00C81CD8" w:rsidRPr="00CA23AA">
        <w:rPr>
          <w:lang w:eastAsia="en-AU"/>
        </w:rPr>
        <w:t xml:space="preserve"> updated systematic literature review of the Cochrane, Embase and Medline databases</w:t>
      </w:r>
      <w:r w:rsidR="000E5459" w:rsidRPr="00CA23AA">
        <w:rPr>
          <w:lang w:eastAsia="en-AU"/>
        </w:rPr>
        <w:t>,</w:t>
      </w:r>
      <w:r w:rsidR="00C81CD8" w:rsidRPr="00CA23AA">
        <w:rPr>
          <w:lang w:eastAsia="en-AU"/>
        </w:rPr>
        <w:t xml:space="preserve"> undertaken in November 2022</w:t>
      </w:r>
      <w:r w:rsidR="000E5459" w:rsidRPr="00CA23AA">
        <w:rPr>
          <w:lang w:eastAsia="en-AU"/>
        </w:rPr>
        <w:t>,</w:t>
      </w:r>
      <w:r w:rsidR="00C81CD8" w:rsidRPr="00CA23AA">
        <w:rPr>
          <w:lang w:eastAsia="en-AU"/>
        </w:rPr>
        <w:t xml:space="preserve"> to identify all relevant studies of TIS in </w:t>
      </w:r>
      <w:proofErr w:type="spellStart"/>
      <w:r w:rsidR="00C81CD8" w:rsidRPr="00CA23AA">
        <w:rPr>
          <w:lang w:eastAsia="en-AU"/>
        </w:rPr>
        <w:t>pALL</w:t>
      </w:r>
      <w:proofErr w:type="spellEnd"/>
      <w:r w:rsidR="00C81CD8" w:rsidRPr="00CA23AA">
        <w:rPr>
          <w:lang w:eastAsia="en-AU"/>
        </w:rPr>
        <w:t xml:space="preserve">. The </w:t>
      </w:r>
      <w:r w:rsidR="21F0EE01" w:rsidRPr="00CA23AA">
        <w:rPr>
          <w:lang w:eastAsia="en-AU"/>
        </w:rPr>
        <w:t>Australian New Zealand Clinical Trials Registry, ClinicalTrials.gov</w:t>
      </w:r>
      <w:r w:rsidR="00C81CD8" w:rsidRPr="00CA23AA">
        <w:rPr>
          <w:lang w:eastAsia="en-AU"/>
        </w:rPr>
        <w:t xml:space="preserve"> and W</w:t>
      </w:r>
      <w:r w:rsidR="19D555E6" w:rsidRPr="00CA23AA">
        <w:rPr>
          <w:lang w:eastAsia="en-AU"/>
        </w:rPr>
        <w:t xml:space="preserve">orld Health Organisation </w:t>
      </w:r>
      <w:r w:rsidR="00C81CD8" w:rsidRPr="00CA23AA">
        <w:rPr>
          <w:lang w:eastAsia="en-AU"/>
        </w:rPr>
        <w:t>clinical trial registries were also searched.</w:t>
      </w:r>
      <w:r w:rsidR="00F17BC4" w:rsidRPr="00CA23AA">
        <w:rPr>
          <w:lang w:eastAsia="en-AU"/>
        </w:rPr>
        <w:t xml:space="preserve"> The search excluded retrospective studies.</w:t>
      </w:r>
    </w:p>
    <w:p w14:paraId="34644D78" w14:textId="27A95F32" w:rsidR="00C81CD8" w:rsidRPr="00CA23AA" w:rsidRDefault="00C81CD8" w:rsidP="00C81CD8">
      <w:pPr>
        <w:rPr>
          <w:lang w:eastAsia="en-AU"/>
        </w:rPr>
      </w:pPr>
      <w:r w:rsidRPr="00CA23AA">
        <w:rPr>
          <w:lang w:eastAsia="en-AU"/>
        </w:rPr>
        <w:t xml:space="preserve">The screening process </w:t>
      </w:r>
      <w:r w:rsidR="00CF4A32" w:rsidRPr="00CA23AA">
        <w:rPr>
          <w:lang w:eastAsia="en-AU"/>
        </w:rPr>
        <w:t>was</w:t>
      </w:r>
      <w:r w:rsidRPr="00CA23AA">
        <w:rPr>
          <w:lang w:eastAsia="en-AU"/>
        </w:rPr>
        <w:t xml:space="preserve"> performed by a single reviewer, which</w:t>
      </w:r>
      <w:r w:rsidR="00CF4A32" w:rsidRPr="00CA23AA">
        <w:rPr>
          <w:lang w:eastAsia="en-AU"/>
        </w:rPr>
        <w:t xml:space="preserve"> substantially increases the likelihood of a </w:t>
      </w:r>
      <w:r w:rsidRPr="00CA23AA">
        <w:rPr>
          <w:lang w:eastAsia="en-AU"/>
        </w:rPr>
        <w:t>stud</w:t>
      </w:r>
      <w:r w:rsidR="00CF4A32" w:rsidRPr="00CA23AA">
        <w:rPr>
          <w:lang w:eastAsia="en-AU"/>
        </w:rPr>
        <w:t>y</w:t>
      </w:r>
      <w:r w:rsidRPr="00CA23AA">
        <w:rPr>
          <w:lang w:eastAsia="en-AU"/>
        </w:rPr>
        <w:t xml:space="preserve"> </w:t>
      </w:r>
      <w:r w:rsidR="00CF4A32" w:rsidRPr="00CA23AA">
        <w:rPr>
          <w:lang w:eastAsia="en-AU"/>
        </w:rPr>
        <w:t>being</w:t>
      </w:r>
      <w:r w:rsidRPr="00CA23AA">
        <w:rPr>
          <w:lang w:eastAsia="en-AU"/>
        </w:rPr>
        <w:t xml:space="preserve"> missed </w:t>
      </w:r>
      <w:r w:rsidR="00CF4A32" w:rsidRPr="00CA23AA">
        <w:rPr>
          <w:lang w:eastAsia="en-AU"/>
        </w:rPr>
        <w:t>compared to double screening</w:t>
      </w:r>
      <w:r w:rsidRPr="00CA23AA">
        <w:rPr>
          <w:lang w:eastAsia="en-AU"/>
        </w:rPr>
        <w:t xml:space="preserve">. </w:t>
      </w:r>
    </w:p>
    <w:p w14:paraId="0D6418FE" w14:textId="77777777" w:rsidR="003C52AD" w:rsidRPr="00CA23AA" w:rsidRDefault="00604E35" w:rsidP="00F719EB">
      <w:pPr>
        <w:rPr>
          <w:lang w:eastAsia="en-AU"/>
        </w:rPr>
      </w:pPr>
      <w:r w:rsidRPr="00CA23AA">
        <w:rPr>
          <w:lang w:eastAsia="en-AU"/>
        </w:rPr>
        <w:t>The ADAR included three sponsored trials (ELIANA, ENSIGN and B2001X) and two non-sponsored studies (</w:t>
      </w:r>
      <w:proofErr w:type="spellStart"/>
      <w:r w:rsidRPr="00CA23AA">
        <w:rPr>
          <w:lang w:eastAsia="en-AU"/>
        </w:rPr>
        <w:t>Pasquini</w:t>
      </w:r>
      <w:proofErr w:type="spellEnd"/>
      <w:r w:rsidRPr="00CA23AA">
        <w:rPr>
          <w:lang w:eastAsia="en-AU"/>
        </w:rPr>
        <w:t xml:space="preserve"> et al 2020; </w:t>
      </w:r>
      <w:proofErr w:type="spellStart"/>
      <w:r w:rsidRPr="00CA23AA">
        <w:rPr>
          <w:lang w:eastAsia="en-AU"/>
        </w:rPr>
        <w:t>Dourthe</w:t>
      </w:r>
      <w:proofErr w:type="spellEnd"/>
      <w:r w:rsidRPr="00CA23AA">
        <w:rPr>
          <w:lang w:eastAsia="en-AU"/>
        </w:rPr>
        <w:t xml:space="preserve"> et al 2021), as well as a report from the Australian Bone Marrow Transplant Recipient Registry (ABMTRR) relating to the use of TIS to treat </w:t>
      </w:r>
      <w:proofErr w:type="spellStart"/>
      <w:r w:rsidRPr="00CA23AA">
        <w:rPr>
          <w:lang w:eastAsia="en-AU"/>
        </w:rPr>
        <w:t>pALL</w:t>
      </w:r>
      <w:proofErr w:type="spellEnd"/>
      <w:r w:rsidRPr="00CA23AA">
        <w:rPr>
          <w:lang w:eastAsia="en-AU"/>
        </w:rPr>
        <w:t xml:space="preserve"> in patients aged &lt;26 years.</w:t>
      </w:r>
      <w:r w:rsidR="00F719EB" w:rsidRPr="00CA23AA">
        <w:rPr>
          <w:lang w:eastAsia="en-AU"/>
        </w:rPr>
        <w:t xml:space="preserve"> </w:t>
      </w:r>
    </w:p>
    <w:p w14:paraId="2B10C24B" w14:textId="77777777" w:rsidR="00F719EB" w:rsidRPr="00CA23AA" w:rsidRDefault="00F719EB" w:rsidP="00F719EB">
      <w:pPr>
        <w:rPr>
          <w:lang w:eastAsia="en-AU"/>
        </w:rPr>
      </w:pPr>
      <w:r w:rsidRPr="00CA23AA">
        <w:rPr>
          <w:lang w:eastAsia="en-AU"/>
        </w:rPr>
        <w:t>Three states submitted reports for the ADAR and provided data available on the use of TIS for ALL:</w:t>
      </w:r>
    </w:p>
    <w:p w14:paraId="3CFA6E78" w14:textId="25C08C31" w:rsidR="00F719EB" w:rsidRPr="00CA23AA" w:rsidRDefault="00F719EB" w:rsidP="008C66F4">
      <w:pPr>
        <w:pStyle w:val="ListParagraph"/>
        <w:numPr>
          <w:ilvl w:val="0"/>
          <w:numId w:val="20"/>
        </w:numPr>
        <w:rPr>
          <w:lang w:eastAsia="en-AU"/>
        </w:rPr>
      </w:pPr>
      <w:r w:rsidRPr="00CA23AA">
        <w:rPr>
          <w:lang w:eastAsia="en-AU"/>
        </w:rPr>
        <w:t>Victoria (February 2023). Data timeframe: May 2019 to January 2023</w:t>
      </w:r>
    </w:p>
    <w:p w14:paraId="6E6CC669" w14:textId="027A5BFC" w:rsidR="00F719EB" w:rsidRPr="00CA23AA" w:rsidRDefault="00F719EB" w:rsidP="008C66F4">
      <w:pPr>
        <w:pStyle w:val="ListParagraph"/>
        <w:numPr>
          <w:ilvl w:val="0"/>
          <w:numId w:val="20"/>
        </w:numPr>
        <w:rPr>
          <w:lang w:eastAsia="en-AU"/>
        </w:rPr>
      </w:pPr>
      <w:r w:rsidRPr="00CA23AA">
        <w:rPr>
          <w:lang w:eastAsia="en-AU"/>
        </w:rPr>
        <w:t>Queensland (8th February 2023). Data timeframe: 1st April 2019 to 28th September 2022</w:t>
      </w:r>
    </w:p>
    <w:p w14:paraId="5E049BA9" w14:textId="2F70A814" w:rsidR="00F719EB" w:rsidRPr="00CA23AA" w:rsidRDefault="00F719EB" w:rsidP="008C66F4">
      <w:pPr>
        <w:pStyle w:val="ListParagraph"/>
        <w:numPr>
          <w:ilvl w:val="0"/>
          <w:numId w:val="20"/>
        </w:numPr>
        <w:rPr>
          <w:lang w:eastAsia="en-AU"/>
        </w:rPr>
      </w:pPr>
      <w:r w:rsidRPr="00CA23AA">
        <w:rPr>
          <w:lang w:eastAsia="en-AU"/>
        </w:rPr>
        <w:t>New South Wales (8th February 2023) Data timeframe: 2020 – 30th June 2022</w:t>
      </w:r>
    </w:p>
    <w:p w14:paraId="27B5C43A" w14:textId="533B2B92" w:rsidR="00604E35" w:rsidRPr="00CA23AA" w:rsidRDefault="00F719EB" w:rsidP="00C81CD8">
      <w:pPr>
        <w:rPr>
          <w:lang w:eastAsia="en-AU"/>
        </w:rPr>
      </w:pPr>
      <w:r w:rsidRPr="00CA23AA">
        <w:rPr>
          <w:lang w:eastAsia="en-AU"/>
        </w:rPr>
        <w:t>A report was also provided from Western Australia; however, no quantitative data were provided.</w:t>
      </w:r>
      <w:r w:rsidR="00B669A7" w:rsidRPr="00CA23AA">
        <w:rPr>
          <w:lang w:eastAsia="en-AU"/>
        </w:rPr>
        <w:t xml:space="preserve"> </w:t>
      </w:r>
      <w:r w:rsidRPr="00CA23AA">
        <w:rPr>
          <w:lang w:eastAsia="en-AU"/>
        </w:rPr>
        <w:t xml:space="preserve">There were different data cut-off points across state reports. </w:t>
      </w:r>
      <w:r w:rsidR="00594907" w:rsidRPr="00594907">
        <w:rPr>
          <w:color w:val="000000"/>
          <w:w w:val="88"/>
          <w:shd w:val="solid" w:color="000000" w:fill="000000"/>
          <w:fitText w:val="390" w:id="-1161540096"/>
          <w:lang w:eastAsia="en-AU"/>
          <w14:textFill>
            <w14:solidFill>
              <w14:srgbClr w14:val="000000">
                <w14:alpha w14:val="100000"/>
              </w14:srgbClr>
            </w14:solidFill>
          </w14:textFill>
        </w:rPr>
        <w:t>|||</w:t>
      </w:r>
      <w:r w:rsidR="00594907" w:rsidRPr="00594907">
        <w:rPr>
          <w:color w:val="000000"/>
          <w:spacing w:val="2"/>
          <w:w w:val="88"/>
          <w:shd w:val="solid" w:color="000000" w:fill="000000"/>
          <w:fitText w:val="390" w:id="-1161540096"/>
          <w:lang w:eastAsia="en-AU"/>
          <w14:textFill>
            <w14:solidFill>
              <w14:srgbClr w14:val="000000">
                <w14:alpha w14:val="100000"/>
              </w14:srgbClr>
            </w14:solidFill>
          </w14:textFill>
        </w:rPr>
        <w:t>|</w:t>
      </w:r>
      <w:r w:rsidR="00B669A7" w:rsidRPr="00CA23AA">
        <w:t xml:space="preserve"> </w:t>
      </w:r>
      <w:r w:rsidR="00B669A7" w:rsidRPr="00CA23AA">
        <w:rPr>
          <w:lang w:eastAsia="en-AU"/>
        </w:rPr>
        <w:t xml:space="preserve">The data </w:t>
      </w:r>
      <w:r w:rsidR="0022064F" w:rsidRPr="00CA23AA">
        <w:rPr>
          <w:lang w:eastAsia="en-AU"/>
        </w:rPr>
        <w:t>from these reports</w:t>
      </w:r>
      <w:r w:rsidR="00B669A7" w:rsidRPr="00CA23AA">
        <w:rPr>
          <w:lang w:eastAsia="en-AU"/>
        </w:rPr>
        <w:t xml:space="preserve"> are included as an adjunct to data from the ABMTRR.</w:t>
      </w:r>
    </w:p>
    <w:p w14:paraId="06FCC046" w14:textId="533BF989" w:rsidR="00C81CD8" w:rsidRPr="00CA23AA" w:rsidRDefault="00C81CD8" w:rsidP="00C81CD8">
      <w:pPr>
        <w:rPr>
          <w:lang w:eastAsia="en-AU"/>
        </w:rPr>
      </w:pPr>
      <w:r w:rsidRPr="00CA23AA">
        <w:rPr>
          <w:lang w:eastAsia="en-AU"/>
        </w:rPr>
        <w:t xml:space="preserve">One of the exclusion criteria for the literature search was retrospective </w:t>
      </w:r>
      <w:r w:rsidR="5CF409BD" w:rsidRPr="00CA23AA">
        <w:rPr>
          <w:lang w:eastAsia="en-AU"/>
        </w:rPr>
        <w:t>study design</w:t>
      </w:r>
      <w:r w:rsidR="28F43468" w:rsidRPr="00CA23AA">
        <w:rPr>
          <w:lang w:eastAsia="en-AU"/>
        </w:rPr>
        <w:t>.</w:t>
      </w:r>
      <w:r w:rsidRPr="00CA23AA">
        <w:rPr>
          <w:lang w:eastAsia="en-AU"/>
        </w:rPr>
        <w:t xml:space="preserve"> </w:t>
      </w:r>
      <w:r w:rsidR="00CF4A32" w:rsidRPr="00CA23AA">
        <w:rPr>
          <w:lang w:eastAsia="en-AU"/>
        </w:rPr>
        <w:t>As</w:t>
      </w:r>
      <w:r w:rsidRPr="00CA23AA">
        <w:rPr>
          <w:lang w:eastAsia="en-AU"/>
        </w:rPr>
        <w:t xml:space="preserve"> </w:t>
      </w:r>
      <w:r w:rsidR="00CF4A32" w:rsidRPr="00CA23AA">
        <w:rPr>
          <w:lang w:eastAsia="en-AU"/>
        </w:rPr>
        <w:t>m</w:t>
      </w:r>
      <w:r w:rsidRPr="00CA23AA">
        <w:rPr>
          <w:lang w:eastAsia="en-AU"/>
        </w:rPr>
        <w:t>ost studies reporting on the real-world experience with TIS would be retrospective analyses of registry or treatment centre databases</w:t>
      </w:r>
      <w:r w:rsidR="00CF4A32" w:rsidRPr="00CA23AA">
        <w:rPr>
          <w:lang w:eastAsia="en-AU"/>
        </w:rPr>
        <w:t>, t</w:t>
      </w:r>
      <w:r w:rsidRPr="00CA23AA">
        <w:rPr>
          <w:lang w:eastAsia="en-AU"/>
        </w:rPr>
        <w:t xml:space="preserve">hese </w:t>
      </w:r>
      <w:r w:rsidR="42B30721" w:rsidRPr="00CA23AA">
        <w:rPr>
          <w:lang w:eastAsia="en-AU"/>
        </w:rPr>
        <w:t xml:space="preserve">studies are </w:t>
      </w:r>
      <w:r w:rsidR="00604E35" w:rsidRPr="00CA23AA">
        <w:rPr>
          <w:lang w:eastAsia="en-AU"/>
        </w:rPr>
        <w:t>relevant</w:t>
      </w:r>
      <w:r w:rsidR="31215464" w:rsidRPr="00CA23AA">
        <w:rPr>
          <w:lang w:eastAsia="en-AU"/>
        </w:rPr>
        <w:t>. They</w:t>
      </w:r>
      <w:r w:rsidR="00CF4A32" w:rsidRPr="00CA23AA">
        <w:rPr>
          <w:lang w:eastAsia="en-AU"/>
        </w:rPr>
        <w:t xml:space="preserve"> were not included in the ADAR</w:t>
      </w:r>
      <w:r w:rsidR="42DCD007" w:rsidRPr="00CA23AA">
        <w:rPr>
          <w:lang w:eastAsia="en-AU"/>
        </w:rPr>
        <w:t>; it is assumed they were excluded</w:t>
      </w:r>
      <w:r w:rsidR="008144F8" w:rsidRPr="00CA23AA">
        <w:rPr>
          <w:lang w:eastAsia="en-AU"/>
        </w:rPr>
        <w:t xml:space="preserve"> </w:t>
      </w:r>
      <w:r w:rsidR="00067156" w:rsidRPr="00CA23AA">
        <w:rPr>
          <w:lang w:eastAsia="en-AU"/>
        </w:rPr>
        <w:t>during the literature search</w:t>
      </w:r>
      <w:r w:rsidR="09C4FD18" w:rsidRPr="00CA23AA">
        <w:rPr>
          <w:lang w:eastAsia="en-AU"/>
        </w:rPr>
        <w:t xml:space="preserve">, but </w:t>
      </w:r>
      <w:r w:rsidR="42DCD007" w:rsidRPr="00CA23AA">
        <w:rPr>
          <w:lang w:eastAsia="en-AU"/>
        </w:rPr>
        <w:t>a list of excluded studies was not included in the ADAR. These studies</w:t>
      </w:r>
      <w:r w:rsidR="09C4FD18" w:rsidRPr="00CA23AA">
        <w:rPr>
          <w:lang w:eastAsia="en-AU"/>
        </w:rPr>
        <w:t xml:space="preserve"> </w:t>
      </w:r>
      <w:r w:rsidR="00BB74B6" w:rsidRPr="00CA23AA">
        <w:rPr>
          <w:lang w:eastAsia="en-AU"/>
        </w:rPr>
        <w:t>were</w:t>
      </w:r>
      <w:r w:rsidR="09C4FD18" w:rsidRPr="00CA23AA">
        <w:rPr>
          <w:lang w:eastAsia="en-AU"/>
        </w:rPr>
        <w:t xml:space="preserve"> </w:t>
      </w:r>
      <w:r w:rsidR="111C288C" w:rsidRPr="00CA23AA">
        <w:rPr>
          <w:lang w:eastAsia="en-AU"/>
        </w:rPr>
        <w:t>considered in</w:t>
      </w:r>
      <w:r w:rsidR="09C4FD18" w:rsidRPr="00CA23AA">
        <w:rPr>
          <w:lang w:eastAsia="en-AU"/>
        </w:rPr>
        <w:t xml:space="preserve"> the commentary</w:t>
      </w:r>
      <w:r w:rsidRPr="00CA23AA">
        <w:rPr>
          <w:lang w:eastAsia="en-AU"/>
        </w:rPr>
        <w:t>.</w:t>
      </w:r>
    </w:p>
    <w:p w14:paraId="1A34E3B5" w14:textId="01BF58E6" w:rsidR="00482914" w:rsidRPr="00CA23AA" w:rsidRDefault="002247BC" w:rsidP="00132006">
      <w:pPr>
        <w:rPr>
          <w:lang w:eastAsia="en-AU"/>
        </w:rPr>
      </w:pPr>
      <w:r w:rsidRPr="00CA23AA">
        <w:rPr>
          <w:lang w:eastAsia="en-AU"/>
        </w:rPr>
        <w:t xml:space="preserve">The trials and studies that </w:t>
      </w:r>
      <w:r w:rsidR="75538EAA" w:rsidRPr="00CA23AA">
        <w:rPr>
          <w:lang w:eastAsia="en-AU"/>
        </w:rPr>
        <w:t>form</w:t>
      </w:r>
      <w:r w:rsidR="74C811F8" w:rsidRPr="00CA23AA">
        <w:rPr>
          <w:lang w:eastAsia="en-AU"/>
        </w:rPr>
        <w:t>ed</w:t>
      </w:r>
      <w:r w:rsidRPr="00CA23AA">
        <w:rPr>
          <w:lang w:eastAsia="en-AU"/>
        </w:rPr>
        <w:t xml:space="preserve"> the evidence base for the ADAR and the commentary are listed in </w:t>
      </w:r>
      <w:r w:rsidRPr="00CA23AA">
        <w:rPr>
          <w:lang w:eastAsia="en-AU"/>
        </w:rPr>
        <w:fldChar w:fldCharType="begin"/>
      </w:r>
      <w:r w:rsidRPr="00CA23AA">
        <w:rPr>
          <w:lang w:eastAsia="en-AU"/>
        </w:rPr>
        <w:instrText xml:space="preserve"> REF _Ref131082846 \h  \* MERGEFORMAT </w:instrText>
      </w:r>
      <w:r w:rsidRPr="00CA23AA">
        <w:rPr>
          <w:lang w:eastAsia="en-AU"/>
        </w:rPr>
      </w:r>
      <w:r w:rsidRPr="00CA23AA">
        <w:rPr>
          <w:lang w:eastAsia="en-AU"/>
        </w:rPr>
        <w:fldChar w:fldCharType="separate"/>
      </w:r>
      <w:r w:rsidR="00175880" w:rsidRPr="00CA23AA">
        <w:rPr>
          <w:lang w:eastAsia="en-AU"/>
        </w:rPr>
        <w:t>Table 2</w:t>
      </w:r>
      <w:r w:rsidRPr="00CA23AA">
        <w:rPr>
          <w:lang w:eastAsia="en-AU"/>
        </w:rPr>
        <w:fldChar w:fldCharType="end"/>
      </w:r>
      <w:r w:rsidRPr="00CA23AA">
        <w:rPr>
          <w:lang w:eastAsia="en-AU"/>
        </w:rPr>
        <w:t>.</w:t>
      </w:r>
      <w:r w:rsidR="00482914" w:rsidRPr="00CA23AA">
        <w:rPr>
          <w:lang w:eastAsia="en-AU"/>
        </w:rPr>
        <w:t xml:space="preserve"> </w:t>
      </w:r>
      <w:r w:rsidR="00482914" w:rsidRPr="00CA23AA">
        <w:rPr>
          <w:lang w:eastAsia="en-AU"/>
        </w:rPr>
        <w:br w:type="page"/>
      </w:r>
    </w:p>
    <w:p w14:paraId="3DB4699D" w14:textId="1E290EE1" w:rsidR="00CD080E" w:rsidRPr="00CA23AA" w:rsidRDefault="00604E35" w:rsidP="00814D77">
      <w:pPr>
        <w:pStyle w:val="TableHeading0"/>
      </w:pPr>
      <w:bookmarkStart w:id="17" w:name="_Ref131082846"/>
      <w:r w:rsidRPr="00CA23AA">
        <w:t xml:space="preserve">Table </w:t>
      </w:r>
      <w:r w:rsidRPr="00CA23AA">
        <w:fldChar w:fldCharType="begin"/>
      </w:r>
      <w:r w:rsidRPr="00CA23AA">
        <w:instrText>SEQ Table \* ARABIC</w:instrText>
      </w:r>
      <w:r w:rsidRPr="00CA23AA">
        <w:fldChar w:fldCharType="separate"/>
      </w:r>
      <w:r w:rsidR="00175880" w:rsidRPr="00CA23AA">
        <w:rPr>
          <w:noProof/>
        </w:rPr>
        <w:t>2</w:t>
      </w:r>
      <w:r w:rsidRPr="00CA23AA">
        <w:fldChar w:fldCharType="end"/>
      </w:r>
      <w:bookmarkEnd w:id="17"/>
      <w:r w:rsidRPr="00CA23AA">
        <w:tab/>
      </w:r>
      <w:r w:rsidR="00CD080E" w:rsidRPr="00CA23AA">
        <w:t xml:space="preserve">Trials/studies and associated reports presented in the </w:t>
      </w:r>
      <w:r w:rsidR="00214E4D" w:rsidRPr="00CA23AA">
        <w:t>ADAR</w:t>
      </w:r>
      <w:r w:rsidR="003B6D2F" w:rsidRPr="00CA23AA">
        <w:t xml:space="preserve"> or identified </w:t>
      </w:r>
      <w:r w:rsidR="1094477E" w:rsidRPr="00CA23AA">
        <w:t xml:space="preserve">in the </w:t>
      </w:r>
      <w:proofErr w:type="gramStart"/>
      <w:r w:rsidR="1094477E" w:rsidRPr="00CA23AA">
        <w:t>commentary</w:t>
      </w:r>
      <w:proofErr w:type="gramEnd"/>
    </w:p>
    <w:tbl>
      <w:tblPr>
        <w:tblStyle w:val="Summarybox1"/>
        <w:tblW w:w="9206" w:type="dxa"/>
        <w:tblCellMar>
          <w:left w:w="0" w:type="dxa"/>
          <w:right w:w="0" w:type="dxa"/>
        </w:tblCellMar>
        <w:tblLook w:val="04A0" w:firstRow="1" w:lastRow="0" w:firstColumn="1" w:lastColumn="0" w:noHBand="0" w:noVBand="1"/>
      </w:tblPr>
      <w:tblGrid>
        <w:gridCol w:w="1696"/>
        <w:gridCol w:w="4769"/>
        <w:gridCol w:w="2741"/>
      </w:tblGrid>
      <w:tr w:rsidR="00CD080E" w:rsidRPr="00CA23AA" w14:paraId="664703E7" w14:textId="77777777" w:rsidTr="00D11896">
        <w:trPr>
          <w:trHeight w:val="300"/>
          <w:tblHeader/>
        </w:trPr>
        <w:tc>
          <w:tcPr>
            <w:tcW w:w="1696" w:type="dxa"/>
            <w:shd w:val="clear" w:color="auto" w:fill="auto"/>
            <w:vAlign w:val="center"/>
            <w:hideMark/>
          </w:tcPr>
          <w:p w14:paraId="4D448400" w14:textId="114EB4B9" w:rsidR="00CD080E" w:rsidRPr="00CA23AA" w:rsidRDefault="00CD080E" w:rsidP="003B6D2F">
            <w:pPr>
              <w:spacing w:before="40" w:after="40"/>
              <w:ind w:left="74"/>
              <w:textAlignment w:val="baseline"/>
              <w:rPr>
                <w:rFonts w:ascii="Times New Roman" w:eastAsia="Times New Roman" w:hAnsi="Times New Roman" w:cs="Times New Roman"/>
                <w:b/>
                <w:bCs/>
                <w:sz w:val="24"/>
                <w:szCs w:val="24"/>
              </w:rPr>
            </w:pPr>
            <w:r w:rsidRPr="00CA23AA">
              <w:rPr>
                <w:rFonts w:ascii="Arial Narrow" w:eastAsia="Times New Roman" w:hAnsi="Arial Narrow" w:cs="Times New Roman"/>
                <w:b/>
                <w:bCs/>
                <w:sz w:val="20"/>
                <w:szCs w:val="20"/>
              </w:rPr>
              <w:t>Trial</w:t>
            </w:r>
            <w:r w:rsidR="003B6D2F" w:rsidRPr="00CA23AA">
              <w:rPr>
                <w:rFonts w:ascii="Arial Narrow" w:eastAsia="Times New Roman" w:hAnsi="Arial Narrow" w:cs="Times New Roman"/>
                <w:b/>
                <w:bCs/>
                <w:sz w:val="20"/>
                <w:szCs w:val="20"/>
              </w:rPr>
              <w:t>/study</w:t>
            </w:r>
            <w:r w:rsidRPr="00CA23AA">
              <w:rPr>
                <w:rFonts w:ascii="Arial Narrow" w:eastAsia="Times New Roman" w:hAnsi="Arial Narrow" w:cs="Times New Roman"/>
                <w:b/>
                <w:bCs/>
                <w:sz w:val="20"/>
                <w:szCs w:val="20"/>
              </w:rPr>
              <w:t xml:space="preserve"> ID</w:t>
            </w:r>
          </w:p>
        </w:tc>
        <w:tc>
          <w:tcPr>
            <w:tcW w:w="4769" w:type="dxa"/>
            <w:tcBorders>
              <w:bottom w:val="single" w:sz="4" w:space="0" w:color="auto"/>
            </w:tcBorders>
            <w:shd w:val="clear" w:color="auto" w:fill="auto"/>
            <w:vAlign w:val="center"/>
            <w:hideMark/>
          </w:tcPr>
          <w:p w14:paraId="5888D747" w14:textId="1377C78B" w:rsidR="00CD080E" w:rsidRPr="00CA23AA" w:rsidRDefault="00CD080E" w:rsidP="003B6D2F">
            <w:pPr>
              <w:spacing w:before="40" w:after="40"/>
              <w:ind w:left="78"/>
              <w:textAlignment w:val="baseline"/>
              <w:rPr>
                <w:rFonts w:ascii="Times New Roman" w:eastAsia="Times New Roman" w:hAnsi="Times New Roman" w:cs="Times New Roman"/>
                <w:b/>
                <w:bCs/>
                <w:sz w:val="24"/>
                <w:szCs w:val="24"/>
              </w:rPr>
            </w:pPr>
            <w:r w:rsidRPr="00CA23AA">
              <w:rPr>
                <w:rFonts w:ascii="Arial Narrow" w:eastAsia="Times New Roman" w:hAnsi="Arial Narrow" w:cs="Times New Roman"/>
                <w:b/>
                <w:bCs/>
                <w:sz w:val="20"/>
                <w:szCs w:val="20"/>
              </w:rPr>
              <w:t>Protocol title/ Publication title</w:t>
            </w:r>
          </w:p>
        </w:tc>
        <w:tc>
          <w:tcPr>
            <w:tcW w:w="2741" w:type="dxa"/>
            <w:tcBorders>
              <w:bottom w:val="single" w:sz="4" w:space="0" w:color="auto"/>
            </w:tcBorders>
            <w:shd w:val="clear" w:color="auto" w:fill="auto"/>
            <w:vAlign w:val="center"/>
            <w:hideMark/>
          </w:tcPr>
          <w:p w14:paraId="14B7B27C" w14:textId="752EEB05" w:rsidR="00CD080E" w:rsidRPr="00CA23AA" w:rsidRDefault="00CD080E" w:rsidP="003B6D2F">
            <w:pPr>
              <w:spacing w:before="40" w:after="40"/>
              <w:ind w:left="67"/>
              <w:textAlignment w:val="baseline"/>
              <w:rPr>
                <w:rFonts w:ascii="Times New Roman" w:eastAsia="Times New Roman" w:hAnsi="Times New Roman" w:cs="Times New Roman"/>
                <w:b/>
                <w:bCs/>
                <w:sz w:val="24"/>
                <w:szCs w:val="24"/>
              </w:rPr>
            </w:pPr>
            <w:r w:rsidRPr="00CA23AA">
              <w:rPr>
                <w:rFonts w:ascii="Arial Narrow" w:eastAsia="Times New Roman" w:hAnsi="Arial Narrow" w:cs="Times New Roman"/>
                <w:b/>
                <w:bCs/>
                <w:sz w:val="20"/>
                <w:szCs w:val="20"/>
              </w:rPr>
              <w:t>Publication citation</w:t>
            </w:r>
          </w:p>
        </w:tc>
      </w:tr>
      <w:tr w:rsidR="00214E4D" w:rsidRPr="00CA23AA" w14:paraId="36592C0E" w14:textId="77777777" w:rsidTr="008D7601">
        <w:trPr>
          <w:trHeight w:val="300"/>
        </w:trPr>
        <w:tc>
          <w:tcPr>
            <w:tcW w:w="9206" w:type="dxa"/>
            <w:gridSpan w:val="3"/>
            <w:shd w:val="clear" w:color="auto" w:fill="auto"/>
            <w:vAlign w:val="center"/>
          </w:tcPr>
          <w:p w14:paraId="7E3E47E6" w14:textId="53D82DC5" w:rsidR="00214E4D" w:rsidRPr="00CA23AA" w:rsidRDefault="00214E4D" w:rsidP="003B6D2F">
            <w:pPr>
              <w:spacing w:before="40" w:after="40"/>
              <w:ind w:left="67"/>
              <w:textAlignment w:val="baseline"/>
              <w:rPr>
                <w:rFonts w:ascii="Arial Narrow" w:eastAsia="Times New Roman" w:hAnsi="Arial Narrow" w:cs="Times New Roman"/>
                <w:b/>
                <w:sz w:val="20"/>
                <w:szCs w:val="20"/>
              </w:rPr>
            </w:pPr>
            <w:r w:rsidRPr="00CA23AA">
              <w:rPr>
                <w:rFonts w:ascii="Arial Narrow" w:eastAsia="Times New Roman" w:hAnsi="Arial Narrow" w:cs="Times New Roman"/>
                <w:b/>
                <w:sz w:val="20"/>
                <w:szCs w:val="20"/>
              </w:rPr>
              <w:t>Trials studies presented in the ADAR</w:t>
            </w:r>
          </w:p>
        </w:tc>
      </w:tr>
      <w:tr w:rsidR="00CD080E" w:rsidRPr="00CA23AA" w14:paraId="20E5856E" w14:textId="77777777" w:rsidTr="00101ACF">
        <w:trPr>
          <w:trHeight w:val="300"/>
        </w:trPr>
        <w:tc>
          <w:tcPr>
            <w:tcW w:w="1696" w:type="dxa"/>
            <w:vMerge w:val="restart"/>
            <w:shd w:val="clear" w:color="auto" w:fill="auto"/>
            <w:hideMark/>
          </w:tcPr>
          <w:p w14:paraId="4D6DB259" w14:textId="54104ABB" w:rsidR="00CD080E" w:rsidRPr="00CA23AA" w:rsidRDefault="003B6D2F" w:rsidP="003B6D2F">
            <w:pPr>
              <w:spacing w:before="40" w:after="40"/>
              <w:ind w:left="74"/>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ELIANA</w:t>
            </w:r>
          </w:p>
          <w:p w14:paraId="045FDCB9" w14:textId="780A2968" w:rsidR="00CD080E" w:rsidRPr="00CA23AA" w:rsidRDefault="00CD080E" w:rsidP="003B6D2F">
            <w:pPr>
              <w:spacing w:before="40" w:after="40"/>
              <w:ind w:left="74"/>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NCT</w:t>
            </w:r>
            <w:r w:rsidR="00AC009C" w:rsidRPr="00CA23AA">
              <w:rPr>
                <w:rFonts w:ascii="Arial Narrow" w:eastAsia="Times New Roman" w:hAnsi="Arial Narrow" w:cs="Times New Roman"/>
                <w:sz w:val="20"/>
                <w:szCs w:val="20"/>
              </w:rPr>
              <w:t>02435849</w:t>
            </w:r>
          </w:p>
        </w:tc>
        <w:tc>
          <w:tcPr>
            <w:tcW w:w="4769" w:type="dxa"/>
            <w:tcBorders>
              <w:bottom w:val="nil"/>
            </w:tcBorders>
            <w:shd w:val="clear" w:color="auto" w:fill="auto"/>
            <w:hideMark/>
          </w:tcPr>
          <w:p w14:paraId="6CA35742" w14:textId="40FB58B5" w:rsidR="00CD080E" w:rsidRPr="00CA23AA" w:rsidRDefault="00AC009C" w:rsidP="00AC009C">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“A Phase II, single arm, </w:t>
            </w:r>
            <w:proofErr w:type="spellStart"/>
            <w:r w:rsidRPr="00CA23AA">
              <w:rPr>
                <w:rFonts w:ascii="Arial Narrow" w:eastAsia="Times New Roman" w:hAnsi="Arial Narrow" w:cs="Times New Roman"/>
                <w:sz w:val="20"/>
                <w:szCs w:val="20"/>
              </w:rPr>
              <w:t>multicenter</w:t>
            </w:r>
            <w:proofErr w:type="spellEnd"/>
            <w:r w:rsidRPr="00CA23AA">
              <w:rPr>
                <w:rFonts w:ascii="Arial Narrow" w:eastAsia="Times New Roman" w:hAnsi="Arial Narrow" w:cs="Times New Roman"/>
                <w:sz w:val="20"/>
                <w:szCs w:val="20"/>
              </w:rPr>
              <w:t xml:space="preserve"> trial to determine the efficacy and safety of CTL019 in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patients with relapsed and refractory B-cell acute lymphoblastic leukemia”</w:t>
            </w:r>
          </w:p>
        </w:tc>
        <w:tc>
          <w:tcPr>
            <w:tcW w:w="2741" w:type="dxa"/>
            <w:tcBorders>
              <w:bottom w:val="nil"/>
            </w:tcBorders>
            <w:shd w:val="clear" w:color="auto" w:fill="auto"/>
            <w:hideMark/>
          </w:tcPr>
          <w:p w14:paraId="515765B4" w14:textId="1C2A9B47" w:rsidR="00CD080E" w:rsidRPr="00CA23AA" w:rsidRDefault="00DB541E" w:rsidP="003B6D2F">
            <w:pPr>
              <w:spacing w:before="40" w:after="40"/>
              <w:ind w:left="67"/>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 xml:space="preserve">CSR </w:t>
            </w:r>
            <w:r w:rsidR="00AC009C" w:rsidRPr="00CA23AA">
              <w:rPr>
                <w:rFonts w:ascii="Arial Narrow" w:eastAsia="Times New Roman" w:hAnsi="Arial Narrow" w:cs="Times New Roman"/>
                <w:sz w:val="20"/>
                <w:szCs w:val="20"/>
              </w:rPr>
              <w:t>July 2019</w:t>
            </w:r>
          </w:p>
        </w:tc>
      </w:tr>
      <w:tr w:rsidR="00CD080E" w:rsidRPr="00CA23AA" w14:paraId="6AD675C4" w14:textId="77777777" w:rsidTr="00101ACF">
        <w:trPr>
          <w:trHeight w:val="300"/>
        </w:trPr>
        <w:tc>
          <w:tcPr>
            <w:tcW w:w="1696" w:type="dxa"/>
            <w:vMerge/>
            <w:shd w:val="clear" w:color="auto" w:fill="auto"/>
            <w:hideMark/>
          </w:tcPr>
          <w:p w14:paraId="203C9B0A" w14:textId="77777777" w:rsidR="00CD080E" w:rsidRPr="00CA23AA" w:rsidRDefault="00CD080E" w:rsidP="003B6D2F">
            <w:pPr>
              <w:spacing w:before="40" w:after="40"/>
              <w:ind w:left="74"/>
              <w:rPr>
                <w:rFonts w:ascii="Times New Roman" w:eastAsia="Times New Roman" w:hAnsi="Times New Roman" w:cs="Times New Roman"/>
                <w:sz w:val="24"/>
                <w:szCs w:val="24"/>
              </w:rPr>
            </w:pPr>
          </w:p>
        </w:tc>
        <w:tc>
          <w:tcPr>
            <w:tcW w:w="4769" w:type="dxa"/>
            <w:tcBorders>
              <w:top w:val="nil"/>
              <w:bottom w:val="nil"/>
            </w:tcBorders>
            <w:shd w:val="clear" w:color="auto" w:fill="auto"/>
            <w:hideMark/>
          </w:tcPr>
          <w:p w14:paraId="50148C73" w14:textId="0B58E388" w:rsidR="00CD080E" w:rsidRPr="00CA23AA" w:rsidRDefault="00DB541E" w:rsidP="003B6D2F">
            <w:pPr>
              <w:spacing w:before="40" w:after="40"/>
              <w:ind w:left="92"/>
              <w:textAlignment w:val="baseline"/>
              <w:rPr>
                <w:rFonts w:ascii="Arial Narrow" w:eastAsia="Times New Roman" w:hAnsi="Arial Narrow" w:cs="Times New Roman"/>
                <w:sz w:val="20"/>
                <w:szCs w:val="20"/>
              </w:rPr>
            </w:pPr>
            <w:proofErr w:type="spellStart"/>
            <w:r w:rsidRPr="00CA23AA">
              <w:rPr>
                <w:rFonts w:ascii="Arial Narrow" w:eastAsia="Times New Roman" w:hAnsi="Arial Narrow" w:cs="Times New Roman"/>
                <w:sz w:val="20"/>
                <w:szCs w:val="20"/>
              </w:rPr>
              <w:t>Laetsch</w:t>
            </w:r>
            <w:proofErr w:type="spellEnd"/>
            <w:r w:rsidRPr="00CA23AA">
              <w:rPr>
                <w:rFonts w:ascii="Arial Narrow" w:eastAsia="Times New Roman" w:hAnsi="Arial Narrow" w:cs="Times New Roman"/>
                <w:sz w:val="20"/>
                <w:szCs w:val="20"/>
              </w:rPr>
              <w:t xml:space="preserve"> et al (2022). </w:t>
            </w:r>
            <w:r w:rsidR="00AC009C" w:rsidRPr="00CA23AA">
              <w:rPr>
                <w:rFonts w:ascii="Arial Narrow" w:eastAsia="Times New Roman" w:hAnsi="Arial Narrow" w:cs="Times New Roman"/>
                <w:sz w:val="20"/>
                <w:szCs w:val="20"/>
              </w:rPr>
              <w:t xml:space="preserve">"Three-Year Update of Tisagenlecleucel in </w:t>
            </w:r>
            <w:proofErr w:type="spellStart"/>
            <w:r w:rsidR="00AC009C" w:rsidRPr="00CA23AA">
              <w:rPr>
                <w:rFonts w:ascii="Arial Narrow" w:eastAsia="Times New Roman" w:hAnsi="Arial Narrow" w:cs="Times New Roman"/>
                <w:sz w:val="20"/>
                <w:szCs w:val="20"/>
              </w:rPr>
              <w:t>Pediatric</w:t>
            </w:r>
            <w:proofErr w:type="spellEnd"/>
            <w:r w:rsidR="00AC009C" w:rsidRPr="00CA23AA">
              <w:rPr>
                <w:rFonts w:ascii="Arial Narrow" w:eastAsia="Times New Roman" w:hAnsi="Arial Narrow" w:cs="Times New Roman"/>
                <w:sz w:val="20"/>
                <w:szCs w:val="20"/>
              </w:rPr>
              <w:t xml:space="preserve"> and Young Adult Patients </w:t>
            </w:r>
            <w:proofErr w:type="gramStart"/>
            <w:r w:rsidR="00AC009C" w:rsidRPr="00CA23AA">
              <w:rPr>
                <w:rFonts w:ascii="Arial Narrow" w:eastAsia="Times New Roman" w:hAnsi="Arial Narrow" w:cs="Times New Roman"/>
                <w:sz w:val="20"/>
                <w:szCs w:val="20"/>
              </w:rPr>
              <w:t>With</w:t>
            </w:r>
            <w:proofErr w:type="gramEnd"/>
            <w:r w:rsidR="00AC009C" w:rsidRPr="00CA23AA">
              <w:rPr>
                <w:rFonts w:ascii="Arial Narrow" w:eastAsia="Times New Roman" w:hAnsi="Arial Narrow" w:cs="Times New Roman"/>
                <w:sz w:val="20"/>
                <w:szCs w:val="20"/>
              </w:rPr>
              <w:t xml:space="preserve"> Relapsed/Refractory Acute Lymphoblastic Leukemia in the ELIANA Trial." </w:t>
            </w:r>
          </w:p>
        </w:tc>
        <w:tc>
          <w:tcPr>
            <w:tcW w:w="2741" w:type="dxa"/>
            <w:tcBorders>
              <w:top w:val="nil"/>
              <w:bottom w:val="nil"/>
            </w:tcBorders>
            <w:shd w:val="clear" w:color="auto" w:fill="auto"/>
            <w:hideMark/>
          </w:tcPr>
          <w:p w14:paraId="3F5CEBFF" w14:textId="53AA0CF7" w:rsidR="00CD080E" w:rsidRPr="00CA23AA" w:rsidRDefault="00DB541E" w:rsidP="003B6D2F">
            <w:pPr>
              <w:spacing w:before="40" w:after="40"/>
              <w:ind w:left="67"/>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i/>
                <w:sz w:val="20"/>
                <w:szCs w:val="20"/>
              </w:rPr>
              <w:t>J</w:t>
            </w:r>
            <w:r w:rsidR="002247BC" w:rsidRPr="00CA23AA">
              <w:rPr>
                <w:rFonts w:ascii="Arial Narrow" w:eastAsia="Times New Roman" w:hAnsi="Arial Narrow" w:cs="Times New Roman"/>
                <w:i/>
                <w:sz w:val="20"/>
                <w:szCs w:val="20"/>
              </w:rPr>
              <w:t xml:space="preserve">ournal of </w:t>
            </w:r>
            <w:r w:rsidRPr="00CA23AA">
              <w:rPr>
                <w:rFonts w:ascii="Arial Narrow" w:eastAsia="Times New Roman" w:hAnsi="Arial Narrow" w:cs="Times New Roman"/>
                <w:i/>
                <w:sz w:val="20"/>
                <w:szCs w:val="20"/>
              </w:rPr>
              <w:t>Clin</w:t>
            </w:r>
            <w:r w:rsidR="002247BC" w:rsidRPr="00CA23AA">
              <w:rPr>
                <w:rFonts w:ascii="Arial Narrow" w:eastAsia="Times New Roman" w:hAnsi="Arial Narrow" w:cs="Times New Roman"/>
                <w:i/>
                <w:sz w:val="20"/>
                <w:szCs w:val="20"/>
              </w:rPr>
              <w:t>ical</w:t>
            </w:r>
            <w:r w:rsidRPr="00CA23AA">
              <w:rPr>
                <w:rFonts w:ascii="Arial Narrow" w:eastAsia="Times New Roman" w:hAnsi="Arial Narrow" w:cs="Times New Roman"/>
                <w:i/>
                <w:sz w:val="20"/>
                <w:szCs w:val="20"/>
              </w:rPr>
              <w:t xml:space="preserve"> Oncol</w:t>
            </w:r>
            <w:r w:rsidR="002247BC" w:rsidRPr="00CA23AA">
              <w:rPr>
                <w:rFonts w:ascii="Arial Narrow" w:eastAsia="Times New Roman" w:hAnsi="Arial Narrow" w:cs="Times New Roman"/>
                <w:i/>
                <w:sz w:val="20"/>
                <w:szCs w:val="20"/>
              </w:rPr>
              <w:t>ogy</w:t>
            </w:r>
            <w:r w:rsidR="002247BC" w:rsidRPr="00CA23AA">
              <w:rPr>
                <w:rFonts w:ascii="Arial Narrow" w:eastAsia="Times New Roman" w:hAnsi="Arial Narrow" w:cs="Times New Roman"/>
                <w:sz w:val="20"/>
                <w:szCs w:val="20"/>
              </w:rPr>
              <w:t xml:space="preserve">, </w:t>
            </w:r>
            <w:r w:rsidRPr="00CA23AA">
              <w:rPr>
                <w:rFonts w:ascii="Arial Narrow" w:eastAsia="Times New Roman" w:hAnsi="Arial Narrow" w:cs="Times New Roman"/>
                <w:sz w:val="20"/>
                <w:szCs w:val="20"/>
              </w:rPr>
              <w:t>Jco2200642.</w:t>
            </w:r>
          </w:p>
        </w:tc>
      </w:tr>
      <w:tr w:rsidR="00CD080E" w:rsidRPr="00CA23AA" w14:paraId="0904B77B" w14:textId="77777777" w:rsidTr="00252745">
        <w:trPr>
          <w:trHeight w:val="300"/>
        </w:trPr>
        <w:tc>
          <w:tcPr>
            <w:tcW w:w="1696" w:type="dxa"/>
            <w:shd w:val="clear" w:color="auto" w:fill="auto"/>
            <w:hideMark/>
          </w:tcPr>
          <w:p w14:paraId="531B505F" w14:textId="77777777" w:rsidR="00CD080E" w:rsidRPr="00CA23AA" w:rsidRDefault="003B6D2F" w:rsidP="003B6D2F">
            <w:pPr>
              <w:spacing w:before="40" w:after="40"/>
              <w:ind w:left="74"/>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ENSIGN</w:t>
            </w:r>
          </w:p>
          <w:p w14:paraId="46D1557F" w14:textId="34E4F4B5" w:rsidR="003B6D2F" w:rsidRPr="00CA23AA" w:rsidRDefault="003B6D2F" w:rsidP="003B6D2F">
            <w:pPr>
              <w:spacing w:before="40" w:after="40"/>
              <w:ind w:left="74"/>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NCT</w:t>
            </w:r>
            <w:r w:rsidR="00DB541E" w:rsidRPr="00CA23AA">
              <w:rPr>
                <w:rFonts w:ascii="Arial Narrow" w:eastAsia="Times New Roman" w:hAnsi="Arial Narrow" w:cs="Times New Roman"/>
                <w:sz w:val="20"/>
                <w:szCs w:val="20"/>
              </w:rPr>
              <w:t>02228096</w:t>
            </w:r>
          </w:p>
        </w:tc>
        <w:tc>
          <w:tcPr>
            <w:tcW w:w="4769" w:type="dxa"/>
            <w:tcBorders>
              <w:bottom w:val="single" w:sz="4" w:space="0" w:color="auto"/>
            </w:tcBorders>
            <w:shd w:val="clear" w:color="auto" w:fill="auto"/>
            <w:hideMark/>
          </w:tcPr>
          <w:p w14:paraId="67C9C6DF" w14:textId="12EE59D1" w:rsidR="00CD080E" w:rsidRPr="00CA23AA" w:rsidRDefault="00DB541E" w:rsidP="00DB541E">
            <w:pPr>
              <w:spacing w:before="40" w:after="40"/>
              <w:ind w:left="92"/>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 xml:space="preserve">“A Phase II, single arm, </w:t>
            </w:r>
            <w:proofErr w:type="spellStart"/>
            <w:r w:rsidRPr="00CA23AA">
              <w:rPr>
                <w:rFonts w:ascii="Arial Narrow" w:eastAsia="Times New Roman" w:hAnsi="Arial Narrow" w:cs="Times New Roman"/>
                <w:sz w:val="20"/>
                <w:szCs w:val="20"/>
              </w:rPr>
              <w:t>multicenter</w:t>
            </w:r>
            <w:proofErr w:type="spellEnd"/>
            <w:r w:rsidRPr="00CA23AA">
              <w:rPr>
                <w:rFonts w:ascii="Arial Narrow" w:eastAsia="Times New Roman" w:hAnsi="Arial Narrow" w:cs="Times New Roman"/>
                <w:sz w:val="20"/>
                <w:szCs w:val="20"/>
              </w:rPr>
              <w:t xml:space="preserve"> trial to determine the efficacy and safety of CTL019 in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subjects with relapsed and refractory B-cell acute lymphoblastic leukemia (ENSIGN)”</w:t>
            </w:r>
          </w:p>
        </w:tc>
        <w:tc>
          <w:tcPr>
            <w:tcW w:w="2741" w:type="dxa"/>
            <w:tcBorders>
              <w:bottom w:val="single" w:sz="4" w:space="0" w:color="auto"/>
            </w:tcBorders>
            <w:shd w:val="clear" w:color="auto" w:fill="auto"/>
            <w:hideMark/>
          </w:tcPr>
          <w:p w14:paraId="42DF3BC4" w14:textId="3AE391F4" w:rsidR="00CD080E" w:rsidRPr="00CA23AA" w:rsidRDefault="00DB541E" w:rsidP="003B6D2F">
            <w:pPr>
              <w:spacing w:before="40" w:after="40"/>
              <w:ind w:left="67"/>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CSR May 2019</w:t>
            </w:r>
          </w:p>
        </w:tc>
      </w:tr>
      <w:tr w:rsidR="003B6D2F" w:rsidRPr="00CA23AA" w14:paraId="244B4C0A" w14:textId="77777777" w:rsidTr="00252745">
        <w:trPr>
          <w:trHeight w:val="300"/>
        </w:trPr>
        <w:tc>
          <w:tcPr>
            <w:tcW w:w="1696" w:type="dxa"/>
            <w:tcBorders>
              <w:right w:val="single" w:sz="4" w:space="0" w:color="auto"/>
            </w:tcBorders>
            <w:shd w:val="clear" w:color="auto" w:fill="auto"/>
            <w:hideMark/>
          </w:tcPr>
          <w:p w14:paraId="556A7ACC" w14:textId="0E09AB8F" w:rsidR="003B6D2F" w:rsidRPr="00CA23AA" w:rsidRDefault="00DB541E" w:rsidP="003B6D2F">
            <w:pPr>
              <w:spacing w:before="40" w:after="40"/>
              <w:ind w:left="74"/>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B2001X</w:t>
            </w:r>
          </w:p>
          <w:p w14:paraId="70F5B913" w14:textId="4C5DAE6F" w:rsidR="003B6D2F" w:rsidRPr="00CA23AA" w:rsidRDefault="003B6D2F" w:rsidP="003B6D2F">
            <w:pPr>
              <w:spacing w:before="40" w:after="40"/>
              <w:ind w:left="74"/>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NCT</w:t>
            </w:r>
            <w:r w:rsidR="00DB541E" w:rsidRPr="00CA23AA">
              <w:rPr>
                <w:rFonts w:ascii="Arial Narrow" w:eastAsia="Times New Roman" w:hAnsi="Arial Narrow" w:cs="Times New Roman"/>
                <w:sz w:val="20"/>
                <w:szCs w:val="20"/>
              </w:rPr>
              <w:t>03123939</w:t>
            </w:r>
          </w:p>
        </w:tc>
        <w:tc>
          <w:tcPr>
            <w:tcW w:w="4769" w:type="dxa"/>
            <w:tcBorders>
              <w:top w:val="single" w:sz="4" w:space="0" w:color="auto"/>
              <w:left w:val="single" w:sz="4" w:space="0" w:color="auto"/>
              <w:bottom w:val="single" w:sz="4" w:space="0" w:color="auto"/>
              <w:right w:val="single" w:sz="4" w:space="0" w:color="auto"/>
            </w:tcBorders>
            <w:shd w:val="clear" w:color="auto" w:fill="auto"/>
            <w:hideMark/>
          </w:tcPr>
          <w:p w14:paraId="156143E4" w14:textId="58AED865" w:rsidR="00DB541E" w:rsidRPr="00CA23AA" w:rsidRDefault="00DB541E" w:rsidP="00DB541E">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“Phase </w:t>
            </w:r>
            <w:proofErr w:type="spellStart"/>
            <w:r w:rsidRPr="00CA23AA">
              <w:rPr>
                <w:rFonts w:ascii="Arial Narrow" w:eastAsia="Times New Roman" w:hAnsi="Arial Narrow" w:cs="Times New Roman"/>
                <w:sz w:val="20"/>
                <w:szCs w:val="20"/>
              </w:rPr>
              <w:t>IIIb</w:t>
            </w:r>
            <w:proofErr w:type="spellEnd"/>
            <w:r w:rsidRPr="00CA23AA">
              <w:rPr>
                <w:rFonts w:ascii="Arial Narrow" w:eastAsia="Times New Roman" w:hAnsi="Arial Narrow" w:cs="Times New Roman"/>
                <w:sz w:val="20"/>
                <w:szCs w:val="20"/>
              </w:rPr>
              <w:t xml:space="preserve"> study for relapsed/refractory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/young</w:t>
            </w:r>
          </w:p>
          <w:p w14:paraId="4F763E72" w14:textId="77777777" w:rsidR="00DB541E" w:rsidRPr="00CA23AA" w:rsidRDefault="00DB541E" w:rsidP="00DB541E">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adult acute lymphoblastic leukemia patients to be </w:t>
            </w:r>
            <w:proofErr w:type="gramStart"/>
            <w:r w:rsidRPr="00CA23AA">
              <w:rPr>
                <w:rFonts w:ascii="Arial Narrow" w:eastAsia="Times New Roman" w:hAnsi="Arial Narrow" w:cs="Times New Roman"/>
                <w:sz w:val="20"/>
                <w:szCs w:val="20"/>
              </w:rPr>
              <w:t>treated</w:t>
            </w:r>
            <w:proofErr w:type="gramEnd"/>
          </w:p>
          <w:p w14:paraId="1DCA0D5C" w14:textId="438E076C" w:rsidR="003B6D2F" w:rsidRPr="00CA23AA" w:rsidRDefault="00DB541E" w:rsidP="00DB541E">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with CTL019”</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6B6F34D9" w14:textId="35641860" w:rsidR="003B6D2F" w:rsidRPr="00CA23AA" w:rsidRDefault="00DB541E" w:rsidP="003B6D2F">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CSR October 2020</w:t>
            </w:r>
          </w:p>
        </w:tc>
      </w:tr>
      <w:tr w:rsidR="003B6D2F" w:rsidRPr="00CA23AA" w14:paraId="5D6502F1" w14:textId="77777777" w:rsidTr="00252745">
        <w:trPr>
          <w:trHeight w:val="300"/>
        </w:trPr>
        <w:tc>
          <w:tcPr>
            <w:tcW w:w="1696" w:type="dxa"/>
            <w:shd w:val="clear" w:color="auto" w:fill="auto"/>
          </w:tcPr>
          <w:p w14:paraId="6C4B07BF" w14:textId="015D69EC" w:rsidR="003B6D2F" w:rsidRPr="00CA23AA" w:rsidRDefault="003B6D2F" w:rsidP="003B6D2F">
            <w:pPr>
              <w:spacing w:before="40" w:after="40"/>
              <w:ind w:left="46"/>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ABMTRR</w:t>
            </w:r>
          </w:p>
        </w:tc>
        <w:tc>
          <w:tcPr>
            <w:tcW w:w="4769" w:type="dxa"/>
            <w:tcBorders>
              <w:top w:val="single" w:sz="4" w:space="0" w:color="auto"/>
            </w:tcBorders>
            <w:shd w:val="clear" w:color="auto" w:fill="auto"/>
          </w:tcPr>
          <w:p w14:paraId="15751F47" w14:textId="183A235D" w:rsidR="003B6D2F" w:rsidRPr="00CA23AA" w:rsidRDefault="00DB541E" w:rsidP="003B6D2F">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“Australian registry to assess the </w:t>
            </w:r>
            <w:proofErr w:type="gramStart"/>
            <w:r w:rsidRPr="00CA23AA">
              <w:rPr>
                <w:rFonts w:ascii="Arial Narrow" w:eastAsia="Times New Roman" w:hAnsi="Arial Narrow" w:cs="Times New Roman"/>
                <w:sz w:val="20"/>
                <w:szCs w:val="20"/>
              </w:rPr>
              <w:t>long term</w:t>
            </w:r>
            <w:proofErr w:type="gramEnd"/>
            <w:r w:rsidRPr="00CA23AA">
              <w:rPr>
                <w:rFonts w:ascii="Arial Narrow" w:eastAsia="Times New Roman" w:hAnsi="Arial Narrow" w:cs="Times New Roman"/>
                <w:sz w:val="20"/>
                <w:szCs w:val="20"/>
              </w:rPr>
              <w:t xml:space="preserve"> efficacy and safety outcomes of patients with B lymphocyte malignancies treated with tisagenlecleucel”</w:t>
            </w:r>
          </w:p>
        </w:tc>
        <w:tc>
          <w:tcPr>
            <w:tcW w:w="2741" w:type="dxa"/>
            <w:tcBorders>
              <w:top w:val="single" w:sz="4" w:space="0" w:color="auto"/>
            </w:tcBorders>
            <w:shd w:val="clear" w:color="auto" w:fill="auto"/>
          </w:tcPr>
          <w:p w14:paraId="493DA80E" w14:textId="79325AF9" w:rsidR="003B6D2F" w:rsidRPr="00CA23AA" w:rsidRDefault="00DB541E" w:rsidP="00DB541E">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Report 4, September 2022</w:t>
            </w:r>
          </w:p>
        </w:tc>
      </w:tr>
      <w:tr w:rsidR="003B6D2F" w:rsidRPr="00CA23AA" w14:paraId="0184192F" w14:textId="77777777" w:rsidTr="00101ACF">
        <w:trPr>
          <w:trHeight w:val="300"/>
        </w:trPr>
        <w:tc>
          <w:tcPr>
            <w:tcW w:w="1696" w:type="dxa"/>
            <w:shd w:val="clear" w:color="auto" w:fill="auto"/>
          </w:tcPr>
          <w:p w14:paraId="52D6402A" w14:textId="35BAB23B" w:rsidR="003B6D2F" w:rsidRPr="00CA23AA" w:rsidRDefault="003B6D2F" w:rsidP="003B6D2F">
            <w:pPr>
              <w:spacing w:before="40" w:after="40"/>
              <w:ind w:left="46"/>
              <w:textAlignment w:val="baseline"/>
              <w:rPr>
                <w:rFonts w:ascii="Arial Narrow" w:eastAsia="Times New Roman" w:hAnsi="Arial Narrow" w:cs="Times New Roman"/>
                <w:sz w:val="20"/>
                <w:szCs w:val="20"/>
              </w:rPr>
            </w:pPr>
            <w:proofErr w:type="spellStart"/>
            <w:r w:rsidRPr="00CA23AA">
              <w:rPr>
                <w:rFonts w:ascii="Arial Narrow" w:eastAsia="Times New Roman" w:hAnsi="Arial Narrow" w:cs="Times New Roman"/>
                <w:sz w:val="20"/>
                <w:szCs w:val="20"/>
              </w:rPr>
              <w:t>Pasquini</w:t>
            </w:r>
            <w:proofErr w:type="spellEnd"/>
            <w:r w:rsidRPr="00CA23AA">
              <w:rPr>
                <w:rFonts w:ascii="Arial Narrow" w:eastAsia="Times New Roman" w:hAnsi="Arial Narrow" w:cs="Times New Roman"/>
                <w:sz w:val="20"/>
                <w:szCs w:val="20"/>
              </w:rPr>
              <w:t xml:space="preserve"> et al (2020)</w:t>
            </w:r>
          </w:p>
        </w:tc>
        <w:tc>
          <w:tcPr>
            <w:tcW w:w="4769" w:type="dxa"/>
            <w:shd w:val="clear" w:color="auto" w:fill="auto"/>
          </w:tcPr>
          <w:p w14:paraId="00686A1F" w14:textId="41AA0633" w:rsidR="003B6D2F" w:rsidRPr="00CA23AA" w:rsidRDefault="00DB541E" w:rsidP="003B6D2F">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"Real-world evidence of tisagenlecleucel for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acute lymphoblastic leukemia and non-Hodgkin lymphoma." </w:t>
            </w:r>
          </w:p>
        </w:tc>
        <w:tc>
          <w:tcPr>
            <w:tcW w:w="2741" w:type="dxa"/>
            <w:shd w:val="clear" w:color="auto" w:fill="auto"/>
          </w:tcPr>
          <w:p w14:paraId="40BBD917" w14:textId="6F409B6B" w:rsidR="003B6D2F" w:rsidRPr="00CA23AA" w:rsidRDefault="00DB541E" w:rsidP="003B6D2F">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i/>
                <w:sz w:val="20"/>
                <w:szCs w:val="20"/>
              </w:rPr>
              <w:t>Blood Advances</w:t>
            </w:r>
            <w:r w:rsidRPr="00CA23AA">
              <w:rPr>
                <w:rFonts w:ascii="Arial Narrow" w:eastAsia="Times New Roman" w:hAnsi="Arial Narrow" w:cs="Times New Roman"/>
                <w:sz w:val="20"/>
                <w:szCs w:val="20"/>
              </w:rPr>
              <w:t xml:space="preserve"> 4(21): 5414-5424.</w:t>
            </w:r>
          </w:p>
        </w:tc>
      </w:tr>
      <w:tr w:rsidR="003B6D2F" w:rsidRPr="00CA23AA" w14:paraId="622A80BC" w14:textId="77777777" w:rsidTr="00101ACF">
        <w:trPr>
          <w:trHeight w:val="300"/>
        </w:trPr>
        <w:tc>
          <w:tcPr>
            <w:tcW w:w="1696" w:type="dxa"/>
            <w:shd w:val="clear" w:color="auto" w:fill="auto"/>
          </w:tcPr>
          <w:p w14:paraId="5426E908" w14:textId="3BFEC0E1" w:rsidR="003B6D2F" w:rsidRPr="00CA23AA" w:rsidRDefault="003B6D2F" w:rsidP="003B6D2F">
            <w:pPr>
              <w:spacing w:before="40" w:after="40"/>
              <w:ind w:left="60"/>
              <w:textAlignment w:val="baseline"/>
              <w:rPr>
                <w:rFonts w:ascii="Arial Narrow" w:eastAsia="Times New Roman" w:hAnsi="Arial Narrow" w:cs="Times New Roman"/>
                <w:sz w:val="20"/>
                <w:szCs w:val="20"/>
              </w:rPr>
            </w:pPr>
            <w:proofErr w:type="spellStart"/>
            <w:r w:rsidRPr="00CA23AA">
              <w:rPr>
                <w:rFonts w:ascii="Arial Narrow" w:eastAsia="Times New Roman" w:hAnsi="Arial Narrow" w:cs="Times New Roman"/>
                <w:sz w:val="20"/>
                <w:szCs w:val="20"/>
              </w:rPr>
              <w:t>Dourthe</w:t>
            </w:r>
            <w:proofErr w:type="spellEnd"/>
            <w:r w:rsidRPr="00CA23AA">
              <w:rPr>
                <w:rFonts w:ascii="Arial Narrow" w:eastAsia="Times New Roman" w:hAnsi="Arial Narrow" w:cs="Times New Roman"/>
                <w:sz w:val="20"/>
                <w:szCs w:val="20"/>
              </w:rPr>
              <w:t xml:space="preserve"> et al (2021)</w:t>
            </w:r>
          </w:p>
        </w:tc>
        <w:tc>
          <w:tcPr>
            <w:tcW w:w="4769" w:type="dxa"/>
            <w:shd w:val="clear" w:color="auto" w:fill="auto"/>
          </w:tcPr>
          <w:p w14:paraId="73C6B08B" w14:textId="60573E93" w:rsidR="003B6D2F" w:rsidRPr="00CA23AA" w:rsidRDefault="002247BC" w:rsidP="003B6D2F">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"Determinants of CD19-positive vs CD19-negative relapse after tisagenlecleucel for B-cell acute lymphoblastic leukemia." </w:t>
            </w:r>
          </w:p>
        </w:tc>
        <w:tc>
          <w:tcPr>
            <w:tcW w:w="2741" w:type="dxa"/>
            <w:shd w:val="clear" w:color="auto" w:fill="auto"/>
          </w:tcPr>
          <w:p w14:paraId="286FC021" w14:textId="0E088631" w:rsidR="003B6D2F" w:rsidRPr="00CA23AA" w:rsidRDefault="002247BC" w:rsidP="003B6D2F">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i/>
                <w:sz w:val="20"/>
                <w:szCs w:val="20"/>
              </w:rPr>
              <w:t>Leukemia</w:t>
            </w:r>
            <w:r w:rsidRPr="00CA23AA">
              <w:rPr>
                <w:rFonts w:ascii="Arial Narrow" w:eastAsia="Times New Roman" w:hAnsi="Arial Narrow" w:cs="Times New Roman"/>
                <w:sz w:val="20"/>
                <w:szCs w:val="20"/>
              </w:rPr>
              <w:t xml:space="preserve"> 35(12): 3383-3393.</w:t>
            </w:r>
          </w:p>
        </w:tc>
      </w:tr>
      <w:tr w:rsidR="00214E4D" w:rsidRPr="00CA23AA" w14:paraId="6F638DD1" w14:textId="77777777" w:rsidTr="00101ACF">
        <w:trPr>
          <w:trHeight w:val="300"/>
        </w:trPr>
        <w:tc>
          <w:tcPr>
            <w:tcW w:w="9206" w:type="dxa"/>
            <w:gridSpan w:val="3"/>
            <w:shd w:val="clear" w:color="auto" w:fill="auto"/>
          </w:tcPr>
          <w:p w14:paraId="4FB1B46D" w14:textId="03ED031D" w:rsidR="00214E4D" w:rsidRPr="00CA23AA" w:rsidRDefault="00214E4D" w:rsidP="008D7601">
            <w:pPr>
              <w:spacing w:before="40" w:after="40"/>
              <w:ind w:left="67"/>
              <w:textAlignment w:val="baseline"/>
              <w:rPr>
                <w:rFonts w:ascii="Arial Narrow" w:eastAsia="Times New Roman" w:hAnsi="Arial Narrow" w:cs="Times New Roman"/>
                <w:b/>
                <w:sz w:val="20"/>
                <w:szCs w:val="20"/>
              </w:rPr>
            </w:pPr>
            <w:r w:rsidRPr="00CA23AA">
              <w:rPr>
                <w:rFonts w:ascii="Arial Narrow" w:eastAsia="Times New Roman" w:hAnsi="Arial Narrow" w:cs="Times New Roman"/>
                <w:b/>
                <w:sz w:val="20"/>
                <w:szCs w:val="20"/>
              </w:rPr>
              <w:t xml:space="preserve">Studies included by the </w:t>
            </w:r>
            <w:r w:rsidR="00BB74B6" w:rsidRPr="00CA23AA">
              <w:rPr>
                <w:rFonts w:ascii="Arial Narrow" w:eastAsia="Times New Roman" w:hAnsi="Arial Narrow" w:cs="Times New Roman"/>
                <w:b/>
                <w:sz w:val="20"/>
                <w:szCs w:val="20"/>
              </w:rPr>
              <w:t>commentary</w:t>
            </w:r>
          </w:p>
        </w:tc>
      </w:tr>
      <w:tr w:rsidR="003B6D2F" w:rsidRPr="00CA23AA" w14:paraId="52F90791" w14:textId="77777777" w:rsidTr="00101ACF">
        <w:trPr>
          <w:trHeight w:val="300"/>
        </w:trPr>
        <w:tc>
          <w:tcPr>
            <w:tcW w:w="1696" w:type="dxa"/>
            <w:shd w:val="clear" w:color="auto" w:fill="auto"/>
          </w:tcPr>
          <w:p w14:paraId="2F477B49" w14:textId="77777777" w:rsidR="003B6D2F" w:rsidRPr="00CA23AA" w:rsidRDefault="003B6D2F" w:rsidP="003B6D2F">
            <w:pPr>
              <w:spacing w:before="40" w:after="40"/>
              <w:ind w:left="60"/>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PRSZT/DRST</w:t>
            </w:r>
          </w:p>
          <w:p w14:paraId="1778E7C5" w14:textId="10F7E490" w:rsidR="00214E4D" w:rsidRPr="00CA23AA" w:rsidRDefault="00214E4D" w:rsidP="003B6D2F">
            <w:pPr>
              <w:spacing w:before="40" w:after="40"/>
              <w:ind w:left="60"/>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Bader et al. (2023)</w:t>
            </w:r>
          </w:p>
        </w:tc>
        <w:tc>
          <w:tcPr>
            <w:tcW w:w="4769" w:type="dxa"/>
            <w:shd w:val="clear" w:color="auto" w:fill="auto"/>
          </w:tcPr>
          <w:p w14:paraId="14603940" w14:textId="11081BCB" w:rsidR="003B6D2F" w:rsidRPr="00CA23AA" w:rsidRDefault="00214E4D" w:rsidP="003B6D2F">
            <w:pPr>
              <w:spacing w:before="40" w:after="40"/>
              <w:ind w:left="92"/>
              <w:textAlignment w:val="baseline"/>
              <w:rPr>
                <w:rFonts w:ascii="Arial Narrow" w:eastAsia="Times New Roman" w:hAnsi="Arial Narrow" w:cs="Times New Roman"/>
                <w:sz w:val="20"/>
                <w:szCs w:val="20"/>
              </w:rPr>
            </w:pPr>
            <w:r w:rsidRPr="00CA23AA">
              <w:rPr>
                <w:rFonts w:eastAsia="Times New Roman" w:cs="Times New Roman"/>
                <w:sz w:val="20"/>
                <w:szCs w:val="20"/>
              </w:rPr>
              <w:t>“</w:t>
            </w:r>
            <w:r w:rsidRPr="00CA23AA">
              <w:rPr>
                <w:rFonts w:ascii="Arial Narrow" w:eastAsia="Times New Roman" w:hAnsi="Arial Narrow" w:cs="Times New Roman"/>
                <w:sz w:val="20"/>
                <w:szCs w:val="20"/>
              </w:rPr>
              <w:t>CD19-CAR-T cells are an effective therapy of post-transplant relapse in B-ALL patients: Real-World Data from Germany.”</w:t>
            </w:r>
          </w:p>
        </w:tc>
        <w:tc>
          <w:tcPr>
            <w:tcW w:w="2741" w:type="dxa"/>
            <w:shd w:val="clear" w:color="auto" w:fill="auto"/>
          </w:tcPr>
          <w:p w14:paraId="4A810712" w14:textId="7787BF4C" w:rsidR="003B6D2F" w:rsidRPr="00CA23AA" w:rsidRDefault="00214E4D" w:rsidP="003B6D2F">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i/>
                <w:sz w:val="20"/>
                <w:szCs w:val="20"/>
              </w:rPr>
              <w:t>Blood Advances</w:t>
            </w:r>
            <w:r w:rsidRPr="00CA23AA">
              <w:rPr>
                <w:rFonts w:ascii="Arial Narrow" w:eastAsia="Times New Roman" w:hAnsi="Arial Narrow" w:cs="Times New Roman"/>
                <w:sz w:val="20"/>
                <w:szCs w:val="20"/>
              </w:rPr>
              <w:t>, pp. bloodadvances-2022008981.</w:t>
            </w:r>
          </w:p>
        </w:tc>
      </w:tr>
      <w:tr w:rsidR="003B6D2F" w:rsidRPr="00CA23AA" w14:paraId="7A8982C3" w14:textId="77777777" w:rsidTr="002472AD">
        <w:trPr>
          <w:trHeight w:val="300"/>
        </w:trPr>
        <w:tc>
          <w:tcPr>
            <w:tcW w:w="1696" w:type="dxa"/>
            <w:shd w:val="clear" w:color="auto" w:fill="auto"/>
          </w:tcPr>
          <w:p w14:paraId="402DEEEC" w14:textId="61F7AE89" w:rsidR="003B6D2F" w:rsidRPr="00CA23AA" w:rsidRDefault="00214E4D" w:rsidP="003B6D2F">
            <w:pPr>
              <w:spacing w:before="40" w:after="40"/>
              <w:ind w:left="60"/>
              <w:textAlignment w:val="baseline"/>
              <w:rPr>
                <w:rFonts w:ascii="Arial Narrow" w:eastAsia="Times New Roman" w:hAnsi="Arial Narrow" w:cs="Times New Roman"/>
                <w:sz w:val="20"/>
                <w:szCs w:val="20"/>
              </w:rPr>
            </w:pPr>
            <w:proofErr w:type="spellStart"/>
            <w:r w:rsidRPr="00CA23AA">
              <w:rPr>
                <w:rFonts w:ascii="Arial Narrow" w:eastAsia="Times New Roman" w:hAnsi="Arial Narrow" w:cs="Times New Roman"/>
                <w:sz w:val="20"/>
                <w:szCs w:val="20"/>
              </w:rPr>
              <w:t>Ghorashian</w:t>
            </w:r>
            <w:proofErr w:type="spellEnd"/>
            <w:r w:rsidRPr="00CA23AA">
              <w:rPr>
                <w:rFonts w:ascii="Arial Narrow" w:eastAsia="Times New Roman" w:hAnsi="Arial Narrow" w:cs="Times New Roman"/>
                <w:sz w:val="20"/>
                <w:szCs w:val="20"/>
              </w:rPr>
              <w:t xml:space="preserve"> et al (2022)</w:t>
            </w:r>
          </w:p>
        </w:tc>
        <w:tc>
          <w:tcPr>
            <w:tcW w:w="4769" w:type="dxa"/>
            <w:tcBorders>
              <w:bottom w:val="single" w:sz="4" w:space="0" w:color="auto"/>
            </w:tcBorders>
            <w:shd w:val="clear" w:color="auto" w:fill="auto"/>
          </w:tcPr>
          <w:p w14:paraId="3D339752" w14:textId="5EA98B1C" w:rsidR="003B6D2F" w:rsidRPr="00CA23AA" w:rsidRDefault="00214E4D" w:rsidP="003B6D2F">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“Tisagenlecleucel therapy for relapsed or refractory B-cell acute lymphoblastic leukaemia in infants and children younger than 3 years of age at screening: an international, multicentre, retrospective cohort study.”</w:t>
            </w:r>
          </w:p>
        </w:tc>
        <w:tc>
          <w:tcPr>
            <w:tcW w:w="2741" w:type="dxa"/>
            <w:tcBorders>
              <w:bottom w:val="single" w:sz="4" w:space="0" w:color="auto"/>
            </w:tcBorders>
            <w:shd w:val="clear" w:color="auto" w:fill="auto"/>
          </w:tcPr>
          <w:p w14:paraId="7F40F87B" w14:textId="7480A928" w:rsidR="003B6D2F" w:rsidRPr="00CA23AA" w:rsidRDefault="00214E4D" w:rsidP="003B6D2F">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i/>
                <w:sz w:val="20"/>
                <w:szCs w:val="20"/>
              </w:rPr>
              <w:t>The Lancet Haematology</w:t>
            </w:r>
            <w:r w:rsidRPr="00CA23AA">
              <w:rPr>
                <w:rFonts w:ascii="Arial Narrow" w:eastAsia="Times New Roman" w:hAnsi="Arial Narrow" w:cs="Times New Roman"/>
                <w:sz w:val="20"/>
                <w:szCs w:val="20"/>
              </w:rPr>
              <w:t xml:space="preserve">, 9(10), </w:t>
            </w:r>
            <w:proofErr w:type="gramStart"/>
            <w:r w:rsidRPr="00CA23AA">
              <w:rPr>
                <w:rFonts w:ascii="Arial Narrow" w:eastAsia="Times New Roman" w:hAnsi="Arial Narrow" w:cs="Times New Roman"/>
                <w:sz w:val="20"/>
                <w:szCs w:val="20"/>
              </w:rPr>
              <w:t>pp.e</w:t>
            </w:r>
            <w:proofErr w:type="gramEnd"/>
            <w:r w:rsidRPr="00CA23AA">
              <w:rPr>
                <w:rFonts w:ascii="Arial Narrow" w:eastAsia="Times New Roman" w:hAnsi="Arial Narrow" w:cs="Times New Roman"/>
                <w:sz w:val="20"/>
                <w:szCs w:val="20"/>
              </w:rPr>
              <w:t>766-e775.</w:t>
            </w:r>
          </w:p>
        </w:tc>
      </w:tr>
      <w:tr w:rsidR="002472AD" w:rsidRPr="00CA23AA" w14:paraId="15CBFA27" w14:textId="77777777" w:rsidTr="002472AD">
        <w:trPr>
          <w:trHeight w:val="300"/>
        </w:trPr>
        <w:tc>
          <w:tcPr>
            <w:tcW w:w="1696" w:type="dxa"/>
            <w:vMerge w:val="restart"/>
            <w:shd w:val="clear" w:color="auto" w:fill="auto"/>
          </w:tcPr>
          <w:p w14:paraId="5FFC6B53" w14:textId="6FD238BE" w:rsidR="002472AD" w:rsidRPr="00CA23AA" w:rsidRDefault="002472AD" w:rsidP="00AC541D">
            <w:pPr>
              <w:keepNext/>
              <w:spacing w:before="40" w:after="40"/>
              <w:ind w:left="60"/>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PRWCC</w:t>
            </w:r>
          </w:p>
        </w:tc>
        <w:tc>
          <w:tcPr>
            <w:tcW w:w="4769" w:type="dxa"/>
            <w:tcBorders>
              <w:bottom w:val="nil"/>
            </w:tcBorders>
            <w:shd w:val="clear" w:color="auto" w:fill="auto"/>
          </w:tcPr>
          <w:p w14:paraId="71AE2BD6" w14:textId="1EA8B5C4" w:rsidR="002472AD" w:rsidRPr="00CA23AA" w:rsidRDefault="002472AD" w:rsidP="00AC541D">
            <w:pPr>
              <w:keepNext/>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Fabrizio et al. (2022) “Tisagenlecleucel outcomes in relapsed/refractory extramedullary ALL: a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Real World CAR Consortium Report.” </w:t>
            </w:r>
          </w:p>
        </w:tc>
        <w:tc>
          <w:tcPr>
            <w:tcW w:w="2741" w:type="dxa"/>
            <w:tcBorders>
              <w:bottom w:val="nil"/>
            </w:tcBorders>
            <w:shd w:val="clear" w:color="auto" w:fill="auto"/>
          </w:tcPr>
          <w:p w14:paraId="41D4A508" w14:textId="316704CD" w:rsidR="002472AD" w:rsidRPr="00CA23AA" w:rsidRDefault="002472AD" w:rsidP="00AC541D">
            <w:pPr>
              <w:keepNext/>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i/>
                <w:sz w:val="20"/>
                <w:szCs w:val="20"/>
              </w:rPr>
              <w:t>Blood Advances</w:t>
            </w:r>
            <w:r w:rsidRPr="00CA23AA">
              <w:rPr>
                <w:rFonts w:ascii="Arial Narrow" w:eastAsia="Times New Roman" w:hAnsi="Arial Narrow" w:cs="Times New Roman"/>
                <w:sz w:val="20"/>
                <w:szCs w:val="20"/>
              </w:rPr>
              <w:t>, 6(2), pp.600-610.</w:t>
            </w:r>
          </w:p>
        </w:tc>
      </w:tr>
      <w:tr w:rsidR="002472AD" w:rsidRPr="00CA23AA" w14:paraId="5C51FFB3" w14:textId="77777777" w:rsidTr="002472AD">
        <w:trPr>
          <w:trHeight w:val="300"/>
        </w:trPr>
        <w:tc>
          <w:tcPr>
            <w:tcW w:w="1696" w:type="dxa"/>
            <w:vMerge/>
            <w:shd w:val="clear" w:color="auto" w:fill="auto"/>
          </w:tcPr>
          <w:p w14:paraId="5C2A925A" w14:textId="77777777" w:rsidR="002472AD" w:rsidRPr="00CA23AA" w:rsidRDefault="002472AD" w:rsidP="00B9162C">
            <w:pPr>
              <w:keepNext/>
              <w:spacing w:before="40" w:after="40"/>
              <w:ind w:left="60"/>
              <w:textAlignment w:val="baseline"/>
              <w:rPr>
                <w:rFonts w:ascii="Arial Narrow" w:eastAsia="Times New Roman" w:hAnsi="Arial Narrow" w:cs="Times New Roman"/>
                <w:sz w:val="20"/>
                <w:szCs w:val="20"/>
              </w:rPr>
            </w:pPr>
          </w:p>
        </w:tc>
        <w:tc>
          <w:tcPr>
            <w:tcW w:w="4769" w:type="dxa"/>
            <w:tcBorders>
              <w:top w:val="nil"/>
              <w:bottom w:val="nil"/>
            </w:tcBorders>
            <w:shd w:val="clear" w:color="auto" w:fill="auto"/>
          </w:tcPr>
          <w:p w14:paraId="683D74EA" w14:textId="013D95D9" w:rsidR="002472AD" w:rsidRPr="00CA23AA" w:rsidRDefault="002472AD" w:rsidP="00B9162C">
            <w:pPr>
              <w:keepNext/>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Schultz et al. (2022) “Disease burden affects outcomes in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and young adult B-cell lymphoblastic leukemia after commercial tisagenlecleucel: a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real-world chimeric antigen receptor consortium report.” </w:t>
            </w:r>
          </w:p>
        </w:tc>
        <w:tc>
          <w:tcPr>
            <w:tcW w:w="2741" w:type="dxa"/>
            <w:tcBorders>
              <w:top w:val="nil"/>
              <w:bottom w:val="nil"/>
            </w:tcBorders>
            <w:shd w:val="clear" w:color="auto" w:fill="auto"/>
          </w:tcPr>
          <w:p w14:paraId="18BB1644" w14:textId="50F950FA" w:rsidR="002472AD" w:rsidRPr="00CA23AA" w:rsidRDefault="002472AD" w:rsidP="00B9162C">
            <w:pPr>
              <w:keepNext/>
              <w:spacing w:before="40" w:after="40"/>
              <w:ind w:left="67"/>
              <w:textAlignment w:val="baseline"/>
              <w:rPr>
                <w:rFonts w:ascii="Arial Narrow" w:eastAsia="Times New Roman" w:hAnsi="Arial Narrow" w:cs="Times New Roman"/>
                <w:i/>
                <w:sz w:val="20"/>
                <w:szCs w:val="20"/>
              </w:rPr>
            </w:pPr>
            <w:r w:rsidRPr="00CA23AA">
              <w:rPr>
                <w:rFonts w:ascii="Arial Narrow" w:eastAsia="Times New Roman" w:hAnsi="Arial Narrow" w:cs="Times New Roman"/>
                <w:i/>
                <w:sz w:val="20"/>
                <w:szCs w:val="20"/>
              </w:rPr>
              <w:t>Journal of Clinical Oncology</w:t>
            </w:r>
            <w:r w:rsidRPr="00CA23AA">
              <w:rPr>
                <w:rFonts w:ascii="Arial Narrow" w:eastAsia="Times New Roman" w:hAnsi="Arial Narrow" w:cs="Times New Roman"/>
                <w:sz w:val="20"/>
                <w:szCs w:val="20"/>
              </w:rPr>
              <w:t>, 40(9), pp.945-955.</w:t>
            </w:r>
          </w:p>
        </w:tc>
      </w:tr>
      <w:tr w:rsidR="002472AD" w:rsidRPr="00CA23AA" w14:paraId="62C73FEF" w14:textId="77777777" w:rsidTr="002472AD">
        <w:trPr>
          <w:trHeight w:val="300"/>
        </w:trPr>
        <w:tc>
          <w:tcPr>
            <w:tcW w:w="1696" w:type="dxa"/>
            <w:vMerge/>
            <w:shd w:val="clear" w:color="auto" w:fill="auto"/>
          </w:tcPr>
          <w:p w14:paraId="0A453CF2" w14:textId="77777777" w:rsidR="002472AD" w:rsidRPr="00CA23AA" w:rsidRDefault="002472AD" w:rsidP="003B6D2F">
            <w:pPr>
              <w:spacing w:before="40" w:after="40"/>
              <w:ind w:left="60"/>
              <w:textAlignment w:val="baseline"/>
              <w:rPr>
                <w:rFonts w:ascii="Arial Narrow" w:eastAsia="Times New Roman" w:hAnsi="Arial Narrow" w:cs="Times New Roman"/>
                <w:sz w:val="20"/>
                <w:szCs w:val="20"/>
              </w:rPr>
            </w:pPr>
          </w:p>
        </w:tc>
        <w:tc>
          <w:tcPr>
            <w:tcW w:w="4769" w:type="dxa"/>
            <w:tcBorders>
              <w:top w:val="nil"/>
            </w:tcBorders>
            <w:shd w:val="clear" w:color="auto" w:fill="auto"/>
          </w:tcPr>
          <w:p w14:paraId="1D3FBE39" w14:textId="33D0B703" w:rsidR="002472AD" w:rsidRPr="00CA23AA" w:rsidRDefault="002472AD" w:rsidP="00101ACF">
            <w:pPr>
              <w:spacing w:before="40" w:after="40"/>
              <w:ind w:left="92"/>
              <w:textAlignment w:val="baseline"/>
              <w:rPr>
                <w:rFonts w:ascii="Arial Narrow" w:eastAsia="Times New Roman" w:hAnsi="Arial Narrow" w:cs="Times New Roman"/>
                <w:sz w:val="20"/>
                <w:szCs w:val="20"/>
              </w:rPr>
            </w:pPr>
            <w:proofErr w:type="spellStart"/>
            <w:r w:rsidRPr="00CA23AA">
              <w:rPr>
                <w:rFonts w:ascii="Arial Narrow" w:eastAsia="Times New Roman" w:hAnsi="Arial Narrow" w:cs="Times New Roman"/>
                <w:sz w:val="20"/>
                <w:szCs w:val="20"/>
              </w:rPr>
              <w:t>Rossoff</w:t>
            </w:r>
            <w:proofErr w:type="spellEnd"/>
            <w:r w:rsidRPr="00CA23AA">
              <w:rPr>
                <w:rFonts w:ascii="Arial Narrow" w:eastAsia="Times New Roman" w:hAnsi="Arial Narrow" w:cs="Times New Roman"/>
                <w:sz w:val="20"/>
                <w:szCs w:val="20"/>
              </w:rPr>
              <w:t xml:space="preserve"> et al. (2021) “Out-of-specification tisagenlecleucel does not compromise safety or efficacy in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acute lymphoblastic leukemia.”</w:t>
            </w:r>
          </w:p>
        </w:tc>
        <w:tc>
          <w:tcPr>
            <w:tcW w:w="2741" w:type="dxa"/>
            <w:tcBorders>
              <w:top w:val="nil"/>
            </w:tcBorders>
            <w:shd w:val="clear" w:color="auto" w:fill="auto"/>
          </w:tcPr>
          <w:p w14:paraId="31714DED" w14:textId="3BEFEB64" w:rsidR="002472AD" w:rsidRPr="00CA23AA" w:rsidRDefault="002472AD" w:rsidP="003B6D2F">
            <w:pPr>
              <w:spacing w:before="40" w:after="40"/>
              <w:ind w:left="67"/>
              <w:textAlignment w:val="baseline"/>
              <w:rPr>
                <w:rFonts w:ascii="Arial Narrow" w:eastAsia="Times New Roman" w:hAnsi="Arial Narrow" w:cs="Times New Roman"/>
                <w:i/>
                <w:sz w:val="20"/>
                <w:szCs w:val="20"/>
              </w:rPr>
            </w:pPr>
            <w:r w:rsidRPr="00CA23AA">
              <w:rPr>
                <w:rFonts w:ascii="Arial Narrow" w:eastAsia="Times New Roman" w:hAnsi="Arial Narrow" w:cs="Times New Roman"/>
                <w:i/>
                <w:sz w:val="20"/>
                <w:szCs w:val="20"/>
              </w:rPr>
              <w:t>Blood</w:t>
            </w:r>
            <w:r w:rsidRPr="00CA23AA">
              <w:rPr>
                <w:rFonts w:ascii="Arial Narrow" w:eastAsia="Times New Roman" w:hAnsi="Arial Narrow" w:cs="Times New Roman"/>
                <w:sz w:val="20"/>
                <w:szCs w:val="20"/>
              </w:rPr>
              <w:t>, 138(21), pp.2138-2142.</w:t>
            </w:r>
          </w:p>
        </w:tc>
      </w:tr>
      <w:tr w:rsidR="003B6D2F" w:rsidRPr="00CA23AA" w14:paraId="557B9CFB" w14:textId="77777777" w:rsidTr="00101ACF">
        <w:trPr>
          <w:trHeight w:val="300"/>
        </w:trPr>
        <w:tc>
          <w:tcPr>
            <w:tcW w:w="1696" w:type="dxa"/>
            <w:shd w:val="clear" w:color="auto" w:fill="auto"/>
          </w:tcPr>
          <w:p w14:paraId="254B1943" w14:textId="77777777" w:rsidR="003B6D2F" w:rsidRPr="00CA23AA" w:rsidRDefault="002A5446" w:rsidP="003B6D2F">
            <w:pPr>
              <w:spacing w:before="40" w:after="40"/>
              <w:ind w:left="60"/>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PRWCC</w:t>
            </w:r>
          </w:p>
          <w:p w14:paraId="157C05F8" w14:textId="6A623DB5" w:rsidR="002A5446" w:rsidRPr="00CA23AA" w:rsidRDefault="002A5446" w:rsidP="003B6D2F">
            <w:pPr>
              <w:spacing w:before="40" w:after="40"/>
              <w:ind w:left="60"/>
              <w:textAlignment w:val="baseline"/>
              <w:rPr>
                <w:rFonts w:ascii="Arial Narrow" w:eastAsia="Times New Roman" w:hAnsi="Arial Narrow" w:cs="Times New Roman"/>
                <w:sz w:val="20"/>
                <w:szCs w:val="20"/>
              </w:rPr>
            </w:pPr>
            <w:proofErr w:type="spellStart"/>
            <w:r w:rsidRPr="00CA23AA">
              <w:rPr>
                <w:rFonts w:ascii="Arial Narrow" w:eastAsia="Times New Roman" w:hAnsi="Arial Narrow" w:cs="Times New Roman"/>
                <w:sz w:val="20"/>
                <w:szCs w:val="20"/>
              </w:rPr>
              <w:t>Moskop</w:t>
            </w:r>
            <w:proofErr w:type="spellEnd"/>
            <w:r w:rsidRPr="00CA23AA">
              <w:rPr>
                <w:rFonts w:ascii="Arial Narrow" w:eastAsia="Times New Roman" w:hAnsi="Arial Narrow" w:cs="Times New Roman"/>
                <w:sz w:val="20"/>
                <w:szCs w:val="20"/>
              </w:rPr>
              <w:t xml:space="preserve"> et al. (2022)</w:t>
            </w:r>
          </w:p>
        </w:tc>
        <w:tc>
          <w:tcPr>
            <w:tcW w:w="4769" w:type="dxa"/>
            <w:shd w:val="clear" w:color="auto" w:fill="auto"/>
          </w:tcPr>
          <w:p w14:paraId="51FDBE01" w14:textId="24591003" w:rsidR="003B6D2F" w:rsidRPr="00CA23AA" w:rsidRDefault="002A5446" w:rsidP="003B6D2F">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“Real-world use of tisagenlecleucel in infant acute lymphoblastic leukemia.”</w:t>
            </w:r>
          </w:p>
        </w:tc>
        <w:tc>
          <w:tcPr>
            <w:tcW w:w="2741" w:type="dxa"/>
            <w:shd w:val="clear" w:color="auto" w:fill="auto"/>
          </w:tcPr>
          <w:p w14:paraId="0E6F0E13" w14:textId="443DB41D" w:rsidR="003B6D2F" w:rsidRPr="00CA23AA" w:rsidRDefault="002A5446" w:rsidP="003B6D2F">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i/>
                <w:sz w:val="20"/>
                <w:szCs w:val="20"/>
              </w:rPr>
              <w:t>Blood Advances</w:t>
            </w:r>
            <w:r w:rsidRPr="00CA23AA">
              <w:rPr>
                <w:rFonts w:ascii="Arial Narrow" w:eastAsia="Times New Roman" w:hAnsi="Arial Narrow" w:cs="Times New Roman"/>
                <w:sz w:val="20"/>
                <w:szCs w:val="20"/>
              </w:rPr>
              <w:t>, 6(14), pp.4251-4255.</w:t>
            </w:r>
          </w:p>
        </w:tc>
      </w:tr>
      <w:tr w:rsidR="002A5446" w:rsidRPr="00CA23AA" w14:paraId="6666E5EF" w14:textId="77777777" w:rsidTr="00101ACF">
        <w:trPr>
          <w:trHeight w:val="300"/>
        </w:trPr>
        <w:tc>
          <w:tcPr>
            <w:tcW w:w="1696" w:type="dxa"/>
            <w:shd w:val="clear" w:color="auto" w:fill="auto"/>
          </w:tcPr>
          <w:p w14:paraId="2B1F5942" w14:textId="19C23CB6" w:rsidR="002A5446" w:rsidRPr="00CA23AA" w:rsidRDefault="002A5446" w:rsidP="003B6D2F">
            <w:pPr>
              <w:spacing w:before="40" w:after="40"/>
              <w:ind w:left="60"/>
              <w:textAlignment w:val="baseline"/>
              <w:rPr>
                <w:rFonts w:ascii="Arial Narrow" w:eastAsia="Times New Roman" w:hAnsi="Arial Narrow" w:cs="Times New Roman"/>
                <w:sz w:val="20"/>
                <w:szCs w:val="20"/>
              </w:rPr>
            </w:pPr>
            <w:proofErr w:type="spellStart"/>
            <w:r w:rsidRPr="00CA23AA">
              <w:rPr>
                <w:rFonts w:ascii="Arial Narrow" w:eastAsia="Times New Roman" w:hAnsi="Arial Narrow" w:cs="Times New Roman"/>
                <w:sz w:val="20"/>
                <w:szCs w:val="20"/>
              </w:rPr>
              <w:t>Ravich</w:t>
            </w:r>
            <w:proofErr w:type="spellEnd"/>
            <w:r w:rsidRPr="00CA23AA">
              <w:rPr>
                <w:rFonts w:ascii="Arial Narrow" w:eastAsia="Times New Roman" w:hAnsi="Arial Narrow" w:cs="Times New Roman"/>
                <w:sz w:val="20"/>
                <w:szCs w:val="20"/>
              </w:rPr>
              <w:t xml:space="preserve"> et al (2022)</w:t>
            </w:r>
          </w:p>
        </w:tc>
        <w:tc>
          <w:tcPr>
            <w:tcW w:w="4769" w:type="dxa"/>
            <w:shd w:val="clear" w:color="auto" w:fill="auto"/>
          </w:tcPr>
          <w:p w14:paraId="6CB01450" w14:textId="0F0CCA82" w:rsidR="002A5446" w:rsidRPr="00CA23AA" w:rsidRDefault="002A5446" w:rsidP="003B6D2F">
            <w:pPr>
              <w:spacing w:before="40" w:after="40"/>
              <w:ind w:left="92"/>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 xml:space="preserve">“Impact of high disease burden on survival in </w:t>
            </w:r>
            <w:proofErr w:type="spellStart"/>
            <w:r w:rsidRPr="00CA23AA">
              <w:rPr>
                <w:rFonts w:ascii="Arial Narrow" w:eastAsia="Times New Roman" w:hAnsi="Arial Narrow" w:cs="Times New Roman"/>
                <w:sz w:val="20"/>
                <w:szCs w:val="20"/>
              </w:rPr>
              <w:t>pediatric</w:t>
            </w:r>
            <w:proofErr w:type="spellEnd"/>
            <w:r w:rsidRPr="00CA23AA">
              <w:rPr>
                <w:rFonts w:ascii="Arial Narrow" w:eastAsia="Times New Roman" w:hAnsi="Arial Narrow" w:cs="Times New Roman"/>
                <w:sz w:val="20"/>
                <w:szCs w:val="20"/>
              </w:rPr>
              <w:t xml:space="preserve"> patients with B-ALL treated with tisagenlecleucel.”</w:t>
            </w:r>
          </w:p>
        </w:tc>
        <w:tc>
          <w:tcPr>
            <w:tcW w:w="2741" w:type="dxa"/>
            <w:shd w:val="clear" w:color="auto" w:fill="auto"/>
          </w:tcPr>
          <w:p w14:paraId="3A082B03" w14:textId="0F1E7693" w:rsidR="002A5446" w:rsidRPr="00CA23AA" w:rsidRDefault="002A5446" w:rsidP="003B6D2F">
            <w:pPr>
              <w:spacing w:before="40" w:after="40"/>
              <w:ind w:left="67"/>
              <w:textAlignment w:val="baseline"/>
              <w:rPr>
                <w:rFonts w:ascii="Arial Narrow" w:eastAsia="Times New Roman" w:hAnsi="Arial Narrow" w:cs="Times New Roman"/>
                <w:sz w:val="20"/>
                <w:szCs w:val="20"/>
              </w:rPr>
            </w:pPr>
            <w:r w:rsidRPr="00CA23AA">
              <w:rPr>
                <w:rFonts w:ascii="Arial Narrow" w:eastAsia="Times New Roman" w:hAnsi="Arial Narrow" w:cs="Times New Roman"/>
                <w:i/>
                <w:sz w:val="20"/>
                <w:szCs w:val="20"/>
              </w:rPr>
              <w:t>Transplantation and Cellular Therapy</w:t>
            </w:r>
            <w:r w:rsidRPr="00CA23AA">
              <w:rPr>
                <w:rFonts w:ascii="Arial Narrow" w:eastAsia="Times New Roman" w:hAnsi="Arial Narrow" w:cs="Times New Roman"/>
                <w:sz w:val="20"/>
                <w:szCs w:val="20"/>
              </w:rPr>
              <w:t>, 28(2), pp.73-e1.</w:t>
            </w:r>
          </w:p>
        </w:tc>
      </w:tr>
    </w:tbl>
    <w:p w14:paraId="6DD9064D" w14:textId="5E411B7D" w:rsidR="003B6D2F" w:rsidRPr="00CA23AA" w:rsidRDefault="00214E4D" w:rsidP="00CD080E">
      <w:pPr>
        <w:spacing w:before="0" w:after="0" w:line="240" w:lineRule="auto"/>
        <w:jc w:val="both"/>
        <w:textAlignment w:val="baseline"/>
        <w:rPr>
          <w:rFonts w:ascii="Arial Narrow" w:eastAsia="Times New Roman" w:hAnsi="Arial Narrow" w:cs="Segoe UI"/>
          <w:sz w:val="18"/>
          <w:szCs w:val="18"/>
          <w:lang w:eastAsia="en-AU"/>
        </w:rPr>
      </w:pPr>
      <w:r w:rsidRPr="00CA23AA">
        <w:rPr>
          <w:rFonts w:ascii="Arial Narrow" w:eastAsia="Times New Roman" w:hAnsi="Arial Narrow" w:cs="Times New Roman"/>
          <w:sz w:val="20"/>
          <w:szCs w:val="20"/>
          <w:lang w:eastAsia="en-AU"/>
        </w:rPr>
        <w:t>ABMTRR</w:t>
      </w:r>
      <w:r w:rsidRPr="00CA23AA">
        <w:rPr>
          <w:rFonts w:ascii="Arial Narrow" w:eastAsia="Times New Roman" w:hAnsi="Arial Narrow" w:cs="Segoe UI"/>
          <w:sz w:val="18"/>
          <w:szCs w:val="18"/>
          <w:lang w:eastAsia="en-AU"/>
        </w:rPr>
        <w:t xml:space="preserve"> = Australian Bone Marrow Transplant Recipient Registry; </w:t>
      </w:r>
      <w:r w:rsidR="003B6D2F" w:rsidRPr="00CA23AA">
        <w:rPr>
          <w:rFonts w:ascii="Arial Narrow" w:eastAsia="Times New Roman" w:hAnsi="Arial Narrow" w:cs="Segoe UI"/>
          <w:sz w:val="18"/>
          <w:szCs w:val="18"/>
          <w:lang w:eastAsia="en-AU"/>
        </w:rPr>
        <w:t>DRST</w:t>
      </w:r>
      <w:r w:rsidRPr="00CA23AA">
        <w:rPr>
          <w:rFonts w:ascii="Arial Narrow" w:eastAsia="Times New Roman" w:hAnsi="Arial Narrow" w:cs="Segoe UI"/>
          <w:sz w:val="18"/>
          <w:szCs w:val="18"/>
          <w:lang w:eastAsia="en-AU"/>
        </w:rPr>
        <w:t xml:space="preserve"> = German Registry for Stem Cell Transplantation; </w:t>
      </w:r>
      <w:r w:rsidR="003B6D2F" w:rsidRPr="00CA23AA">
        <w:rPr>
          <w:rFonts w:ascii="Arial Narrow" w:eastAsia="Times New Roman" w:hAnsi="Arial Narrow" w:cs="Segoe UI"/>
          <w:sz w:val="18"/>
          <w:szCs w:val="18"/>
          <w:lang w:eastAsia="en-AU"/>
        </w:rPr>
        <w:t xml:space="preserve">PRSZT = </w:t>
      </w:r>
      <w:proofErr w:type="spellStart"/>
      <w:r w:rsidR="003B6D2F" w:rsidRPr="00CA23AA">
        <w:rPr>
          <w:rFonts w:ascii="Arial Narrow" w:eastAsia="Times New Roman" w:hAnsi="Arial Narrow" w:cs="Segoe UI"/>
          <w:sz w:val="18"/>
          <w:szCs w:val="18"/>
          <w:lang w:eastAsia="en-AU"/>
        </w:rPr>
        <w:t>Pediatric</w:t>
      </w:r>
      <w:proofErr w:type="spellEnd"/>
      <w:r w:rsidR="003B6D2F" w:rsidRPr="00CA23AA">
        <w:rPr>
          <w:rFonts w:ascii="Arial Narrow" w:eastAsia="Times New Roman" w:hAnsi="Arial Narrow" w:cs="Segoe UI"/>
          <w:sz w:val="18"/>
          <w:szCs w:val="18"/>
          <w:lang w:eastAsia="en-AU"/>
        </w:rPr>
        <w:t xml:space="preserve"> Registry for Stem Cell Transplantation and Cell Therapy;</w:t>
      </w:r>
      <w:r w:rsidRPr="00CA23AA">
        <w:rPr>
          <w:rFonts w:ascii="Arial Narrow" w:eastAsia="Times New Roman" w:hAnsi="Arial Narrow" w:cs="Segoe UI"/>
          <w:sz w:val="18"/>
          <w:szCs w:val="18"/>
          <w:lang w:eastAsia="en-AU"/>
        </w:rPr>
        <w:t xml:space="preserve"> </w:t>
      </w:r>
      <w:r w:rsidR="00036A8C" w:rsidRPr="00CA23AA">
        <w:rPr>
          <w:rFonts w:ascii="Arial Narrow" w:eastAsia="Times New Roman" w:hAnsi="Arial Narrow" w:cs="Segoe UI"/>
          <w:sz w:val="18"/>
          <w:szCs w:val="18"/>
          <w:lang w:eastAsia="en-AU"/>
        </w:rPr>
        <w:t xml:space="preserve">PRSZT/DRST = </w:t>
      </w:r>
      <w:proofErr w:type="spellStart"/>
      <w:r w:rsidR="00036A8C" w:rsidRPr="00CA23AA">
        <w:rPr>
          <w:rFonts w:ascii="Arial Narrow" w:eastAsia="Times New Roman" w:hAnsi="Arial Narrow" w:cs="Segoe UI"/>
          <w:sz w:val="18"/>
          <w:szCs w:val="18"/>
          <w:lang w:eastAsia="en-AU"/>
        </w:rPr>
        <w:t>Pediatric</w:t>
      </w:r>
      <w:proofErr w:type="spellEnd"/>
      <w:r w:rsidR="00036A8C" w:rsidRPr="00CA23AA">
        <w:rPr>
          <w:rFonts w:ascii="Arial Narrow" w:eastAsia="Times New Roman" w:hAnsi="Arial Narrow" w:cs="Segoe UI"/>
          <w:sz w:val="18"/>
          <w:szCs w:val="18"/>
          <w:lang w:eastAsia="en-AU"/>
        </w:rPr>
        <w:t xml:space="preserve"> Registry for Stem Cell Transplantation and Cell Therapy/German Registry for Stem Cell Transplantation; </w:t>
      </w:r>
      <w:r w:rsidRPr="00CA23AA">
        <w:rPr>
          <w:rFonts w:ascii="Arial Narrow" w:eastAsia="Times New Roman" w:hAnsi="Arial Narrow" w:cs="Segoe UI"/>
          <w:sz w:val="18"/>
          <w:szCs w:val="18"/>
          <w:lang w:eastAsia="en-AU"/>
        </w:rPr>
        <w:t xml:space="preserve">PRWCC = </w:t>
      </w:r>
      <w:proofErr w:type="spellStart"/>
      <w:r w:rsidRPr="00CA23AA">
        <w:rPr>
          <w:rFonts w:ascii="Arial Narrow" w:eastAsia="Times New Roman" w:hAnsi="Arial Narrow" w:cs="Segoe UI"/>
          <w:sz w:val="18"/>
          <w:szCs w:val="18"/>
          <w:lang w:eastAsia="en-AU"/>
        </w:rPr>
        <w:t>Pediatric</w:t>
      </w:r>
      <w:proofErr w:type="spellEnd"/>
      <w:r w:rsidRPr="00CA23AA">
        <w:rPr>
          <w:rFonts w:ascii="Arial Narrow" w:eastAsia="Times New Roman" w:hAnsi="Arial Narrow" w:cs="Segoe UI"/>
          <w:sz w:val="18"/>
          <w:szCs w:val="18"/>
          <w:lang w:eastAsia="en-AU"/>
        </w:rPr>
        <w:t xml:space="preserve"> Real-World CAR Consortium</w:t>
      </w:r>
    </w:p>
    <w:p w14:paraId="3DAF2D02" w14:textId="510BDC84" w:rsidR="00CD080E" w:rsidRPr="00CA23AA" w:rsidRDefault="00CD080E" w:rsidP="00CD080E">
      <w:pPr>
        <w:spacing w:before="0" w:after="0" w:line="240" w:lineRule="auto"/>
        <w:jc w:val="both"/>
        <w:textAlignment w:val="baseline"/>
        <w:rPr>
          <w:rFonts w:ascii="Arial Narrow" w:eastAsia="Times New Roman" w:hAnsi="Arial Narrow" w:cs="Segoe UI"/>
          <w:sz w:val="18"/>
          <w:szCs w:val="18"/>
          <w:lang w:eastAsia="en-AU"/>
        </w:rPr>
      </w:pPr>
      <w:r w:rsidRPr="00CA23AA">
        <w:rPr>
          <w:rFonts w:ascii="Arial Narrow" w:eastAsia="Times New Roman" w:hAnsi="Arial Narrow" w:cs="Segoe UI"/>
          <w:sz w:val="18"/>
          <w:szCs w:val="18"/>
          <w:lang w:eastAsia="en-AU"/>
        </w:rPr>
        <w:t xml:space="preserve">Source: </w:t>
      </w:r>
      <w:r w:rsidR="002A5446" w:rsidRPr="00CA23AA">
        <w:rPr>
          <w:rFonts w:ascii="Arial Narrow" w:eastAsia="Times New Roman" w:hAnsi="Arial Narrow" w:cs="Segoe UI"/>
          <w:sz w:val="18"/>
          <w:szCs w:val="18"/>
          <w:lang w:eastAsia="en-AU"/>
        </w:rPr>
        <w:t xml:space="preserve">Compiled for the commentary based on </w:t>
      </w:r>
      <w:r w:rsidR="002247BC" w:rsidRPr="00CA23AA">
        <w:rPr>
          <w:rFonts w:ascii="Arial Narrow" w:eastAsia="Times New Roman" w:hAnsi="Arial Narrow" w:cs="Segoe UI"/>
          <w:sz w:val="18"/>
          <w:szCs w:val="18"/>
          <w:lang w:eastAsia="en-AU"/>
        </w:rPr>
        <w:t>Section 2 of the ADAR</w:t>
      </w:r>
      <w:r w:rsidRPr="00CA23AA">
        <w:rPr>
          <w:rFonts w:ascii="Arial Narrow" w:eastAsia="Times New Roman" w:hAnsi="Arial Narrow" w:cs="Segoe UI"/>
          <w:sz w:val="18"/>
          <w:szCs w:val="18"/>
          <w:lang w:eastAsia="en-AU"/>
        </w:rPr>
        <w:t>. </w:t>
      </w:r>
    </w:p>
    <w:p w14:paraId="692BCA4B" w14:textId="03070D08" w:rsidR="00956ACE" w:rsidRPr="00CA23AA" w:rsidRDefault="00956ACE" w:rsidP="00814D77">
      <w:pPr>
        <w:pStyle w:val="TableHeading0"/>
        <w:rPr>
          <w:color w:val="538135" w:themeColor="accent6" w:themeShade="BF"/>
          <w:sz w:val="16"/>
          <w:szCs w:val="16"/>
        </w:rPr>
      </w:pPr>
      <w:bookmarkStart w:id="18" w:name="_Ref69725651"/>
      <w:r w:rsidRPr="00CA23AA">
        <w:t>Table</w:t>
      </w:r>
      <w:r w:rsidR="002472AD" w:rsidRPr="00CA23AA">
        <w:t xml:space="preserve"> </w:t>
      </w:r>
      <w:r w:rsidRPr="00CA23AA">
        <w:fldChar w:fldCharType="begin"/>
      </w:r>
      <w:r w:rsidRPr="00CA23AA">
        <w:instrText>SEQ Table \* ARABIC</w:instrText>
      </w:r>
      <w:r w:rsidRPr="00CA23AA">
        <w:fldChar w:fldCharType="separate"/>
      </w:r>
      <w:r w:rsidR="00175880" w:rsidRPr="00CA23AA">
        <w:rPr>
          <w:noProof/>
        </w:rPr>
        <w:t>3</w:t>
      </w:r>
      <w:r w:rsidRPr="00CA23AA">
        <w:fldChar w:fldCharType="end"/>
      </w:r>
      <w:bookmarkEnd w:id="18"/>
      <w:r w:rsidRPr="00CA23AA">
        <w:tab/>
        <w:t>Key features of the included evidence</w:t>
      </w:r>
    </w:p>
    <w:tbl>
      <w:tblPr>
        <w:tblStyle w:val="Summarybox1"/>
        <w:tblW w:w="5000" w:type="pct"/>
        <w:tblCellMar>
          <w:left w:w="28" w:type="dxa"/>
          <w:right w:w="28" w:type="dxa"/>
        </w:tblCellMar>
        <w:tblLook w:val="04A0" w:firstRow="1" w:lastRow="0" w:firstColumn="1" w:lastColumn="0" w:noHBand="0" w:noVBand="1"/>
      </w:tblPr>
      <w:tblGrid>
        <w:gridCol w:w="1146"/>
        <w:gridCol w:w="408"/>
        <w:gridCol w:w="1560"/>
        <w:gridCol w:w="1077"/>
        <w:gridCol w:w="2609"/>
        <w:gridCol w:w="2216"/>
      </w:tblGrid>
      <w:tr w:rsidR="009B1509" w:rsidRPr="00CA23AA" w14:paraId="475D8C60" w14:textId="77777777" w:rsidTr="007A71A2">
        <w:trPr>
          <w:cantSplit/>
          <w:tblHeader/>
        </w:trPr>
        <w:tc>
          <w:tcPr>
            <w:tcW w:w="636" w:type="pct"/>
            <w:shd w:val="clear" w:color="auto" w:fill="auto"/>
            <w:vAlign w:val="center"/>
          </w:tcPr>
          <w:p w14:paraId="4FFC981B" w14:textId="77777777" w:rsidR="00956ACE" w:rsidRPr="00CA23AA" w:rsidRDefault="00956ACE" w:rsidP="002472AD">
            <w:pPr>
              <w:pStyle w:val="In-tableHeading"/>
              <w:spacing w:before="40" w:after="40"/>
              <w:ind w:left="68"/>
              <w:rPr>
                <w:lang w:val="en-AU"/>
              </w:rPr>
            </w:pPr>
            <w:bookmarkStart w:id="19" w:name="ColumnTitle_Table3"/>
            <w:bookmarkStart w:id="20" w:name="_Hlk68276112"/>
            <w:bookmarkEnd w:id="19"/>
            <w:r w:rsidRPr="00CA23AA">
              <w:rPr>
                <w:lang w:val="en-AU"/>
              </w:rPr>
              <w:t>References</w:t>
            </w:r>
          </w:p>
        </w:tc>
        <w:tc>
          <w:tcPr>
            <w:tcW w:w="226" w:type="pct"/>
            <w:shd w:val="clear" w:color="auto" w:fill="auto"/>
            <w:vAlign w:val="center"/>
          </w:tcPr>
          <w:p w14:paraId="28641D20" w14:textId="77777777" w:rsidR="00956ACE" w:rsidRPr="00CA23AA" w:rsidRDefault="00956ACE" w:rsidP="002472AD">
            <w:pPr>
              <w:pStyle w:val="In-tableHeading"/>
              <w:spacing w:before="40" w:after="40"/>
              <w:jc w:val="center"/>
              <w:rPr>
                <w:lang w:val="en-AU"/>
              </w:rPr>
            </w:pPr>
            <w:r w:rsidRPr="00CA23AA">
              <w:rPr>
                <w:lang w:val="en-AU"/>
              </w:rPr>
              <w:t>N</w:t>
            </w:r>
          </w:p>
        </w:tc>
        <w:tc>
          <w:tcPr>
            <w:tcW w:w="865" w:type="pct"/>
            <w:shd w:val="clear" w:color="auto" w:fill="auto"/>
            <w:vAlign w:val="center"/>
          </w:tcPr>
          <w:p w14:paraId="23BE1BE2" w14:textId="7194F6F3" w:rsidR="00956ACE" w:rsidRPr="00CA23AA" w:rsidRDefault="00956ACE" w:rsidP="002472AD">
            <w:pPr>
              <w:pStyle w:val="In-tableHeading"/>
              <w:spacing w:before="40" w:after="40"/>
              <w:jc w:val="center"/>
              <w:rPr>
                <w:lang w:val="en-AU"/>
              </w:rPr>
            </w:pPr>
            <w:r w:rsidRPr="00CA23AA">
              <w:rPr>
                <w:lang w:val="en-AU"/>
              </w:rPr>
              <w:t>Design/</w:t>
            </w:r>
            <w:r w:rsidR="002472AD" w:rsidRPr="00CA23AA">
              <w:rPr>
                <w:lang w:val="en-AU"/>
              </w:rPr>
              <w:t xml:space="preserve"> </w:t>
            </w:r>
            <w:r w:rsidRPr="00CA23AA">
              <w:rPr>
                <w:lang w:val="en-AU"/>
              </w:rPr>
              <w:t>duration</w:t>
            </w:r>
          </w:p>
        </w:tc>
        <w:tc>
          <w:tcPr>
            <w:tcW w:w="597" w:type="pct"/>
            <w:shd w:val="clear" w:color="auto" w:fill="auto"/>
            <w:vAlign w:val="center"/>
          </w:tcPr>
          <w:p w14:paraId="4F407CF9" w14:textId="77777777" w:rsidR="00956ACE" w:rsidRPr="00CA23AA" w:rsidRDefault="00956ACE" w:rsidP="002472AD">
            <w:pPr>
              <w:pStyle w:val="In-tableHeading"/>
              <w:spacing w:before="40" w:after="40"/>
              <w:jc w:val="center"/>
              <w:rPr>
                <w:lang w:val="en-AU"/>
              </w:rPr>
            </w:pPr>
            <w:r w:rsidRPr="00CA23AA">
              <w:rPr>
                <w:lang w:val="en-AU"/>
              </w:rPr>
              <w:t>Risk of bias</w:t>
            </w:r>
          </w:p>
        </w:tc>
        <w:tc>
          <w:tcPr>
            <w:tcW w:w="1447" w:type="pct"/>
            <w:shd w:val="clear" w:color="auto" w:fill="auto"/>
            <w:vAlign w:val="center"/>
          </w:tcPr>
          <w:p w14:paraId="78074E6B" w14:textId="77777777" w:rsidR="00956ACE" w:rsidRPr="00CA23AA" w:rsidRDefault="00956ACE" w:rsidP="002472AD">
            <w:pPr>
              <w:pStyle w:val="In-tableHeading"/>
              <w:spacing w:before="40" w:after="40"/>
              <w:jc w:val="center"/>
              <w:rPr>
                <w:lang w:val="en-AU"/>
              </w:rPr>
            </w:pPr>
            <w:r w:rsidRPr="00CA23AA">
              <w:rPr>
                <w:lang w:val="en-AU"/>
              </w:rPr>
              <w:t>Patient population</w:t>
            </w:r>
          </w:p>
        </w:tc>
        <w:tc>
          <w:tcPr>
            <w:tcW w:w="1229" w:type="pct"/>
            <w:shd w:val="clear" w:color="auto" w:fill="auto"/>
            <w:vAlign w:val="center"/>
          </w:tcPr>
          <w:p w14:paraId="4B5869A3" w14:textId="6A8EF05B" w:rsidR="00956ACE" w:rsidRPr="00CA23AA" w:rsidRDefault="00956ACE" w:rsidP="002472AD">
            <w:pPr>
              <w:pStyle w:val="In-tableHeading"/>
              <w:spacing w:before="40" w:after="40"/>
              <w:jc w:val="center"/>
              <w:rPr>
                <w:lang w:val="en-AU"/>
              </w:rPr>
            </w:pPr>
            <w:r w:rsidRPr="00CA23AA">
              <w:rPr>
                <w:lang w:val="en-AU"/>
              </w:rPr>
              <w:t>Outcomes</w:t>
            </w:r>
          </w:p>
        </w:tc>
      </w:tr>
      <w:tr w:rsidR="002472AD" w:rsidRPr="00CA23AA" w14:paraId="7E776818" w14:textId="77777777" w:rsidTr="007A71A2">
        <w:trPr>
          <w:cantSplit/>
        </w:trPr>
        <w:tc>
          <w:tcPr>
            <w:tcW w:w="636" w:type="pct"/>
            <w:shd w:val="clear" w:color="auto" w:fill="auto"/>
            <w:vAlign w:val="center"/>
          </w:tcPr>
          <w:p w14:paraId="563AC767" w14:textId="2C5131FB" w:rsidR="002472AD" w:rsidRPr="00CA23AA" w:rsidRDefault="002472AD" w:rsidP="002472AD">
            <w:pPr>
              <w:spacing w:before="40" w:after="40"/>
              <w:ind w:left="68"/>
              <w:textAlignment w:val="baseline"/>
              <w:rPr>
                <w:rFonts w:ascii="Times New Roman" w:eastAsia="Times New Roman" w:hAnsi="Times New Roman" w:cs="Times New Roman"/>
                <w:sz w:val="24"/>
                <w:szCs w:val="24"/>
              </w:rPr>
            </w:pPr>
            <w:r w:rsidRPr="00CA23AA">
              <w:rPr>
                <w:rFonts w:ascii="Arial Narrow" w:eastAsia="Times New Roman" w:hAnsi="Arial Narrow" w:cs="Times New Roman"/>
                <w:sz w:val="20"/>
                <w:szCs w:val="20"/>
              </w:rPr>
              <w:t>ELIANA</w:t>
            </w:r>
          </w:p>
        </w:tc>
        <w:tc>
          <w:tcPr>
            <w:tcW w:w="226" w:type="pct"/>
            <w:shd w:val="clear" w:color="auto" w:fill="auto"/>
            <w:vAlign w:val="center"/>
          </w:tcPr>
          <w:p w14:paraId="280096E2" w14:textId="5C9E0C75" w:rsidR="002472AD" w:rsidRPr="00CA23AA" w:rsidRDefault="002472AD" w:rsidP="002472AD">
            <w:pPr>
              <w:pStyle w:val="TableText"/>
              <w:jc w:val="center"/>
            </w:pPr>
            <w:r w:rsidRPr="00CA23AA">
              <w:t>79</w:t>
            </w:r>
          </w:p>
        </w:tc>
        <w:tc>
          <w:tcPr>
            <w:tcW w:w="865" w:type="pct"/>
            <w:shd w:val="clear" w:color="auto" w:fill="auto"/>
            <w:vAlign w:val="center"/>
          </w:tcPr>
          <w:p w14:paraId="0DE71CF5" w14:textId="62BB6BC4" w:rsidR="009B1509" w:rsidRPr="00CA23AA" w:rsidRDefault="009B1509" w:rsidP="002472AD">
            <w:pPr>
              <w:pStyle w:val="TableText"/>
              <w:jc w:val="center"/>
            </w:pPr>
            <w:r w:rsidRPr="00CA23AA">
              <w:t>Phase II, SA, MC trial</w:t>
            </w:r>
          </w:p>
          <w:p w14:paraId="39A9151F" w14:textId="5EFD8389" w:rsidR="002472AD" w:rsidRPr="00CA23AA" w:rsidRDefault="008D7601" w:rsidP="002472AD">
            <w:pPr>
              <w:pStyle w:val="TableText"/>
              <w:jc w:val="center"/>
            </w:pPr>
            <w:r w:rsidRPr="00CA23AA">
              <w:t>Median f</w:t>
            </w:r>
            <w:r w:rsidR="009B1509" w:rsidRPr="00CA23AA">
              <w:t>ollow-up: 28.3 months (range 0.4 –49)</w:t>
            </w:r>
          </w:p>
        </w:tc>
        <w:tc>
          <w:tcPr>
            <w:tcW w:w="597" w:type="pct"/>
            <w:shd w:val="clear" w:color="auto" w:fill="auto"/>
            <w:vAlign w:val="center"/>
          </w:tcPr>
          <w:p w14:paraId="269C28DF" w14:textId="09A0FBD0" w:rsidR="002472AD" w:rsidRPr="00CA23AA" w:rsidRDefault="1242AC44" w:rsidP="002472AD">
            <w:pPr>
              <w:pStyle w:val="TableText"/>
              <w:jc w:val="center"/>
              <w:rPr>
                <w:i/>
              </w:rPr>
            </w:pPr>
            <w:r w:rsidRPr="00CA23AA">
              <w:rPr>
                <w:i/>
                <w:iCs/>
              </w:rPr>
              <w:t>Moderate</w:t>
            </w:r>
            <w:r w:rsidR="08463015" w:rsidRPr="00CA23AA">
              <w:rPr>
                <w:i/>
                <w:iCs/>
                <w:vertAlign w:val="superscript"/>
              </w:rPr>
              <w:t>1</w:t>
            </w:r>
          </w:p>
        </w:tc>
        <w:tc>
          <w:tcPr>
            <w:tcW w:w="1447" w:type="pct"/>
            <w:shd w:val="clear" w:color="auto" w:fill="auto"/>
            <w:vAlign w:val="center"/>
          </w:tcPr>
          <w:p w14:paraId="2234F6A5" w14:textId="00E9D8B8" w:rsidR="008D7601" w:rsidRPr="00CA23AA" w:rsidRDefault="000A40EB" w:rsidP="008D7601">
            <w:pPr>
              <w:pStyle w:val="TableText"/>
              <w:ind w:left="54"/>
            </w:pPr>
            <w:r w:rsidRPr="00CA23AA">
              <w:t>Paediatric</w:t>
            </w:r>
            <w:r w:rsidR="008D7601" w:rsidRPr="00CA23AA">
              <w:t xml:space="preserve"> and young adult patients with r/r B-cell ALL</w:t>
            </w:r>
            <w:r w:rsidRPr="00CA23AA">
              <w:t xml:space="preserve"> aged 3–25 years.</w:t>
            </w:r>
          </w:p>
          <w:p w14:paraId="4FD8A7FC" w14:textId="543D0562" w:rsidR="002472AD" w:rsidRPr="00CA23AA" w:rsidRDefault="008D7601" w:rsidP="008D7601">
            <w:pPr>
              <w:pStyle w:val="TableText"/>
              <w:ind w:left="54"/>
            </w:pPr>
            <w:r w:rsidRPr="00CA23AA">
              <w:t>Median age</w:t>
            </w:r>
            <w:r w:rsidR="000A40EB" w:rsidRPr="00CA23AA">
              <w:t xml:space="preserve"> at infusion:</w:t>
            </w:r>
            <w:r w:rsidRPr="00CA23AA">
              <w:t xml:space="preserve"> 11 years </w:t>
            </w:r>
            <w:r w:rsidR="00C7299F" w:rsidRPr="00CA23AA">
              <w:t>(</w:t>
            </w:r>
            <w:r w:rsidRPr="00CA23AA">
              <w:t xml:space="preserve">range </w:t>
            </w:r>
            <w:r w:rsidR="00C7299F" w:rsidRPr="00CA23AA">
              <w:t>3</w:t>
            </w:r>
            <w:r w:rsidRPr="00CA23AA">
              <w:t>–</w:t>
            </w:r>
            <w:r w:rsidR="00C7299F" w:rsidRPr="00CA23AA">
              <w:t>24)</w:t>
            </w:r>
          </w:p>
        </w:tc>
        <w:tc>
          <w:tcPr>
            <w:tcW w:w="1229" w:type="pct"/>
            <w:shd w:val="clear" w:color="auto" w:fill="auto"/>
            <w:vAlign w:val="center"/>
          </w:tcPr>
          <w:p w14:paraId="45B1587F" w14:textId="7BF721FF" w:rsidR="002472AD" w:rsidRPr="00CA23AA" w:rsidRDefault="009B1509" w:rsidP="002472AD">
            <w:pPr>
              <w:pStyle w:val="TableText"/>
              <w:jc w:val="center"/>
            </w:pPr>
            <w:r w:rsidRPr="00CA23AA">
              <w:t xml:space="preserve">CR, BOR, MRD, </w:t>
            </w:r>
            <w:r w:rsidR="002472AD" w:rsidRPr="00CA23AA">
              <w:t xml:space="preserve">DOR, </w:t>
            </w:r>
            <w:r w:rsidR="00C7299F" w:rsidRPr="00CA23AA">
              <w:t xml:space="preserve">RFS, </w:t>
            </w:r>
            <w:r w:rsidR="002472AD" w:rsidRPr="00CA23AA">
              <w:t xml:space="preserve">EFS, OS, </w:t>
            </w:r>
            <w:r w:rsidRPr="00CA23AA">
              <w:t>AEs, SAEs, AESIs, Deaths</w:t>
            </w:r>
          </w:p>
        </w:tc>
      </w:tr>
      <w:tr w:rsidR="00264692" w:rsidRPr="00CA23AA" w14:paraId="764EB7FF" w14:textId="77777777" w:rsidTr="007A71A2">
        <w:trPr>
          <w:cantSplit/>
        </w:trPr>
        <w:tc>
          <w:tcPr>
            <w:tcW w:w="636" w:type="pct"/>
            <w:shd w:val="clear" w:color="auto" w:fill="auto"/>
            <w:vAlign w:val="center"/>
          </w:tcPr>
          <w:p w14:paraId="46BAB09C" w14:textId="382CB1E0" w:rsidR="00264692" w:rsidRPr="00CA23AA" w:rsidRDefault="00264692" w:rsidP="00264692">
            <w:pPr>
              <w:spacing w:before="40" w:after="40"/>
              <w:ind w:left="68"/>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ENSIGN</w:t>
            </w:r>
          </w:p>
        </w:tc>
        <w:tc>
          <w:tcPr>
            <w:tcW w:w="226" w:type="pct"/>
            <w:shd w:val="clear" w:color="auto" w:fill="auto"/>
            <w:vAlign w:val="center"/>
          </w:tcPr>
          <w:p w14:paraId="03161CBA" w14:textId="2BF6FD72" w:rsidR="00264692" w:rsidRPr="00CA23AA" w:rsidRDefault="00264692" w:rsidP="00264692">
            <w:pPr>
              <w:pStyle w:val="TableText"/>
              <w:jc w:val="center"/>
            </w:pPr>
            <w:r w:rsidRPr="00CA23AA">
              <w:t>64</w:t>
            </w:r>
          </w:p>
        </w:tc>
        <w:tc>
          <w:tcPr>
            <w:tcW w:w="865" w:type="pct"/>
            <w:shd w:val="clear" w:color="auto" w:fill="auto"/>
            <w:vAlign w:val="center"/>
          </w:tcPr>
          <w:p w14:paraId="23D376F0" w14:textId="77777777" w:rsidR="00264692" w:rsidRPr="00CA23AA" w:rsidRDefault="00264692" w:rsidP="00264692">
            <w:pPr>
              <w:pStyle w:val="TableText"/>
              <w:jc w:val="center"/>
            </w:pPr>
            <w:r w:rsidRPr="00CA23AA">
              <w:t>Phase II, SA, MC trial</w:t>
            </w:r>
          </w:p>
          <w:p w14:paraId="0258CD10" w14:textId="7AA616C0" w:rsidR="00264692" w:rsidRPr="00CA23AA" w:rsidRDefault="00264692" w:rsidP="00264692">
            <w:pPr>
              <w:pStyle w:val="TableText"/>
              <w:jc w:val="center"/>
            </w:pPr>
            <w:r w:rsidRPr="00CA23AA">
              <w:t>Median follow-up: 31.74 months (range 18–56).</w:t>
            </w:r>
          </w:p>
        </w:tc>
        <w:tc>
          <w:tcPr>
            <w:tcW w:w="597" w:type="pct"/>
            <w:shd w:val="clear" w:color="auto" w:fill="auto"/>
            <w:vAlign w:val="center"/>
          </w:tcPr>
          <w:p w14:paraId="23BF88DA" w14:textId="6F24B4B0" w:rsidR="00264692" w:rsidRPr="00CA23AA" w:rsidRDefault="00EFEB5D" w:rsidP="00264692">
            <w:pPr>
              <w:pStyle w:val="TableText"/>
              <w:jc w:val="center"/>
              <w:rPr>
                <w:i/>
              </w:rPr>
            </w:pPr>
            <w:r w:rsidRPr="00CA23AA">
              <w:rPr>
                <w:i/>
                <w:iCs/>
              </w:rPr>
              <w:t>Moderate</w:t>
            </w:r>
            <w:r w:rsidR="784923C6" w:rsidRPr="00CA23AA">
              <w:rPr>
                <w:i/>
                <w:iCs/>
                <w:vertAlign w:val="superscript"/>
              </w:rPr>
              <w:t xml:space="preserve"> 1</w:t>
            </w:r>
          </w:p>
        </w:tc>
        <w:tc>
          <w:tcPr>
            <w:tcW w:w="1447" w:type="pct"/>
            <w:shd w:val="clear" w:color="auto" w:fill="auto"/>
            <w:vAlign w:val="center"/>
          </w:tcPr>
          <w:p w14:paraId="6FD6DF55" w14:textId="54A94B86" w:rsidR="00264692" w:rsidRPr="00CA23AA" w:rsidRDefault="000A40EB" w:rsidP="00264692">
            <w:pPr>
              <w:pStyle w:val="TableText"/>
              <w:ind w:left="54"/>
            </w:pPr>
            <w:r w:rsidRPr="00CA23AA">
              <w:t xml:space="preserve">Paediatric </w:t>
            </w:r>
            <w:r w:rsidR="00264692" w:rsidRPr="00CA23AA">
              <w:t>and young adult patients with r/r B-cell ALL</w:t>
            </w:r>
            <w:r w:rsidR="001C20FD" w:rsidRPr="00CA23AA">
              <w:t xml:space="preserve"> aged 3–25 years.</w:t>
            </w:r>
          </w:p>
          <w:p w14:paraId="05F1D9DA" w14:textId="75AC7CBF" w:rsidR="00264692" w:rsidRPr="00CA23AA" w:rsidRDefault="00264692" w:rsidP="00264692">
            <w:pPr>
              <w:pStyle w:val="TableText"/>
              <w:ind w:left="54"/>
            </w:pPr>
            <w:r w:rsidRPr="00CA23AA">
              <w:t>Median age</w:t>
            </w:r>
            <w:r w:rsidR="000A40EB" w:rsidRPr="00CA23AA">
              <w:t xml:space="preserve"> at infusion:</w:t>
            </w:r>
            <w:r w:rsidRPr="00CA23AA">
              <w:t xml:space="preserve"> 12.5 years (range 3–25)</w:t>
            </w:r>
          </w:p>
        </w:tc>
        <w:tc>
          <w:tcPr>
            <w:tcW w:w="1229" w:type="pct"/>
            <w:shd w:val="clear" w:color="auto" w:fill="auto"/>
            <w:vAlign w:val="center"/>
          </w:tcPr>
          <w:p w14:paraId="2A3F370B" w14:textId="6D8A6203" w:rsidR="00264692" w:rsidRPr="00CA23AA" w:rsidRDefault="00264692" w:rsidP="00264692">
            <w:pPr>
              <w:pStyle w:val="TableText"/>
              <w:jc w:val="center"/>
              <w:rPr>
                <w:lang w:val="es-ES"/>
              </w:rPr>
            </w:pPr>
            <w:r w:rsidRPr="00CA23AA">
              <w:rPr>
                <w:lang w:val="es-ES"/>
              </w:rPr>
              <w:t xml:space="preserve">CR, MRD, DOR, RFS, EFS, OS, </w:t>
            </w:r>
            <w:proofErr w:type="spellStart"/>
            <w:r w:rsidRPr="00CA23AA">
              <w:rPr>
                <w:lang w:val="es-ES"/>
              </w:rPr>
              <w:t>AEs</w:t>
            </w:r>
            <w:proofErr w:type="spellEnd"/>
            <w:r w:rsidRPr="00CA23AA">
              <w:rPr>
                <w:lang w:val="es-ES"/>
              </w:rPr>
              <w:t xml:space="preserve">, </w:t>
            </w:r>
            <w:proofErr w:type="spellStart"/>
            <w:r w:rsidRPr="00CA23AA">
              <w:rPr>
                <w:lang w:val="es-ES"/>
              </w:rPr>
              <w:t>SAEs</w:t>
            </w:r>
            <w:proofErr w:type="spellEnd"/>
            <w:r w:rsidRPr="00CA23AA">
              <w:rPr>
                <w:lang w:val="es-ES"/>
              </w:rPr>
              <w:t xml:space="preserve">, </w:t>
            </w:r>
            <w:proofErr w:type="spellStart"/>
            <w:r w:rsidRPr="00CA23AA">
              <w:rPr>
                <w:lang w:val="es-ES"/>
              </w:rPr>
              <w:t>AESIs</w:t>
            </w:r>
            <w:proofErr w:type="spellEnd"/>
            <w:r w:rsidRPr="00CA23AA">
              <w:rPr>
                <w:lang w:val="es-ES"/>
              </w:rPr>
              <w:t xml:space="preserve">, </w:t>
            </w:r>
            <w:proofErr w:type="spellStart"/>
            <w:r w:rsidRPr="00CA23AA">
              <w:rPr>
                <w:lang w:val="es-ES"/>
              </w:rPr>
              <w:t>Deaths</w:t>
            </w:r>
            <w:proofErr w:type="spellEnd"/>
          </w:p>
        </w:tc>
      </w:tr>
      <w:tr w:rsidR="00264692" w:rsidRPr="00CA23AA" w14:paraId="4C0FCC71" w14:textId="77777777" w:rsidTr="007A71A2">
        <w:trPr>
          <w:cantSplit/>
        </w:trPr>
        <w:tc>
          <w:tcPr>
            <w:tcW w:w="636" w:type="pct"/>
            <w:shd w:val="clear" w:color="auto" w:fill="auto"/>
            <w:vAlign w:val="center"/>
          </w:tcPr>
          <w:p w14:paraId="6D249FDD" w14:textId="1C89965B" w:rsidR="00264692" w:rsidRPr="00CA23AA" w:rsidRDefault="00264692" w:rsidP="00264692">
            <w:pPr>
              <w:spacing w:before="40" w:after="40"/>
              <w:ind w:left="68"/>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B2001X</w:t>
            </w:r>
          </w:p>
        </w:tc>
        <w:tc>
          <w:tcPr>
            <w:tcW w:w="226" w:type="pct"/>
            <w:shd w:val="clear" w:color="auto" w:fill="auto"/>
            <w:vAlign w:val="center"/>
          </w:tcPr>
          <w:p w14:paraId="3115E3F6" w14:textId="055A1BFB" w:rsidR="00264692" w:rsidRPr="00CA23AA" w:rsidRDefault="00264692" w:rsidP="00264692">
            <w:pPr>
              <w:pStyle w:val="TableText"/>
              <w:jc w:val="center"/>
            </w:pPr>
            <w:r w:rsidRPr="00CA23AA">
              <w:t>69</w:t>
            </w:r>
          </w:p>
        </w:tc>
        <w:tc>
          <w:tcPr>
            <w:tcW w:w="865" w:type="pct"/>
            <w:shd w:val="clear" w:color="auto" w:fill="auto"/>
            <w:vAlign w:val="center"/>
          </w:tcPr>
          <w:p w14:paraId="77F12CEE" w14:textId="77777777" w:rsidR="00264692" w:rsidRPr="00CA23AA" w:rsidRDefault="00264692" w:rsidP="00264692">
            <w:pPr>
              <w:pStyle w:val="TableText"/>
              <w:jc w:val="center"/>
            </w:pPr>
            <w:r w:rsidRPr="00CA23AA">
              <w:t xml:space="preserve">Phase </w:t>
            </w:r>
            <w:proofErr w:type="spellStart"/>
            <w:r w:rsidRPr="00CA23AA">
              <w:t>IIIb</w:t>
            </w:r>
            <w:proofErr w:type="spellEnd"/>
            <w:r w:rsidRPr="00CA23AA">
              <w:t>, SA, MC study</w:t>
            </w:r>
          </w:p>
          <w:p w14:paraId="2FD725D1" w14:textId="2EF5D64E" w:rsidR="00264692" w:rsidRPr="00CA23AA" w:rsidRDefault="00264692" w:rsidP="00264692">
            <w:pPr>
              <w:pStyle w:val="TableText"/>
              <w:jc w:val="center"/>
            </w:pPr>
            <w:r w:rsidRPr="00CA23AA">
              <w:t>Median follow-up: 8.9 months (range 1.7–14.4).</w:t>
            </w:r>
          </w:p>
        </w:tc>
        <w:tc>
          <w:tcPr>
            <w:tcW w:w="597" w:type="pct"/>
            <w:shd w:val="clear" w:color="auto" w:fill="auto"/>
            <w:vAlign w:val="center"/>
          </w:tcPr>
          <w:p w14:paraId="6BD28768" w14:textId="40426599" w:rsidR="00264692" w:rsidRPr="00CA23AA" w:rsidRDefault="2BA2367B" w:rsidP="00264692">
            <w:pPr>
              <w:pStyle w:val="TableText"/>
              <w:jc w:val="center"/>
            </w:pPr>
            <w:r w:rsidRPr="00CA23AA">
              <w:t>Low</w:t>
            </w:r>
            <w:r w:rsidR="0C570776" w:rsidRPr="00CA23AA">
              <w:t xml:space="preserve"> </w:t>
            </w:r>
            <w:r w:rsidRPr="00CA23AA">
              <w:rPr>
                <w:vertAlign w:val="superscript"/>
              </w:rPr>
              <w:t>2</w:t>
            </w:r>
          </w:p>
        </w:tc>
        <w:tc>
          <w:tcPr>
            <w:tcW w:w="1447" w:type="pct"/>
            <w:shd w:val="clear" w:color="auto" w:fill="auto"/>
            <w:vAlign w:val="center"/>
          </w:tcPr>
          <w:p w14:paraId="5A274C8A" w14:textId="61046C34" w:rsidR="00264692" w:rsidRPr="00CA23AA" w:rsidRDefault="00264692" w:rsidP="00264692">
            <w:pPr>
              <w:pStyle w:val="TableText"/>
              <w:ind w:left="54"/>
            </w:pPr>
            <w:r w:rsidRPr="00CA23AA">
              <w:t>P</w:t>
            </w:r>
            <w:r w:rsidR="000A40EB" w:rsidRPr="00CA23AA">
              <w:t>a</w:t>
            </w:r>
            <w:r w:rsidRPr="00CA23AA">
              <w:t>ediatric and young adult patients with r/r B-cell ALL aged &lt;26 years</w:t>
            </w:r>
          </w:p>
          <w:p w14:paraId="06A1A1BD" w14:textId="3AD5627F" w:rsidR="00264692" w:rsidRPr="00CA23AA" w:rsidRDefault="00264692" w:rsidP="00264692">
            <w:pPr>
              <w:pStyle w:val="TableText"/>
              <w:ind w:left="54"/>
            </w:pPr>
            <w:r w:rsidRPr="00CA23AA">
              <w:t>Median age</w:t>
            </w:r>
            <w:r w:rsidR="000A40EB" w:rsidRPr="00CA23AA">
              <w:t xml:space="preserve"> at infusion:</w:t>
            </w:r>
            <w:r w:rsidRPr="00CA23AA">
              <w:t xml:space="preserve"> 10 years (range 0</w:t>
            </w:r>
            <w:r w:rsidR="001C20FD" w:rsidRPr="00CA23AA">
              <w:t>–</w:t>
            </w:r>
            <w:r w:rsidRPr="00CA23AA">
              <w:t>33)</w:t>
            </w:r>
          </w:p>
        </w:tc>
        <w:tc>
          <w:tcPr>
            <w:tcW w:w="1229" w:type="pct"/>
            <w:shd w:val="clear" w:color="auto" w:fill="auto"/>
            <w:vAlign w:val="center"/>
          </w:tcPr>
          <w:p w14:paraId="01C67401" w14:textId="48C3A4AA" w:rsidR="00264692" w:rsidRPr="00CA23AA" w:rsidRDefault="00264692" w:rsidP="00264692">
            <w:pPr>
              <w:pStyle w:val="TableText"/>
              <w:jc w:val="center"/>
            </w:pPr>
            <w:r w:rsidRPr="00CA23AA">
              <w:t>CR, BOR, MRD, DOR, RFS, EFS, OS, AEs, SAEs, AESIs, Deaths</w:t>
            </w:r>
          </w:p>
        </w:tc>
      </w:tr>
      <w:tr w:rsidR="00264692" w:rsidRPr="00CA23AA" w14:paraId="74CD02CE" w14:textId="77777777" w:rsidTr="007A71A2">
        <w:trPr>
          <w:cantSplit/>
        </w:trPr>
        <w:tc>
          <w:tcPr>
            <w:tcW w:w="636" w:type="pct"/>
            <w:shd w:val="clear" w:color="auto" w:fill="auto"/>
            <w:vAlign w:val="center"/>
          </w:tcPr>
          <w:p w14:paraId="1522F155" w14:textId="6FCE9C11" w:rsidR="00264692" w:rsidRPr="00CA23AA" w:rsidRDefault="00264692" w:rsidP="00264692">
            <w:pPr>
              <w:pStyle w:val="TableText"/>
              <w:ind w:left="68"/>
            </w:pPr>
            <w:r w:rsidRPr="00CA23AA">
              <w:rPr>
                <w:rFonts w:eastAsia="Times New Roman" w:cs="Times New Roman"/>
                <w:szCs w:val="20"/>
              </w:rPr>
              <w:t>ABMTRR</w:t>
            </w:r>
          </w:p>
        </w:tc>
        <w:tc>
          <w:tcPr>
            <w:tcW w:w="226" w:type="pct"/>
            <w:shd w:val="clear" w:color="auto" w:fill="auto"/>
            <w:vAlign w:val="center"/>
          </w:tcPr>
          <w:p w14:paraId="7890FB07" w14:textId="68F009B2" w:rsidR="00264692" w:rsidRPr="00CA23AA" w:rsidRDefault="00264692" w:rsidP="00264692">
            <w:pPr>
              <w:pStyle w:val="TableText"/>
              <w:jc w:val="center"/>
            </w:pPr>
            <w:r w:rsidRPr="00CA23AA">
              <w:t>55</w:t>
            </w:r>
          </w:p>
        </w:tc>
        <w:tc>
          <w:tcPr>
            <w:tcW w:w="865" w:type="pct"/>
            <w:shd w:val="clear" w:color="auto" w:fill="auto"/>
            <w:vAlign w:val="center"/>
          </w:tcPr>
          <w:p w14:paraId="2EBD9167" w14:textId="77777777" w:rsidR="00264692" w:rsidRPr="00CA23AA" w:rsidRDefault="00264692" w:rsidP="00264692">
            <w:pPr>
              <w:pStyle w:val="TableText"/>
              <w:jc w:val="center"/>
            </w:pPr>
            <w:r w:rsidRPr="00CA23AA">
              <w:t>Registry study</w:t>
            </w:r>
          </w:p>
          <w:p w14:paraId="6CFB41BD" w14:textId="22AB366A" w:rsidR="00264692" w:rsidRPr="00CA23AA" w:rsidRDefault="00300F73" w:rsidP="00264692">
            <w:pPr>
              <w:pStyle w:val="TableText"/>
              <w:jc w:val="center"/>
            </w:pPr>
            <w:r w:rsidRPr="00CA23AA">
              <w:t>Median f</w:t>
            </w:r>
            <w:r w:rsidR="00264692" w:rsidRPr="00CA23AA">
              <w:t>ollow-up: 365 days (range 36-785)</w:t>
            </w:r>
          </w:p>
        </w:tc>
        <w:tc>
          <w:tcPr>
            <w:tcW w:w="597" w:type="pct"/>
            <w:shd w:val="clear" w:color="auto" w:fill="auto"/>
            <w:vAlign w:val="center"/>
          </w:tcPr>
          <w:p w14:paraId="7E15D5C9" w14:textId="29F6547F" w:rsidR="00264692" w:rsidRPr="00CA23AA" w:rsidRDefault="4CD2B997" w:rsidP="00264692">
            <w:pPr>
              <w:pStyle w:val="TableText"/>
              <w:jc w:val="center"/>
            </w:pPr>
            <w:r w:rsidRPr="00CA23AA">
              <w:t>NA</w:t>
            </w:r>
          </w:p>
        </w:tc>
        <w:tc>
          <w:tcPr>
            <w:tcW w:w="1447" w:type="pct"/>
            <w:shd w:val="clear" w:color="auto" w:fill="auto"/>
            <w:vAlign w:val="center"/>
          </w:tcPr>
          <w:p w14:paraId="0283D7D2" w14:textId="6AD7753E" w:rsidR="00264692" w:rsidRPr="00CA23AA" w:rsidRDefault="00264692" w:rsidP="00264692">
            <w:pPr>
              <w:pStyle w:val="TableText"/>
              <w:ind w:left="54"/>
            </w:pPr>
            <w:r w:rsidRPr="00CA23AA">
              <w:t>P</w:t>
            </w:r>
            <w:r w:rsidR="00300F73" w:rsidRPr="00CA23AA">
              <w:t>a</w:t>
            </w:r>
            <w:r w:rsidRPr="00CA23AA">
              <w:t>ediatric and young adult patients with r/r B-cell ALL aged &lt;26 years</w:t>
            </w:r>
          </w:p>
          <w:p w14:paraId="26B7700A" w14:textId="4E76214A" w:rsidR="00264692" w:rsidRPr="00CA23AA" w:rsidRDefault="00264692" w:rsidP="00264692">
            <w:pPr>
              <w:pStyle w:val="TableText"/>
              <w:ind w:left="54"/>
            </w:pPr>
            <w:r w:rsidRPr="00CA23AA">
              <w:t xml:space="preserve">Median age </w:t>
            </w:r>
            <w:r w:rsidR="000A40EB" w:rsidRPr="00CA23AA">
              <w:t xml:space="preserve">at infusion: </w:t>
            </w:r>
            <w:r w:rsidRPr="00CA23AA">
              <w:t>13 years (range 1–26)</w:t>
            </w:r>
          </w:p>
        </w:tc>
        <w:tc>
          <w:tcPr>
            <w:tcW w:w="1229" w:type="pct"/>
            <w:shd w:val="clear" w:color="auto" w:fill="auto"/>
            <w:vAlign w:val="center"/>
          </w:tcPr>
          <w:p w14:paraId="6651F863" w14:textId="4AB63365" w:rsidR="00264692" w:rsidRPr="00CA23AA" w:rsidRDefault="00264692" w:rsidP="00264692">
            <w:pPr>
              <w:pStyle w:val="TableText"/>
              <w:jc w:val="center"/>
              <w:rPr>
                <w:lang w:val="es-ES"/>
              </w:rPr>
            </w:pPr>
            <w:r w:rsidRPr="00CA23AA">
              <w:rPr>
                <w:lang w:val="es-ES"/>
              </w:rPr>
              <w:t xml:space="preserve">CR, BOR, MRD, DOR, EFS, OS, </w:t>
            </w:r>
            <w:proofErr w:type="spellStart"/>
            <w:r w:rsidRPr="00CA23AA">
              <w:rPr>
                <w:lang w:val="es-ES"/>
              </w:rPr>
              <w:t>QoL</w:t>
            </w:r>
            <w:proofErr w:type="spellEnd"/>
            <w:r w:rsidRPr="00CA23AA">
              <w:rPr>
                <w:lang w:val="es-ES"/>
              </w:rPr>
              <w:t xml:space="preserve">, </w:t>
            </w:r>
            <w:proofErr w:type="spellStart"/>
            <w:r w:rsidRPr="00CA23AA">
              <w:rPr>
                <w:lang w:val="es-ES"/>
              </w:rPr>
              <w:t>AESIs</w:t>
            </w:r>
            <w:proofErr w:type="spellEnd"/>
          </w:p>
        </w:tc>
      </w:tr>
      <w:tr w:rsidR="00264692" w:rsidRPr="00CA23AA" w14:paraId="34A90186" w14:textId="77777777" w:rsidTr="007A71A2">
        <w:trPr>
          <w:cantSplit/>
        </w:trPr>
        <w:tc>
          <w:tcPr>
            <w:tcW w:w="636" w:type="pct"/>
            <w:shd w:val="clear" w:color="auto" w:fill="auto"/>
            <w:vAlign w:val="center"/>
          </w:tcPr>
          <w:p w14:paraId="6ADECB9B" w14:textId="0124B897" w:rsidR="507FC29D" w:rsidRPr="00CA23AA" w:rsidRDefault="507FC29D" w:rsidP="148BF398">
            <w:pPr>
              <w:pStyle w:val="TableText"/>
              <w:ind w:left="68"/>
              <w:rPr>
                <w:rFonts w:eastAsia="Times New Roman" w:cs="Times New Roman"/>
              </w:rPr>
            </w:pPr>
            <w:r w:rsidRPr="00CA23AA">
              <w:rPr>
                <w:rFonts w:eastAsia="Times New Roman" w:cs="Times New Roman"/>
              </w:rPr>
              <w:t>CIMBTR</w:t>
            </w:r>
          </w:p>
          <w:p w14:paraId="6B848EF4" w14:textId="64461C34" w:rsidR="00264692" w:rsidRPr="00CA23AA" w:rsidRDefault="00264692" w:rsidP="00264692">
            <w:pPr>
              <w:pStyle w:val="TableText"/>
              <w:ind w:left="68"/>
            </w:pPr>
            <w:proofErr w:type="spellStart"/>
            <w:r w:rsidRPr="00CA23AA">
              <w:rPr>
                <w:rFonts w:eastAsia="Times New Roman" w:cs="Times New Roman"/>
                <w:szCs w:val="20"/>
              </w:rPr>
              <w:t>Pasquini</w:t>
            </w:r>
            <w:proofErr w:type="spellEnd"/>
            <w:r w:rsidRPr="00CA23AA">
              <w:rPr>
                <w:rFonts w:eastAsia="Times New Roman" w:cs="Times New Roman"/>
                <w:szCs w:val="20"/>
              </w:rPr>
              <w:t xml:space="preserve"> et al (2020)</w:t>
            </w:r>
          </w:p>
        </w:tc>
        <w:tc>
          <w:tcPr>
            <w:tcW w:w="226" w:type="pct"/>
            <w:shd w:val="clear" w:color="auto" w:fill="auto"/>
            <w:vAlign w:val="center"/>
          </w:tcPr>
          <w:p w14:paraId="576D1B61" w14:textId="2346DDE2" w:rsidR="00264692" w:rsidRPr="00CA23AA" w:rsidRDefault="00264692" w:rsidP="00264692">
            <w:pPr>
              <w:pStyle w:val="TableText"/>
              <w:jc w:val="center"/>
            </w:pPr>
            <w:r w:rsidRPr="00CA23AA">
              <w:t>255</w:t>
            </w:r>
          </w:p>
        </w:tc>
        <w:tc>
          <w:tcPr>
            <w:tcW w:w="865" w:type="pct"/>
            <w:shd w:val="clear" w:color="auto" w:fill="auto"/>
            <w:vAlign w:val="center"/>
          </w:tcPr>
          <w:p w14:paraId="368920E1" w14:textId="7F1B8E71" w:rsidR="00264692" w:rsidRPr="00CA23AA" w:rsidRDefault="00300F73" w:rsidP="00264692">
            <w:pPr>
              <w:pStyle w:val="TableText"/>
              <w:jc w:val="center"/>
            </w:pPr>
            <w:r w:rsidRPr="00CA23AA">
              <w:t>Prospective, SA, MC, observational study</w:t>
            </w:r>
          </w:p>
          <w:p w14:paraId="0FC03215" w14:textId="33E0BCBA" w:rsidR="00300F73" w:rsidRPr="00CA23AA" w:rsidRDefault="00300F73" w:rsidP="00300F73">
            <w:pPr>
              <w:pStyle w:val="TableText"/>
              <w:jc w:val="center"/>
            </w:pPr>
            <w:r w:rsidRPr="00CA23AA">
              <w:t>Median follow-up: 13.4 months (range 3.5-27.9)</w:t>
            </w:r>
          </w:p>
        </w:tc>
        <w:tc>
          <w:tcPr>
            <w:tcW w:w="597" w:type="pct"/>
            <w:shd w:val="clear" w:color="auto" w:fill="auto"/>
            <w:vAlign w:val="center"/>
          </w:tcPr>
          <w:p w14:paraId="5B4DFAF0" w14:textId="75CE810F" w:rsidR="00264692" w:rsidRPr="00CA23AA" w:rsidRDefault="469D6658" w:rsidP="00264692">
            <w:pPr>
              <w:pStyle w:val="TableText"/>
              <w:jc w:val="center"/>
              <w:rPr>
                <w:i/>
              </w:rPr>
            </w:pPr>
            <w:r w:rsidRPr="00CA23AA">
              <w:t>Low</w:t>
            </w:r>
            <w:r w:rsidR="18261858" w:rsidRPr="00CA23AA">
              <w:rPr>
                <w:i/>
                <w:iCs/>
                <w:vertAlign w:val="superscript"/>
              </w:rPr>
              <w:t xml:space="preserve"> 2</w:t>
            </w:r>
          </w:p>
        </w:tc>
        <w:tc>
          <w:tcPr>
            <w:tcW w:w="1447" w:type="pct"/>
            <w:shd w:val="clear" w:color="auto" w:fill="auto"/>
            <w:vAlign w:val="center"/>
          </w:tcPr>
          <w:p w14:paraId="408453EC" w14:textId="77777777" w:rsidR="00300F73" w:rsidRPr="00CA23AA" w:rsidRDefault="00300F73" w:rsidP="00264692">
            <w:pPr>
              <w:pStyle w:val="TableText"/>
              <w:ind w:left="54"/>
            </w:pPr>
            <w:r w:rsidRPr="00CA23AA">
              <w:t>Paediatric /young adult r/r ALL</w:t>
            </w:r>
          </w:p>
          <w:p w14:paraId="59A0A293" w14:textId="592AD2E5" w:rsidR="00264692" w:rsidRPr="00CA23AA" w:rsidRDefault="00264692" w:rsidP="00264692">
            <w:pPr>
              <w:pStyle w:val="TableText"/>
              <w:ind w:left="54"/>
            </w:pPr>
            <w:r w:rsidRPr="00CA23AA">
              <w:t>Median age</w:t>
            </w:r>
            <w:r w:rsidR="000A40EB" w:rsidRPr="00CA23AA">
              <w:t xml:space="preserve"> at infusion:</w:t>
            </w:r>
            <w:r w:rsidRPr="00CA23AA">
              <w:t xml:space="preserve"> 13.2 years (range 0.4–26)</w:t>
            </w:r>
          </w:p>
        </w:tc>
        <w:tc>
          <w:tcPr>
            <w:tcW w:w="1229" w:type="pct"/>
            <w:shd w:val="clear" w:color="auto" w:fill="auto"/>
            <w:vAlign w:val="center"/>
          </w:tcPr>
          <w:p w14:paraId="0289D5FF" w14:textId="0DCAE1EC" w:rsidR="00264692" w:rsidRPr="00CA23AA" w:rsidRDefault="00300F73" w:rsidP="00264692">
            <w:pPr>
              <w:pStyle w:val="TableText"/>
              <w:jc w:val="center"/>
              <w:rPr>
                <w:lang w:val="es-ES"/>
              </w:rPr>
            </w:pPr>
            <w:r w:rsidRPr="00CA23AA">
              <w:rPr>
                <w:lang w:val="es-ES"/>
              </w:rPr>
              <w:t xml:space="preserve">CR, BOR, MRD, DOR, EFS, OS, </w:t>
            </w:r>
            <w:proofErr w:type="spellStart"/>
            <w:r w:rsidRPr="00CA23AA">
              <w:rPr>
                <w:lang w:val="es-ES"/>
              </w:rPr>
              <w:t>AESIs</w:t>
            </w:r>
            <w:proofErr w:type="spellEnd"/>
          </w:p>
        </w:tc>
      </w:tr>
      <w:tr w:rsidR="00264692" w:rsidRPr="00CA23AA" w14:paraId="7D5936DE" w14:textId="77777777" w:rsidTr="007A71A2">
        <w:trPr>
          <w:cantSplit/>
        </w:trPr>
        <w:tc>
          <w:tcPr>
            <w:tcW w:w="636" w:type="pct"/>
            <w:shd w:val="clear" w:color="auto" w:fill="auto"/>
            <w:vAlign w:val="center"/>
          </w:tcPr>
          <w:p w14:paraId="212C3FE2" w14:textId="51086D8E" w:rsidR="7E59A6D8" w:rsidRPr="00CA23AA" w:rsidRDefault="7E59A6D8" w:rsidP="1D9AD457">
            <w:pPr>
              <w:spacing w:before="40" w:after="40"/>
              <w:ind w:left="-57" w:right="-57"/>
              <w:jc w:val="center"/>
              <w:rPr>
                <w:rFonts w:ascii="Arial Narrow" w:eastAsia="Arial Narrow" w:hAnsi="Arial Narrow" w:cs="Arial Narrow"/>
                <w:sz w:val="20"/>
                <w:szCs w:val="20"/>
              </w:rPr>
            </w:pPr>
            <w:r w:rsidRPr="00CA23AA">
              <w:rPr>
                <w:rFonts w:ascii="Arial Narrow" w:eastAsia="Arial Narrow" w:hAnsi="Arial Narrow" w:cs="Arial Narrow"/>
                <w:sz w:val="20"/>
                <w:szCs w:val="20"/>
              </w:rPr>
              <w:t>AP-HP Hosp</w:t>
            </w:r>
            <w:r w:rsidR="7021748A" w:rsidRPr="00CA23AA">
              <w:rPr>
                <w:rFonts w:ascii="Arial Narrow" w:eastAsia="Arial Narrow" w:hAnsi="Arial Narrow" w:cs="Arial Narrow"/>
                <w:sz w:val="20"/>
                <w:szCs w:val="20"/>
              </w:rPr>
              <w:t>itals</w:t>
            </w:r>
            <w:r w:rsidRPr="00CA23AA">
              <w:rPr>
                <w:rFonts w:ascii="Arial Narrow" w:eastAsia="Arial Narrow" w:hAnsi="Arial Narrow" w:cs="Arial Narrow"/>
                <w:sz w:val="20"/>
                <w:szCs w:val="20"/>
              </w:rPr>
              <w:t>.</w:t>
            </w:r>
          </w:p>
          <w:p w14:paraId="77D30E9E" w14:textId="70B4E39C" w:rsidR="00264692" w:rsidRPr="00CA23AA" w:rsidRDefault="00264692" w:rsidP="00264692">
            <w:pPr>
              <w:pStyle w:val="TableText"/>
              <w:ind w:left="68"/>
            </w:pPr>
            <w:proofErr w:type="spellStart"/>
            <w:r w:rsidRPr="00CA23AA">
              <w:rPr>
                <w:rFonts w:eastAsia="Times New Roman" w:cs="Times New Roman"/>
                <w:szCs w:val="20"/>
              </w:rPr>
              <w:t>Dourthe</w:t>
            </w:r>
            <w:proofErr w:type="spellEnd"/>
            <w:r w:rsidRPr="00CA23AA">
              <w:rPr>
                <w:rFonts w:eastAsia="Times New Roman" w:cs="Times New Roman"/>
                <w:szCs w:val="20"/>
              </w:rPr>
              <w:t xml:space="preserve"> et al (2021)</w:t>
            </w:r>
          </w:p>
        </w:tc>
        <w:tc>
          <w:tcPr>
            <w:tcW w:w="226" w:type="pct"/>
            <w:shd w:val="clear" w:color="auto" w:fill="auto"/>
            <w:vAlign w:val="center"/>
          </w:tcPr>
          <w:p w14:paraId="76E4B151" w14:textId="53FE1C6D" w:rsidR="00264692" w:rsidRPr="00CA23AA" w:rsidRDefault="00264692" w:rsidP="00264692">
            <w:pPr>
              <w:pStyle w:val="TableText"/>
              <w:jc w:val="center"/>
            </w:pPr>
            <w:r w:rsidRPr="00CA23AA">
              <w:t>51</w:t>
            </w:r>
          </w:p>
        </w:tc>
        <w:tc>
          <w:tcPr>
            <w:tcW w:w="865" w:type="pct"/>
            <w:shd w:val="clear" w:color="auto" w:fill="auto"/>
            <w:vAlign w:val="center"/>
          </w:tcPr>
          <w:p w14:paraId="06B3547C" w14:textId="31B17E17" w:rsidR="00264692" w:rsidRPr="00CA23AA" w:rsidRDefault="00300F73" w:rsidP="00264692">
            <w:pPr>
              <w:pStyle w:val="TableText"/>
              <w:jc w:val="center"/>
            </w:pPr>
            <w:r w:rsidRPr="00CA23AA">
              <w:t>Prospective SA, MC, cohort study</w:t>
            </w:r>
          </w:p>
          <w:p w14:paraId="3E735C3F" w14:textId="4391B676" w:rsidR="00300F73" w:rsidRPr="00CA23AA" w:rsidRDefault="00300F73" w:rsidP="00264692">
            <w:pPr>
              <w:pStyle w:val="TableText"/>
              <w:jc w:val="center"/>
            </w:pPr>
            <w:r w:rsidRPr="00CA23AA">
              <w:t>Median follow-up: 11.6 months</w:t>
            </w:r>
          </w:p>
        </w:tc>
        <w:tc>
          <w:tcPr>
            <w:tcW w:w="597" w:type="pct"/>
            <w:shd w:val="clear" w:color="auto" w:fill="auto"/>
            <w:vAlign w:val="center"/>
          </w:tcPr>
          <w:p w14:paraId="6AA6C569" w14:textId="764ECE80" w:rsidR="00264692" w:rsidRPr="00CA23AA" w:rsidRDefault="010DB8A1" w:rsidP="00264692">
            <w:pPr>
              <w:pStyle w:val="TableText"/>
              <w:jc w:val="center"/>
              <w:rPr>
                <w:i/>
              </w:rPr>
            </w:pPr>
            <w:r w:rsidRPr="00CA23AA">
              <w:t>Low</w:t>
            </w:r>
            <w:r w:rsidR="4D78616C" w:rsidRPr="00CA23AA">
              <w:rPr>
                <w:i/>
                <w:iCs/>
                <w:vertAlign w:val="superscript"/>
              </w:rPr>
              <w:t xml:space="preserve"> 2</w:t>
            </w:r>
          </w:p>
        </w:tc>
        <w:tc>
          <w:tcPr>
            <w:tcW w:w="1447" w:type="pct"/>
            <w:shd w:val="clear" w:color="auto" w:fill="auto"/>
            <w:vAlign w:val="center"/>
          </w:tcPr>
          <w:p w14:paraId="188576B8" w14:textId="7962925E" w:rsidR="00264692" w:rsidRPr="00CA23AA" w:rsidRDefault="00300F73" w:rsidP="00264692">
            <w:pPr>
              <w:pStyle w:val="TableText"/>
              <w:ind w:left="54"/>
            </w:pPr>
            <w:r w:rsidRPr="00CA23AA">
              <w:t>Paediatric /young adult r/r ALL</w:t>
            </w:r>
          </w:p>
          <w:p w14:paraId="1AF035E6" w14:textId="3F6F2DD9" w:rsidR="00264692" w:rsidRPr="00CA23AA" w:rsidRDefault="00264692" w:rsidP="00264692">
            <w:pPr>
              <w:pStyle w:val="TableText"/>
              <w:ind w:left="54"/>
            </w:pPr>
            <w:r w:rsidRPr="00CA23AA">
              <w:t>Median age</w:t>
            </w:r>
            <w:r w:rsidR="000A40EB" w:rsidRPr="00CA23AA">
              <w:t xml:space="preserve"> at infusion: </w:t>
            </w:r>
            <w:r w:rsidRPr="00CA23AA">
              <w:t>17 years (range 1–29)</w:t>
            </w:r>
          </w:p>
        </w:tc>
        <w:tc>
          <w:tcPr>
            <w:tcW w:w="1229" w:type="pct"/>
            <w:shd w:val="clear" w:color="auto" w:fill="auto"/>
            <w:vAlign w:val="center"/>
          </w:tcPr>
          <w:p w14:paraId="0C50697D" w14:textId="3BD23F98" w:rsidR="00264692" w:rsidRPr="00CA23AA" w:rsidRDefault="00C54006" w:rsidP="00264692">
            <w:pPr>
              <w:pStyle w:val="TableText"/>
              <w:jc w:val="center"/>
            </w:pPr>
            <w:r w:rsidRPr="00CA23AA">
              <w:t>AESIs</w:t>
            </w:r>
          </w:p>
        </w:tc>
      </w:tr>
      <w:tr w:rsidR="00264692" w:rsidRPr="00CA23AA" w14:paraId="7BC1B24E" w14:textId="77777777" w:rsidTr="007A71A2">
        <w:trPr>
          <w:cantSplit/>
        </w:trPr>
        <w:tc>
          <w:tcPr>
            <w:tcW w:w="636" w:type="pct"/>
            <w:shd w:val="clear" w:color="auto" w:fill="auto"/>
            <w:vAlign w:val="center"/>
          </w:tcPr>
          <w:p w14:paraId="068BFBFD" w14:textId="77777777" w:rsidR="00264692" w:rsidRPr="00CA23AA" w:rsidRDefault="00264692" w:rsidP="00264692">
            <w:pPr>
              <w:spacing w:before="40" w:after="40"/>
              <w:ind w:left="60"/>
              <w:textAlignment w:val="baseline"/>
              <w:rPr>
                <w:rFonts w:ascii="Arial Narrow" w:eastAsia="Times New Roman" w:hAnsi="Arial Narrow" w:cs="Times New Roman"/>
                <w:sz w:val="20"/>
                <w:szCs w:val="20"/>
              </w:rPr>
            </w:pPr>
            <w:r w:rsidRPr="00CA23AA">
              <w:rPr>
                <w:rFonts w:ascii="Arial Narrow" w:eastAsia="Times New Roman" w:hAnsi="Arial Narrow" w:cs="Times New Roman"/>
                <w:sz w:val="20"/>
                <w:szCs w:val="20"/>
              </w:rPr>
              <w:t>PRSZT/DRST</w:t>
            </w:r>
          </w:p>
          <w:p w14:paraId="783C7539" w14:textId="434EC365" w:rsidR="00264692" w:rsidRPr="00CA23AA" w:rsidRDefault="00264692" w:rsidP="00264692">
            <w:pPr>
              <w:pStyle w:val="TableText"/>
              <w:ind w:left="68"/>
            </w:pPr>
            <w:r w:rsidRPr="00CA23AA">
              <w:rPr>
                <w:rFonts w:eastAsia="Times New Roman" w:cs="Times New Roman"/>
                <w:szCs w:val="20"/>
              </w:rPr>
              <w:t>Bader et al. (2023)</w:t>
            </w:r>
          </w:p>
        </w:tc>
        <w:tc>
          <w:tcPr>
            <w:tcW w:w="226" w:type="pct"/>
            <w:shd w:val="clear" w:color="auto" w:fill="auto"/>
            <w:vAlign w:val="center"/>
          </w:tcPr>
          <w:p w14:paraId="426A10EE" w14:textId="4BC41945" w:rsidR="00264692" w:rsidRPr="00CA23AA" w:rsidRDefault="00DF72F6" w:rsidP="00264692">
            <w:pPr>
              <w:pStyle w:val="TableText"/>
              <w:jc w:val="center"/>
            </w:pPr>
            <w:r w:rsidRPr="00CA23AA">
              <w:t>81</w:t>
            </w:r>
          </w:p>
        </w:tc>
        <w:tc>
          <w:tcPr>
            <w:tcW w:w="865" w:type="pct"/>
            <w:shd w:val="clear" w:color="auto" w:fill="auto"/>
            <w:vAlign w:val="center"/>
          </w:tcPr>
          <w:p w14:paraId="7AE01B57" w14:textId="4D7A6519" w:rsidR="00C54006" w:rsidRPr="00CA23AA" w:rsidRDefault="00C54006" w:rsidP="00264692">
            <w:pPr>
              <w:pStyle w:val="TableText"/>
              <w:jc w:val="center"/>
            </w:pPr>
            <w:r w:rsidRPr="00CA23AA">
              <w:t>Retrospective registry study</w:t>
            </w:r>
          </w:p>
          <w:p w14:paraId="7A1852CC" w14:textId="57D9C5DB" w:rsidR="00264692" w:rsidRPr="00CA23AA" w:rsidRDefault="00DF72F6" w:rsidP="00264692">
            <w:pPr>
              <w:pStyle w:val="TableText"/>
              <w:jc w:val="center"/>
            </w:pPr>
            <w:bookmarkStart w:id="21" w:name="_Hlk131156652"/>
            <w:r w:rsidRPr="00CA23AA">
              <w:t>Median f</w:t>
            </w:r>
            <w:r w:rsidR="00C54006" w:rsidRPr="00CA23AA">
              <w:t xml:space="preserve">ollow-up: </w:t>
            </w:r>
            <w:r w:rsidRPr="00CA23AA">
              <w:t>20.8 months (range: 0.6–45)</w:t>
            </w:r>
            <w:bookmarkEnd w:id="21"/>
          </w:p>
        </w:tc>
        <w:tc>
          <w:tcPr>
            <w:tcW w:w="597" w:type="pct"/>
            <w:shd w:val="clear" w:color="auto" w:fill="auto"/>
            <w:vAlign w:val="center"/>
          </w:tcPr>
          <w:p w14:paraId="122D623C" w14:textId="42808338" w:rsidR="00264692" w:rsidRPr="00CA23AA" w:rsidRDefault="18ACB321" w:rsidP="00264692">
            <w:pPr>
              <w:pStyle w:val="TableText"/>
              <w:jc w:val="center"/>
              <w:rPr>
                <w:i/>
              </w:rPr>
            </w:pPr>
            <w:r w:rsidRPr="00CA23AA">
              <w:t>High</w:t>
            </w:r>
            <w:r w:rsidR="3379D368" w:rsidRPr="00CA23AA">
              <w:rPr>
                <w:i/>
                <w:iCs/>
                <w:vertAlign w:val="superscript"/>
              </w:rPr>
              <w:t xml:space="preserve"> 2</w:t>
            </w:r>
          </w:p>
        </w:tc>
        <w:tc>
          <w:tcPr>
            <w:tcW w:w="1447" w:type="pct"/>
            <w:shd w:val="clear" w:color="auto" w:fill="auto"/>
            <w:vAlign w:val="center"/>
          </w:tcPr>
          <w:p w14:paraId="07238576" w14:textId="77777777" w:rsidR="00264692" w:rsidRPr="00CA23AA" w:rsidRDefault="00C54006" w:rsidP="00264692">
            <w:pPr>
              <w:pStyle w:val="TableText"/>
              <w:ind w:left="54"/>
            </w:pPr>
            <w:r w:rsidRPr="00CA23AA">
              <w:t>Paediatric / young adult patients (age ≤25 years) with B-ALL</w:t>
            </w:r>
          </w:p>
          <w:p w14:paraId="721E50AA" w14:textId="45AD225B" w:rsidR="00C54006" w:rsidRPr="00CA23AA" w:rsidRDefault="00C54006" w:rsidP="00264692">
            <w:pPr>
              <w:pStyle w:val="TableText"/>
              <w:ind w:left="54"/>
            </w:pPr>
            <w:r w:rsidRPr="00CA23AA">
              <w:t xml:space="preserve">Median age </w:t>
            </w:r>
            <w:r w:rsidR="000A40EB" w:rsidRPr="00CA23AA">
              <w:t xml:space="preserve">at infusion: </w:t>
            </w:r>
            <w:r w:rsidRPr="00CA23AA">
              <w:t>11.5 years (range 1–25)</w:t>
            </w:r>
          </w:p>
        </w:tc>
        <w:tc>
          <w:tcPr>
            <w:tcW w:w="1229" w:type="pct"/>
            <w:shd w:val="clear" w:color="auto" w:fill="auto"/>
            <w:vAlign w:val="center"/>
          </w:tcPr>
          <w:p w14:paraId="100984CB" w14:textId="2CF2E131" w:rsidR="00264692" w:rsidRPr="00CA23AA" w:rsidRDefault="00DF72F6" w:rsidP="00264692">
            <w:pPr>
              <w:pStyle w:val="TableText"/>
              <w:jc w:val="center"/>
              <w:rPr>
                <w:lang w:val="es-ES"/>
              </w:rPr>
            </w:pPr>
            <w:r w:rsidRPr="00CA23AA">
              <w:rPr>
                <w:lang w:val="es-ES"/>
              </w:rPr>
              <w:t>CR, DBA, EFS, RFS, OS</w:t>
            </w:r>
          </w:p>
        </w:tc>
      </w:tr>
      <w:tr w:rsidR="00264692" w:rsidRPr="00CA23AA" w14:paraId="32FBFD82" w14:textId="77777777" w:rsidTr="007A71A2">
        <w:trPr>
          <w:cantSplit/>
        </w:trPr>
        <w:tc>
          <w:tcPr>
            <w:tcW w:w="636" w:type="pct"/>
            <w:shd w:val="clear" w:color="auto" w:fill="auto"/>
            <w:vAlign w:val="center"/>
          </w:tcPr>
          <w:p w14:paraId="4749E507" w14:textId="037ACDD6" w:rsidR="2361A30F" w:rsidRPr="00CA23AA" w:rsidRDefault="2361A30F" w:rsidP="383274FD">
            <w:pPr>
              <w:pStyle w:val="TableText"/>
              <w:ind w:left="68"/>
              <w:rPr>
                <w:rFonts w:eastAsia="Times New Roman" w:cs="Times New Roman"/>
                <w:lang w:val="es-ES"/>
              </w:rPr>
            </w:pPr>
            <w:r w:rsidRPr="00CA23AA">
              <w:rPr>
                <w:rFonts w:eastAsia="Times New Roman" w:cs="Times New Roman"/>
                <w:lang w:val="es-ES"/>
              </w:rPr>
              <w:t xml:space="preserve">15 </w:t>
            </w:r>
            <w:proofErr w:type="spellStart"/>
            <w:r w:rsidRPr="00CA23AA">
              <w:rPr>
                <w:rFonts w:eastAsia="Times New Roman" w:cs="Times New Roman"/>
                <w:lang w:val="es-ES"/>
              </w:rPr>
              <w:t>European</w:t>
            </w:r>
            <w:proofErr w:type="spellEnd"/>
            <w:r w:rsidRPr="00CA23AA">
              <w:rPr>
                <w:rFonts w:eastAsia="Times New Roman" w:cs="Times New Roman"/>
                <w:lang w:val="es-ES"/>
              </w:rPr>
              <w:t xml:space="preserve"> centres</w:t>
            </w:r>
          </w:p>
          <w:p w14:paraId="76458820" w14:textId="3FAAD328" w:rsidR="00264692" w:rsidRPr="00CA23AA" w:rsidRDefault="00264692" w:rsidP="00264692">
            <w:pPr>
              <w:pStyle w:val="TableText"/>
              <w:ind w:left="68"/>
              <w:rPr>
                <w:lang w:val="es-ES"/>
              </w:rPr>
            </w:pPr>
            <w:proofErr w:type="spellStart"/>
            <w:r w:rsidRPr="00CA23AA">
              <w:rPr>
                <w:rFonts w:eastAsia="Times New Roman" w:cs="Times New Roman"/>
                <w:szCs w:val="20"/>
                <w:lang w:val="es-ES"/>
              </w:rPr>
              <w:t>Ghorashian</w:t>
            </w:r>
            <w:proofErr w:type="spellEnd"/>
            <w:r w:rsidRPr="00CA23AA">
              <w:rPr>
                <w:rFonts w:eastAsia="Times New Roman" w:cs="Times New Roman"/>
                <w:szCs w:val="20"/>
                <w:lang w:val="es-ES"/>
              </w:rPr>
              <w:t xml:space="preserve"> et al (2022)</w:t>
            </w:r>
          </w:p>
        </w:tc>
        <w:tc>
          <w:tcPr>
            <w:tcW w:w="226" w:type="pct"/>
            <w:shd w:val="clear" w:color="auto" w:fill="auto"/>
            <w:vAlign w:val="center"/>
          </w:tcPr>
          <w:p w14:paraId="64842597" w14:textId="4330F43C" w:rsidR="00264692" w:rsidRPr="00CA23AA" w:rsidRDefault="00C8122F" w:rsidP="00264692">
            <w:pPr>
              <w:pStyle w:val="TableText"/>
              <w:jc w:val="center"/>
            </w:pPr>
            <w:r w:rsidRPr="00CA23AA">
              <w:t>35</w:t>
            </w:r>
          </w:p>
        </w:tc>
        <w:tc>
          <w:tcPr>
            <w:tcW w:w="865" w:type="pct"/>
            <w:shd w:val="clear" w:color="auto" w:fill="auto"/>
            <w:vAlign w:val="center"/>
          </w:tcPr>
          <w:p w14:paraId="31D1B59B" w14:textId="77777777" w:rsidR="00264692" w:rsidRPr="00CA23AA" w:rsidRDefault="004B0AEA" w:rsidP="00264692">
            <w:pPr>
              <w:pStyle w:val="TableText"/>
              <w:jc w:val="center"/>
            </w:pPr>
            <w:r w:rsidRPr="00CA23AA">
              <w:t>Retrospective, SA, MC, cohort study</w:t>
            </w:r>
          </w:p>
          <w:p w14:paraId="3CA2F656" w14:textId="17F69CAD" w:rsidR="004B0AEA" w:rsidRPr="00CA23AA" w:rsidRDefault="00AC18F1" w:rsidP="00264692">
            <w:pPr>
              <w:pStyle w:val="TableText"/>
              <w:jc w:val="center"/>
            </w:pPr>
            <w:r w:rsidRPr="00CA23AA">
              <w:t>Median follow-up: 14 months (IQR 9–21)</w:t>
            </w:r>
          </w:p>
        </w:tc>
        <w:tc>
          <w:tcPr>
            <w:tcW w:w="597" w:type="pct"/>
            <w:shd w:val="clear" w:color="auto" w:fill="auto"/>
            <w:vAlign w:val="center"/>
          </w:tcPr>
          <w:p w14:paraId="52D10AF9" w14:textId="0F399B12" w:rsidR="00264692" w:rsidRPr="00CA23AA" w:rsidRDefault="479CAE10" w:rsidP="00264692">
            <w:pPr>
              <w:pStyle w:val="TableText"/>
              <w:jc w:val="center"/>
              <w:rPr>
                <w:i/>
              </w:rPr>
            </w:pPr>
            <w:r w:rsidRPr="00CA23AA">
              <w:t>Moderate</w:t>
            </w:r>
            <w:r w:rsidR="14293B25" w:rsidRPr="00CA23AA">
              <w:rPr>
                <w:i/>
                <w:iCs/>
                <w:vertAlign w:val="superscript"/>
              </w:rPr>
              <w:t xml:space="preserve"> 2</w:t>
            </w:r>
          </w:p>
        </w:tc>
        <w:tc>
          <w:tcPr>
            <w:tcW w:w="1447" w:type="pct"/>
            <w:shd w:val="clear" w:color="auto" w:fill="auto"/>
            <w:vAlign w:val="center"/>
          </w:tcPr>
          <w:p w14:paraId="73808C65" w14:textId="77777777" w:rsidR="00264692" w:rsidRPr="00CA23AA" w:rsidRDefault="004B0AEA" w:rsidP="00264692">
            <w:pPr>
              <w:pStyle w:val="TableText"/>
              <w:ind w:left="54"/>
            </w:pPr>
            <w:r w:rsidRPr="00CA23AA">
              <w:t xml:space="preserve">Children with r/r </w:t>
            </w:r>
            <w:proofErr w:type="spellStart"/>
            <w:r w:rsidRPr="00CA23AA">
              <w:t>pB</w:t>
            </w:r>
            <w:proofErr w:type="spellEnd"/>
            <w:r w:rsidRPr="00CA23AA">
              <w:t>-ALL aged &lt;3 years at screening</w:t>
            </w:r>
          </w:p>
          <w:p w14:paraId="389EC21B" w14:textId="7D39FABC" w:rsidR="004B0AEA" w:rsidRPr="00CA23AA" w:rsidRDefault="004B0AEA" w:rsidP="00264692">
            <w:pPr>
              <w:pStyle w:val="TableText"/>
              <w:ind w:left="54"/>
            </w:pPr>
            <w:r w:rsidRPr="00CA23AA">
              <w:t>Median age</w:t>
            </w:r>
            <w:r w:rsidR="000A40EB" w:rsidRPr="00CA23AA">
              <w:t xml:space="preserve"> at infusion:</w:t>
            </w:r>
            <w:r w:rsidRPr="00CA23AA">
              <w:t xml:space="preserve"> 17 months (range 1</w:t>
            </w:r>
            <w:r w:rsidR="001C20FD" w:rsidRPr="00CA23AA">
              <w:t>5</w:t>
            </w:r>
            <w:r w:rsidRPr="00CA23AA">
              <w:t>–2</w:t>
            </w:r>
            <w:r w:rsidR="001C20FD" w:rsidRPr="00CA23AA">
              <w:t>5</w:t>
            </w:r>
            <w:r w:rsidRPr="00CA23AA">
              <w:t>)</w:t>
            </w:r>
          </w:p>
        </w:tc>
        <w:tc>
          <w:tcPr>
            <w:tcW w:w="1229" w:type="pct"/>
            <w:shd w:val="clear" w:color="auto" w:fill="auto"/>
            <w:vAlign w:val="center"/>
          </w:tcPr>
          <w:p w14:paraId="3D8962DF" w14:textId="12D456B3" w:rsidR="00264692" w:rsidRPr="00CA23AA" w:rsidRDefault="004B0AEA" w:rsidP="00264692">
            <w:pPr>
              <w:pStyle w:val="TableText"/>
              <w:jc w:val="center"/>
              <w:rPr>
                <w:lang w:val="es-ES"/>
              </w:rPr>
            </w:pPr>
            <w:r w:rsidRPr="00CA23AA">
              <w:rPr>
                <w:lang w:val="es-ES"/>
              </w:rPr>
              <w:t xml:space="preserve">CR, DBA, EFS, OS, </w:t>
            </w:r>
            <w:proofErr w:type="spellStart"/>
            <w:r w:rsidRPr="00CA23AA">
              <w:rPr>
                <w:lang w:val="es-ES"/>
              </w:rPr>
              <w:t>AESIs</w:t>
            </w:r>
            <w:proofErr w:type="spellEnd"/>
            <w:r w:rsidRPr="00CA23AA">
              <w:rPr>
                <w:lang w:val="es-ES"/>
              </w:rPr>
              <w:t xml:space="preserve"> </w:t>
            </w:r>
          </w:p>
        </w:tc>
      </w:tr>
      <w:tr w:rsidR="00264692" w:rsidRPr="00CA23AA" w14:paraId="5A5FA3CF" w14:textId="77777777" w:rsidTr="007A71A2">
        <w:trPr>
          <w:cantSplit/>
        </w:trPr>
        <w:tc>
          <w:tcPr>
            <w:tcW w:w="636" w:type="pct"/>
            <w:shd w:val="clear" w:color="auto" w:fill="auto"/>
            <w:vAlign w:val="center"/>
          </w:tcPr>
          <w:p w14:paraId="62A016D1" w14:textId="7F60AB28" w:rsidR="00264692" w:rsidRPr="00CA23AA" w:rsidRDefault="00264692" w:rsidP="00264692">
            <w:pPr>
              <w:pStyle w:val="TableText"/>
              <w:ind w:left="68"/>
            </w:pPr>
            <w:r w:rsidRPr="00CA23AA">
              <w:rPr>
                <w:rFonts w:eastAsia="Times New Roman" w:cs="Times New Roman"/>
              </w:rPr>
              <w:t>PRWCC</w:t>
            </w:r>
          </w:p>
          <w:p w14:paraId="57D95B2D" w14:textId="128091CC" w:rsidR="00264692" w:rsidRPr="00CA23AA" w:rsidRDefault="3DC25A89" w:rsidP="00264692">
            <w:pPr>
              <w:pStyle w:val="TableText"/>
              <w:ind w:left="68"/>
              <w:rPr>
                <w:rFonts w:eastAsia="Times New Roman" w:cs="Times New Roman"/>
              </w:rPr>
            </w:pPr>
            <w:r w:rsidRPr="00CA23AA">
              <w:rPr>
                <w:rFonts w:eastAsia="Times New Roman" w:cs="Times New Roman"/>
              </w:rPr>
              <w:t>Fabrizio, and Shultz (2022)</w:t>
            </w:r>
          </w:p>
        </w:tc>
        <w:tc>
          <w:tcPr>
            <w:tcW w:w="226" w:type="pct"/>
            <w:shd w:val="clear" w:color="auto" w:fill="auto"/>
            <w:vAlign w:val="center"/>
          </w:tcPr>
          <w:p w14:paraId="488BAB02" w14:textId="5F70F1DF" w:rsidR="00264692" w:rsidRPr="00CA23AA" w:rsidRDefault="00C8122F" w:rsidP="00264692">
            <w:pPr>
              <w:pStyle w:val="TableText"/>
              <w:jc w:val="center"/>
            </w:pPr>
            <w:r w:rsidRPr="00CA23AA">
              <w:t>184</w:t>
            </w:r>
          </w:p>
        </w:tc>
        <w:tc>
          <w:tcPr>
            <w:tcW w:w="865" w:type="pct"/>
            <w:shd w:val="clear" w:color="auto" w:fill="auto"/>
            <w:vAlign w:val="center"/>
          </w:tcPr>
          <w:p w14:paraId="4505F1C3" w14:textId="77777777" w:rsidR="00264692" w:rsidRPr="00CA23AA" w:rsidRDefault="00C8122F" w:rsidP="00264692">
            <w:pPr>
              <w:pStyle w:val="TableText"/>
              <w:jc w:val="center"/>
            </w:pPr>
            <w:r w:rsidRPr="00CA23AA">
              <w:t>Retrospective registry study</w:t>
            </w:r>
          </w:p>
          <w:p w14:paraId="312C4784" w14:textId="7527C151" w:rsidR="00C8122F" w:rsidRPr="00CA23AA" w:rsidRDefault="00AC18F1" w:rsidP="00264692">
            <w:pPr>
              <w:pStyle w:val="TableText"/>
              <w:jc w:val="center"/>
            </w:pPr>
            <w:r w:rsidRPr="00CA23AA">
              <w:t>Median follow-up: 335 days (range 6-863)</w:t>
            </w:r>
          </w:p>
        </w:tc>
        <w:tc>
          <w:tcPr>
            <w:tcW w:w="597" w:type="pct"/>
            <w:shd w:val="clear" w:color="auto" w:fill="auto"/>
            <w:vAlign w:val="center"/>
          </w:tcPr>
          <w:p w14:paraId="0AC059FD" w14:textId="7D5D9931" w:rsidR="00264692" w:rsidRPr="00CA23AA" w:rsidRDefault="5C026A75" w:rsidP="00264692">
            <w:pPr>
              <w:pStyle w:val="TableText"/>
              <w:jc w:val="center"/>
              <w:rPr>
                <w:i/>
              </w:rPr>
            </w:pPr>
            <w:r w:rsidRPr="00CA23AA">
              <w:t>Moderate</w:t>
            </w:r>
            <w:r w:rsidR="0C7BE814" w:rsidRPr="00CA23AA">
              <w:rPr>
                <w:i/>
                <w:iCs/>
                <w:vertAlign w:val="superscript"/>
              </w:rPr>
              <w:t xml:space="preserve"> 2</w:t>
            </w:r>
          </w:p>
        </w:tc>
        <w:tc>
          <w:tcPr>
            <w:tcW w:w="1447" w:type="pct"/>
            <w:shd w:val="clear" w:color="auto" w:fill="auto"/>
            <w:vAlign w:val="center"/>
          </w:tcPr>
          <w:p w14:paraId="480D93D6" w14:textId="77777777" w:rsidR="00264692" w:rsidRPr="00CA23AA" w:rsidRDefault="00AC18F1" w:rsidP="00264692">
            <w:pPr>
              <w:pStyle w:val="TableText"/>
              <w:ind w:left="54"/>
            </w:pPr>
            <w:r w:rsidRPr="00CA23AA">
              <w:t>Paediatric / young adult patients (age ≤25 years) with r/r B-ALL</w:t>
            </w:r>
          </w:p>
          <w:p w14:paraId="1048F9E2" w14:textId="151604E1" w:rsidR="00AC18F1" w:rsidRPr="00CA23AA" w:rsidRDefault="00AC18F1" w:rsidP="00264692">
            <w:pPr>
              <w:pStyle w:val="TableText"/>
              <w:ind w:left="54"/>
            </w:pPr>
            <w:r w:rsidRPr="00CA23AA">
              <w:t>Median age</w:t>
            </w:r>
            <w:r w:rsidR="000A40EB" w:rsidRPr="00CA23AA">
              <w:t xml:space="preserve"> at infusion:</w:t>
            </w:r>
            <w:r w:rsidRPr="00CA23AA">
              <w:t xml:space="preserve"> 12 years (range 0–26)</w:t>
            </w:r>
          </w:p>
        </w:tc>
        <w:tc>
          <w:tcPr>
            <w:tcW w:w="1229" w:type="pct"/>
            <w:shd w:val="clear" w:color="auto" w:fill="auto"/>
            <w:vAlign w:val="center"/>
          </w:tcPr>
          <w:p w14:paraId="5AA704B4" w14:textId="5E862C8B" w:rsidR="00264692" w:rsidRPr="00CA23AA" w:rsidRDefault="00CF0F85" w:rsidP="00264692">
            <w:pPr>
              <w:pStyle w:val="TableText"/>
              <w:jc w:val="center"/>
              <w:rPr>
                <w:lang w:val="es-ES"/>
              </w:rPr>
            </w:pPr>
            <w:r w:rsidRPr="00CA23AA">
              <w:rPr>
                <w:lang w:val="es-ES"/>
              </w:rPr>
              <w:t>DOR, DBA, EFS, OS</w:t>
            </w:r>
            <w:r w:rsidR="000A40EB" w:rsidRPr="00CA23AA">
              <w:rPr>
                <w:lang w:val="es-ES"/>
              </w:rPr>
              <w:t xml:space="preserve">, </w:t>
            </w:r>
            <w:proofErr w:type="spellStart"/>
            <w:r w:rsidR="000A40EB" w:rsidRPr="00CA23AA">
              <w:rPr>
                <w:lang w:val="es-ES"/>
              </w:rPr>
              <w:t>AESIs</w:t>
            </w:r>
            <w:proofErr w:type="spellEnd"/>
          </w:p>
        </w:tc>
      </w:tr>
      <w:tr w:rsidR="00264692" w:rsidRPr="00CA23AA" w14:paraId="413B674F" w14:textId="77777777" w:rsidTr="007A71A2">
        <w:trPr>
          <w:cantSplit/>
        </w:trPr>
        <w:tc>
          <w:tcPr>
            <w:tcW w:w="636" w:type="pct"/>
            <w:shd w:val="clear" w:color="auto" w:fill="auto"/>
            <w:vAlign w:val="center"/>
          </w:tcPr>
          <w:p w14:paraId="283B129E" w14:textId="0717EDBF" w:rsidR="37C635D0" w:rsidRPr="00CA23AA" w:rsidRDefault="37C635D0" w:rsidP="1D9AD457">
            <w:pPr>
              <w:pStyle w:val="TableText"/>
              <w:ind w:left="68"/>
              <w:rPr>
                <w:rFonts w:eastAsia="Times New Roman" w:cs="Times New Roman"/>
              </w:rPr>
            </w:pPr>
            <w:r w:rsidRPr="00CA23AA">
              <w:rPr>
                <w:rFonts w:eastAsia="Times New Roman" w:cs="Times New Roman"/>
              </w:rPr>
              <w:t>PRWCC</w:t>
            </w:r>
          </w:p>
          <w:p w14:paraId="43B4B749" w14:textId="6728411E" w:rsidR="00264692" w:rsidRPr="00CA23AA" w:rsidRDefault="00264692" w:rsidP="00264692">
            <w:pPr>
              <w:pStyle w:val="TableText"/>
              <w:ind w:left="68"/>
              <w:rPr>
                <w:rFonts w:eastAsia="Times New Roman" w:cs="Times New Roman"/>
                <w:szCs w:val="20"/>
              </w:rPr>
            </w:pPr>
            <w:proofErr w:type="spellStart"/>
            <w:r w:rsidRPr="00CA23AA">
              <w:rPr>
                <w:rFonts w:eastAsia="Times New Roman" w:cs="Times New Roman"/>
                <w:szCs w:val="20"/>
              </w:rPr>
              <w:t>Moskop</w:t>
            </w:r>
            <w:proofErr w:type="spellEnd"/>
            <w:r w:rsidRPr="00CA23AA">
              <w:rPr>
                <w:rFonts w:eastAsia="Times New Roman" w:cs="Times New Roman"/>
                <w:szCs w:val="20"/>
              </w:rPr>
              <w:t xml:space="preserve"> et al. (2022)</w:t>
            </w:r>
          </w:p>
        </w:tc>
        <w:tc>
          <w:tcPr>
            <w:tcW w:w="226" w:type="pct"/>
            <w:shd w:val="clear" w:color="auto" w:fill="auto"/>
            <w:vAlign w:val="center"/>
          </w:tcPr>
          <w:p w14:paraId="06E8327B" w14:textId="44A4EF07" w:rsidR="00264692" w:rsidRPr="00CA23AA" w:rsidRDefault="00CF0F85" w:rsidP="00264692">
            <w:pPr>
              <w:pStyle w:val="TableText"/>
              <w:jc w:val="center"/>
            </w:pPr>
            <w:r w:rsidRPr="00CA23AA">
              <w:t>14</w:t>
            </w:r>
          </w:p>
        </w:tc>
        <w:tc>
          <w:tcPr>
            <w:tcW w:w="865" w:type="pct"/>
            <w:shd w:val="clear" w:color="auto" w:fill="auto"/>
            <w:vAlign w:val="center"/>
          </w:tcPr>
          <w:p w14:paraId="4D635DC2" w14:textId="77777777" w:rsidR="00CF0F85" w:rsidRPr="00CA23AA" w:rsidRDefault="00CF0F85" w:rsidP="00CF0F85">
            <w:pPr>
              <w:pStyle w:val="TableText"/>
              <w:jc w:val="center"/>
            </w:pPr>
            <w:r w:rsidRPr="00CA23AA">
              <w:t>Retrospective registry study</w:t>
            </w:r>
          </w:p>
          <w:p w14:paraId="14E54CB0" w14:textId="04DA1B9C" w:rsidR="00AC18F1" w:rsidRPr="00CA23AA" w:rsidRDefault="00CF0F85" w:rsidP="00CF0F85">
            <w:pPr>
              <w:pStyle w:val="TableText"/>
              <w:jc w:val="center"/>
            </w:pPr>
            <w:r w:rsidRPr="00CA23AA">
              <w:t>Median follow-up: 231 days (range 44-856)</w:t>
            </w:r>
          </w:p>
        </w:tc>
        <w:tc>
          <w:tcPr>
            <w:tcW w:w="597" w:type="pct"/>
            <w:shd w:val="clear" w:color="auto" w:fill="auto"/>
            <w:vAlign w:val="center"/>
          </w:tcPr>
          <w:p w14:paraId="3BBBB1A9" w14:textId="0FA8E5F2" w:rsidR="00264692" w:rsidRPr="00CA23AA" w:rsidRDefault="674AF3BF" w:rsidP="00264692">
            <w:pPr>
              <w:pStyle w:val="TableText"/>
              <w:jc w:val="center"/>
              <w:rPr>
                <w:i/>
              </w:rPr>
            </w:pPr>
            <w:r w:rsidRPr="00CA23AA">
              <w:t>High</w:t>
            </w:r>
            <w:r w:rsidR="429350C2" w:rsidRPr="00CA23AA">
              <w:rPr>
                <w:i/>
                <w:iCs/>
                <w:vertAlign w:val="superscript"/>
              </w:rPr>
              <w:t xml:space="preserve"> 2</w:t>
            </w:r>
          </w:p>
        </w:tc>
        <w:tc>
          <w:tcPr>
            <w:tcW w:w="1447" w:type="pct"/>
            <w:shd w:val="clear" w:color="auto" w:fill="auto"/>
            <w:vAlign w:val="center"/>
          </w:tcPr>
          <w:p w14:paraId="30C7CC42" w14:textId="0868E293" w:rsidR="00CF0F85" w:rsidRPr="00CA23AA" w:rsidRDefault="000A40EB" w:rsidP="00264692">
            <w:pPr>
              <w:pStyle w:val="TableText"/>
              <w:ind w:left="54"/>
            </w:pPr>
            <w:r w:rsidRPr="00CA23AA">
              <w:t>Children</w:t>
            </w:r>
            <w:r w:rsidR="00CF0F85" w:rsidRPr="00CA23AA">
              <w:t xml:space="preserve"> aged &lt;3 years who had been diagnosed with infant B-ALL prior to 12 months of age.</w:t>
            </w:r>
          </w:p>
          <w:p w14:paraId="2A9B834D" w14:textId="08FFF46D" w:rsidR="00264692" w:rsidRPr="00CA23AA" w:rsidRDefault="00CF0F85" w:rsidP="00264692">
            <w:pPr>
              <w:pStyle w:val="TableText"/>
              <w:ind w:left="54"/>
            </w:pPr>
            <w:r w:rsidRPr="00CA23AA">
              <w:t>Median age</w:t>
            </w:r>
            <w:r w:rsidR="000A40EB" w:rsidRPr="00CA23AA">
              <w:t xml:space="preserve"> at infusion:</w:t>
            </w:r>
            <w:r w:rsidRPr="00CA23AA">
              <w:t xml:space="preserve"> 0 years (range 0–9)</w:t>
            </w:r>
          </w:p>
        </w:tc>
        <w:tc>
          <w:tcPr>
            <w:tcW w:w="1229" w:type="pct"/>
            <w:shd w:val="clear" w:color="auto" w:fill="auto"/>
            <w:vAlign w:val="center"/>
          </w:tcPr>
          <w:p w14:paraId="2B08F1D2" w14:textId="38DBACC6" w:rsidR="00264692" w:rsidRPr="00CA23AA" w:rsidRDefault="00CF0F85" w:rsidP="00264692">
            <w:pPr>
              <w:pStyle w:val="TableText"/>
              <w:jc w:val="center"/>
            </w:pPr>
            <w:r w:rsidRPr="00CA23AA">
              <w:t>CR, MRD</w:t>
            </w:r>
            <w:r w:rsidR="000A40EB" w:rsidRPr="00CA23AA">
              <w:t>, AESIs</w:t>
            </w:r>
          </w:p>
        </w:tc>
      </w:tr>
      <w:tr w:rsidR="00264692" w:rsidRPr="00CA23AA" w14:paraId="1D5CC323" w14:textId="77777777" w:rsidTr="007A71A2">
        <w:trPr>
          <w:cantSplit/>
        </w:trPr>
        <w:tc>
          <w:tcPr>
            <w:tcW w:w="636" w:type="pct"/>
            <w:shd w:val="clear" w:color="auto" w:fill="auto"/>
            <w:vAlign w:val="center"/>
          </w:tcPr>
          <w:p w14:paraId="49AF3700" w14:textId="66587D37" w:rsidR="02B415A8" w:rsidRPr="00CA23AA" w:rsidRDefault="02B415A8" w:rsidP="4EA20CE8">
            <w:pPr>
              <w:pStyle w:val="TableText"/>
              <w:ind w:left="68"/>
              <w:rPr>
                <w:rFonts w:eastAsia="Times New Roman" w:cs="Times New Roman"/>
              </w:rPr>
            </w:pPr>
            <w:r w:rsidRPr="00CA23AA">
              <w:rPr>
                <w:rFonts w:eastAsia="Times New Roman" w:cs="Times New Roman"/>
              </w:rPr>
              <w:t>JH &amp; SJ Hospitals</w:t>
            </w:r>
          </w:p>
          <w:p w14:paraId="64A34BDC" w14:textId="54215143" w:rsidR="00264692" w:rsidRPr="00CA23AA" w:rsidRDefault="00264692" w:rsidP="00264692">
            <w:pPr>
              <w:pStyle w:val="TableText"/>
              <w:ind w:left="68"/>
              <w:rPr>
                <w:rFonts w:eastAsia="Times New Roman" w:cs="Times New Roman"/>
                <w:szCs w:val="20"/>
              </w:rPr>
            </w:pPr>
            <w:proofErr w:type="spellStart"/>
            <w:r w:rsidRPr="00CA23AA">
              <w:rPr>
                <w:rFonts w:eastAsia="Times New Roman" w:cs="Times New Roman"/>
                <w:szCs w:val="20"/>
              </w:rPr>
              <w:t>Ravich</w:t>
            </w:r>
            <w:proofErr w:type="spellEnd"/>
            <w:r w:rsidRPr="00CA23AA">
              <w:rPr>
                <w:rFonts w:eastAsia="Times New Roman" w:cs="Times New Roman"/>
                <w:szCs w:val="20"/>
              </w:rPr>
              <w:t xml:space="preserve"> et al (2022)</w:t>
            </w:r>
          </w:p>
        </w:tc>
        <w:tc>
          <w:tcPr>
            <w:tcW w:w="226" w:type="pct"/>
            <w:shd w:val="clear" w:color="auto" w:fill="auto"/>
            <w:vAlign w:val="center"/>
          </w:tcPr>
          <w:p w14:paraId="67A233AD" w14:textId="5216AFD6" w:rsidR="00264692" w:rsidRPr="00CA23AA" w:rsidRDefault="00CF0F85" w:rsidP="00264692">
            <w:pPr>
              <w:pStyle w:val="TableText"/>
              <w:jc w:val="center"/>
            </w:pPr>
            <w:r w:rsidRPr="00CA23AA">
              <w:t>31</w:t>
            </w:r>
          </w:p>
        </w:tc>
        <w:tc>
          <w:tcPr>
            <w:tcW w:w="865" w:type="pct"/>
            <w:shd w:val="clear" w:color="auto" w:fill="auto"/>
            <w:vAlign w:val="center"/>
          </w:tcPr>
          <w:p w14:paraId="063A63C5" w14:textId="77777777" w:rsidR="00264692" w:rsidRPr="00CA23AA" w:rsidRDefault="00CF0F85" w:rsidP="00264692">
            <w:pPr>
              <w:pStyle w:val="TableText"/>
              <w:jc w:val="center"/>
            </w:pPr>
            <w:r w:rsidRPr="00CA23AA">
              <w:t>Retrospective, SA, MC, cohort study</w:t>
            </w:r>
          </w:p>
          <w:p w14:paraId="54A55E3F" w14:textId="48BBDA3C" w:rsidR="00CF0F85" w:rsidRPr="00CA23AA" w:rsidRDefault="000A40EB" w:rsidP="00264692">
            <w:pPr>
              <w:pStyle w:val="TableText"/>
              <w:jc w:val="center"/>
            </w:pPr>
            <w:r w:rsidRPr="00CA23AA">
              <w:t>Median follow up: 2.8 months (range 0.7–31)</w:t>
            </w:r>
          </w:p>
        </w:tc>
        <w:tc>
          <w:tcPr>
            <w:tcW w:w="597" w:type="pct"/>
            <w:shd w:val="clear" w:color="auto" w:fill="auto"/>
            <w:vAlign w:val="center"/>
          </w:tcPr>
          <w:p w14:paraId="671D6E07" w14:textId="66C7FBE7" w:rsidR="00264692" w:rsidRPr="00CA23AA" w:rsidRDefault="04047364" w:rsidP="00264692">
            <w:pPr>
              <w:pStyle w:val="TableText"/>
              <w:jc w:val="center"/>
              <w:rPr>
                <w:i/>
              </w:rPr>
            </w:pPr>
            <w:r w:rsidRPr="00CA23AA">
              <w:t>Moderate</w:t>
            </w:r>
            <w:r w:rsidR="5D6B0488" w:rsidRPr="00CA23AA">
              <w:rPr>
                <w:i/>
                <w:iCs/>
                <w:vertAlign w:val="superscript"/>
              </w:rPr>
              <w:t xml:space="preserve"> 2</w:t>
            </w:r>
          </w:p>
        </w:tc>
        <w:tc>
          <w:tcPr>
            <w:tcW w:w="1447" w:type="pct"/>
            <w:shd w:val="clear" w:color="auto" w:fill="auto"/>
            <w:vAlign w:val="center"/>
          </w:tcPr>
          <w:p w14:paraId="1823C954" w14:textId="77777777" w:rsidR="00264692" w:rsidRPr="00CA23AA" w:rsidRDefault="00CF0F85" w:rsidP="00264692">
            <w:pPr>
              <w:pStyle w:val="TableText"/>
              <w:ind w:left="54"/>
            </w:pPr>
            <w:r w:rsidRPr="00CA23AA">
              <w:t>Paediatric / young adult patients (age ≤25 years) with r/r B-ALL</w:t>
            </w:r>
          </w:p>
          <w:p w14:paraId="6F12E5E5" w14:textId="05B99F94" w:rsidR="00CF0F85" w:rsidRPr="00CA23AA" w:rsidRDefault="00CF0F85" w:rsidP="00264692">
            <w:pPr>
              <w:pStyle w:val="TableText"/>
              <w:ind w:left="54"/>
            </w:pPr>
            <w:r w:rsidRPr="00CA23AA">
              <w:t>Median age at infusion: 7.9 years (range 0.8–2</w:t>
            </w:r>
            <w:r w:rsidR="001C20FD" w:rsidRPr="00CA23AA">
              <w:t>4</w:t>
            </w:r>
            <w:r w:rsidRPr="00CA23AA">
              <w:t>)</w:t>
            </w:r>
          </w:p>
        </w:tc>
        <w:tc>
          <w:tcPr>
            <w:tcW w:w="1229" w:type="pct"/>
            <w:shd w:val="clear" w:color="auto" w:fill="auto"/>
            <w:vAlign w:val="center"/>
          </w:tcPr>
          <w:p w14:paraId="430A7CD9" w14:textId="5E679819" w:rsidR="00264692" w:rsidRPr="00CA23AA" w:rsidRDefault="000A40EB" w:rsidP="00264692">
            <w:pPr>
              <w:pStyle w:val="TableText"/>
              <w:jc w:val="center"/>
            </w:pPr>
            <w:r w:rsidRPr="00CA23AA">
              <w:t>CR, MRD, DOR, AESIs</w:t>
            </w:r>
          </w:p>
        </w:tc>
      </w:tr>
    </w:tbl>
    <w:p w14:paraId="77F184CE" w14:textId="59C8622C" w:rsidR="00956ACE" w:rsidRPr="00CA23AA" w:rsidRDefault="00C7299F" w:rsidP="00C7299F">
      <w:pPr>
        <w:pStyle w:val="TableFooter"/>
      </w:pPr>
      <w:bookmarkStart w:id="22" w:name="_Hlk68276176"/>
      <w:bookmarkEnd w:id="20"/>
      <w:r w:rsidRPr="00CA23AA">
        <w:t xml:space="preserve">AEs = adverse events; AESI = adverse events of special interest; BOR = best overall response; </w:t>
      </w:r>
      <w:r w:rsidR="00C54006" w:rsidRPr="00CA23AA">
        <w:t xml:space="preserve">CIR = </w:t>
      </w:r>
      <w:bookmarkStart w:id="23" w:name="_Hlk131159443"/>
      <w:r w:rsidR="00C54006" w:rsidRPr="00CA23AA">
        <w:t>cumulative incidence of relapse</w:t>
      </w:r>
      <w:bookmarkEnd w:id="23"/>
      <w:r w:rsidR="00C54006" w:rsidRPr="00CA23AA">
        <w:t xml:space="preserve">; </w:t>
      </w:r>
      <w:r w:rsidRPr="00CA23AA">
        <w:t xml:space="preserve">CR = complete remission; </w:t>
      </w:r>
      <w:r w:rsidR="00DF72F6" w:rsidRPr="00CA23AA">
        <w:t xml:space="preserve">DBA = duration of B-cell aplasia; </w:t>
      </w:r>
      <w:r w:rsidRPr="00CA23AA">
        <w:t xml:space="preserve">DOR = duration of remission; EFS = event-free survival; </w:t>
      </w:r>
      <w:r w:rsidR="00956ACE" w:rsidRPr="00CA23AA">
        <w:t xml:space="preserve">MC = multicentre; </w:t>
      </w:r>
      <w:r w:rsidRPr="00CA23AA">
        <w:t xml:space="preserve">MRD = </w:t>
      </w:r>
      <w:proofErr w:type="spellStart"/>
      <w:r w:rsidRPr="00CA23AA">
        <w:t>m</w:t>
      </w:r>
      <w:r w:rsidR="003A6D6C" w:rsidRPr="00CA23AA">
        <w:t>easurable</w:t>
      </w:r>
      <w:r w:rsidRPr="00CA23AA">
        <w:t>l</w:t>
      </w:r>
      <w:proofErr w:type="spellEnd"/>
      <w:r w:rsidRPr="00CA23AA">
        <w:t xml:space="preserve"> residual disease; </w:t>
      </w:r>
      <w:r w:rsidR="00956ACE" w:rsidRPr="00CA23AA">
        <w:t xml:space="preserve">OS = overall survival; PFS = progression-free survival; </w:t>
      </w:r>
      <w:r w:rsidR="00A52EFB" w:rsidRPr="00CA23AA">
        <w:t xml:space="preserve">PRSZT/DRST = </w:t>
      </w:r>
      <w:proofErr w:type="spellStart"/>
      <w:r w:rsidR="00A52EFB" w:rsidRPr="00CA23AA">
        <w:t>Pediatric</w:t>
      </w:r>
      <w:proofErr w:type="spellEnd"/>
      <w:r w:rsidR="00A52EFB" w:rsidRPr="00CA23AA">
        <w:t xml:space="preserve"> Registry for Stem Cell Transplantation and Cell Therapy/German Registry for Stem Cell Transplantation</w:t>
      </w:r>
      <w:r w:rsidR="00036A8C" w:rsidRPr="00CA23AA">
        <w:t xml:space="preserve">; </w:t>
      </w:r>
      <w:r w:rsidR="00300F73" w:rsidRPr="00CA23AA">
        <w:t xml:space="preserve">QoL = quality of life; </w:t>
      </w:r>
      <w:r w:rsidRPr="00CA23AA">
        <w:t>RFS = relapse-free survival; SA = single arm; SAEs = serious adverse events</w:t>
      </w:r>
    </w:p>
    <w:p w14:paraId="43B73F0B" w14:textId="699BB0A6" w:rsidR="1A93F8AC" w:rsidRPr="00CA23AA" w:rsidRDefault="073E469A" w:rsidP="1A93F8AC">
      <w:pPr>
        <w:pStyle w:val="TableFooter"/>
      </w:pPr>
      <w:r w:rsidRPr="00CA23AA">
        <w:t xml:space="preserve">1. </w:t>
      </w:r>
      <w:r w:rsidR="46296472" w:rsidRPr="00CA23AA">
        <w:t xml:space="preserve">Risk of bias assessment undertaken by the sponsor. 2. Risk of bias assessment undertaken </w:t>
      </w:r>
      <w:r w:rsidR="3EDBEE49" w:rsidRPr="00CA23AA">
        <w:t>in the commentary</w:t>
      </w:r>
    </w:p>
    <w:p w14:paraId="3C4D1606" w14:textId="4B104A20" w:rsidR="002472AD" w:rsidRPr="00CA23AA" w:rsidRDefault="002472AD" w:rsidP="002472AD">
      <w:pPr>
        <w:pStyle w:val="TableFooter"/>
      </w:pPr>
      <w:r w:rsidRPr="00CA23AA">
        <w:t>Source: Compiled for the commentary based on Section 2 of the ADAR.</w:t>
      </w:r>
    </w:p>
    <w:p w14:paraId="53473A97" w14:textId="0149EC45" w:rsidR="1D523718" w:rsidRPr="00CA23AA" w:rsidRDefault="1D523718" w:rsidP="3B53E2FD">
      <w:r w:rsidRPr="00CA23AA">
        <w:t xml:space="preserve">In comparison to other </w:t>
      </w:r>
      <w:r w:rsidR="322CC2E1" w:rsidRPr="00CA23AA">
        <w:t>real-world studies</w:t>
      </w:r>
      <w:r w:rsidRPr="00CA23AA">
        <w:t xml:space="preserve">, patients in the ABMTRR </w:t>
      </w:r>
      <w:r w:rsidR="684016EF" w:rsidRPr="00CA23AA">
        <w:t xml:space="preserve">were </w:t>
      </w:r>
      <w:r w:rsidR="24DD0C24" w:rsidRPr="00CA23AA">
        <w:t>more likely</w:t>
      </w:r>
      <w:r w:rsidR="684016EF" w:rsidRPr="00CA23AA">
        <w:t xml:space="preserve"> to receive bridging therapy prior to infusion</w:t>
      </w:r>
      <w:r w:rsidR="35672AA0" w:rsidRPr="00CA23AA">
        <w:t xml:space="preserve">. Consequently, almost </w:t>
      </w:r>
      <w:r w:rsidR="00594907" w:rsidRPr="00594907">
        <w:rPr>
          <w:color w:val="000000"/>
          <w:w w:val="86"/>
          <w:shd w:val="solid" w:color="000000" w:fill="000000"/>
          <w:fitText w:val="380" w:id="-1161540095"/>
          <w14:textFill>
            <w14:solidFill>
              <w14:srgbClr w14:val="000000">
                <w14:alpha w14:val="100000"/>
              </w14:srgbClr>
            </w14:solidFill>
          </w14:textFill>
        </w:rPr>
        <w:t>|||</w:t>
      </w:r>
      <w:r w:rsidR="00594907" w:rsidRPr="00594907">
        <w:rPr>
          <w:color w:val="000000"/>
          <w:spacing w:val="1"/>
          <w:w w:val="86"/>
          <w:shd w:val="solid" w:color="000000" w:fill="000000"/>
          <w:fitText w:val="380" w:id="-1161540095"/>
          <w14:textFill>
            <w14:solidFill>
              <w14:srgbClr w14:val="000000">
                <w14:alpha w14:val="100000"/>
              </w14:srgbClr>
            </w14:solidFill>
          </w14:textFill>
        </w:rPr>
        <w:t>|</w:t>
      </w:r>
      <w:r w:rsidR="35672AA0" w:rsidRPr="00CA23AA">
        <w:t xml:space="preserve">% </w:t>
      </w:r>
      <w:r w:rsidR="57596C2E" w:rsidRPr="00CA23AA">
        <w:t>(n=</w:t>
      </w:r>
      <w:r w:rsidR="00594907" w:rsidRPr="00594907">
        <w:rPr>
          <w:color w:val="000000"/>
          <w:w w:val="88"/>
          <w:shd w:val="solid" w:color="000000" w:fill="000000"/>
          <w:fitText w:val="390" w:id="-1161540094"/>
          <w14:textFill>
            <w14:solidFill>
              <w14:srgbClr w14:val="000000">
                <w14:alpha w14:val="100000"/>
              </w14:srgbClr>
            </w14:solidFill>
          </w14:textFill>
        </w:rPr>
        <w:t>|||</w:t>
      </w:r>
      <w:r w:rsidR="00594907" w:rsidRPr="00594907">
        <w:rPr>
          <w:color w:val="000000"/>
          <w:spacing w:val="2"/>
          <w:w w:val="88"/>
          <w:shd w:val="solid" w:color="000000" w:fill="000000"/>
          <w:fitText w:val="390" w:id="-1161540094"/>
          <w14:textFill>
            <w14:solidFill>
              <w14:srgbClr w14:val="000000">
                <w14:alpha w14:val="100000"/>
              </w14:srgbClr>
            </w14:solidFill>
          </w14:textFill>
        </w:rPr>
        <w:t>|</w:t>
      </w:r>
      <w:r w:rsidR="57596C2E" w:rsidRPr="00CA23AA">
        <w:t xml:space="preserve">) </w:t>
      </w:r>
      <w:r w:rsidR="35672AA0" w:rsidRPr="00CA23AA">
        <w:t xml:space="preserve">of Australian patients were in remission at </w:t>
      </w:r>
      <w:r w:rsidR="5B39F465" w:rsidRPr="00CA23AA">
        <w:t xml:space="preserve">the </w:t>
      </w:r>
      <w:r w:rsidR="35672AA0" w:rsidRPr="00CA23AA">
        <w:t xml:space="preserve">point of infusion whereas </w:t>
      </w:r>
      <w:r w:rsidR="75E3C0E7" w:rsidRPr="00CA23AA">
        <w:t>most study populations were refractory/relapse</w:t>
      </w:r>
      <w:r w:rsidR="5EC80D79" w:rsidRPr="00CA23AA">
        <w:t>d</w:t>
      </w:r>
      <w:r w:rsidR="1E36F8CA" w:rsidRPr="00CA23AA">
        <w:t xml:space="preserve"> ALL</w:t>
      </w:r>
      <w:r w:rsidR="462F90AB" w:rsidRPr="00CA23AA">
        <w:t xml:space="preserve"> at the point of infusion</w:t>
      </w:r>
      <w:r w:rsidR="1E36F8CA" w:rsidRPr="00CA23AA">
        <w:t xml:space="preserve">. The only exception to this was </w:t>
      </w:r>
      <w:proofErr w:type="spellStart"/>
      <w:r w:rsidR="766913B4" w:rsidRPr="00CA23AA">
        <w:t>Pasquini</w:t>
      </w:r>
      <w:proofErr w:type="spellEnd"/>
      <w:r w:rsidR="766913B4" w:rsidRPr="00CA23AA">
        <w:t xml:space="preserve"> et al (2020) </w:t>
      </w:r>
      <w:r w:rsidR="6DF8131F" w:rsidRPr="00CA23AA">
        <w:t>(</w:t>
      </w:r>
      <w:r w:rsidR="09806C42" w:rsidRPr="00CA23AA">
        <w:t>CIMBTR</w:t>
      </w:r>
      <w:r w:rsidR="335C67D5" w:rsidRPr="00CA23AA">
        <w:t xml:space="preserve">) </w:t>
      </w:r>
      <w:r w:rsidR="09806C42" w:rsidRPr="00CA23AA">
        <w:t>who reported that 37% of patients were in remission</w:t>
      </w:r>
      <w:r w:rsidR="2455CCDC" w:rsidRPr="00CA23AA">
        <w:t xml:space="preserve"> at time of infusion</w:t>
      </w:r>
      <w:r w:rsidR="09806C42" w:rsidRPr="00CA23AA">
        <w:t>.</w:t>
      </w:r>
      <w:r w:rsidR="3DF8BBC3" w:rsidRPr="00CA23AA">
        <w:t xml:space="preserve"> For patients currently in remission, the magnitude of benefit of TIS-infusion</w:t>
      </w:r>
      <w:r w:rsidR="62847A78" w:rsidRPr="00CA23AA">
        <w:t xml:space="preserve"> </w:t>
      </w:r>
      <w:r w:rsidR="4D3BF808" w:rsidRPr="00CA23AA">
        <w:t xml:space="preserve">is unclear. </w:t>
      </w:r>
      <w:r w:rsidR="30698810" w:rsidRPr="00CA23AA">
        <w:t xml:space="preserve"> </w:t>
      </w:r>
    </w:p>
    <w:p w14:paraId="56F53E30" w14:textId="2439623E" w:rsidR="394843AB" w:rsidRPr="00CA23AA" w:rsidRDefault="6C73D703" w:rsidP="3B53E2FD">
      <w:r w:rsidRPr="00CA23AA">
        <w:t>As of January 2023, t</w:t>
      </w:r>
      <w:r w:rsidR="08188AED" w:rsidRPr="00CA23AA">
        <w:t xml:space="preserve">he ABMTRR reported that </w:t>
      </w:r>
      <w:r w:rsidR="00594907" w:rsidRPr="00594907">
        <w:rPr>
          <w:color w:val="000000"/>
          <w:w w:val="86"/>
          <w:shd w:val="solid" w:color="000000" w:fill="000000"/>
          <w:fitText w:val="380" w:id="-1161540093"/>
          <w14:textFill>
            <w14:solidFill>
              <w14:srgbClr w14:val="000000">
                <w14:alpha w14:val="100000"/>
              </w14:srgbClr>
            </w14:solidFill>
          </w14:textFill>
        </w:rPr>
        <w:t>|||</w:t>
      </w:r>
      <w:r w:rsidR="00594907" w:rsidRPr="00594907">
        <w:rPr>
          <w:color w:val="000000"/>
          <w:spacing w:val="1"/>
          <w:w w:val="86"/>
          <w:shd w:val="solid" w:color="000000" w:fill="000000"/>
          <w:fitText w:val="380" w:id="-1161540093"/>
          <w14:textFill>
            <w14:solidFill>
              <w14:srgbClr w14:val="000000">
                <w14:alpha w14:val="100000"/>
              </w14:srgbClr>
            </w14:solidFill>
          </w14:textFill>
        </w:rPr>
        <w:t>|</w:t>
      </w:r>
      <w:r w:rsidR="08188AED" w:rsidRPr="00CA23AA">
        <w:t xml:space="preserve">% patients </w:t>
      </w:r>
      <w:r w:rsidR="1F270F86" w:rsidRPr="00CA23AA">
        <w:t>(n=</w:t>
      </w:r>
      <w:r w:rsidR="00594907" w:rsidRPr="00594907">
        <w:rPr>
          <w:color w:val="000000"/>
          <w:w w:val="88"/>
          <w:shd w:val="solid" w:color="000000" w:fill="000000"/>
          <w:fitText w:val="390" w:id="-1161540092"/>
          <w14:textFill>
            <w14:solidFill>
              <w14:srgbClr w14:val="000000">
                <w14:alpha w14:val="100000"/>
              </w14:srgbClr>
            </w14:solidFill>
          </w14:textFill>
        </w:rPr>
        <w:t>|||</w:t>
      </w:r>
      <w:r w:rsidR="00594907" w:rsidRPr="00594907">
        <w:rPr>
          <w:color w:val="000000"/>
          <w:spacing w:val="2"/>
          <w:w w:val="88"/>
          <w:shd w:val="solid" w:color="000000" w:fill="000000"/>
          <w:fitText w:val="390" w:id="-1161540092"/>
          <w14:textFill>
            <w14:solidFill>
              <w14:srgbClr w14:val="000000">
                <w14:alpha w14:val="100000"/>
              </w14:srgbClr>
            </w14:solidFill>
          </w14:textFill>
        </w:rPr>
        <w:t>|</w:t>
      </w:r>
      <w:r w:rsidR="53729AC1" w:rsidRPr="00CA23AA">
        <w:t xml:space="preserve">) </w:t>
      </w:r>
      <w:r w:rsidR="08188AED" w:rsidRPr="00CA23AA">
        <w:t>were pla</w:t>
      </w:r>
      <w:r w:rsidR="26100043" w:rsidRPr="00CA23AA">
        <w:t>nned to have consolidat</w:t>
      </w:r>
      <w:r w:rsidR="782FAB0E" w:rsidRPr="00CA23AA">
        <w:t>ive</w:t>
      </w:r>
      <w:r w:rsidR="26100043" w:rsidRPr="00CA23AA">
        <w:t xml:space="preserve"> </w:t>
      </w:r>
      <w:r w:rsidR="30488A04" w:rsidRPr="00CA23AA">
        <w:t>allogenic haematopoietic stem cell transplantation (</w:t>
      </w:r>
      <w:proofErr w:type="spellStart"/>
      <w:r w:rsidR="26100043" w:rsidRPr="00CA23AA">
        <w:t>aHSCT</w:t>
      </w:r>
      <w:proofErr w:type="spellEnd"/>
      <w:r w:rsidR="30488A04" w:rsidRPr="00CA23AA">
        <w:t>)</w:t>
      </w:r>
      <w:r w:rsidR="26100043" w:rsidRPr="00CA23AA">
        <w:t xml:space="preserve"> whilst in remission. </w:t>
      </w:r>
      <w:r w:rsidR="00594907" w:rsidRPr="00594907">
        <w:rPr>
          <w:color w:val="000000"/>
          <w:w w:val="88"/>
          <w:shd w:val="solid" w:color="000000" w:fill="000000"/>
          <w:fitText w:val="390" w:id="-1161540091"/>
          <w14:textFill>
            <w14:solidFill>
              <w14:srgbClr w14:val="000000">
                <w14:alpha w14:val="100000"/>
              </w14:srgbClr>
            </w14:solidFill>
          </w14:textFill>
        </w:rPr>
        <w:t>|||</w:t>
      </w:r>
      <w:r w:rsidR="00594907" w:rsidRPr="00594907">
        <w:rPr>
          <w:color w:val="000000"/>
          <w:spacing w:val="2"/>
          <w:w w:val="88"/>
          <w:shd w:val="solid" w:color="000000" w:fill="000000"/>
          <w:fitText w:val="390" w:id="-1161540091"/>
          <w14:textFill>
            <w14:solidFill>
              <w14:srgbClr w14:val="000000">
                <w14:alpha w14:val="100000"/>
              </w14:srgbClr>
            </w14:solidFill>
          </w14:textFill>
        </w:rPr>
        <w:t>|</w:t>
      </w:r>
      <w:r w:rsidR="48668E71" w:rsidRPr="00CA23AA">
        <w:t xml:space="preserve">Data from other real-world registries estimate that </w:t>
      </w:r>
      <w:proofErr w:type="spellStart"/>
      <w:r w:rsidR="48668E71" w:rsidRPr="00CA23AA">
        <w:t>aHSCT</w:t>
      </w:r>
      <w:proofErr w:type="spellEnd"/>
      <w:r w:rsidR="48668E71" w:rsidRPr="00CA23AA">
        <w:t xml:space="preserve"> therapy during remission occurs in </w:t>
      </w:r>
      <w:r w:rsidR="218F19E8" w:rsidRPr="00CA23AA">
        <w:t>25-30% of the population who achieved remission.</w:t>
      </w:r>
      <w:r w:rsidR="35AD8B0C" w:rsidRPr="00CA23AA">
        <w:t xml:space="preserve"> This discrepancy has implications for TIS therapy as consolidative </w:t>
      </w:r>
      <w:proofErr w:type="spellStart"/>
      <w:r w:rsidR="35AD8B0C" w:rsidRPr="00CA23AA">
        <w:t>aHSCT</w:t>
      </w:r>
      <w:proofErr w:type="spellEnd"/>
      <w:r w:rsidR="139B5780" w:rsidRPr="00CA23AA">
        <w:t xml:space="preserve"> represents a significant add-on cost to ensure longevity and efficacy of therapy</w:t>
      </w:r>
      <w:r w:rsidR="00B178AB" w:rsidRPr="00CA23AA">
        <w:rPr>
          <w:rStyle w:val="FootnoteReference"/>
        </w:rPr>
        <w:footnoteReference w:id="9"/>
      </w:r>
      <w:r w:rsidR="139B5780" w:rsidRPr="00CA23AA">
        <w:t xml:space="preserve">.  </w:t>
      </w:r>
      <w:r w:rsidR="6A9B378E" w:rsidRPr="00CA23AA">
        <w:t xml:space="preserve">The </w:t>
      </w:r>
      <w:r w:rsidR="0F89B56F" w:rsidRPr="00CA23AA">
        <w:t>comparative</w:t>
      </w:r>
      <w:r w:rsidR="6A9B378E" w:rsidRPr="00CA23AA">
        <w:t xml:space="preserve"> effectiveness and cost-effectiveness of TIS therapy </w:t>
      </w:r>
      <w:r w:rsidR="766A9D51" w:rsidRPr="00CA23AA">
        <w:t xml:space="preserve">(compared to BLN) </w:t>
      </w:r>
      <w:r w:rsidR="6A9B378E" w:rsidRPr="00CA23AA">
        <w:t xml:space="preserve">as a bridging therapy to </w:t>
      </w:r>
      <w:proofErr w:type="spellStart"/>
      <w:r w:rsidR="6A9B378E" w:rsidRPr="00CA23AA">
        <w:t>aHSCT</w:t>
      </w:r>
      <w:proofErr w:type="spellEnd"/>
      <w:r w:rsidR="6A9B378E" w:rsidRPr="00CA23AA">
        <w:t xml:space="preserve"> </w:t>
      </w:r>
      <w:r w:rsidR="238E2C8C" w:rsidRPr="00CA23AA">
        <w:t xml:space="preserve">(rather than as a destination therapy) </w:t>
      </w:r>
      <w:r w:rsidR="412DD14A" w:rsidRPr="00CA23AA">
        <w:t>has</w:t>
      </w:r>
      <w:r w:rsidR="1A908D9D" w:rsidRPr="00CA23AA">
        <w:t xml:space="preserve"> not been evaluated in the ADAR or commentary</w:t>
      </w:r>
      <w:r w:rsidR="1181DEB4" w:rsidRPr="00CA23AA">
        <w:t>.</w:t>
      </w:r>
      <w:r w:rsidR="1A908D9D" w:rsidRPr="00CA23AA">
        <w:t xml:space="preserve"> </w:t>
      </w:r>
    </w:p>
    <w:p w14:paraId="3B9FC2AD" w14:textId="25E278A9" w:rsidR="00772829" w:rsidRPr="00CA23AA" w:rsidRDefault="000F736C" w:rsidP="002A18BE">
      <w:pPr>
        <w:pStyle w:val="Heading2"/>
        <w:numPr>
          <w:ilvl w:val="0"/>
          <w:numId w:val="0"/>
        </w:numPr>
      </w:pPr>
      <w:bookmarkStart w:id="24" w:name="_Toc69491423"/>
      <w:bookmarkEnd w:id="22"/>
      <w:r w:rsidRPr="00CA23AA">
        <w:t>11</w:t>
      </w:r>
      <w:r w:rsidR="00C36633" w:rsidRPr="00CA23AA">
        <w:t>.</w:t>
      </w:r>
      <w:r w:rsidR="00C36633" w:rsidRPr="00CA23AA">
        <w:tab/>
      </w:r>
      <w:r w:rsidR="00772829" w:rsidRPr="00CA23AA">
        <w:t>Comparative safety</w:t>
      </w:r>
      <w:bookmarkEnd w:id="24"/>
    </w:p>
    <w:p w14:paraId="681DD2A7" w14:textId="41EFD466" w:rsidR="00956ACE" w:rsidRPr="00CA23AA" w:rsidRDefault="00983A37" w:rsidP="00983A37">
      <w:r w:rsidRPr="00CA23AA">
        <w:t xml:space="preserve">The </w:t>
      </w:r>
      <w:r w:rsidR="007B3410" w:rsidRPr="00CA23AA">
        <w:t>commentary</w:t>
      </w:r>
      <w:r w:rsidRPr="00CA23AA">
        <w:t xml:space="preserve"> compared the combined data for the three sponsored trials with the Australian registry data, and nine publications reporting on safety outcomes from four different registries and from three hospital databases. A summary of the outcomes reported for each study is provided in </w:t>
      </w:r>
      <w:r w:rsidRPr="00CA23AA">
        <w:fldChar w:fldCharType="begin"/>
      </w:r>
      <w:r w:rsidRPr="00CA23AA">
        <w:instrText xml:space="preserve"> REF _Ref131165371 \h </w:instrText>
      </w:r>
      <w:r w:rsidR="00CA23AA">
        <w:instrText xml:space="preserve"> \* MERGEFORMAT </w:instrText>
      </w:r>
      <w:r w:rsidRPr="00CA23AA">
        <w:fldChar w:fldCharType="separate"/>
      </w:r>
      <w:r w:rsidR="00175880" w:rsidRPr="00CA23AA">
        <w:t xml:space="preserve">Table </w:t>
      </w:r>
      <w:r w:rsidR="00175880" w:rsidRPr="00CA23AA">
        <w:rPr>
          <w:noProof/>
        </w:rPr>
        <w:t>4</w:t>
      </w:r>
      <w:r w:rsidRPr="00CA23AA">
        <w:fldChar w:fldCharType="end"/>
      </w:r>
      <w:r w:rsidRPr="00CA23AA">
        <w:t>. It should be noted that some of the patients enrolled in the sponsored trials are also likely to be enrolled in at least one registry. Thus, the patient cohorts are likely to be overlapping.</w:t>
      </w:r>
    </w:p>
    <w:p w14:paraId="59BC83A2" w14:textId="70724BEC" w:rsidR="004C15FF" w:rsidRPr="00CA23AA" w:rsidRDefault="004C15FF" w:rsidP="004C15FF">
      <w:r w:rsidRPr="00CA23AA">
        <w:t>The mean follow-up period for the B2001X trial was 8 months, compared with a median follow-up period of 28 and 32 months for the ELIANA and ENSIGN trials, respectively. The follow-up periods for the registry trials varied from 7.6 months to 20.8 months (median 12.7 months). Safety data from the Australian registry only covered the first 100 days of follow up and did not cover the entire follow-up period. Therefore, late-onset events are not captured.</w:t>
      </w:r>
    </w:p>
    <w:p w14:paraId="54327E41" w14:textId="4BE60B10" w:rsidR="00983A37" w:rsidRPr="00CA23AA" w:rsidRDefault="00983A37" w:rsidP="00983A37">
      <w:r w:rsidRPr="00CA23AA">
        <w:t xml:space="preserve">None of the registry studies provided a comprehensive report of </w:t>
      </w:r>
      <w:r w:rsidR="4CA87520" w:rsidRPr="00CA23AA">
        <w:t>adverse events (</w:t>
      </w:r>
      <w:r w:rsidRPr="00CA23AA">
        <w:t>AEs</w:t>
      </w:r>
      <w:r w:rsidR="40F3AD61" w:rsidRPr="00CA23AA">
        <w:t>)</w:t>
      </w:r>
      <w:r w:rsidRPr="00CA23AA">
        <w:t xml:space="preserve"> and </w:t>
      </w:r>
      <w:r w:rsidR="7161324E" w:rsidRPr="00CA23AA">
        <w:t>serious adverse events (</w:t>
      </w:r>
      <w:r w:rsidRPr="00CA23AA">
        <w:t>SAEs</w:t>
      </w:r>
      <w:r w:rsidR="6BAB45F7" w:rsidRPr="00CA23AA">
        <w:t>)</w:t>
      </w:r>
      <w:r w:rsidRPr="00CA23AA">
        <w:t xml:space="preserve"> experienced by the included patients.</w:t>
      </w:r>
    </w:p>
    <w:p w14:paraId="68C84960" w14:textId="77777777" w:rsidR="00983A37" w:rsidRPr="00CA23AA" w:rsidRDefault="00983A37" w:rsidP="00983A37">
      <w:pPr>
        <w:sectPr w:rsidR="00983A37" w:rsidRPr="00CA23AA" w:rsidSect="00784341">
          <w:footerReference w:type="even" r:id="rId12"/>
          <w:footerReference w:type="default" r:id="rId13"/>
          <w:type w:val="oddPage"/>
          <w:pgSz w:w="11906" w:h="16838"/>
          <w:pgMar w:top="1440" w:right="1440" w:bottom="1440" w:left="1440" w:header="708" w:footer="708" w:gutter="0"/>
          <w:cols w:space="708"/>
          <w:docGrid w:linePitch="360"/>
        </w:sectPr>
      </w:pPr>
    </w:p>
    <w:p w14:paraId="5C7BEE13" w14:textId="27B96DA3" w:rsidR="00983A37" w:rsidRPr="00CA23AA" w:rsidRDefault="00983A37" w:rsidP="00814D77">
      <w:pPr>
        <w:pStyle w:val="TableHeading0"/>
        <w:rPr>
          <w:lang w:bidi="en-US"/>
        </w:rPr>
      </w:pPr>
      <w:bookmarkStart w:id="25" w:name="_Ref131165371"/>
      <w:r w:rsidRPr="00CA23AA">
        <w:t xml:space="preserve">Table </w:t>
      </w:r>
      <w:r w:rsidRPr="00CA23AA">
        <w:fldChar w:fldCharType="begin"/>
      </w:r>
      <w:r w:rsidRPr="00CA23AA">
        <w:instrText>SEQ Table \* ARABIC</w:instrText>
      </w:r>
      <w:r w:rsidRPr="00CA23AA">
        <w:fldChar w:fldCharType="separate"/>
      </w:r>
      <w:r w:rsidR="00175880" w:rsidRPr="00CA23AA">
        <w:rPr>
          <w:noProof/>
        </w:rPr>
        <w:t>4</w:t>
      </w:r>
      <w:r w:rsidRPr="00CA23AA">
        <w:fldChar w:fldCharType="end"/>
      </w:r>
      <w:bookmarkEnd w:id="25"/>
      <w:r w:rsidRPr="00CA23AA">
        <w:tab/>
      </w:r>
      <w:r w:rsidRPr="00CA23AA">
        <w:rPr>
          <w:lang w:bidi="en-US"/>
        </w:rPr>
        <w:t>Summary of the safety data for TIS from clinical trials and from real</w:t>
      </w:r>
      <w:r w:rsidR="2EE3DD38" w:rsidRPr="00CA23AA">
        <w:rPr>
          <w:lang w:bidi="en-US"/>
        </w:rPr>
        <w:t>-</w:t>
      </w:r>
      <w:r w:rsidRPr="00CA23AA">
        <w:rPr>
          <w:lang w:bidi="en-US"/>
        </w:rPr>
        <w:t>world experiences</w:t>
      </w:r>
    </w:p>
    <w:tbl>
      <w:tblPr>
        <w:tblStyle w:val="Summarybox1"/>
        <w:tblW w:w="14560" w:type="dxa"/>
        <w:tblLayout w:type="fixed"/>
        <w:tblLook w:val="04A0" w:firstRow="1" w:lastRow="0" w:firstColumn="1" w:lastColumn="0" w:noHBand="0" w:noVBand="1"/>
      </w:tblPr>
      <w:tblGrid>
        <w:gridCol w:w="3615"/>
        <w:gridCol w:w="1401"/>
        <w:gridCol w:w="1193"/>
        <w:gridCol w:w="1193"/>
        <w:gridCol w:w="1193"/>
        <w:gridCol w:w="1193"/>
        <w:gridCol w:w="1193"/>
        <w:gridCol w:w="1193"/>
        <w:gridCol w:w="1193"/>
        <w:gridCol w:w="1193"/>
      </w:tblGrid>
      <w:tr w:rsidR="00983A37" w:rsidRPr="00CA23AA" w14:paraId="3DE23B7D" w14:textId="77777777" w:rsidTr="00594907">
        <w:trPr>
          <w:trHeight w:val="300"/>
          <w:tblHeader/>
        </w:trPr>
        <w:tc>
          <w:tcPr>
            <w:tcW w:w="3615" w:type="dxa"/>
          </w:tcPr>
          <w:p w14:paraId="19692659" w14:textId="77777777" w:rsidR="00983A37" w:rsidRPr="00CA23AA" w:rsidRDefault="00983A37" w:rsidP="00E70470">
            <w:pPr>
              <w:tabs>
                <w:tab w:val="left" w:pos="2297"/>
              </w:tabs>
              <w:spacing w:before="40" w:after="40"/>
              <w:rPr>
                <w:rFonts w:ascii="Arial Narrow" w:hAnsi="Arial Narrow" w:cs="Times New Roman"/>
                <w:b/>
                <w:sz w:val="20"/>
                <w:szCs w:val="20"/>
              </w:rPr>
            </w:pPr>
          </w:p>
        </w:tc>
        <w:tc>
          <w:tcPr>
            <w:tcW w:w="1401" w:type="dxa"/>
          </w:tcPr>
          <w:p w14:paraId="71F0D6D5"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 xml:space="preserve">Combined sponsored </w:t>
            </w:r>
            <w:proofErr w:type="gramStart"/>
            <w:r w:rsidRPr="00CA23AA">
              <w:rPr>
                <w:rFonts w:ascii="Arial Narrow" w:hAnsi="Arial Narrow" w:cs="Times New Roman"/>
                <w:b/>
                <w:sz w:val="20"/>
                <w:szCs w:val="20"/>
              </w:rPr>
              <w:t>trials</w:t>
            </w:r>
            <w:proofErr w:type="gramEnd"/>
          </w:p>
          <w:p w14:paraId="3F6E938D"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(2019–2021)</w:t>
            </w:r>
          </w:p>
        </w:tc>
        <w:tc>
          <w:tcPr>
            <w:tcW w:w="1193" w:type="dxa"/>
            <w:tcBorders>
              <w:bottom w:val="single" w:sz="4" w:space="0" w:color="auto"/>
            </w:tcBorders>
          </w:tcPr>
          <w:p w14:paraId="101F70E7"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ABMTRR</w:t>
            </w:r>
          </w:p>
          <w:p w14:paraId="213AF7E1"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(Sept 2022)</w:t>
            </w:r>
          </w:p>
        </w:tc>
        <w:tc>
          <w:tcPr>
            <w:tcW w:w="1193" w:type="dxa"/>
          </w:tcPr>
          <w:p w14:paraId="6E4441C9" w14:textId="77777777" w:rsidR="00983A37" w:rsidRPr="00CA23AA" w:rsidRDefault="00983A37" w:rsidP="00983A37">
            <w:pPr>
              <w:spacing w:before="40" w:after="40"/>
              <w:ind w:right="-57"/>
              <w:jc w:val="center"/>
              <w:rPr>
                <w:rFonts w:ascii="Arial Narrow" w:hAnsi="Arial Narrow" w:cs="Times New Roman"/>
                <w:b/>
                <w:sz w:val="20"/>
                <w:szCs w:val="20"/>
              </w:rPr>
            </w:pPr>
            <w:r w:rsidRPr="00CA23AA">
              <w:rPr>
                <w:rFonts w:ascii="Arial Narrow" w:hAnsi="Arial Narrow" w:cs="Times New Roman"/>
                <w:b/>
                <w:sz w:val="20"/>
                <w:szCs w:val="20"/>
              </w:rPr>
              <w:t>CIBMTR</w:t>
            </w:r>
          </w:p>
          <w:p w14:paraId="4B9CAE0F" w14:textId="77777777" w:rsidR="00983A37" w:rsidRPr="00CA23AA" w:rsidRDefault="00983A37" w:rsidP="00983A37">
            <w:pPr>
              <w:spacing w:before="40" w:after="40"/>
              <w:ind w:left="-57" w:right="-57"/>
              <w:jc w:val="center"/>
              <w:rPr>
                <w:rFonts w:ascii="Arial Narrow" w:hAnsi="Arial Narrow" w:cs="Times New Roman"/>
                <w:b/>
                <w:sz w:val="20"/>
                <w:szCs w:val="20"/>
              </w:rPr>
            </w:pPr>
            <w:proofErr w:type="spellStart"/>
            <w:r w:rsidRPr="00CA23AA">
              <w:rPr>
                <w:rFonts w:ascii="Arial Narrow" w:hAnsi="Arial Narrow" w:cs="Times New Roman"/>
                <w:b/>
                <w:sz w:val="20"/>
                <w:szCs w:val="20"/>
              </w:rPr>
              <w:t>Pasquini</w:t>
            </w:r>
            <w:proofErr w:type="spellEnd"/>
            <w:r w:rsidRPr="00CA23AA">
              <w:rPr>
                <w:rFonts w:ascii="Arial Narrow" w:hAnsi="Arial Narrow" w:cs="Times New Roman"/>
                <w:b/>
                <w:sz w:val="20"/>
                <w:szCs w:val="20"/>
              </w:rPr>
              <w:t xml:space="preserve"> et al (2020)</w:t>
            </w:r>
          </w:p>
        </w:tc>
        <w:tc>
          <w:tcPr>
            <w:tcW w:w="1193" w:type="dxa"/>
          </w:tcPr>
          <w:p w14:paraId="54CE60F8" w14:textId="18FD906D"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PRSZT/</w:t>
            </w:r>
            <w:r w:rsidRPr="00CA23AA">
              <w:br/>
            </w:r>
            <w:r w:rsidRPr="00CA23AA">
              <w:rPr>
                <w:rFonts w:ascii="Arial Narrow" w:hAnsi="Arial Narrow" w:cs="Times New Roman"/>
                <w:b/>
                <w:sz w:val="20"/>
                <w:szCs w:val="20"/>
              </w:rPr>
              <w:t>DRST</w:t>
            </w:r>
          </w:p>
          <w:p w14:paraId="0C6AFD0A"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Bader et al (2023)</w:t>
            </w:r>
          </w:p>
        </w:tc>
        <w:tc>
          <w:tcPr>
            <w:tcW w:w="1193" w:type="dxa"/>
          </w:tcPr>
          <w:p w14:paraId="7F7A0E2B"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PRWCC</w:t>
            </w:r>
          </w:p>
          <w:p w14:paraId="087E87E7" w14:textId="6BD786AE"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Fabrizio</w:t>
            </w:r>
            <w:r w:rsidR="00CC05CE" w:rsidRPr="00CA23AA">
              <w:rPr>
                <w:rFonts w:ascii="Arial Narrow" w:hAnsi="Arial Narrow" w:cs="Times New Roman"/>
                <w:b/>
                <w:sz w:val="20"/>
                <w:szCs w:val="20"/>
              </w:rPr>
              <w:t xml:space="preserve"> et al (2022)</w:t>
            </w:r>
            <w:r w:rsidRPr="00CA23AA">
              <w:rPr>
                <w:rFonts w:ascii="Arial Narrow" w:hAnsi="Arial Narrow" w:cs="Times New Roman"/>
                <w:b/>
                <w:sz w:val="20"/>
                <w:szCs w:val="20"/>
              </w:rPr>
              <w:t xml:space="preserve"> and Shultz </w:t>
            </w:r>
            <w:r w:rsidR="00CC05CE" w:rsidRPr="00CA23AA">
              <w:rPr>
                <w:rFonts w:ascii="Arial Narrow" w:hAnsi="Arial Narrow" w:cs="Times New Roman"/>
                <w:b/>
                <w:sz w:val="20"/>
                <w:szCs w:val="20"/>
              </w:rPr>
              <w:t xml:space="preserve">et al </w:t>
            </w:r>
            <w:r w:rsidRPr="00CA23AA">
              <w:rPr>
                <w:rFonts w:ascii="Arial Narrow" w:hAnsi="Arial Narrow" w:cs="Times New Roman"/>
                <w:b/>
                <w:sz w:val="20"/>
                <w:szCs w:val="20"/>
              </w:rPr>
              <w:t>(2022)</w:t>
            </w:r>
          </w:p>
        </w:tc>
        <w:tc>
          <w:tcPr>
            <w:tcW w:w="1193" w:type="dxa"/>
          </w:tcPr>
          <w:p w14:paraId="79305B31"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PRWCC</w:t>
            </w:r>
          </w:p>
          <w:p w14:paraId="4F27626F" w14:textId="77777777" w:rsidR="00983A37" w:rsidRPr="00CA23AA" w:rsidRDefault="00983A37" w:rsidP="00983A37">
            <w:pPr>
              <w:spacing w:before="40" w:after="40"/>
              <w:ind w:left="-57" w:right="-57"/>
              <w:jc w:val="center"/>
              <w:rPr>
                <w:rFonts w:ascii="Arial Narrow" w:hAnsi="Arial Narrow" w:cs="Times New Roman"/>
                <w:b/>
                <w:sz w:val="20"/>
                <w:szCs w:val="20"/>
              </w:rPr>
            </w:pPr>
            <w:proofErr w:type="spellStart"/>
            <w:r w:rsidRPr="00CA23AA">
              <w:rPr>
                <w:rFonts w:ascii="Arial Narrow" w:hAnsi="Arial Narrow" w:cs="Times New Roman"/>
                <w:b/>
                <w:sz w:val="20"/>
                <w:szCs w:val="20"/>
              </w:rPr>
              <w:t>Moskop</w:t>
            </w:r>
            <w:proofErr w:type="spellEnd"/>
            <w:r w:rsidRPr="00CA23AA">
              <w:rPr>
                <w:rFonts w:ascii="Arial Narrow" w:hAnsi="Arial Narrow" w:cs="Times New Roman"/>
                <w:b/>
                <w:sz w:val="20"/>
                <w:szCs w:val="20"/>
              </w:rPr>
              <w:t xml:space="preserve"> et al (2022)</w:t>
            </w:r>
          </w:p>
        </w:tc>
        <w:tc>
          <w:tcPr>
            <w:tcW w:w="1193" w:type="dxa"/>
          </w:tcPr>
          <w:p w14:paraId="34F80B13"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AP-HP Hosp.</w:t>
            </w:r>
          </w:p>
          <w:p w14:paraId="2ACDAE12" w14:textId="77777777" w:rsidR="00983A37" w:rsidRPr="00CA23AA" w:rsidRDefault="00983A37" w:rsidP="00983A37">
            <w:pPr>
              <w:spacing w:before="40" w:after="40"/>
              <w:ind w:left="-57" w:right="-57"/>
              <w:jc w:val="center"/>
              <w:rPr>
                <w:rFonts w:ascii="Arial Narrow" w:hAnsi="Arial Narrow" w:cs="Times New Roman"/>
                <w:b/>
                <w:sz w:val="20"/>
                <w:szCs w:val="20"/>
              </w:rPr>
            </w:pPr>
            <w:proofErr w:type="spellStart"/>
            <w:r w:rsidRPr="00CA23AA">
              <w:rPr>
                <w:rFonts w:ascii="Arial Narrow" w:hAnsi="Arial Narrow" w:cs="Times New Roman"/>
                <w:b/>
                <w:sz w:val="20"/>
                <w:szCs w:val="20"/>
              </w:rPr>
              <w:t>Dourthe</w:t>
            </w:r>
            <w:proofErr w:type="spellEnd"/>
            <w:r w:rsidRPr="00CA23AA">
              <w:rPr>
                <w:rFonts w:ascii="Arial Narrow" w:hAnsi="Arial Narrow" w:cs="Times New Roman"/>
                <w:b/>
                <w:sz w:val="20"/>
                <w:szCs w:val="20"/>
              </w:rPr>
              <w:t xml:space="preserve"> et al (2021)</w:t>
            </w:r>
          </w:p>
        </w:tc>
        <w:tc>
          <w:tcPr>
            <w:tcW w:w="1193" w:type="dxa"/>
          </w:tcPr>
          <w:p w14:paraId="2F9BBE09"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JH &amp; SJ Hosp</w:t>
            </w:r>
          </w:p>
          <w:p w14:paraId="04D61C6A" w14:textId="76B585F7" w:rsidR="00983A37" w:rsidRPr="00CA23AA" w:rsidRDefault="003307B4" w:rsidP="00983A37">
            <w:pPr>
              <w:spacing w:before="40" w:after="40"/>
              <w:ind w:left="-57" w:right="-57"/>
              <w:jc w:val="center"/>
              <w:rPr>
                <w:rFonts w:ascii="Arial Narrow" w:hAnsi="Arial Narrow" w:cs="Times New Roman"/>
                <w:b/>
                <w:sz w:val="20"/>
                <w:szCs w:val="20"/>
              </w:rPr>
            </w:pPr>
            <w:proofErr w:type="spellStart"/>
            <w:r w:rsidRPr="00CA23AA">
              <w:rPr>
                <w:rFonts w:ascii="Arial Narrow" w:hAnsi="Arial Narrow" w:cs="Times New Roman"/>
                <w:b/>
                <w:sz w:val="20"/>
                <w:szCs w:val="20"/>
              </w:rPr>
              <w:t>Ravich</w:t>
            </w:r>
            <w:proofErr w:type="spellEnd"/>
            <w:r w:rsidR="00983A37" w:rsidRPr="00CA23AA">
              <w:rPr>
                <w:rFonts w:ascii="Arial Narrow" w:hAnsi="Arial Narrow" w:cs="Times New Roman"/>
                <w:b/>
                <w:sz w:val="20"/>
                <w:szCs w:val="20"/>
              </w:rPr>
              <w:t xml:space="preserve"> et al (2022)</w:t>
            </w:r>
          </w:p>
        </w:tc>
        <w:tc>
          <w:tcPr>
            <w:tcW w:w="1193" w:type="dxa"/>
          </w:tcPr>
          <w:p w14:paraId="4D425F83" w14:textId="10CB863B" w:rsidR="00983A37" w:rsidRPr="00CA23AA" w:rsidRDefault="28242DB7" w:rsidP="1D9AD457">
            <w:pPr>
              <w:tabs>
                <w:tab w:val="left" w:pos="2438"/>
                <w:tab w:val="left" w:pos="3292"/>
              </w:tabs>
              <w:spacing w:before="40" w:after="40"/>
              <w:ind w:left="-6"/>
              <w:jc w:val="center"/>
              <w:rPr>
                <w:rFonts w:ascii="Arial Narrow" w:hAnsi="Arial Narrow" w:cs="Times New Roman"/>
                <w:b/>
                <w:bCs/>
                <w:sz w:val="20"/>
                <w:szCs w:val="20"/>
                <w:lang w:val="es-ES"/>
              </w:rPr>
            </w:pPr>
            <w:r w:rsidRPr="00CA23AA">
              <w:rPr>
                <w:rFonts w:ascii="Arial Narrow" w:hAnsi="Arial Narrow" w:cs="Times New Roman"/>
                <w:b/>
                <w:bCs/>
                <w:sz w:val="20"/>
                <w:szCs w:val="20"/>
              </w:rPr>
              <w:t xml:space="preserve"> </w:t>
            </w:r>
            <w:r w:rsidRPr="00CA23AA">
              <w:rPr>
                <w:rFonts w:ascii="Arial Narrow" w:hAnsi="Arial Narrow" w:cs="Times New Roman"/>
                <w:b/>
                <w:bCs/>
                <w:sz w:val="20"/>
                <w:szCs w:val="20"/>
                <w:lang w:val="es-ES"/>
              </w:rPr>
              <w:t xml:space="preserve">15 </w:t>
            </w:r>
            <w:proofErr w:type="spellStart"/>
            <w:r w:rsidRPr="00CA23AA">
              <w:rPr>
                <w:rFonts w:ascii="Arial Narrow" w:hAnsi="Arial Narrow" w:cs="Times New Roman"/>
                <w:b/>
                <w:bCs/>
                <w:sz w:val="20"/>
                <w:szCs w:val="20"/>
                <w:lang w:val="es-ES"/>
              </w:rPr>
              <w:t>European</w:t>
            </w:r>
            <w:proofErr w:type="spellEnd"/>
            <w:r w:rsidRPr="00CA23AA">
              <w:rPr>
                <w:rFonts w:ascii="Arial Narrow" w:hAnsi="Arial Narrow" w:cs="Times New Roman"/>
                <w:b/>
                <w:bCs/>
                <w:sz w:val="20"/>
                <w:szCs w:val="20"/>
                <w:lang w:val="es-ES"/>
              </w:rPr>
              <w:t xml:space="preserve"> centres</w:t>
            </w:r>
          </w:p>
          <w:p w14:paraId="76BCA3BB" w14:textId="4FFE44AF" w:rsidR="00983A37" w:rsidRPr="00CA23AA" w:rsidRDefault="28242DB7" w:rsidP="00983A37">
            <w:pPr>
              <w:spacing w:before="40" w:after="40"/>
              <w:ind w:left="-57" w:right="-57"/>
              <w:jc w:val="center"/>
              <w:rPr>
                <w:rFonts w:ascii="Arial Narrow" w:hAnsi="Arial Narrow" w:cs="Times New Roman"/>
                <w:b/>
                <w:sz w:val="20"/>
                <w:szCs w:val="20"/>
                <w:lang w:val="es-ES"/>
              </w:rPr>
            </w:pPr>
            <w:proofErr w:type="spellStart"/>
            <w:r w:rsidRPr="00CA23AA">
              <w:rPr>
                <w:rFonts w:ascii="Arial Narrow" w:hAnsi="Arial Narrow" w:cs="Times New Roman"/>
                <w:b/>
                <w:bCs/>
                <w:sz w:val="20"/>
                <w:szCs w:val="20"/>
                <w:lang w:val="es-ES"/>
              </w:rPr>
              <w:t>Ghorashian</w:t>
            </w:r>
            <w:proofErr w:type="spellEnd"/>
            <w:r w:rsidRPr="00CA23AA">
              <w:rPr>
                <w:rFonts w:ascii="Arial Narrow" w:hAnsi="Arial Narrow" w:cs="Times New Roman"/>
                <w:b/>
                <w:bCs/>
                <w:sz w:val="20"/>
                <w:szCs w:val="20"/>
                <w:lang w:val="es-ES"/>
              </w:rPr>
              <w:t xml:space="preserve"> et al (2022)</w:t>
            </w:r>
          </w:p>
        </w:tc>
      </w:tr>
      <w:tr w:rsidR="00983A37" w:rsidRPr="00CA23AA" w14:paraId="2E904E9E" w14:textId="77777777" w:rsidTr="00594907">
        <w:trPr>
          <w:trHeight w:val="300"/>
          <w:tblHeader/>
        </w:trPr>
        <w:tc>
          <w:tcPr>
            <w:tcW w:w="3615" w:type="dxa"/>
          </w:tcPr>
          <w:p w14:paraId="2B10FC4F" w14:textId="77777777" w:rsidR="00983A37" w:rsidRPr="00CA23AA" w:rsidRDefault="00983A37" w:rsidP="00E70470">
            <w:pPr>
              <w:tabs>
                <w:tab w:val="left" w:pos="2297"/>
                <w:tab w:val="left" w:pos="3292"/>
              </w:tabs>
              <w:spacing w:before="40" w:after="40"/>
              <w:rPr>
                <w:rFonts w:ascii="Arial Narrow" w:hAnsi="Arial Narrow" w:cs="Times New Roman"/>
                <w:b/>
                <w:sz w:val="20"/>
                <w:szCs w:val="20"/>
              </w:rPr>
            </w:pPr>
            <w:r w:rsidRPr="00CA23AA">
              <w:rPr>
                <w:rFonts w:ascii="Arial Narrow" w:hAnsi="Arial Narrow" w:cs="Times New Roman"/>
                <w:b/>
                <w:sz w:val="20"/>
                <w:szCs w:val="20"/>
              </w:rPr>
              <w:t>N infused</w:t>
            </w:r>
          </w:p>
        </w:tc>
        <w:tc>
          <w:tcPr>
            <w:tcW w:w="1401" w:type="dxa"/>
          </w:tcPr>
          <w:p w14:paraId="45AC2AA1"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212</w:t>
            </w:r>
          </w:p>
        </w:tc>
        <w:tc>
          <w:tcPr>
            <w:tcW w:w="1193" w:type="dxa"/>
            <w:tcBorders>
              <w:bottom w:val="single" w:sz="4" w:space="0" w:color="auto"/>
            </w:tcBorders>
            <w:shd w:val="solid" w:color="000000" w:fill="000000"/>
          </w:tcPr>
          <w:p w14:paraId="78EC4AB6" w14:textId="45EFD46F" w:rsidR="00983A37" w:rsidRPr="00CA23AA" w:rsidRDefault="00594907" w:rsidP="00983A37">
            <w:pPr>
              <w:spacing w:before="40" w:after="40"/>
              <w:ind w:left="-57" w:right="-57"/>
              <w:jc w:val="center"/>
              <w:rPr>
                <w:rFonts w:ascii="Arial Narrow" w:hAnsi="Arial Narrow" w:cs="Times New Roman"/>
                <w:b/>
                <w:sz w:val="20"/>
                <w:szCs w:val="20"/>
              </w:rPr>
            </w:pPr>
            <w:r w:rsidRPr="00594907">
              <w:rPr>
                <w:rFonts w:ascii="Arial Narrow" w:hAnsi="Arial Narrow" w:cs="Times New Roman"/>
                <w:b/>
                <w:color w:val="000000"/>
                <w:sz w:val="20"/>
                <w:szCs w:val="20"/>
                <w14:textFill>
                  <w14:solidFill>
                    <w14:srgbClr w14:val="000000">
                      <w14:alpha w14:val="100000"/>
                    </w14:srgbClr>
                  </w14:solidFill>
                </w14:textFill>
              </w:rPr>
              <w:t>|</w:t>
            </w:r>
          </w:p>
        </w:tc>
        <w:tc>
          <w:tcPr>
            <w:tcW w:w="1193" w:type="dxa"/>
          </w:tcPr>
          <w:p w14:paraId="1BFB1B5C"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255</w:t>
            </w:r>
          </w:p>
        </w:tc>
        <w:tc>
          <w:tcPr>
            <w:tcW w:w="1193" w:type="dxa"/>
          </w:tcPr>
          <w:p w14:paraId="0B5559FD"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81</w:t>
            </w:r>
          </w:p>
        </w:tc>
        <w:tc>
          <w:tcPr>
            <w:tcW w:w="1193" w:type="dxa"/>
          </w:tcPr>
          <w:p w14:paraId="6469EFE9"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184</w:t>
            </w:r>
          </w:p>
        </w:tc>
        <w:tc>
          <w:tcPr>
            <w:tcW w:w="1193" w:type="dxa"/>
          </w:tcPr>
          <w:p w14:paraId="4F25B5E7"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14 (&lt;3 years)</w:t>
            </w:r>
          </w:p>
        </w:tc>
        <w:tc>
          <w:tcPr>
            <w:tcW w:w="1193" w:type="dxa"/>
          </w:tcPr>
          <w:p w14:paraId="74C04D36"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51</w:t>
            </w:r>
          </w:p>
        </w:tc>
        <w:tc>
          <w:tcPr>
            <w:tcW w:w="1193" w:type="dxa"/>
          </w:tcPr>
          <w:p w14:paraId="105EF8D8"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31</w:t>
            </w:r>
          </w:p>
        </w:tc>
        <w:tc>
          <w:tcPr>
            <w:tcW w:w="1193" w:type="dxa"/>
          </w:tcPr>
          <w:p w14:paraId="267D436C" w14:textId="77777777" w:rsidR="00983A37" w:rsidRPr="00CA23AA" w:rsidRDefault="00983A37" w:rsidP="00983A3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35 (&lt;3 years)</w:t>
            </w:r>
          </w:p>
        </w:tc>
      </w:tr>
      <w:tr w:rsidR="00983A37" w:rsidRPr="00CA23AA" w14:paraId="18B9A0C9" w14:textId="77777777" w:rsidTr="00594907">
        <w:tc>
          <w:tcPr>
            <w:tcW w:w="3615" w:type="dxa"/>
          </w:tcPr>
          <w:p w14:paraId="7124C8B4" w14:textId="77777777" w:rsidR="00983A37" w:rsidRPr="00CA23AA" w:rsidRDefault="00983A37" w:rsidP="008C1144">
            <w:pPr>
              <w:tabs>
                <w:tab w:val="left" w:pos="2297"/>
                <w:tab w:val="left" w:pos="3292"/>
              </w:tabs>
              <w:spacing w:before="40" w:after="40"/>
              <w:ind w:left="-6"/>
              <w:rPr>
                <w:rFonts w:ascii="Arial Narrow" w:hAnsi="Arial Narrow" w:cs="Times New Roman"/>
                <w:sz w:val="20"/>
                <w:szCs w:val="20"/>
              </w:rPr>
            </w:pPr>
            <w:r w:rsidRPr="00CA23AA">
              <w:rPr>
                <w:rFonts w:ascii="Arial Narrow" w:hAnsi="Arial Narrow" w:cs="Times New Roman"/>
                <w:sz w:val="20"/>
                <w:szCs w:val="20"/>
              </w:rPr>
              <w:t>Infusion reaction:</w:t>
            </w:r>
            <w:r w:rsidRPr="00CA23AA">
              <w:rPr>
                <w:rFonts w:ascii="Times New Roman" w:hAnsi="Times New Roman" w:cs="Times New Roman"/>
                <w:sz w:val="20"/>
                <w:szCs w:val="20"/>
              </w:rPr>
              <w:tab/>
            </w:r>
            <w:r w:rsidRPr="00CA23AA">
              <w:rPr>
                <w:rFonts w:ascii="Arial Narrow" w:hAnsi="Arial Narrow" w:cs="Times New Roman"/>
                <w:sz w:val="20"/>
                <w:szCs w:val="20"/>
              </w:rPr>
              <w:t>Any grade</w:t>
            </w:r>
          </w:p>
          <w:p w14:paraId="2B34A245" w14:textId="77777777" w:rsidR="00983A37" w:rsidRPr="00CA23AA" w:rsidRDefault="00983A37" w:rsidP="008C1144">
            <w:pPr>
              <w:tabs>
                <w:tab w:val="left" w:pos="2297"/>
                <w:tab w:val="left" w:pos="3292"/>
              </w:tabs>
              <w:spacing w:before="40" w:after="40"/>
              <w:ind w:left="-6"/>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1D41F4BB"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1.9%</w:t>
            </w:r>
          </w:p>
          <w:p w14:paraId="06565E3D"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0</w:t>
            </w:r>
          </w:p>
        </w:tc>
        <w:tc>
          <w:tcPr>
            <w:tcW w:w="1193" w:type="dxa"/>
            <w:tcBorders>
              <w:bottom w:val="single" w:sz="4" w:space="0" w:color="auto"/>
            </w:tcBorders>
            <w:shd w:val="solid" w:color="000000" w:fill="000000"/>
          </w:tcPr>
          <w:p w14:paraId="3A69F565" w14:textId="3C4E091A"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0DF7F61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CA988E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EF5117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(2.2%)</w:t>
            </w:r>
          </w:p>
        </w:tc>
        <w:tc>
          <w:tcPr>
            <w:tcW w:w="1193" w:type="dxa"/>
          </w:tcPr>
          <w:p w14:paraId="6AAC6B5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39E78F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1927FF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C439BB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49A8FDA2" w14:textId="77777777" w:rsidTr="00594907">
        <w:tc>
          <w:tcPr>
            <w:tcW w:w="3615" w:type="dxa"/>
          </w:tcPr>
          <w:p w14:paraId="245A08AD" w14:textId="77777777" w:rsidR="00983A37" w:rsidRPr="00CA23AA" w:rsidRDefault="00983A37" w:rsidP="008C1144">
            <w:pPr>
              <w:tabs>
                <w:tab w:val="left" w:pos="2297"/>
                <w:tab w:val="left" w:pos="3292"/>
              </w:tabs>
              <w:spacing w:before="40" w:after="40"/>
              <w:ind w:left="-6"/>
              <w:rPr>
                <w:rFonts w:ascii="Arial Narrow" w:hAnsi="Arial Narrow" w:cs="Times New Roman"/>
                <w:sz w:val="20"/>
                <w:szCs w:val="20"/>
              </w:rPr>
            </w:pPr>
            <w:r w:rsidRPr="00CA23AA">
              <w:rPr>
                <w:rFonts w:ascii="Arial Narrow" w:hAnsi="Arial Narrow" w:cs="Times New Roman"/>
                <w:sz w:val="20"/>
                <w:szCs w:val="20"/>
              </w:rPr>
              <w:t>Hypogammaglobulinemia</w:t>
            </w:r>
            <w:r w:rsidRPr="00CA23AA">
              <w:rPr>
                <w:rFonts w:ascii="Times New Roman" w:hAnsi="Times New Roman" w:cs="Times New Roman"/>
                <w:sz w:val="20"/>
                <w:szCs w:val="20"/>
              </w:rPr>
              <w:tab/>
            </w:r>
            <w:r w:rsidRPr="00CA23AA">
              <w:rPr>
                <w:rFonts w:ascii="Arial Narrow" w:hAnsi="Arial Narrow" w:cs="Times New Roman"/>
                <w:sz w:val="20"/>
                <w:szCs w:val="20"/>
              </w:rPr>
              <w:t>Any grade</w:t>
            </w:r>
          </w:p>
          <w:p w14:paraId="2D0B9D88" w14:textId="77777777" w:rsidR="00983A37" w:rsidRPr="00CA23AA" w:rsidRDefault="00983A37" w:rsidP="008C1144">
            <w:pPr>
              <w:tabs>
                <w:tab w:val="left" w:pos="2297"/>
                <w:tab w:val="left" w:pos="3292"/>
              </w:tabs>
              <w:spacing w:before="40" w:after="40"/>
              <w:ind w:left="-6"/>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31A7253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40.1% (30–50)</w:t>
            </w:r>
          </w:p>
          <w:p w14:paraId="744BEC1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6.1% (2.9–7.8)</w:t>
            </w:r>
          </w:p>
        </w:tc>
        <w:tc>
          <w:tcPr>
            <w:tcW w:w="1193" w:type="dxa"/>
            <w:tcBorders>
              <w:bottom w:val="single" w:sz="4" w:space="0" w:color="auto"/>
            </w:tcBorders>
            <w:shd w:val="solid" w:color="000000" w:fill="000000"/>
          </w:tcPr>
          <w:p w14:paraId="5A4614F5" w14:textId="7839AC29" w:rsidR="00983A37" w:rsidRPr="00CA23AA" w:rsidRDefault="00594907" w:rsidP="00983A37">
            <w:pPr>
              <w:spacing w:before="40" w:after="40"/>
              <w:ind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4D9EF43D"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134 (52.5%)</w:t>
            </w:r>
          </w:p>
          <w:p w14:paraId="660C9DF3"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0D1472A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647F68C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6E37AA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5FE522C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473D20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1A4E51E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27/31 (87%)</w:t>
            </w:r>
          </w:p>
        </w:tc>
      </w:tr>
      <w:tr w:rsidR="00983A37" w:rsidRPr="00CA23AA" w14:paraId="4414F243" w14:textId="77777777" w:rsidTr="00594907">
        <w:tc>
          <w:tcPr>
            <w:tcW w:w="3615" w:type="dxa"/>
          </w:tcPr>
          <w:p w14:paraId="559C8779" w14:textId="6CEB469F" w:rsidR="00983A37" w:rsidRPr="00CA23AA" w:rsidRDefault="009D3338" w:rsidP="008C1144">
            <w:pPr>
              <w:tabs>
                <w:tab w:val="left" w:pos="2297"/>
                <w:tab w:val="left" w:pos="3292"/>
              </w:tabs>
              <w:spacing w:before="40" w:after="40"/>
              <w:ind w:left="-6"/>
              <w:rPr>
                <w:rFonts w:ascii="Arial Narrow" w:hAnsi="Arial Narrow" w:cs="Times New Roman"/>
                <w:sz w:val="20"/>
                <w:szCs w:val="20"/>
              </w:rPr>
            </w:pPr>
            <w:proofErr w:type="spellStart"/>
            <w:r w:rsidRPr="00CA23AA">
              <w:rPr>
                <w:rFonts w:ascii="Arial Narrow" w:hAnsi="Arial Narrow" w:cs="Times New Roman"/>
                <w:sz w:val="20"/>
                <w:szCs w:val="20"/>
              </w:rPr>
              <w:t>Haemophagocytic</w:t>
            </w:r>
            <w:proofErr w:type="spellEnd"/>
            <w:r w:rsidRPr="00CA23AA">
              <w:rPr>
                <w:rFonts w:ascii="Arial Narrow" w:hAnsi="Arial Narrow" w:cs="Times New Roman"/>
                <w:sz w:val="20"/>
                <w:szCs w:val="20"/>
              </w:rPr>
              <w:tab/>
            </w:r>
            <w:r w:rsidR="004A4E3D" w:rsidRPr="00CA23AA">
              <w:rPr>
                <w:rFonts w:ascii="Arial Narrow" w:hAnsi="Arial Narrow" w:cs="Times New Roman"/>
                <w:sz w:val="20"/>
                <w:szCs w:val="20"/>
              </w:rPr>
              <w:t>Any grade</w:t>
            </w:r>
          </w:p>
          <w:p w14:paraId="118157CA" w14:textId="4A23E9C8" w:rsidR="00983A37" w:rsidRPr="00CA23AA" w:rsidRDefault="00D3286F" w:rsidP="008C1144">
            <w:pPr>
              <w:tabs>
                <w:tab w:val="left" w:pos="2297"/>
                <w:tab w:val="left" w:pos="3292"/>
              </w:tabs>
              <w:spacing w:before="40" w:after="40"/>
              <w:ind w:left="-6"/>
              <w:rPr>
                <w:rFonts w:ascii="Arial Narrow" w:hAnsi="Arial Narrow" w:cs="Times New Roman"/>
                <w:sz w:val="20"/>
                <w:szCs w:val="20"/>
              </w:rPr>
            </w:pPr>
            <w:proofErr w:type="spellStart"/>
            <w:r w:rsidRPr="00CA23AA">
              <w:rPr>
                <w:rFonts w:ascii="Arial Narrow" w:hAnsi="Arial Narrow" w:cs="Times New Roman"/>
                <w:sz w:val="20"/>
                <w:szCs w:val="20"/>
              </w:rPr>
              <w:t>lymphohistiocytosis</w:t>
            </w:r>
            <w:proofErr w:type="spellEnd"/>
            <w:r w:rsidR="00983A37" w:rsidRPr="00CA23AA">
              <w:rPr>
                <w:rFonts w:ascii="Arial Narrow" w:hAnsi="Arial Narrow" w:cs="Times New Roman"/>
                <w:sz w:val="20"/>
                <w:szCs w:val="20"/>
              </w:rPr>
              <w:tab/>
              <w:t>Grade 3/4</w:t>
            </w:r>
          </w:p>
        </w:tc>
        <w:tc>
          <w:tcPr>
            <w:tcW w:w="1401" w:type="dxa"/>
          </w:tcPr>
          <w:p w14:paraId="2A11A325" w14:textId="3DC08E34"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4.2% (1.6–6.3)</w:t>
            </w:r>
          </w:p>
          <w:p w14:paraId="01AC963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2.4% (0–3.8)</w:t>
            </w:r>
          </w:p>
        </w:tc>
        <w:tc>
          <w:tcPr>
            <w:tcW w:w="1193" w:type="dxa"/>
            <w:tcBorders>
              <w:bottom w:val="single" w:sz="4" w:space="0" w:color="auto"/>
            </w:tcBorders>
            <w:shd w:val="solid" w:color="000000" w:fill="000000"/>
          </w:tcPr>
          <w:p w14:paraId="550B724D" w14:textId="00901853"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332CE844" w14:textId="556D878C"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5CD73F95" w14:textId="26F7EC28"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48AF30E3" w14:textId="6DC62D48"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3F354AD" w14:textId="0E032CCB"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9042D04" w14:textId="0FAEA4B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03FC6D3" w14:textId="07D0F858"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 (6.5%)</w:t>
            </w:r>
          </w:p>
          <w:p w14:paraId="49BB545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32A020BE" w14:textId="3E7329CD"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1597B98B" w14:textId="77777777" w:rsidTr="00594907">
        <w:tc>
          <w:tcPr>
            <w:tcW w:w="3615" w:type="dxa"/>
          </w:tcPr>
          <w:p w14:paraId="729EDAFD" w14:textId="77777777" w:rsidR="00983A37" w:rsidRPr="00CA23AA" w:rsidRDefault="00983A37" w:rsidP="008C1144">
            <w:pPr>
              <w:tabs>
                <w:tab w:val="left" w:pos="2297"/>
                <w:tab w:val="left" w:pos="3292"/>
              </w:tabs>
              <w:spacing w:before="40" w:after="40"/>
              <w:rPr>
                <w:rFonts w:ascii="Arial Narrow" w:hAnsi="Arial Narrow" w:cs="Times New Roman"/>
                <w:sz w:val="20"/>
                <w:szCs w:val="20"/>
              </w:rPr>
            </w:pPr>
            <w:r w:rsidRPr="00CA23AA">
              <w:rPr>
                <w:rFonts w:ascii="Arial Narrow" w:hAnsi="Arial Narrow" w:cs="Times New Roman"/>
                <w:sz w:val="20"/>
                <w:szCs w:val="20"/>
              </w:rPr>
              <w:t xml:space="preserve">AESI: </w:t>
            </w:r>
            <w:r w:rsidRPr="00CA23AA">
              <w:rPr>
                <w:rFonts w:ascii="Arial Narrow" w:hAnsi="Arial Narrow" w:cs="Times New Roman"/>
                <w:sz w:val="20"/>
                <w:szCs w:val="20"/>
              </w:rPr>
              <w:tab/>
              <w:t>Any grade</w:t>
            </w:r>
          </w:p>
          <w:p w14:paraId="53441644" w14:textId="77777777" w:rsidR="00983A37" w:rsidRPr="00CA23AA" w:rsidRDefault="00983A37" w:rsidP="008C1144">
            <w:pPr>
              <w:tabs>
                <w:tab w:val="left" w:pos="2297"/>
                <w:tab w:val="left" w:pos="3292"/>
              </w:tabs>
              <w:spacing w:before="40" w:after="40"/>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7617205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93.0% (92–94)</w:t>
            </w:r>
          </w:p>
          <w:p w14:paraId="7041A50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65.0% (61–68)</w:t>
            </w:r>
          </w:p>
        </w:tc>
        <w:tc>
          <w:tcPr>
            <w:tcW w:w="1193" w:type="dxa"/>
            <w:tcBorders>
              <w:bottom w:val="single" w:sz="4" w:space="0" w:color="auto"/>
            </w:tcBorders>
            <w:shd w:val="solid" w:color="000000" w:fill="000000"/>
          </w:tcPr>
          <w:p w14:paraId="21656A3E" w14:textId="2FB31D47"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4AA99ED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68409C6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11BC77D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64DCF2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2106AB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ADB227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43C5C80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63D1C738" w14:textId="77777777" w:rsidTr="00594907">
        <w:tc>
          <w:tcPr>
            <w:tcW w:w="3615" w:type="dxa"/>
          </w:tcPr>
          <w:p w14:paraId="78B5CCC7" w14:textId="77777777" w:rsidR="00983A37" w:rsidRPr="00CA23AA" w:rsidRDefault="00983A37" w:rsidP="008C1144">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CRS:</w:t>
            </w:r>
            <w:r w:rsidRPr="00CA23AA">
              <w:rPr>
                <w:rFonts w:ascii="Arial Narrow" w:hAnsi="Arial Narrow" w:cs="Times New Roman"/>
                <w:sz w:val="20"/>
                <w:szCs w:val="20"/>
              </w:rPr>
              <w:tab/>
              <w:t>Any grade</w:t>
            </w:r>
          </w:p>
          <w:p w14:paraId="717DF2D7" w14:textId="77777777" w:rsidR="00983A37" w:rsidRPr="00CA23AA" w:rsidRDefault="00983A37" w:rsidP="008C1144">
            <w:pPr>
              <w:tabs>
                <w:tab w:val="left" w:pos="2297"/>
                <w:tab w:val="left" w:pos="3292"/>
              </w:tabs>
              <w:spacing w:before="40" w:after="40"/>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07DA086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73.6% (65–78)</w:t>
            </w:r>
          </w:p>
          <w:p w14:paraId="52806F3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37.3% (30–48)</w:t>
            </w:r>
          </w:p>
        </w:tc>
        <w:tc>
          <w:tcPr>
            <w:tcW w:w="1193" w:type="dxa"/>
            <w:tcBorders>
              <w:bottom w:val="single" w:sz="4" w:space="0" w:color="auto"/>
            </w:tcBorders>
            <w:shd w:val="solid" w:color="000000" w:fill="000000"/>
          </w:tcPr>
          <w:p w14:paraId="5C7CA2E0" w14:textId="1F82FBB0"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pacing w:val="84"/>
                <w:sz w:val="20"/>
                <w:szCs w:val="20"/>
                <w:shd w:val="solid" w:color="000000" w:fill="000000"/>
                <w:fitText w:val="170" w:id="-1161540089"/>
                <w14:textFill>
                  <w14:solidFill>
                    <w14:srgbClr w14:val="000000">
                      <w14:alpha w14:val="100000"/>
                    </w14:srgbClr>
                  </w14:solidFill>
                </w14:textFill>
              </w:rPr>
              <w:t>|</w:t>
            </w:r>
            <w:r w:rsidRPr="00594907">
              <w:rPr>
                <w:rFonts w:ascii="Arial Narrow" w:hAnsi="Arial Narrow" w:cs="Times New Roman"/>
                <w:color w:val="000000"/>
                <w:sz w:val="20"/>
                <w:szCs w:val="20"/>
                <w:shd w:val="solid" w:color="000000" w:fill="000000"/>
                <w:fitText w:val="170" w:id="-1161540089"/>
                <w14:textFill>
                  <w14:solidFill>
                    <w14:srgbClr w14:val="000000">
                      <w14:alpha w14:val="100000"/>
                    </w14:srgbClr>
                  </w14:solidFill>
                </w14:textFill>
              </w:rPr>
              <w:t>|</w:t>
            </w:r>
          </w:p>
        </w:tc>
        <w:tc>
          <w:tcPr>
            <w:tcW w:w="1193" w:type="dxa"/>
          </w:tcPr>
          <w:p w14:paraId="348154B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140 (54.9%)</w:t>
            </w:r>
          </w:p>
          <w:p w14:paraId="609C25E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 (16.1%)</w:t>
            </w:r>
          </w:p>
        </w:tc>
        <w:tc>
          <w:tcPr>
            <w:tcW w:w="1193" w:type="dxa"/>
          </w:tcPr>
          <w:p w14:paraId="61661F6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55 (67.9%)</w:t>
            </w:r>
          </w:p>
          <w:p w14:paraId="25D067A6"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(6.2%)</w:t>
            </w:r>
          </w:p>
        </w:tc>
        <w:tc>
          <w:tcPr>
            <w:tcW w:w="1193" w:type="dxa"/>
          </w:tcPr>
          <w:p w14:paraId="472516FB"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116 (63.4%)</w:t>
            </w:r>
          </w:p>
          <w:p w14:paraId="74EF868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37 (20.2%)</w:t>
            </w:r>
          </w:p>
        </w:tc>
        <w:tc>
          <w:tcPr>
            <w:tcW w:w="1193" w:type="dxa"/>
          </w:tcPr>
          <w:p w14:paraId="2409DA9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11 (78.6%)</w:t>
            </w:r>
          </w:p>
          <w:p w14:paraId="2913A70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 (21.4%)</w:t>
            </w:r>
          </w:p>
        </w:tc>
        <w:tc>
          <w:tcPr>
            <w:tcW w:w="1193" w:type="dxa"/>
          </w:tcPr>
          <w:p w14:paraId="71FA842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30 (58.8%)</w:t>
            </w:r>
          </w:p>
          <w:p w14:paraId="32AD1EF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 (17.6%)</w:t>
            </w:r>
          </w:p>
        </w:tc>
        <w:tc>
          <w:tcPr>
            <w:tcW w:w="1193" w:type="dxa"/>
          </w:tcPr>
          <w:p w14:paraId="3688DBB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19 (61.3%)</w:t>
            </w:r>
          </w:p>
          <w:p w14:paraId="3B62D9D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 (31.6%)</w:t>
            </w:r>
          </w:p>
        </w:tc>
        <w:tc>
          <w:tcPr>
            <w:tcW w:w="1193" w:type="dxa"/>
          </w:tcPr>
          <w:p w14:paraId="5A4C1ACB"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21 (60%)</w:t>
            </w:r>
          </w:p>
          <w:p w14:paraId="34ACCA1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 (15%)</w:t>
            </w:r>
          </w:p>
        </w:tc>
      </w:tr>
      <w:tr w:rsidR="00983A37" w:rsidRPr="00CA23AA" w14:paraId="5C6114A3" w14:textId="77777777" w:rsidTr="00594907">
        <w:tc>
          <w:tcPr>
            <w:tcW w:w="3615" w:type="dxa"/>
          </w:tcPr>
          <w:p w14:paraId="01D49AA5" w14:textId="77777777" w:rsidR="00983A37" w:rsidRPr="00CA23AA" w:rsidRDefault="00983A37" w:rsidP="008C1144">
            <w:pPr>
              <w:tabs>
                <w:tab w:val="left" w:pos="2297"/>
                <w:tab w:val="left" w:pos="3292"/>
              </w:tabs>
              <w:spacing w:before="40" w:after="40"/>
              <w:ind w:left="451"/>
              <w:rPr>
                <w:rFonts w:ascii="Arial Narrow" w:hAnsi="Arial Narrow" w:cs="Times New Roman"/>
                <w:sz w:val="20"/>
                <w:szCs w:val="20"/>
              </w:rPr>
            </w:pPr>
            <w:r w:rsidRPr="00CA23AA">
              <w:rPr>
                <w:rFonts w:ascii="Arial Narrow" w:hAnsi="Arial Narrow" w:cs="Times New Roman"/>
                <w:sz w:val="20"/>
                <w:szCs w:val="20"/>
              </w:rPr>
              <w:t>Median days (range):</w:t>
            </w:r>
            <w:r w:rsidRPr="00CA23AA">
              <w:rPr>
                <w:rFonts w:ascii="Arial Narrow" w:hAnsi="Arial Narrow" w:cs="Times New Roman"/>
                <w:sz w:val="20"/>
                <w:szCs w:val="20"/>
              </w:rPr>
              <w:tab/>
              <w:t>Time to onset</w:t>
            </w:r>
          </w:p>
          <w:p w14:paraId="543D639D" w14:textId="77777777" w:rsidR="00983A37" w:rsidRPr="00CA23AA" w:rsidRDefault="00983A37" w:rsidP="008C1144">
            <w:pPr>
              <w:tabs>
                <w:tab w:val="left" w:pos="2297"/>
                <w:tab w:val="left" w:pos="3292"/>
              </w:tabs>
              <w:spacing w:before="40" w:after="40"/>
              <w:ind w:left="310"/>
              <w:rPr>
                <w:rFonts w:ascii="Arial Narrow" w:hAnsi="Arial Narrow" w:cs="Times New Roman"/>
                <w:sz w:val="20"/>
                <w:szCs w:val="20"/>
              </w:rPr>
            </w:pPr>
            <w:r w:rsidRPr="00CA23AA">
              <w:rPr>
                <w:rFonts w:ascii="Arial Narrow" w:hAnsi="Arial Narrow" w:cs="Times New Roman"/>
                <w:sz w:val="20"/>
                <w:szCs w:val="20"/>
              </w:rPr>
              <w:tab/>
              <w:t>Duration</w:t>
            </w:r>
          </w:p>
        </w:tc>
        <w:tc>
          <w:tcPr>
            <w:tcW w:w="1401" w:type="dxa"/>
          </w:tcPr>
          <w:p w14:paraId="5223564D"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4.5 (1–22)</w:t>
            </w:r>
          </w:p>
          <w:p w14:paraId="30B2B7C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 (1–36)</w:t>
            </w:r>
          </w:p>
        </w:tc>
        <w:tc>
          <w:tcPr>
            <w:tcW w:w="1193" w:type="dxa"/>
            <w:tcBorders>
              <w:bottom w:val="single" w:sz="4" w:space="0" w:color="auto"/>
            </w:tcBorders>
            <w:shd w:val="solid" w:color="000000" w:fill="000000"/>
          </w:tcPr>
          <w:p w14:paraId="74535B26" w14:textId="18BB404F"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pacing w:val="84"/>
                <w:sz w:val="20"/>
                <w:szCs w:val="20"/>
                <w:shd w:val="solid" w:color="000000" w:fill="000000"/>
                <w:fitText w:val="170" w:id="-1161540087"/>
                <w14:textFill>
                  <w14:solidFill>
                    <w14:srgbClr w14:val="000000">
                      <w14:alpha w14:val="100000"/>
                    </w14:srgbClr>
                  </w14:solidFill>
                </w14:textFill>
              </w:rPr>
              <w:t>|</w:t>
            </w:r>
            <w:r w:rsidRPr="00594907">
              <w:rPr>
                <w:rFonts w:ascii="Arial Narrow" w:hAnsi="Arial Narrow" w:cs="Times New Roman"/>
                <w:color w:val="000000"/>
                <w:sz w:val="20"/>
                <w:szCs w:val="20"/>
                <w:shd w:val="solid" w:color="000000" w:fill="000000"/>
                <w:fitText w:val="170" w:id="-1161540087"/>
                <w14:textFill>
                  <w14:solidFill>
                    <w14:srgbClr w14:val="000000">
                      <w14:alpha w14:val="100000"/>
                    </w14:srgbClr>
                  </w14:solidFill>
                </w14:textFill>
              </w:rPr>
              <w:t>|</w:t>
            </w:r>
          </w:p>
        </w:tc>
        <w:tc>
          <w:tcPr>
            <w:tcW w:w="1193" w:type="dxa"/>
          </w:tcPr>
          <w:p w14:paraId="3CDCB01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 (1–27)</w:t>
            </w:r>
          </w:p>
          <w:p w14:paraId="795B98B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 (1–76)</w:t>
            </w:r>
          </w:p>
        </w:tc>
        <w:tc>
          <w:tcPr>
            <w:tcW w:w="1193" w:type="dxa"/>
          </w:tcPr>
          <w:p w14:paraId="49FDF606"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ED42CB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 (1–14)</w:t>
            </w:r>
          </w:p>
          <w:p w14:paraId="1CC3DE2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(0–42)</w:t>
            </w:r>
          </w:p>
        </w:tc>
        <w:tc>
          <w:tcPr>
            <w:tcW w:w="1193" w:type="dxa"/>
          </w:tcPr>
          <w:p w14:paraId="212DE25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852217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(1–12)</w:t>
            </w:r>
          </w:p>
        </w:tc>
        <w:tc>
          <w:tcPr>
            <w:tcW w:w="1193" w:type="dxa"/>
          </w:tcPr>
          <w:p w14:paraId="01D9B81B"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(0–9)</w:t>
            </w:r>
          </w:p>
        </w:tc>
        <w:tc>
          <w:tcPr>
            <w:tcW w:w="1193" w:type="dxa"/>
          </w:tcPr>
          <w:p w14:paraId="1878A56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p w14:paraId="676D04E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1.5 (0-4)</w:t>
            </w:r>
          </w:p>
        </w:tc>
      </w:tr>
      <w:tr w:rsidR="00983A37" w:rsidRPr="00CA23AA" w14:paraId="2AF81353" w14:textId="77777777" w:rsidTr="00594907">
        <w:tc>
          <w:tcPr>
            <w:tcW w:w="3615" w:type="dxa"/>
          </w:tcPr>
          <w:p w14:paraId="13619672" w14:textId="77777777" w:rsidR="00983A37" w:rsidRPr="00CA23AA" w:rsidRDefault="00983A37" w:rsidP="008C1144">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Serious neurological:</w:t>
            </w:r>
            <w:r w:rsidRPr="00CA23AA">
              <w:rPr>
                <w:rFonts w:ascii="Times New Roman" w:hAnsi="Times New Roman" w:cs="Times New Roman"/>
                <w:sz w:val="20"/>
                <w:szCs w:val="20"/>
              </w:rPr>
              <w:tab/>
            </w:r>
            <w:r w:rsidRPr="00CA23AA">
              <w:rPr>
                <w:rFonts w:ascii="Arial Narrow" w:hAnsi="Arial Narrow" w:cs="Times New Roman"/>
                <w:sz w:val="20"/>
                <w:szCs w:val="20"/>
              </w:rPr>
              <w:t>Any grade</w:t>
            </w:r>
          </w:p>
          <w:p w14:paraId="21D5561A" w14:textId="77777777" w:rsidR="00983A37" w:rsidRPr="00CA23AA" w:rsidRDefault="00983A37" w:rsidP="008C1144">
            <w:pPr>
              <w:tabs>
                <w:tab w:val="left" w:pos="2297"/>
                <w:tab w:val="left" w:pos="3292"/>
              </w:tabs>
              <w:spacing w:before="40" w:after="40"/>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1054F04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35.0% (30–39)</w:t>
            </w:r>
          </w:p>
          <w:p w14:paraId="259181B2" w14:textId="4D985773"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9.8% (6.4–13)</w:t>
            </w:r>
          </w:p>
        </w:tc>
        <w:tc>
          <w:tcPr>
            <w:tcW w:w="1193" w:type="dxa"/>
            <w:tcBorders>
              <w:bottom w:val="single" w:sz="4" w:space="0" w:color="auto"/>
            </w:tcBorders>
            <w:shd w:val="solid" w:color="000000" w:fill="000000"/>
          </w:tcPr>
          <w:p w14:paraId="7F03B2BE" w14:textId="0CE9ABB8"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pacing w:val="84"/>
                <w:sz w:val="20"/>
                <w:szCs w:val="20"/>
                <w:shd w:val="solid" w:color="000000" w:fill="000000"/>
                <w:fitText w:val="170" w:id="-1161540085"/>
                <w14:textFill>
                  <w14:solidFill>
                    <w14:srgbClr w14:val="000000">
                      <w14:alpha w14:val="100000"/>
                    </w14:srgbClr>
                  </w14:solidFill>
                </w14:textFill>
              </w:rPr>
              <w:t>|</w:t>
            </w:r>
            <w:r w:rsidRPr="00594907">
              <w:rPr>
                <w:rFonts w:ascii="Arial Narrow" w:hAnsi="Arial Narrow" w:cs="Times New Roman"/>
                <w:color w:val="000000"/>
                <w:sz w:val="20"/>
                <w:szCs w:val="20"/>
                <w:shd w:val="solid" w:color="000000" w:fill="000000"/>
                <w:fitText w:val="170" w:id="-1161540085"/>
                <w14:textFill>
                  <w14:solidFill>
                    <w14:srgbClr w14:val="000000">
                      <w14:alpha w14:val="100000"/>
                    </w14:srgbClr>
                  </w14:solidFill>
                </w14:textFill>
              </w:rPr>
              <w:t>|</w:t>
            </w:r>
          </w:p>
        </w:tc>
        <w:tc>
          <w:tcPr>
            <w:tcW w:w="1193" w:type="dxa"/>
          </w:tcPr>
          <w:p w14:paraId="4BED141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69 (27.1%)</w:t>
            </w:r>
          </w:p>
          <w:p w14:paraId="612893F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23 (9.0%)</w:t>
            </w:r>
          </w:p>
        </w:tc>
        <w:tc>
          <w:tcPr>
            <w:tcW w:w="1193" w:type="dxa"/>
          </w:tcPr>
          <w:p w14:paraId="6CC0595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 (7.2%)</w:t>
            </w:r>
          </w:p>
          <w:p w14:paraId="2A315CAB"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(6.2%)</w:t>
            </w:r>
          </w:p>
        </w:tc>
        <w:tc>
          <w:tcPr>
            <w:tcW w:w="1193" w:type="dxa"/>
          </w:tcPr>
          <w:p w14:paraId="42BCC6C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39 (21.3%)</w:t>
            </w:r>
          </w:p>
          <w:p w14:paraId="5F2315D6"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12 (6.6%)</w:t>
            </w:r>
          </w:p>
        </w:tc>
        <w:tc>
          <w:tcPr>
            <w:tcW w:w="1193" w:type="dxa"/>
          </w:tcPr>
          <w:p w14:paraId="6009A68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0</w:t>
            </w:r>
          </w:p>
        </w:tc>
        <w:tc>
          <w:tcPr>
            <w:tcW w:w="1193" w:type="dxa"/>
          </w:tcPr>
          <w:p w14:paraId="6D45950D"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12 (23.5%)</w:t>
            </w:r>
          </w:p>
          <w:p w14:paraId="21740D0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 (3.9%)</w:t>
            </w:r>
          </w:p>
        </w:tc>
        <w:tc>
          <w:tcPr>
            <w:tcW w:w="1193" w:type="dxa"/>
          </w:tcPr>
          <w:p w14:paraId="7C24C8BD"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 (21.0%)</w:t>
            </w:r>
          </w:p>
          <w:p w14:paraId="2A35FCE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 (9.7%)</w:t>
            </w:r>
          </w:p>
        </w:tc>
        <w:tc>
          <w:tcPr>
            <w:tcW w:w="1193" w:type="dxa"/>
          </w:tcPr>
          <w:p w14:paraId="74335E9D"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 (26%)</w:t>
            </w:r>
          </w:p>
          <w:p w14:paraId="71C1982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0</w:t>
            </w:r>
          </w:p>
        </w:tc>
      </w:tr>
      <w:tr w:rsidR="00983A37" w:rsidRPr="00CA23AA" w14:paraId="3C017DEA" w14:textId="77777777" w:rsidTr="00594907">
        <w:tc>
          <w:tcPr>
            <w:tcW w:w="3615" w:type="dxa"/>
          </w:tcPr>
          <w:p w14:paraId="0A0A1F50" w14:textId="77777777" w:rsidR="00983A37" w:rsidRPr="00CA23AA" w:rsidRDefault="00983A37" w:rsidP="008C1144">
            <w:pPr>
              <w:tabs>
                <w:tab w:val="left" w:pos="2297"/>
                <w:tab w:val="left" w:pos="3292"/>
              </w:tabs>
              <w:spacing w:before="40" w:after="40"/>
              <w:ind w:left="451"/>
              <w:rPr>
                <w:rFonts w:ascii="Arial Narrow" w:hAnsi="Arial Narrow" w:cs="Times New Roman"/>
                <w:sz w:val="20"/>
                <w:szCs w:val="20"/>
              </w:rPr>
            </w:pPr>
            <w:r w:rsidRPr="00CA23AA">
              <w:rPr>
                <w:rFonts w:ascii="Arial Narrow" w:hAnsi="Arial Narrow" w:cs="Times New Roman"/>
                <w:sz w:val="20"/>
                <w:szCs w:val="20"/>
              </w:rPr>
              <w:t>Median days (range):</w:t>
            </w:r>
            <w:r w:rsidRPr="00CA23AA">
              <w:rPr>
                <w:rFonts w:ascii="Times New Roman" w:hAnsi="Times New Roman" w:cs="Times New Roman"/>
                <w:sz w:val="20"/>
                <w:szCs w:val="20"/>
              </w:rPr>
              <w:tab/>
            </w:r>
            <w:r w:rsidRPr="00CA23AA">
              <w:rPr>
                <w:rFonts w:ascii="Arial Narrow" w:hAnsi="Arial Narrow" w:cs="Times New Roman"/>
                <w:sz w:val="20"/>
                <w:szCs w:val="20"/>
              </w:rPr>
              <w:t>Time to onset</w:t>
            </w:r>
          </w:p>
          <w:p w14:paraId="415FF077" w14:textId="77777777" w:rsidR="00983A37" w:rsidRPr="00CA23AA" w:rsidRDefault="00983A37" w:rsidP="008C1144">
            <w:pPr>
              <w:tabs>
                <w:tab w:val="left" w:pos="2297"/>
                <w:tab w:val="left" w:pos="3292"/>
              </w:tabs>
              <w:spacing w:before="40" w:after="40"/>
              <w:ind w:left="310"/>
              <w:rPr>
                <w:rFonts w:ascii="Arial Narrow" w:hAnsi="Arial Narrow" w:cs="Times New Roman"/>
                <w:sz w:val="20"/>
                <w:szCs w:val="20"/>
              </w:rPr>
            </w:pPr>
            <w:r w:rsidRPr="00CA23AA">
              <w:rPr>
                <w:rFonts w:ascii="Arial Narrow" w:hAnsi="Arial Narrow" w:cs="Times New Roman"/>
                <w:sz w:val="20"/>
                <w:szCs w:val="20"/>
              </w:rPr>
              <w:tab/>
              <w:t>Duration</w:t>
            </w:r>
          </w:p>
        </w:tc>
        <w:tc>
          <w:tcPr>
            <w:tcW w:w="1401" w:type="dxa"/>
          </w:tcPr>
          <w:p w14:paraId="1898EC1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 (2–489)</w:t>
            </w:r>
          </w:p>
          <w:p w14:paraId="3DA6B0B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 (NR)</w:t>
            </w:r>
          </w:p>
        </w:tc>
        <w:tc>
          <w:tcPr>
            <w:tcW w:w="1193" w:type="dxa"/>
            <w:tcBorders>
              <w:bottom w:val="single" w:sz="4" w:space="0" w:color="auto"/>
            </w:tcBorders>
            <w:shd w:val="solid" w:color="000000" w:fill="000000"/>
          </w:tcPr>
          <w:p w14:paraId="31242A3C" w14:textId="48703D59"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pacing w:val="84"/>
                <w:sz w:val="20"/>
                <w:szCs w:val="20"/>
                <w:shd w:val="solid" w:color="000000" w:fill="000000"/>
                <w:fitText w:val="170" w:id="-1161539839"/>
                <w14:textFill>
                  <w14:solidFill>
                    <w14:srgbClr w14:val="000000">
                      <w14:alpha w14:val="100000"/>
                    </w14:srgbClr>
                  </w14:solidFill>
                </w14:textFill>
              </w:rPr>
              <w:t>|</w:t>
            </w:r>
            <w:r w:rsidRPr="00594907">
              <w:rPr>
                <w:rFonts w:ascii="Arial Narrow" w:hAnsi="Arial Narrow" w:cs="Times New Roman"/>
                <w:color w:val="000000"/>
                <w:sz w:val="20"/>
                <w:szCs w:val="20"/>
                <w:shd w:val="solid" w:color="000000" w:fill="000000"/>
                <w:fitText w:val="170" w:id="-1161539839"/>
                <w14:textFill>
                  <w14:solidFill>
                    <w14:srgbClr w14:val="000000">
                      <w14:alpha w14:val="100000"/>
                    </w14:srgbClr>
                  </w14:solidFill>
                </w14:textFill>
              </w:rPr>
              <w:t>|</w:t>
            </w:r>
          </w:p>
        </w:tc>
        <w:tc>
          <w:tcPr>
            <w:tcW w:w="1193" w:type="dxa"/>
          </w:tcPr>
          <w:p w14:paraId="53750C9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 (1–80)</w:t>
            </w:r>
          </w:p>
          <w:p w14:paraId="4C712A6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 (1–94)</w:t>
            </w:r>
          </w:p>
        </w:tc>
        <w:tc>
          <w:tcPr>
            <w:tcW w:w="1193" w:type="dxa"/>
          </w:tcPr>
          <w:p w14:paraId="2C740BE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AF8908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 (3–25)</w:t>
            </w:r>
          </w:p>
          <w:p w14:paraId="2CCC6F9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 (1–203)</w:t>
            </w:r>
          </w:p>
        </w:tc>
        <w:tc>
          <w:tcPr>
            <w:tcW w:w="1193" w:type="dxa"/>
          </w:tcPr>
          <w:p w14:paraId="39E0EB4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4AE3E2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 (4–65)</w:t>
            </w:r>
          </w:p>
        </w:tc>
        <w:tc>
          <w:tcPr>
            <w:tcW w:w="1193" w:type="dxa"/>
          </w:tcPr>
          <w:p w14:paraId="2B93760D"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 (1–15)</w:t>
            </w:r>
          </w:p>
        </w:tc>
        <w:tc>
          <w:tcPr>
            <w:tcW w:w="1193" w:type="dxa"/>
          </w:tcPr>
          <w:p w14:paraId="53248B5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11EEA18D" w14:textId="77777777" w:rsidTr="00594907">
        <w:tc>
          <w:tcPr>
            <w:tcW w:w="3615" w:type="dxa"/>
          </w:tcPr>
          <w:p w14:paraId="20484B88" w14:textId="77777777" w:rsidR="00983A37" w:rsidRPr="00CA23AA" w:rsidRDefault="00983A37" w:rsidP="008C1144">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Infections:</w:t>
            </w:r>
            <w:r w:rsidRPr="00CA23AA">
              <w:rPr>
                <w:rFonts w:ascii="Times New Roman" w:hAnsi="Times New Roman" w:cs="Times New Roman"/>
                <w:sz w:val="20"/>
                <w:szCs w:val="20"/>
              </w:rPr>
              <w:tab/>
            </w:r>
            <w:r w:rsidRPr="00CA23AA">
              <w:rPr>
                <w:rFonts w:ascii="Arial Narrow" w:hAnsi="Arial Narrow" w:cs="Times New Roman"/>
                <w:sz w:val="20"/>
                <w:szCs w:val="20"/>
              </w:rPr>
              <w:t>Any grade</w:t>
            </w:r>
          </w:p>
          <w:p w14:paraId="10866BDD" w14:textId="77777777" w:rsidR="00983A37" w:rsidRPr="00CA23AA" w:rsidRDefault="00983A37" w:rsidP="008C1144">
            <w:pPr>
              <w:tabs>
                <w:tab w:val="left" w:pos="2297"/>
                <w:tab w:val="left" w:pos="3292"/>
              </w:tabs>
              <w:spacing w:before="40" w:after="40"/>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0FE4AD6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42.0% (41–43)</w:t>
            </w:r>
          </w:p>
          <w:p w14:paraId="52DCA05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18.2% (11–24)</w:t>
            </w:r>
          </w:p>
        </w:tc>
        <w:tc>
          <w:tcPr>
            <w:tcW w:w="1193" w:type="dxa"/>
            <w:tcBorders>
              <w:bottom w:val="single" w:sz="4" w:space="0" w:color="auto"/>
            </w:tcBorders>
            <w:shd w:val="solid" w:color="000000" w:fill="000000"/>
          </w:tcPr>
          <w:p w14:paraId="74FFAFE6" w14:textId="503AE44B"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100BEE4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118 (46.3%)</w:t>
            </w:r>
          </w:p>
        </w:tc>
        <w:tc>
          <w:tcPr>
            <w:tcW w:w="1193" w:type="dxa"/>
          </w:tcPr>
          <w:p w14:paraId="34C1375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375EA9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73 (40.3%)</w:t>
            </w:r>
          </w:p>
        </w:tc>
        <w:tc>
          <w:tcPr>
            <w:tcW w:w="1193" w:type="dxa"/>
          </w:tcPr>
          <w:p w14:paraId="0DB65E3B"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849C52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311CC966"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3867274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10/34 (29%)</w:t>
            </w:r>
          </w:p>
          <w:p w14:paraId="685B4EE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8/34 (24%)</w:t>
            </w:r>
          </w:p>
        </w:tc>
      </w:tr>
      <w:tr w:rsidR="002947C2" w:rsidRPr="00CA23AA" w14:paraId="466DBF9D" w14:textId="77777777" w:rsidTr="00594907">
        <w:tc>
          <w:tcPr>
            <w:tcW w:w="3615" w:type="dxa"/>
          </w:tcPr>
          <w:p w14:paraId="7D2E8019" w14:textId="77777777" w:rsidR="002947C2" w:rsidRPr="00CA23AA" w:rsidRDefault="002947C2" w:rsidP="000C3E79">
            <w:pPr>
              <w:tabs>
                <w:tab w:val="left" w:pos="2297"/>
                <w:tab w:val="left" w:pos="3292"/>
              </w:tabs>
              <w:spacing w:before="40" w:after="40"/>
              <w:ind w:left="166"/>
              <w:rPr>
                <w:rFonts w:ascii="Arial Narrow" w:hAnsi="Arial Narrow" w:cs="Times New Roman"/>
                <w:sz w:val="20"/>
                <w:szCs w:val="20"/>
              </w:rPr>
            </w:pPr>
            <w:r w:rsidRPr="00CA23AA">
              <w:rPr>
                <w:rFonts w:ascii="Arial Narrow" w:hAnsi="Arial Narrow" w:cs="Times New Roman"/>
                <w:sz w:val="20"/>
                <w:szCs w:val="20"/>
              </w:rPr>
              <w:t>Secondary malignancies</w:t>
            </w:r>
          </w:p>
        </w:tc>
        <w:tc>
          <w:tcPr>
            <w:tcW w:w="1401" w:type="dxa"/>
          </w:tcPr>
          <w:p w14:paraId="7BF5486C" w14:textId="77777777"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2.5% (1.3–3.6)</w:t>
            </w:r>
          </w:p>
        </w:tc>
        <w:tc>
          <w:tcPr>
            <w:tcW w:w="1193" w:type="dxa"/>
            <w:tcBorders>
              <w:bottom w:val="single" w:sz="4" w:space="0" w:color="auto"/>
            </w:tcBorders>
            <w:shd w:val="solid" w:color="000000" w:fill="000000"/>
          </w:tcPr>
          <w:p w14:paraId="0BE8557E" w14:textId="17464910" w:rsidR="002947C2" w:rsidRPr="00CA23AA" w:rsidRDefault="00594907" w:rsidP="000C3E79">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6B2478CB" w14:textId="7FB6195E"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 (2.4%)</w:t>
            </w:r>
          </w:p>
        </w:tc>
        <w:tc>
          <w:tcPr>
            <w:tcW w:w="1193" w:type="dxa"/>
          </w:tcPr>
          <w:p w14:paraId="713B0286" w14:textId="77777777"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FDCB567" w14:textId="7AB572ED"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(1.2%)</w:t>
            </w:r>
          </w:p>
        </w:tc>
        <w:tc>
          <w:tcPr>
            <w:tcW w:w="1193" w:type="dxa"/>
          </w:tcPr>
          <w:p w14:paraId="512831D2" w14:textId="77777777"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E0C1371" w14:textId="77777777"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0529AD7" w14:textId="77777777"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C0AD3D6" w14:textId="77777777" w:rsidR="002947C2" w:rsidRPr="00CA23AA" w:rsidRDefault="002947C2" w:rsidP="000C3E79">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33D45B51" w14:textId="77777777" w:rsidTr="00594907">
        <w:tc>
          <w:tcPr>
            <w:tcW w:w="3615" w:type="dxa"/>
          </w:tcPr>
          <w:p w14:paraId="0AB86974" w14:textId="77777777" w:rsidR="00983A37" w:rsidRPr="00CA23AA" w:rsidRDefault="00983A37" w:rsidP="00005C35">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 xml:space="preserve">Haematopoietic </w:t>
            </w:r>
            <w:proofErr w:type="spellStart"/>
            <w:r w:rsidRPr="00CA23AA">
              <w:rPr>
                <w:rFonts w:ascii="Arial Narrow" w:hAnsi="Arial Narrow" w:cs="Times New Roman"/>
                <w:sz w:val="20"/>
                <w:szCs w:val="20"/>
              </w:rPr>
              <w:t>cytopenias</w:t>
            </w:r>
            <w:proofErr w:type="spellEnd"/>
            <w:r w:rsidRPr="00CA23AA">
              <w:rPr>
                <w:rFonts w:ascii="Arial Narrow" w:hAnsi="Arial Narrow" w:cs="Times New Roman"/>
                <w:sz w:val="20"/>
                <w:szCs w:val="20"/>
              </w:rPr>
              <w:tab/>
              <w:t>Any grade</w:t>
            </w:r>
          </w:p>
          <w:p w14:paraId="5FB248B4" w14:textId="77777777" w:rsidR="00983A37" w:rsidRPr="00CA23AA" w:rsidRDefault="00983A37" w:rsidP="00005C35">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(for &gt;28 days)</w:t>
            </w:r>
            <w:r w:rsidRPr="00CA23AA">
              <w:rPr>
                <w:rFonts w:ascii="Arial Narrow" w:hAnsi="Arial Narrow" w:cs="Times New Roman"/>
                <w:sz w:val="20"/>
                <w:szCs w:val="20"/>
              </w:rPr>
              <w:tab/>
              <w:t>Grade 3/4</w:t>
            </w:r>
          </w:p>
        </w:tc>
        <w:tc>
          <w:tcPr>
            <w:tcW w:w="1401" w:type="dxa"/>
          </w:tcPr>
          <w:p w14:paraId="559BF8C2"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42.0% (42–42)</w:t>
            </w:r>
          </w:p>
          <w:p w14:paraId="5BA2FC5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35.0% (34–35)</w:t>
            </w:r>
          </w:p>
        </w:tc>
        <w:tc>
          <w:tcPr>
            <w:tcW w:w="1193" w:type="dxa"/>
            <w:tcBorders>
              <w:bottom w:val="single" w:sz="4" w:space="0" w:color="auto"/>
            </w:tcBorders>
            <w:shd w:val="solid" w:color="000000" w:fill="000000"/>
          </w:tcPr>
          <w:p w14:paraId="16B8B6CF" w14:textId="3985A630" w:rsidR="00983A37" w:rsidRPr="00CA23AA" w:rsidRDefault="00594907" w:rsidP="00983A37">
            <w:pPr>
              <w:spacing w:before="40" w:after="40"/>
              <w:ind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4749E51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71 (27.8%)</w:t>
            </w:r>
          </w:p>
        </w:tc>
        <w:tc>
          <w:tcPr>
            <w:tcW w:w="1193" w:type="dxa"/>
          </w:tcPr>
          <w:p w14:paraId="78E563B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132E3EB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028BBF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65C093A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7ED571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5732FCF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15/23 (65%)</w:t>
            </w:r>
          </w:p>
          <w:p w14:paraId="5A20B53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12/23 (52%)</w:t>
            </w:r>
          </w:p>
        </w:tc>
      </w:tr>
      <w:tr w:rsidR="00983A37" w:rsidRPr="00CA23AA" w14:paraId="088422F6" w14:textId="77777777" w:rsidTr="00594907">
        <w:tc>
          <w:tcPr>
            <w:tcW w:w="3615" w:type="dxa"/>
          </w:tcPr>
          <w:p w14:paraId="74BFFA94" w14:textId="77777777" w:rsidR="00983A37" w:rsidRPr="00CA23AA" w:rsidRDefault="00983A37" w:rsidP="00005C35">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Agammaglobulinemia</w:t>
            </w:r>
            <w:r w:rsidRPr="00CA23AA">
              <w:rPr>
                <w:rFonts w:ascii="Arial Narrow" w:hAnsi="Arial Narrow" w:cs="Times New Roman"/>
                <w:sz w:val="20"/>
                <w:szCs w:val="20"/>
              </w:rPr>
              <w:tab/>
              <w:t>Any grade</w:t>
            </w:r>
          </w:p>
          <w:p w14:paraId="03FCFCE6" w14:textId="77777777" w:rsidR="00983A37" w:rsidRPr="00CA23AA" w:rsidRDefault="00983A37" w:rsidP="00005C35">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1B7EC43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43.4% (42–44)</w:t>
            </w:r>
          </w:p>
          <w:p w14:paraId="693A68D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9.8% (6.4–13)</w:t>
            </w:r>
          </w:p>
        </w:tc>
        <w:tc>
          <w:tcPr>
            <w:tcW w:w="1193" w:type="dxa"/>
            <w:tcBorders>
              <w:bottom w:val="single" w:sz="4" w:space="0" w:color="auto"/>
            </w:tcBorders>
            <w:shd w:val="solid" w:color="000000" w:fill="000000"/>
          </w:tcPr>
          <w:p w14:paraId="00D3F6EA" w14:textId="1B5C33FF"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5EB4327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4200052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15D3526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670D4F6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04ACD4C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56C8BE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603FBEB6"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37B9EAA4" w14:textId="77777777" w:rsidTr="00594907">
        <w:tc>
          <w:tcPr>
            <w:tcW w:w="3615" w:type="dxa"/>
          </w:tcPr>
          <w:p w14:paraId="503DFED9" w14:textId="77777777" w:rsidR="00983A37" w:rsidRPr="00CA23AA" w:rsidRDefault="00983A37" w:rsidP="004C513B">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Tumour lysis syndrome:</w:t>
            </w:r>
            <w:r w:rsidRPr="00CA23AA">
              <w:rPr>
                <w:rFonts w:ascii="Times New Roman" w:hAnsi="Times New Roman" w:cs="Times New Roman"/>
                <w:sz w:val="20"/>
                <w:szCs w:val="20"/>
              </w:rPr>
              <w:tab/>
            </w:r>
            <w:r w:rsidRPr="00CA23AA">
              <w:rPr>
                <w:rFonts w:ascii="Arial Narrow" w:hAnsi="Arial Narrow" w:cs="Times New Roman"/>
                <w:sz w:val="20"/>
                <w:szCs w:val="20"/>
              </w:rPr>
              <w:t>Any grade</w:t>
            </w:r>
          </w:p>
          <w:p w14:paraId="7566AF9C" w14:textId="77777777" w:rsidR="00983A37" w:rsidRPr="00CA23AA" w:rsidRDefault="00983A37" w:rsidP="004C513B">
            <w:pPr>
              <w:tabs>
                <w:tab w:val="left" w:pos="2297"/>
                <w:tab w:val="left" w:pos="3292"/>
              </w:tabs>
              <w:spacing w:before="40" w:after="40"/>
              <w:rPr>
                <w:rFonts w:ascii="Arial Narrow" w:hAnsi="Arial Narrow" w:cs="Times New Roman"/>
                <w:sz w:val="20"/>
                <w:szCs w:val="20"/>
              </w:rPr>
            </w:pPr>
            <w:r w:rsidRPr="00CA23AA">
              <w:rPr>
                <w:rFonts w:ascii="Arial Narrow" w:hAnsi="Arial Narrow" w:cs="Times New Roman"/>
                <w:sz w:val="20"/>
                <w:szCs w:val="20"/>
              </w:rPr>
              <w:tab/>
              <w:t>Grade 3/4</w:t>
            </w:r>
          </w:p>
        </w:tc>
        <w:tc>
          <w:tcPr>
            <w:tcW w:w="1401" w:type="dxa"/>
          </w:tcPr>
          <w:p w14:paraId="7F6BD94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2.8% (1.4–5.1)</w:t>
            </w:r>
          </w:p>
          <w:p w14:paraId="677B37F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2.8% (1.4–5.1)</w:t>
            </w:r>
          </w:p>
        </w:tc>
        <w:tc>
          <w:tcPr>
            <w:tcW w:w="1193" w:type="dxa"/>
            <w:tcBorders>
              <w:bottom w:val="single" w:sz="4" w:space="0" w:color="auto"/>
            </w:tcBorders>
            <w:shd w:val="solid" w:color="000000" w:fill="000000"/>
          </w:tcPr>
          <w:p w14:paraId="7D1E90A3" w14:textId="4C89444D"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189FA6D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3FD14A9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5B28838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13 (7.4%)</w:t>
            </w:r>
          </w:p>
        </w:tc>
        <w:tc>
          <w:tcPr>
            <w:tcW w:w="1193" w:type="dxa"/>
          </w:tcPr>
          <w:p w14:paraId="3C4B0D7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64F666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4F17E8F6"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63510F0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5154897C" w14:textId="77777777" w:rsidTr="00594907">
        <w:tc>
          <w:tcPr>
            <w:tcW w:w="3615" w:type="dxa"/>
          </w:tcPr>
          <w:p w14:paraId="726B556A" w14:textId="77777777" w:rsidR="00983A37" w:rsidRPr="00CA23AA" w:rsidRDefault="00983A37" w:rsidP="00E70470">
            <w:pPr>
              <w:tabs>
                <w:tab w:val="left" w:pos="2297"/>
                <w:tab w:val="left" w:pos="3292"/>
              </w:tabs>
              <w:spacing w:before="40" w:after="40"/>
              <w:rPr>
                <w:rFonts w:ascii="Arial Narrow" w:hAnsi="Arial Narrow" w:cs="Times New Roman"/>
                <w:sz w:val="20"/>
                <w:szCs w:val="20"/>
              </w:rPr>
            </w:pPr>
            <w:r w:rsidRPr="00CA23AA">
              <w:rPr>
                <w:rFonts w:ascii="Arial Narrow" w:hAnsi="Arial Narrow" w:cs="Times New Roman"/>
                <w:b/>
                <w:sz w:val="20"/>
                <w:szCs w:val="20"/>
              </w:rPr>
              <w:t>Deaths</w:t>
            </w:r>
          </w:p>
        </w:tc>
        <w:tc>
          <w:tcPr>
            <w:tcW w:w="1401" w:type="dxa"/>
          </w:tcPr>
          <w:p w14:paraId="1AB8BA6C"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34.0% (13–42)</w:t>
            </w:r>
          </w:p>
        </w:tc>
        <w:tc>
          <w:tcPr>
            <w:tcW w:w="1193" w:type="dxa"/>
            <w:shd w:val="solid" w:color="000000" w:fill="000000"/>
          </w:tcPr>
          <w:p w14:paraId="3BD47EE7" w14:textId="734D3FC0" w:rsidR="00983A37" w:rsidRPr="00CA23AA" w:rsidRDefault="00594907" w:rsidP="00983A37">
            <w:pPr>
              <w:spacing w:before="40" w:after="40"/>
              <w:ind w:left="-57" w:right="-57"/>
              <w:jc w:val="center"/>
              <w:rPr>
                <w:rFonts w:ascii="Arial Narrow" w:hAnsi="Arial Narrow" w:cs="Times New Roman"/>
                <w:sz w:val="20"/>
                <w:szCs w:val="20"/>
              </w:rPr>
            </w:pPr>
            <w:r w:rsidRPr="00594907">
              <w:rPr>
                <w:rFonts w:ascii="Arial Narrow" w:hAnsi="Arial Narrow" w:cs="Times New Roman"/>
                <w:color w:val="000000"/>
                <w:sz w:val="20"/>
                <w:szCs w:val="20"/>
                <w14:textFill>
                  <w14:solidFill>
                    <w14:srgbClr w14:val="000000">
                      <w14:alpha w14:val="100000"/>
                    </w14:srgbClr>
                  </w14:solidFill>
                </w14:textFill>
              </w:rPr>
              <w:t>|</w:t>
            </w:r>
          </w:p>
        </w:tc>
        <w:tc>
          <w:tcPr>
            <w:tcW w:w="1193" w:type="dxa"/>
          </w:tcPr>
          <w:p w14:paraId="62152A3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47 (18.4%)</w:t>
            </w:r>
          </w:p>
        </w:tc>
        <w:tc>
          <w:tcPr>
            <w:tcW w:w="1193" w:type="dxa"/>
          </w:tcPr>
          <w:p w14:paraId="6100CEE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29 (35.8%)</w:t>
            </w:r>
          </w:p>
        </w:tc>
        <w:tc>
          <w:tcPr>
            <w:tcW w:w="1193" w:type="dxa"/>
          </w:tcPr>
          <w:p w14:paraId="770E4EB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51 (27.7%)</w:t>
            </w:r>
          </w:p>
        </w:tc>
        <w:tc>
          <w:tcPr>
            <w:tcW w:w="1193" w:type="dxa"/>
          </w:tcPr>
          <w:p w14:paraId="7AEF3B7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(28.6%)</w:t>
            </w:r>
          </w:p>
        </w:tc>
        <w:tc>
          <w:tcPr>
            <w:tcW w:w="1193" w:type="dxa"/>
          </w:tcPr>
          <w:p w14:paraId="46C934D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13 (26%)</w:t>
            </w:r>
          </w:p>
        </w:tc>
        <w:tc>
          <w:tcPr>
            <w:tcW w:w="1193" w:type="dxa"/>
          </w:tcPr>
          <w:p w14:paraId="2FFD42F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 (9.7%)</w:t>
            </w:r>
          </w:p>
        </w:tc>
        <w:tc>
          <w:tcPr>
            <w:tcW w:w="1193" w:type="dxa"/>
          </w:tcPr>
          <w:p w14:paraId="21FF11A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r>
      <w:tr w:rsidR="00983A37" w:rsidRPr="00CA23AA" w14:paraId="49F0F37B" w14:textId="77777777" w:rsidTr="5BDA8FAD">
        <w:tc>
          <w:tcPr>
            <w:tcW w:w="3615" w:type="dxa"/>
          </w:tcPr>
          <w:p w14:paraId="332B29C6"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Disease progression</w:t>
            </w:r>
          </w:p>
        </w:tc>
        <w:tc>
          <w:tcPr>
            <w:tcW w:w="1401" w:type="dxa"/>
          </w:tcPr>
          <w:p w14:paraId="19EE4E9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26.4% (7.3–39)</w:t>
            </w:r>
          </w:p>
        </w:tc>
        <w:tc>
          <w:tcPr>
            <w:tcW w:w="1193" w:type="dxa"/>
          </w:tcPr>
          <w:p w14:paraId="664A09DD"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41694BA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7F886D3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25 (30.9%)</w:t>
            </w:r>
          </w:p>
        </w:tc>
        <w:tc>
          <w:tcPr>
            <w:tcW w:w="1193" w:type="dxa"/>
          </w:tcPr>
          <w:p w14:paraId="2FD269C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38 (20.7%)</w:t>
            </w:r>
          </w:p>
        </w:tc>
        <w:tc>
          <w:tcPr>
            <w:tcW w:w="1193" w:type="dxa"/>
          </w:tcPr>
          <w:p w14:paraId="363134A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 (21.5%)</w:t>
            </w:r>
          </w:p>
        </w:tc>
        <w:tc>
          <w:tcPr>
            <w:tcW w:w="1193" w:type="dxa"/>
          </w:tcPr>
          <w:p w14:paraId="18BD2B4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NR</w:t>
            </w:r>
          </w:p>
        </w:tc>
        <w:tc>
          <w:tcPr>
            <w:tcW w:w="1193" w:type="dxa"/>
          </w:tcPr>
          <w:p w14:paraId="2C32295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 (6.5%)</w:t>
            </w:r>
          </w:p>
        </w:tc>
        <w:tc>
          <w:tcPr>
            <w:tcW w:w="1193" w:type="dxa"/>
          </w:tcPr>
          <w:p w14:paraId="1B69EE8A"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063FFAED" w14:textId="77777777" w:rsidTr="5BDA8FAD">
        <w:tc>
          <w:tcPr>
            <w:tcW w:w="3615" w:type="dxa"/>
          </w:tcPr>
          <w:p w14:paraId="3BB99D3C"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Non-ALL mortality</w:t>
            </w:r>
          </w:p>
        </w:tc>
        <w:tc>
          <w:tcPr>
            <w:tcW w:w="1401" w:type="dxa"/>
          </w:tcPr>
          <w:p w14:paraId="5AD1E1A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7.5% (5.8–8.9)</w:t>
            </w:r>
          </w:p>
        </w:tc>
        <w:tc>
          <w:tcPr>
            <w:tcW w:w="1193" w:type="dxa"/>
          </w:tcPr>
          <w:p w14:paraId="40CBDD14"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67ED0E52"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0C4B59A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 (4.9%)</w:t>
            </w:r>
          </w:p>
        </w:tc>
        <w:tc>
          <w:tcPr>
            <w:tcW w:w="1193" w:type="dxa"/>
          </w:tcPr>
          <w:p w14:paraId="41BA0FF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13 (7.1%)</w:t>
            </w:r>
          </w:p>
        </w:tc>
        <w:tc>
          <w:tcPr>
            <w:tcW w:w="1193" w:type="dxa"/>
          </w:tcPr>
          <w:p w14:paraId="1A02489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(7.1%)</w:t>
            </w:r>
          </w:p>
        </w:tc>
        <w:tc>
          <w:tcPr>
            <w:tcW w:w="1193" w:type="dxa"/>
          </w:tcPr>
          <w:p w14:paraId="64A7EA53"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18D55CB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(3.2%)</w:t>
            </w:r>
          </w:p>
        </w:tc>
        <w:tc>
          <w:tcPr>
            <w:tcW w:w="1193" w:type="dxa"/>
          </w:tcPr>
          <w:p w14:paraId="4C52241B"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03121F71" w14:textId="77777777" w:rsidTr="5BDA8FAD">
        <w:tc>
          <w:tcPr>
            <w:tcW w:w="3615" w:type="dxa"/>
          </w:tcPr>
          <w:p w14:paraId="5F8A04C7"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Transplantation Complication</w:t>
            </w:r>
          </w:p>
        </w:tc>
        <w:tc>
          <w:tcPr>
            <w:tcW w:w="1401" w:type="dxa"/>
          </w:tcPr>
          <w:p w14:paraId="4CE6265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1.4% (1.3–1.6)</w:t>
            </w:r>
          </w:p>
        </w:tc>
        <w:tc>
          <w:tcPr>
            <w:tcW w:w="1193" w:type="dxa"/>
          </w:tcPr>
          <w:p w14:paraId="345A1F4A"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006F3680"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458A6D1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6A880C1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 (2.7%)</w:t>
            </w:r>
          </w:p>
        </w:tc>
        <w:tc>
          <w:tcPr>
            <w:tcW w:w="1193" w:type="dxa"/>
          </w:tcPr>
          <w:p w14:paraId="0044692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(7.1%)</w:t>
            </w:r>
          </w:p>
        </w:tc>
        <w:tc>
          <w:tcPr>
            <w:tcW w:w="1193" w:type="dxa"/>
          </w:tcPr>
          <w:p w14:paraId="5B83E499"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6DE5A815"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1E6E2870"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0AC81ED8" w14:textId="77777777" w:rsidTr="5BDA8FAD">
        <w:tc>
          <w:tcPr>
            <w:tcW w:w="3615" w:type="dxa"/>
          </w:tcPr>
          <w:p w14:paraId="694CE1DA"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Infection</w:t>
            </w:r>
          </w:p>
        </w:tc>
        <w:tc>
          <w:tcPr>
            <w:tcW w:w="1401" w:type="dxa"/>
          </w:tcPr>
          <w:p w14:paraId="4581640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2.8% (2.5–3.1)</w:t>
            </w:r>
          </w:p>
        </w:tc>
        <w:tc>
          <w:tcPr>
            <w:tcW w:w="1193" w:type="dxa"/>
          </w:tcPr>
          <w:p w14:paraId="0FE8413C"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5C1B4D99"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1E7CC645"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33CEF6D2"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 (2.7%)</w:t>
            </w:r>
          </w:p>
        </w:tc>
        <w:tc>
          <w:tcPr>
            <w:tcW w:w="1193" w:type="dxa"/>
          </w:tcPr>
          <w:p w14:paraId="25DFA12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0F35CD87"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1E1A79A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78B9CBB0"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4B6D44C0" w14:textId="77777777" w:rsidTr="5BDA8FAD">
        <w:tc>
          <w:tcPr>
            <w:tcW w:w="3615" w:type="dxa"/>
          </w:tcPr>
          <w:p w14:paraId="3A53FA58"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Cardiovascular complications</w:t>
            </w:r>
          </w:p>
        </w:tc>
        <w:tc>
          <w:tcPr>
            <w:tcW w:w="1401" w:type="dxa"/>
          </w:tcPr>
          <w:p w14:paraId="42B7CC7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1.4% (1.4–1.6)</w:t>
            </w:r>
          </w:p>
        </w:tc>
        <w:tc>
          <w:tcPr>
            <w:tcW w:w="1193" w:type="dxa"/>
          </w:tcPr>
          <w:p w14:paraId="202B2063"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318629D1"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02FF051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0C72950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(0.5%)</w:t>
            </w:r>
          </w:p>
        </w:tc>
        <w:tc>
          <w:tcPr>
            <w:tcW w:w="1193" w:type="dxa"/>
          </w:tcPr>
          <w:p w14:paraId="22CCE3D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294CE6CB"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063EB97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2F5E303C"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67EAA23E" w14:textId="77777777" w:rsidTr="5BDA8FAD">
        <w:tc>
          <w:tcPr>
            <w:tcW w:w="3615" w:type="dxa"/>
          </w:tcPr>
          <w:p w14:paraId="39F35EDE"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CRS</w:t>
            </w:r>
          </w:p>
        </w:tc>
        <w:tc>
          <w:tcPr>
            <w:tcW w:w="1401" w:type="dxa"/>
          </w:tcPr>
          <w:p w14:paraId="488B3607"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1.4%</w:t>
            </w:r>
          </w:p>
        </w:tc>
        <w:tc>
          <w:tcPr>
            <w:tcW w:w="1193" w:type="dxa"/>
          </w:tcPr>
          <w:p w14:paraId="1FA47A0B"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03EAC720"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60E5C2E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 (2.5%)</w:t>
            </w:r>
          </w:p>
        </w:tc>
        <w:tc>
          <w:tcPr>
            <w:tcW w:w="1193" w:type="dxa"/>
          </w:tcPr>
          <w:p w14:paraId="69732588"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 (1.1</w:t>
            </w:r>
            <w:proofErr w:type="gramStart"/>
            <w:r w:rsidRPr="00CA23AA">
              <w:rPr>
                <w:rFonts w:ascii="Arial Narrow" w:hAnsi="Arial Narrow" w:cs="Times New Roman"/>
                <w:sz w:val="20"/>
                <w:szCs w:val="20"/>
              </w:rPr>
              <w:t>%)*</w:t>
            </w:r>
            <w:proofErr w:type="gramEnd"/>
          </w:p>
        </w:tc>
        <w:tc>
          <w:tcPr>
            <w:tcW w:w="1193" w:type="dxa"/>
          </w:tcPr>
          <w:p w14:paraId="0173B7C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4F5E6AA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(2.0</w:t>
            </w:r>
            <w:proofErr w:type="gramStart"/>
            <w:r w:rsidRPr="00CA23AA">
              <w:rPr>
                <w:rFonts w:ascii="Arial Narrow" w:hAnsi="Arial Narrow" w:cs="Times New Roman"/>
                <w:sz w:val="20"/>
                <w:szCs w:val="20"/>
              </w:rPr>
              <w:t>%)*</w:t>
            </w:r>
            <w:proofErr w:type="gramEnd"/>
          </w:p>
        </w:tc>
        <w:tc>
          <w:tcPr>
            <w:tcW w:w="1193" w:type="dxa"/>
          </w:tcPr>
          <w:p w14:paraId="742E008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23D61B86"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5404734F" w14:textId="77777777" w:rsidTr="5BDA8FAD">
        <w:tc>
          <w:tcPr>
            <w:tcW w:w="3615" w:type="dxa"/>
          </w:tcPr>
          <w:p w14:paraId="2F5F1810"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Neurotoxicity</w:t>
            </w:r>
          </w:p>
        </w:tc>
        <w:tc>
          <w:tcPr>
            <w:tcW w:w="1401" w:type="dxa"/>
          </w:tcPr>
          <w:p w14:paraId="6E2AFB19"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01EFCD65"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67A750F7"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18D9F332"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7C537903"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(0.5</w:t>
            </w:r>
            <w:proofErr w:type="gramStart"/>
            <w:r w:rsidRPr="00CA23AA">
              <w:rPr>
                <w:rFonts w:ascii="Arial Narrow" w:hAnsi="Arial Narrow" w:cs="Times New Roman"/>
                <w:sz w:val="20"/>
                <w:szCs w:val="20"/>
              </w:rPr>
              <w:t>%)*</w:t>
            </w:r>
            <w:proofErr w:type="gramEnd"/>
          </w:p>
        </w:tc>
        <w:tc>
          <w:tcPr>
            <w:tcW w:w="1193" w:type="dxa"/>
          </w:tcPr>
          <w:p w14:paraId="29565C9B"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712B6B2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 (3.9</w:t>
            </w:r>
            <w:proofErr w:type="gramStart"/>
            <w:r w:rsidRPr="00CA23AA">
              <w:rPr>
                <w:rFonts w:ascii="Arial Narrow" w:hAnsi="Arial Narrow" w:cs="Times New Roman"/>
                <w:sz w:val="20"/>
                <w:szCs w:val="20"/>
              </w:rPr>
              <w:t>%)*</w:t>
            </w:r>
            <w:proofErr w:type="gramEnd"/>
          </w:p>
        </w:tc>
        <w:tc>
          <w:tcPr>
            <w:tcW w:w="1193" w:type="dxa"/>
          </w:tcPr>
          <w:p w14:paraId="29BB27B1"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0BEE677A"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07B3DED3" w14:textId="77777777" w:rsidTr="5BDA8FAD">
        <w:tc>
          <w:tcPr>
            <w:tcW w:w="3615" w:type="dxa"/>
          </w:tcPr>
          <w:p w14:paraId="49C87C2F"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 xml:space="preserve">Hemophagocytic </w:t>
            </w:r>
            <w:proofErr w:type="spellStart"/>
            <w:r w:rsidRPr="00CA23AA">
              <w:rPr>
                <w:rFonts w:ascii="Arial Narrow" w:hAnsi="Arial Narrow" w:cs="Times New Roman"/>
                <w:sz w:val="20"/>
                <w:szCs w:val="20"/>
              </w:rPr>
              <w:t>lymphohistiocytosis</w:t>
            </w:r>
            <w:proofErr w:type="spellEnd"/>
          </w:p>
        </w:tc>
        <w:tc>
          <w:tcPr>
            <w:tcW w:w="1401" w:type="dxa"/>
          </w:tcPr>
          <w:p w14:paraId="2B50F2C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5B7EEF72"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2FB4CDDE"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464A953D"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364C2BF6"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233F5E4D"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511172F5"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257409AE"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 (3.2%)</w:t>
            </w:r>
          </w:p>
        </w:tc>
        <w:tc>
          <w:tcPr>
            <w:tcW w:w="1193" w:type="dxa"/>
          </w:tcPr>
          <w:p w14:paraId="6FA42888" w14:textId="77777777" w:rsidR="00983A37" w:rsidRPr="00CA23AA" w:rsidRDefault="00983A37" w:rsidP="00983A37">
            <w:pPr>
              <w:spacing w:before="40" w:after="40"/>
              <w:ind w:left="-57" w:right="-57"/>
              <w:jc w:val="center"/>
              <w:rPr>
                <w:rFonts w:ascii="Arial Narrow" w:hAnsi="Arial Narrow" w:cs="Times New Roman"/>
                <w:sz w:val="20"/>
                <w:szCs w:val="20"/>
              </w:rPr>
            </w:pPr>
          </w:p>
        </w:tc>
      </w:tr>
      <w:tr w:rsidR="00983A37" w:rsidRPr="00CA23AA" w14:paraId="39420638" w14:textId="77777777" w:rsidTr="5BDA8FAD">
        <w:tc>
          <w:tcPr>
            <w:tcW w:w="3615" w:type="dxa"/>
          </w:tcPr>
          <w:p w14:paraId="1A77EA0B" w14:textId="77777777" w:rsidR="00983A37" w:rsidRPr="00CA23AA" w:rsidRDefault="00983A37" w:rsidP="00E70470">
            <w:pPr>
              <w:tabs>
                <w:tab w:val="left" w:pos="2297"/>
                <w:tab w:val="left" w:pos="3292"/>
              </w:tabs>
              <w:spacing w:before="40" w:after="40"/>
              <w:ind w:left="168"/>
              <w:rPr>
                <w:rFonts w:ascii="Arial Narrow" w:hAnsi="Arial Narrow" w:cs="Times New Roman"/>
                <w:sz w:val="20"/>
                <w:szCs w:val="20"/>
              </w:rPr>
            </w:pPr>
            <w:r w:rsidRPr="00CA23AA">
              <w:rPr>
                <w:rFonts w:ascii="Arial Narrow" w:hAnsi="Arial Narrow" w:cs="Times New Roman"/>
                <w:sz w:val="20"/>
                <w:szCs w:val="20"/>
              </w:rPr>
              <w:t>Other</w:t>
            </w:r>
          </w:p>
        </w:tc>
        <w:tc>
          <w:tcPr>
            <w:tcW w:w="1401" w:type="dxa"/>
          </w:tcPr>
          <w:p w14:paraId="055A73FA"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1.9% (1.4–2.5)</w:t>
            </w:r>
          </w:p>
        </w:tc>
        <w:tc>
          <w:tcPr>
            <w:tcW w:w="1193" w:type="dxa"/>
          </w:tcPr>
          <w:p w14:paraId="7A1FF856"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3786F620"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4F9CFF44"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 (2.5%)</w:t>
            </w:r>
          </w:p>
        </w:tc>
        <w:tc>
          <w:tcPr>
            <w:tcW w:w="1193" w:type="dxa"/>
          </w:tcPr>
          <w:p w14:paraId="54F9C525"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0D0CF66F"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4556B992" w14:textId="77777777" w:rsidR="00983A37" w:rsidRPr="00CA23AA" w:rsidRDefault="00983A37" w:rsidP="00983A37">
            <w:pPr>
              <w:spacing w:before="40" w:after="40"/>
              <w:ind w:left="-57" w:right="-57"/>
              <w:jc w:val="center"/>
              <w:rPr>
                <w:rFonts w:ascii="Arial Narrow" w:hAnsi="Arial Narrow" w:cs="Times New Roman"/>
                <w:sz w:val="20"/>
                <w:szCs w:val="20"/>
              </w:rPr>
            </w:pPr>
          </w:p>
        </w:tc>
        <w:tc>
          <w:tcPr>
            <w:tcW w:w="1193" w:type="dxa"/>
          </w:tcPr>
          <w:p w14:paraId="2B19E730" w14:textId="77777777" w:rsidR="00983A37" w:rsidRPr="00CA23AA" w:rsidRDefault="00983A37" w:rsidP="00983A3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w:t>
            </w:r>
          </w:p>
        </w:tc>
        <w:tc>
          <w:tcPr>
            <w:tcW w:w="1193" w:type="dxa"/>
          </w:tcPr>
          <w:p w14:paraId="1BC6EB6A" w14:textId="77777777" w:rsidR="00983A37" w:rsidRPr="00CA23AA" w:rsidRDefault="00983A37" w:rsidP="00983A37">
            <w:pPr>
              <w:spacing w:before="40" w:after="40"/>
              <w:ind w:left="-57" w:right="-57"/>
              <w:jc w:val="center"/>
              <w:rPr>
                <w:rFonts w:ascii="Arial Narrow" w:hAnsi="Arial Narrow" w:cs="Times New Roman"/>
                <w:sz w:val="20"/>
                <w:szCs w:val="20"/>
              </w:rPr>
            </w:pPr>
          </w:p>
        </w:tc>
      </w:tr>
    </w:tbl>
    <w:p w14:paraId="34F55B7A" w14:textId="77777777" w:rsidR="00983A37" w:rsidRPr="00CA23AA" w:rsidRDefault="00983A37" w:rsidP="00983A37">
      <w:pPr>
        <w:pStyle w:val="TableFooter"/>
      </w:pPr>
      <w:r w:rsidRPr="00CA23AA">
        <w:t>*Both patients who died a neurotoxicity event also had grade 5 CRS</w:t>
      </w:r>
    </w:p>
    <w:p w14:paraId="43C31596" w14:textId="433D60BF" w:rsidR="00983A37" w:rsidRPr="00CA23AA" w:rsidRDefault="00983A37" w:rsidP="00983A37">
      <w:pPr>
        <w:pStyle w:val="TableFooter"/>
      </w:pPr>
      <w:r w:rsidRPr="00CA23AA">
        <w:t>AESI = adverse event of special interest; ALL = acute lymphoblastic leukaemia; CRS = cytokine release syndrome; NR = not reported</w:t>
      </w:r>
      <w:r w:rsidR="00A52EFB" w:rsidRPr="00CA23AA">
        <w:t xml:space="preserve">; PRSZT/DRST = </w:t>
      </w:r>
      <w:proofErr w:type="spellStart"/>
      <w:r w:rsidR="00A52EFB" w:rsidRPr="00CA23AA">
        <w:t>Pediatric</w:t>
      </w:r>
      <w:proofErr w:type="spellEnd"/>
      <w:r w:rsidR="00A52EFB" w:rsidRPr="00CA23AA">
        <w:t xml:space="preserve"> Registry for Stem Cell Transplantation and Cell Therapy/German Registry for Stem Cell Transplantation</w:t>
      </w:r>
    </w:p>
    <w:p w14:paraId="77886D39" w14:textId="1857B635" w:rsidR="00983A37" w:rsidRPr="00CA23AA" w:rsidRDefault="00983A37" w:rsidP="20E8DFA8">
      <w:pPr>
        <w:pStyle w:val="TableFooter"/>
      </w:pPr>
      <w:r w:rsidRPr="00CA23AA">
        <w:t xml:space="preserve">Source: </w:t>
      </w:r>
      <w:r w:rsidR="00E730FD" w:rsidRPr="00CA23AA">
        <w:t xml:space="preserve">Commentary Table 17, </w:t>
      </w:r>
      <w:proofErr w:type="spellStart"/>
      <w:r w:rsidR="00E730FD" w:rsidRPr="00CA23AA">
        <w:t>pg</w:t>
      </w:r>
      <w:proofErr w:type="spellEnd"/>
      <w:r w:rsidR="00E730FD" w:rsidRPr="00CA23AA">
        <w:t xml:space="preserve"> 148 of MSAC 1748 </w:t>
      </w:r>
      <w:proofErr w:type="spellStart"/>
      <w:r w:rsidR="00E730FD" w:rsidRPr="00CA23AA">
        <w:t>ADAR+inline</w:t>
      </w:r>
      <w:proofErr w:type="spellEnd"/>
      <w:r w:rsidR="00E730FD" w:rsidRPr="00CA23AA">
        <w:t xml:space="preserve"> commentary</w:t>
      </w:r>
    </w:p>
    <w:p w14:paraId="1DE6C3EF" w14:textId="77777777" w:rsidR="00983A37" w:rsidRPr="00CA23AA" w:rsidRDefault="00983A37" w:rsidP="00B9162C">
      <w:pPr>
        <w:pStyle w:val="TableFooter"/>
        <w:sectPr w:rsidR="00983A37" w:rsidRPr="00CA23AA" w:rsidSect="00983A37">
          <w:headerReference w:type="even" r:id="rId14"/>
          <w:headerReference w:type="default" r:id="rId15"/>
          <w:footerReference w:type="even" r:id="rId16"/>
          <w:footerReference w:type="default" r:id="rId17"/>
          <w:pgSz w:w="16838" w:h="11906" w:orient="landscape"/>
          <w:pgMar w:top="1440" w:right="1440" w:bottom="1440" w:left="1440" w:header="708" w:footer="708" w:gutter="0"/>
          <w:cols w:space="708"/>
          <w:docGrid w:linePitch="360"/>
        </w:sectPr>
      </w:pPr>
    </w:p>
    <w:p w14:paraId="4095589E" w14:textId="47986B2C" w:rsidR="00A63F40" w:rsidRPr="00CA23AA" w:rsidRDefault="00A63F40" w:rsidP="00A63F40">
      <w:bookmarkStart w:id="26" w:name="_Toc69491424"/>
      <w:r w:rsidRPr="00CA23AA">
        <w:t xml:space="preserve">Most studies reported on the incidence of the two </w:t>
      </w:r>
      <w:r w:rsidR="5A086DBC" w:rsidRPr="00CA23AA">
        <w:t>adverse events of special interest (</w:t>
      </w:r>
      <w:r w:rsidRPr="00CA23AA">
        <w:t>AESIs</w:t>
      </w:r>
      <w:r w:rsidR="06E537C7" w:rsidRPr="00CA23AA">
        <w:t>)</w:t>
      </w:r>
      <w:r w:rsidRPr="00CA23AA">
        <w:t xml:space="preserve">, </w:t>
      </w:r>
      <w:r w:rsidR="6059DD3A" w:rsidRPr="00CA23AA">
        <w:t>cytokine release syndrome (</w:t>
      </w:r>
      <w:r w:rsidRPr="00CA23AA">
        <w:t>CRS</w:t>
      </w:r>
      <w:r w:rsidR="10FF40BF" w:rsidRPr="00CA23AA">
        <w:t>)</w:t>
      </w:r>
      <w:r w:rsidRPr="00CA23AA">
        <w:t xml:space="preserve"> and neurotoxicity. The rates of CRS of any grade </w:t>
      </w:r>
      <w:r w:rsidR="00EB9171" w:rsidRPr="00CA23AA">
        <w:t>w</w:t>
      </w:r>
      <w:r w:rsidR="082F2373" w:rsidRPr="00CA23AA">
        <w:t>ere</w:t>
      </w:r>
      <w:r w:rsidRPr="00CA23AA">
        <w:t xml:space="preserve"> similar in the sponsored trials compared with the real-world registries (range 65–78% compared with 59–79%</w:t>
      </w:r>
      <w:r w:rsidR="43EEDED2" w:rsidRPr="00CA23AA">
        <w:t>, respectively</w:t>
      </w:r>
      <w:r w:rsidRPr="00CA23AA">
        <w:t xml:space="preserve">). Grade 5 CRS events causing death were infrequent. Only one of 212 patients (0.5%) treated with TIS in the three sponsored trials, and 3 of 589 patients (0.5%) who were treated with TIS in the real-world studies had fatal CRS. </w:t>
      </w:r>
    </w:p>
    <w:p w14:paraId="3C7584A2" w14:textId="52C1DC00" w:rsidR="00A63F40" w:rsidRPr="00CA23AA" w:rsidRDefault="00A63F40" w:rsidP="00A63F40">
      <w:r w:rsidRPr="00CA23AA">
        <w:t xml:space="preserve">Serious neurological disorders of any grade </w:t>
      </w:r>
      <w:r w:rsidR="00F17BC4" w:rsidRPr="00CA23AA">
        <w:t xml:space="preserve">were reported </w:t>
      </w:r>
      <w:r w:rsidRPr="00CA23AA">
        <w:t>less frequently among patients enrolled in the registries (7–27%) than among patients enrolled in the sponsored trials (30–39%). There ha</w:t>
      </w:r>
      <w:r w:rsidR="382A164E" w:rsidRPr="00CA23AA">
        <w:t>ve</w:t>
      </w:r>
      <w:r w:rsidRPr="00CA23AA">
        <w:t xml:space="preserve"> been two death</w:t>
      </w:r>
      <w:r w:rsidR="682EA9AE" w:rsidRPr="00CA23AA">
        <w:t>s</w:t>
      </w:r>
      <w:r w:rsidRPr="00CA23AA">
        <w:t xml:space="preserve"> attributed to neurotoxicity and both were associated with CRS; one patient enrolled in the PRWCC registry died from cerebral haemorrhage in context of coagulopathy, CRS, and pre-TIS stroke and one patient from the study by </w:t>
      </w:r>
      <w:proofErr w:type="spellStart"/>
      <w:r w:rsidRPr="00CA23AA">
        <w:t>Dou</w:t>
      </w:r>
      <w:r w:rsidR="3CE123E3" w:rsidRPr="00CA23AA">
        <w:t>r</w:t>
      </w:r>
      <w:r w:rsidRPr="00CA23AA">
        <w:t>the</w:t>
      </w:r>
      <w:proofErr w:type="spellEnd"/>
      <w:r w:rsidRPr="00CA23AA">
        <w:t xml:space="preserve"> et al (2021) died from encephalopathy and grade 5 CRS.</w:t>
      </w:r>
    </w:p>
    <w:p w14:paraId="2427B256" w14:textId="249A8B86" w:rsidR="005303E4" w:rsidRPr="00CA23AA" w:rsidRDefault="00F17BC4" w:rsidP="00A63F40">
      <w:r w:rsidRPr="00CA23AA">
        <w:t xml:space="preserve">Additional </w:t>
      </w:r>
      <w:r w:rsidR="005303E4" w:rsidRPr="00CA23AA">
        <w:t xml:space="preserve">malignancies were only </w:t>
      </w:r>
      <w:r w:rsidR="0022656F" w:rsidRPr="00CA23AA">
        <w:t xml:space="preserve">reported in </w:t>
      </w:r>
      <w:r w:rsidR="005303E4" w:rsidRPr="00CA23AA">
        <w:t>two of the sponsored trials and two of the registry studies.</w:t>
      </w:r>
      <w:r w:rsidR="0022656F" w:rsidRPr="00CA23AA">
        <w:t xml:space="preserve"> </w:t>
      </w:r>
      <w:r w:rsidR="002947C2" w:rsidRPr="00CA23AA">
        <w:t>O</w:t>
      </w:r>
      <w:r w:rsidR="00F91E7E" w:rsidRPr="00CA23AA">
        <w:t xml:space="preserve">f the </w:t>
      </w:r>
      <w:r w:rsidR="002947C2" w:rsidRPr="00CA23AA">
        <w:t xml:space="preserve">10 patients recorded as being diagnosed with </w:t>
      </w:r>
      <w:r w:rsidRPr="00CA23AA">
        <w:t xml:space="preserve">other </w:t>
      </w:r>
      <w:r w:rsidR="002947C2" w:rsidRPr="00CA23AA">
        <w:t>malignancies, 5 developed myelodysplastic syndrome</w:t>
      </w:r>
      <w:r w:rsidR="00FB0298" w:rsidRPr="00CA23AA">
        <w:t>, 4 had acute myeloid leukaemia and 1 had glioblastoma multiforme. Only two cases of myelodysplastic syndrome and the case of glioblastoma multiforme were determined to have no causal relationship with TIS. The cause of disease in the remaining seven patients was not discussed in the relevant studies.</w:t>
      </w:r>
      <w:r w:rsidR="004C15FF" w:rsidRPr="00CA23AA">
        <w:t xml:space="preserve"> </w:t>
      </w:r>
      <w:bookmarkStart w:id="27" w:name="_Hlk133494958"/>
      <w:r w:rsidR="004C15FF" w:rsidRPr="00CA23AA">
        <w:t xml:space="preserve">it should be noted that as the follow-up period did not exceed 3 years in any study, </w:t>
      </w:r>
      <w:r w:rsidRPr="00CA23AA">
        <w:t>the incidence of</w:t>
      </w:r>
      <w:r w:rsidR="004C15FF" w:rsidRPr="00CA23AA">
        <w:t xml:space="preserve"> secondary malignancies </w:t>
      </w:r>
      <w:r w:rsidRPr="00CA23AA">
        <w:t>requires</w:t>
      </w:r>
      <w:r w:rsidR="004C15FF" w:rsidRPr="00CA23AA">
        <w:t xml:space="preserve"> longer-term studies</w:t>
      </w:r>
      <w:r w:rsidR="37E15E81" w:rsidRPr="00CA23AA">
        <w:t>.</w:t>
      </w:r>
      <w:bookmarkEnd w:id="27"/>
    </w:p>
    <w:p w14:paraId="122E791D" w14:textId="7CFA2DE4" w:rsidR="00824082" w:rsidRPr="00CA23AA" w:rsidRDefault="00824082" w:rsidP="00A63F40">
      <w:r w:rsidRPr="00CA23AA">
        <w:t>Only one AE was identified as a cause of death in the real-world studies but not in the sponsored trials</w:t>
      </w:r>
      <w:r w:rsidR="76CEFB7F" w:rsidRPr="00CA23AA">
        <w:t xml:space="preserve">: hemophagocytic </w:t>
      </w:r>
      <w:proofErr w:type="spellStart"/>
      <w:r w:rsidR="76CEFB7F" w:rsidRPr="00CA23AA">
        <w:t>lymphohistiocytosis</w:t>
      </w:r>
      <w:proofErr w:type="spellEnd"/>
      <w:r w:rsidR="008C1AE7" w:rsidRPr="00CA23AA">
        <w:t xml:space="preserve"> (</w:t>
      </w:r>
      <w:proofErr w:type="spellStart"/>
      <w:r w:rsidR="008C1AE7" w:rsidRPr="00CA23AA">
        <w:t>Ravich</w:t>
      </w:r>
      <w:proofErr w:type="spellEnd"/>
      <w:r w:rsidR="008C1AE7" w:rsidRPr="00CA23AA">
        <w:t xml:space="preserve"> et al 2022)</w:t>
      </w:r>
      <w:r w:rsidR="00B56F4B" w:rsidRPr="00CA23AA">
        <w:rPr>
          <w:rStyle w:val="FootnoteReference"/>
        </w:rPr>
        <w:t xml:space="preserve"> </w:t>
      </w:r>
      <w:r w:rsidR="00B56F4B" w:rsidRPr="00CA23AA">
        <w:rPr>
          <w:rStyle w:val="FootnoteReference"/>
        </w:rPr>
        <w:footnoteReference w:id="10"/>
      </w:r>
      <w:r w:rsidR="76CEFB7F" w:rsidRPr="00CA23AA">
        <w:t>. I</w:t>
      </w:r>
      <w:r w:rsidRPr="00CA23AA">
        <w:t xml:space="preserve">t </w:t>
      </w:r>
      <w:proofErr w:type="gramStart"/>
      <w:r w:rsidRPr="00CA23AA">
        <w:t>was considered to be</w:t>
      </w:r>
      <w:proofErr w:type="gramEnd"/>
      <w:r w:rsidRPr="00CA23AA">
        <w:t xml:space="preserve"> a contributing factor in the death of several patients who died in the sponsored trials.</w:t>
      </w:r>
    </w:p>
    <w:p w14:paraId="590ECDA0" w14:textId="06D573B9" w:rsidR="00D41B55" w:rsidRPr="00CA23AA" w:rsidRDefault="00A63F40" w:rsidP="00D41B55">
      <w:r w:rsidRPr="00CA23AA">
        <w:t xml:space="preserve">In summary, the registries did not identify any serious or fatal complications associated with TIS therapy that were not identified in the sponsored trials. </w:t>
      </w:r>
      <w:bookmarkStart w:id="28" w:name="_Hlk131166657"/>
      <w:r w:rsidRPr="00CA23AA">
        <w:t>However,</w:t>
      </w:r>
      <w:r w:rsidR="00051672" w:rsidRPr="00CA23AA">
        <w:t xml:space="preserve"> the commentary considered that</w:t>
      </w:r>
      <w:r w:rsidR="00305836" w:rsidRPr="00CA23AA">
        <w:t xml:space="preserve"> due to</w:t>
      </w:r>
      <w:r w:rsidRPr="00CA23AA">
        <w:t xml:space="preserve"> the death of one patient treated with TIS </w:t>
      </w:r>
      <w:r w:rsidR="00824082" w:rsidRPr="00CA23AA">
        <w:t xml:space="preserve">in the real-world setting </w:t>
      </w:r>
      <w:r w:rsidR="4B4FA060" w:rsidRPr="00CA23AA">
        <w:t>from</w:t>
      </w:r>
      <w:r w:rsidRPr="00CA23AA">
        <w:t xml:space="preserve"> </w:t>
      </w:r>
      <w:proofErr w:type="spellStart"/>
      <w:r w:rsidRPr="00CA23AA">
        <w:t>haemophagocytic</w:t>
      </w:r>
      <w:proofErr w:type="spellEnd"/>
      <w:r w:rsidRPr="00CA23AA">
        <w:t xml:space="preserve"> </w:t>
      </w:r>
      <w:proofErr w:type="spellStart"/>
      <w:r w:rsidRPr="00CA23AA">
        <w:t>lymphohistiocytosis</w:t>
      </w:r>
      <w:proofErr w:type="spellEnd"/>
      <w:r w:rsidR="004B78CE" w:rsidRPr="00CA23AA">
        <w:t>,</w:t>
      </w:r>
      <w:r w:rsidR="006630B1" w:rsidRPr="00CA23AA">
        <w:t xml:space="preserve"> which was </w:t>
      </w:r>
      <w:r w:rsidR="004B78CE" w:rsidRPr="00CA23AA">
        <w:t>only</w:t>
      </w:r>
      <w:r w:rsidR="006630B1" w:rsidRPr="00CA23AA">
        <w:t xml:space="preserve"> identified in the sponsored trials</w:t>
      </w:r>
      <w:r w:rsidR="004B78CE" w:rsidRPr="00CA23AA">
        <w:t xml:space="preserve"> as a contributing factor</w:t>
      </w:r>
      <w:r w:rsidRPr="00CA23AA">
        <w:t>,</w:t>
      </w:r>
      <w:r w:rsidR="00305836" w:rsidRPr="00CA23AA">
        <w:t xml:space="preserve"> </w:t>
      </w:r>
      <w:r w:rsidR="00824082" w:rsidRPr="00CA23AA">
        <w:t>should</w:t>
      </w:r>
      <w:r w:rsidR="2770E0D8" w:rsidRPr="00CA23AA">
        <w:t xml:space="preserve"> be</w:t>
      </w:r>
      <w:r w:rsidR="00824082" w:rsidRPr="00CA23AA">
        <w:t xml:space="preserve"> monitor</w:t>
      </w:r>
      <w:r w:rsidR="39330758" w:rsidRPr="00CA23AA">
        <w:t>ed by</w:t>
      </w:r>
      <w:r w:rsidR="00824082" w:rsidRPr="00CA23AA">
        <w:t xml:space="preserve"> registries to ensure it is not a cause for concern.</w:t>
      </w:r>
      <w:bookmarkEnd w:id="28"/>
    </w:p>
    <w:p w14:paraId="7ADC0FBB" w14:textId="57E76C05" w:rsidR="00D41B55" w:rsidRPr="00CA23AA" w:rsidRDefault="00B4073B" w:rsidP="00D41B55">
      <w:r w:rsidRPr="00CA23AA">
        <w:t>The commentary considered</w:t>
      </w:r>
      <w:r w:rsidR="00D41B55" w:rsidRPr="00CA23AA">
        <w:t xml:space="preserve"> that the long-term safety (</w:t>
      </w:r>
      <w:proofErr w:type="gramStart"/>
      <w:r w:rsidR="00D41B55" w:rsidRPr="00CA23AA">
        <w:t>i.e.</w:t>
      </w:r>
      <w:proofErr w:type="gramEnd"/>
      <w:r w:rsidR="00D41B55" w:rsidRPr="00CA23AA">
        <w:t xml:space="preserve"> post 3 years) for adverse events such as secondary malignancies has not yet been established.</w:t>
      </w:r>
      <w:r w:rsidRPr="00CA23AA">
        <w:t xml:space="preserve"> </w:t>
      </w:r>
      <w:bookmarkStart w:id="29" w:name="_Hlk133497243"/>
      <w:r w:rsidR="00D41B55" w:rsidRPr="00CA23AA">
        <w:t xml:space="preserve">Safety data </w:t>
      </w:r>
      <w:r w:rsidR="00C72976" w:rsidRPr="00CA23AA">
        <w:t xml:space="preserve">captured in </w:t>
      </w:r>
      <w:r w:rsidR="00D41B55" w:rsidRPr="00CA23AA">
        <w:t>the Australian registry</w:t>
      </w:r>
      <w:r w:rsidR="005F4081" w:rsidRPr="00CA23AA">
        <w:t xml:space="preserve"> was incomplete and</w:t>
      </w:r>
      <w:r w:rsidR="00D41B55" w:rsidRPr="00CA23AA">
        <w:t xml:space="preserve"> only covered the first 100 days of follow up</w:t>
      </w:r>
      <w:r w:rsidRPr="00CA23AA">
        <w:t>, which does not meet the terms set out in the Deed of Agreement</w:t>
      </w:r>
      <w:r w:rsidR="00D41B55" w:rsidRPr="00CA23AA">
        <w:t xml:space="preserve">. </w:t>
      </w:r>
      <w:bookmarkStart w:id="30" w:name="_Hlk133494843"/>
      <w:r w:rsidRPr="00CA23AA">
        <w:t xml:space="preserve">The deed states that the collection and provision of data to the Registry must include late-onset adverse events. </w:t>
      </w:r>
      <w:bookmarkEnd w:id="29"/>
      <w:r w:rsidR="00D41B55" w:rsidRPr="00CA23AA">
        <w:t xml:space="preserve">The commentary considered the lack of data for late-onset events in the Australian registry to be an issue that should be addressed. </w:t>
      </w:r>
    </w:p>
    <w:bookmarkEnd w:id="30"/>
    <w:p w14:paraId="3717AA01" w14:textId="41EB0F36" w:rsidR="00772829" w:rsidRPr="00CA23AA" w:rsidRDefault="00C36633" w:rsidP="002A18BE">
      <w:pPr>
        <w:pStyle w:val="Heading2"/>
        <w:numPr>
          <w:ilvl w:val="1"/>
          <w:numId w:val="0"/>
        </w:numPr>
      </w:pPr>
      <w:r w:rsidRPr="00CA23AA">
        <w:t>1</w:t>
      </w:r>
      <w:r w:rsidR="000F736C" w:rsidRPr="00CA23AA">
        <w:t>2</w:t>
      </w:r>
      <w:r w:rsidRPr="00CA23AA">
        <w:t>.</w:t>
      </w:r>
      <w:r w:rsidRPr="00CA23AA">
        <w:tab/>
      </w:r>
      <w:r w:rsidR="00772829" w:rsidRPr="00CA23AA">
        <w:t>Comparative effectiveness</w:t>
      </w:r>
      <w:bookmarkEnd w:id="26"/>
    </w:p>
    <w:p w14:paraId="64849AF5" w14:textId="6CB48BC8" w:rsidR="029B00B3" w:rsidRPr="00CA23AA" w:rsidRDefault="029B00B3">
      <w:r w:rsidRPr="00CA23AA">
        <w:t xml:space="preserve">Data from the ABMTRR </w:t>
      </w:r>
      <w:r w:rsidR="07A28A90" w:rsidRPr="00CA23AA">
        <w:t xml:space="preserve">(September 2022) reported that of the </w:t>
      </w:r>
      <w:r w:rsidR="004A710A">
        <w:t>&lt;100</w:t>
      </w:r>
      <w:r w:rsidR="07A28A90" w:rsidRPr="00CA23AA">
        <w:t xml:space="preserve"> patients</w:t>
      </w:r>
      <w:r w:rsidR="00E63EE9" w:rsidRPr="00CA23AA">
        <w:t xml:space="preserve"> </w:t>
      </w:r>
      <w:r w:rsidR="2128A491" w:rsidRPr="00CA23AA">
        <w:t xml:space="preserve">who </w:t>
      </w:r>
      <w:r w:rsidR="00E63EE9" w:rsidRPr="00CA23AA">
        <w:t>received TIS</w:t>
      </w:r>
      <w:r w:rsidR="07A28A90" w:rsidRPr="00CA23AA">
        <w:t xml:space="preserve">, </w:t>
      </w:r>
      <w:r w:rsidR="004A710A">
        <w:t>&lt;100</w:t>
      </w:r>
      <w:r w:rsidR="07A28A90" w:rsidRPr="00CA23AA">
        <w:t xml:space="preserve"> </w:t>
      </w:r>
      <w:r w:rsidR="1509B03C" w:rsidRPr="00CA23AA">
        <w:t>(</w:t>
      </w:r>
      <w:r w:rsidR="00594907" w:rsidRPr="00594907">
        <w:rPr>
          <w:color w:val="000000"/>
          <w:w w:val="88"/>
          <w:shd w:val="solid" w:color="000000" w:fill="000000"/>
          <w:fitText w:val="390" w:id="-1161539838"/>
          <w14:textFill>
            <w14:solidFill>
              <w14:srgbClr w14:val="000000">
                <w14:alpha w14:val="100000"/>
              </w14:srgbClr>
            </w14:solidFill>
          </w14:textFill>
        </w:rPr>
        <w:t>|||</w:t>
      </w:r>
      <w:r w:rsidR="00594907" w:rsidRPr="00594907">
        <w:rPr>
          <w:color w:val="000000"/>
          <w:spacing w:val="2"/>
          <w:w w:val="88"/>
          <w:shd w:val="solid" w:color="000000" w:fill="000000"/>
          <w:fitText w:val="390" w:id="-1161539838"/>
          <w14:textFill>
            <w14:solidFill>
              <w14:srgbClr w14:val="000000">
                <w14:alpha w14:val="100000"/>
              </w14:srgbClr>
            </w14:solidFill>
          </w14:textFill>
        </w:rPr>
        <w:t>|</w:t>
      </w:r>
      <w:r w:rsidR="1509B03C" w:rsidRPr="00CA23AA">
        <w:t xml:space="preserve">%) had data available. Of these, </w:t>
      </w:r>
      <w:r w:rsidR="00594907" w:rsidRPr="00594907">
        <w:rPr>
          <w:color w:val="000000"/>
          <w:w w:val="88"/>
          <w:shd w:val="solid" w:color="000000" w:fill="000000"/>
          <w:fitText w:val="390" w:id="-1161539837"/>
          <w14:textFill>
            <w14:solidFill>
              <w14:srgbClr w14:val="000000">
                <w14:alpha w14:val="100000"/>
              </w14:srgbClr>
            </w14:solidFill>
          </w14:textFill>
        </w:rPr>
        <w:t>|||</w:t>
      </w:r>
      <w:r w:rsidR="00594907" w:rsidRPr="00594907">
        <w:rPr>
          <w:color w:val="000000"/>
          <w:spacing w:val="2"/>
          <w:w w:val="88"/>
          <w:shd w:val="solid" w:color="000000" w:fill="000000"/>
          <w:fitText w:val="390" w:id="-1161539837"/>
          <w14:textFill>
            <w14:solidFill>
              <w14:srgbClr w14:val="000000">
                <w14:alpha w14:val="100000"/>
              </w14:srgbClr>
            </w14:solidFill>
          </w14:textFill>
        </w:rPr>
        <w:t>|</w:t>
      </w:r>
      <w:r w:rsidR="1509B03C" w:rsidRPr="00CA23AA">
        <w:t xml:space="preserve"> (</w:t>
      </w:r>
      <w:r w:rsidR="00594907" w:rsidRPr="00594907">
        <w:rPr>
          <w:color w:val="000000"/>
          <w:w w:val="88"/>
          <w:shd w:val="solid" w:color="000000" w:fill="000000"/>
          <w:fitText w:val="390" w:id="-1161539836"/>
          <w14:textFill>
            <w14:solidFill>
              <w14:srgbClr w14:val="000000">
                <w14:alpha w14:val="100000"/>
              </w14:srgbClr>
            </w14:solidFill>
          </w14:textFill>
        </w:rPr>
        <w:t>|||</w:t>
      </w:r>
      <w:r w:rsidR="00594907" w:rsidRPr="00594907">
        <w:rPr>
          <w:color w:val="000000"/>
          <w:spacing w:val="2"/>
          <w:w w:val="88"/>
          <w:shd w:val="solid" w:color="000000" w:fill="000000"/>
          <w:fitText w:val="390" w:id="-1161539836"/>
          <w14:textFill>
            <w14:solidFill>
              <w14:srgbClr w14:val="000000">
                <w14:alpha w14:val="100000"/>
              </w14:srgbClr>
            </w14:solidFill>
          </w14:textFill>
        </w:rPr>
        <w:t>|</w:t>
      </w:r>
      <w:r w:rsidR="1509B03C" w:rsidRPr="00CA23AA">
        <w:t>%) had achieved</w:t>
      </w:r>
      <w:r w:rsidR="07A28A90" w:rsidRPr="00CA23AA">
        <w:t xml:space="preserve"> </w:t>
      </w:r>
      <w:r w:rsidR="1509B03C" w:rsidRPr="00CA23AA">
        <w:t>complete remission</w:t>
      </w:r>
      <w:r w:rsidR="0C8C6562" w:rsidRPr="00CA23AA">
        <w:t xml:space="preserve"> (ADAR </w:t>
      </w:r>
      <w:r w:rsidR="406ECB71" w:rsidRPr="00CA23AA">
        <w:t xml:space="preserve">1748, </w:t>
      </w:r>
      <w:r w:rsidR="0C8C6562" w:rsidRPr="00CA23AA">
        <w:t>Table 2.4-4)</w:t>
      </w:r>
      <w:r w:rsidR="7504D125" w:rsidRPr="00CA23AA">
        <w:t>.</w:t>
      </w:r>
    </w:p>
    <w:p w14:paraId="6F58B5C2" w14:textId="28B430B6" w:rsidR="00477D93" w:rsidRPr="00CA23AA" w:rsidRDefault="00951050" w:rsidP="00477D93">
      <w:r w:rsidRPr="00CA23AA">
        <w:t>The updated</w:t>
      </w:r>
      <w:r w:rsidR="00FD3C21" w:rsidRPr="00CA23AA">
        <w:t xml:space="preserve"> pooled</w:t>
      </w:r>
      <w:r w:rsidRPr="00CA23AA">
        <w:t xml:space="preserve"> </w:t>
      </w:r>
      <w:r w:rsidR="00B80DB5" w:rsidRPr="00CA23AA">
        <w:t xml:space="preserve">estimates </w:t>
      </w:r>
      <w:r w:rsidR="00FC10F5" w:rsidRPr="00CA23AA">
        <w:t xml:space="preserve">presented by the ADAR </w:t>
      </w:r>
      <w:r w:rsidR="00FD3C21" w:rsidRPr="00CA23AA">
        <w:t>only included results from ELIANA and ENSIGN and did not include those from B200</w:t>
      </w:r>
      <w:r w:rsidR="005E189E" w:rsidRPr="00CA23AA">
        <w:t>1</w:t>
      </w:r>
      <w:r w:rsidR="00FD3C21" w:rsidRPr="00CA23AA">
        <w:t>X</w:t>
      </w:r>
      <w:r w:rsidR="00B40799" w:rsidRPr="00CA23AA">
        <w:t xml:space="preserve"> </w:t>
      </w:r>
      <w:r w:rsidR="00F263AE" w:rsidRPr="00CA23AA">
        <w:t xml:space="preserve">as it was stated that this study was mainly conducted for safety data and has not been peer reviewed </w:t>
      </w:r>
      <w:r w:rsidR="00B40799" w:rsidRPr="00CA23AA">
        <w:t>(</w:t>
      </w:r>
      <w:r w:rsidR="00B80AB6" w:rsidRPr="00CA23AA">
        <w:fldChar w:fldCharType="begin"/>
      </w:r>
      <w:r w:rsidR="00B80AB6" w:rsidRPr="00CA23AA">
        <w:instrText xml:space="preserve"> REF _Ref134060411 \h </w:instrText>
      </w:r>
      <w:r w:rsidR="00CA23AA">
        <w:instrText xml:space="preserve"> \* MERGEFORMAT </w:instrText>
      </w:r>
      <w:r w:rsidR="00B80AB6" w:rsidRPr="00CA23AA">
        <w:fldChar w:fldCharType="separate"/>
      </w:r>
      <w:r w:rsidR="00175880" w:rsidRPr="00CA23AA">
        <w:t xml:space="preserve">Table </w:t>
      </w:r>
      <w:r w:rsidR="00175880" w:rsidRPr="00CA23AA">
        <w:rPr>
          <w:noProof/>
        </w:rPr>
        <w:t>5</w:t>
      </w:r>
      <w:r w:rsidR="00B80AB6" w:rsidRPr="00CA23AA">
        <w:fldChar w:fldCharType="end"/>
      </w:r>
      <w:r w:rsidR="00883110" w:rsidRPr="00CA23AA">
        <w:t>)</w:t>
      </w:r>
      <w:r w:rsidR="00F91A79" w:rsidRPr="00CA23AA">
        <w:t>.</w:t>
      </w:r>
      <w:r w:rsidR="0035496E" w:rsidRPr="00CA23AA">
        <w:t xml:space="preserve"> </w:t>
      </w:r>
      <w:r w:rsidR="00424E96" w:rsidRPr="00CA23AA">
        <w:rPr>
          <w:i/>
          <w:iCs/>
        </w:rPr>
        <w:t>ESC noted t</w:t>
      </w:r>
      <w:r w:rsidR="0035496E" w:rsidRPr="00CA23AA">
        <w:rPr>
          <w:i/>
          <w:iCs/>
        </w:rPr>
        <w:t xml:space="preserve">he </w:t>
      </w:r>
      <w:r w:rsidR="00777437" w:rsidRPr="00CA23AA">
        <w:rPr>
          <w:i/>
          <w:iCs/>
        </w:rPr>
        <w:t xml:space="preserve">updated estimates </w:t>
      </w:r>
      <w:r w:rsidR="00424E96" w:rsidRPr="00CA23AA">
        <w:rPr>
          <w:i/>
          <w:iCs/>
        </w:rPr>
        <w:t>were</w:t>
      </w:r>
      <w:r w:rsidR="00777437" w:rsidRPr="00CA23AA">
        <w:rPr>
          <w:i/>
          <w:iCs/>
        </w:rPr>
        <w:t xml:space="preserve"> </w:t>
      </w:r>
      <w:proofErr w:type="gramStart"/>
      <w:r w:rsidR="00777437" w:rsidRPr="00CA23AA">
        <w:rPr>
          <w:i/>
          <w:iCs/>
        </w:rPr>
        <w:t>similar to</w:t>
      </w:r>
      <w:proofErr w:type="gramEnd"/>
      <w:r w:rsidR="00777437" w:rsidRPr="00CA23AA">
        <w:rPr>
          <w:i/>
          <w:iCs/>
        </w:rPr>
        <w:t xml:space="preserve"> the estimates previously provided in MSAC 1519 ADAR</w:t>
      </w:r>
      <w:r w:rsidR="007005AB" w:rsidRPr="00CA23AA">
        <w:rPr>
          <w:i/>
          <w:iCs/>
        </w:rPr>
        <w:t xml:space="preserve"> due to </w:t>
      </w:r>
      <w:r w:rsidR="00546778" w:rsidRPr="00CA23AA">
        <w:rPr>
          <w:i/>
          <w:iCs/>
        </w:rPr>
        <w:t>patient loss to follow</w:t>
      </w:r>
      <w:r w:rsidR="008A2912" w:rsidRPr="00CA23AA">
        <w:rPr>
          <w:i/>
          <w:iCs/>
        </w:rPr>
        <w:t xml:space="preserve"> </w:t>
      </w:r>
      <w:r w:rsidR="00546778" w:rsidRPr="00CA23AA">
        <w:rPr>
          <w:i/>
          <w:iCs/>
        </w:rPr>
        <w:t xml:space="preserve">up </w:t>
      </w:r>
      <w:r w:rsidR="008A2912" w:rsidRPr="00CA23AA">
        <w:rPr>
          <w:i/>
          <w:iCs/>
        </w:rPr>
        <w:t>and/or study close.</w:t>
      </w:r>
      <w:r w:rsidR="00F91A79" w:rsidRPr="00CA23AA">
        <w:t xml:space="preserve"> </w:t>
      </w:r>
      <w:r w:rsidR="008510A2" w:rsidRPr="00CA23AA">
        <w:t xml:space="preserve">Estimates </w:t>
      </w:r>
      <w:r w:rsidR="42881D08" w:rsidRPr="00CA23AA">
        <w:t>remain</w:t>
      </w:r>
      <w:r w:rsidR="6E440F7B" w:rsidRPr="00CA23AA">
        <w:t>ed</w:t>
      </w:r>
      <w:r w:rsidR="008510A2" w:rsidRPr="00CA23AA">
        <w:t xml:space="preserve"> relatively </w:t>
      </w:r>
      <w:r w:rsidR="002F0967" w:rsidRPr="00CA23AA">
        <w:t xml:space="preserve">stable with an increase </w:t>
      </w:r>
      <w:r w:rsidR="30BC559E" w:rsidRPr="00CA23AA">
        <w:t xml:space="preserve">in events </w:t>
      </w:r>
      <w:r w:rsidR="005C19B1" w:rsidRPr="00CA23AA">
        <w:t xml:space="preserve">around the 9-month mark for </w:t>
      </w:r>
      <w:r w:rsidR="000624ED" w:rsidRPr="00CA23AA">
        <w:t>e</w:t>
      </w:r>
      <w:r w:rsidR="00D24A56" w:rsidRPr="00CA23AA">
        <w:t>vent</w:t>
      </w:r>
      <w:r w:rsidR="000624ED" w:rsidRPr="00CA23AA">
        <w:t>-f</w:t>
      </w:r>
      <w:r w:rsidR="00D24A56" w:rsidRPr="00CA23AA">
        <w:t xml:space="preserve">ree </w:t>
      </w:r>
      <w:r w:rsidR="000624ED" w:rsidRPr="00CA23AA">
        <w:t>s</w:t>
      </w:r>
      <w:r w:rsidR="00D24A56" w:rsidRPr="00CA23AA">
        <w:t>urvival</w:t>
      </w:r>
      <w:r w:rsidR="000624ED" w:rsidRPr="00CA23AA">
        <w:t xml:space="preserve"> (</w:t>
      </w:r>
      <w:r w:rsidR="005C19B1" w:rsidRPr="00CA23AA">
        <w:t>EFS</w:t>
      </w:r>
      <w:r w:rsidR="000624ED" w:rsidRPr="00CA23AA">
        <w:t>)</w:t>
      </w:r>
      <w:r w:rsidR="005C19B1" w:rsidRPr="00CA23AA">
        <w:t xml:space="preserve"> and</w:t>
      </w:r>
      <w:r w:rsidR="0050438D" w:rsidRPr="00CA23AA">
        <w:t xml:space="preserve"> 18-months for </w:t>
      </w:r>
      <w:r w:rsidR="000624ED" w:rsidRPr="00CA23AA">
        <w:t>overall survival (</w:t>
      </w:r>
      <w:r w:rsidR="0050438D" w:rsidRPr="00CA23AA">
        <w:t>OS</w:t>
      </w:r>
      <w:r w:rsidR="000624ED" w:rsidRPr="00CA23AA">
        <w:t>)</w:t>
      </w:r>
      <w:r w:rsidR="0050438D" w:rsidRPr="00CA23AA">
        <w:t xml:space="preserve"> in the </w:t>
      </w:r>
      <w:r w:rsidR="005044F0" w:rsidRPr="00CA23AA">
        <w:t>f</w:t>
      </w:r>
      <w:r w:rsidR="00351096" w:rsidRPr="00CA23AA">
        <w:t xml:space="preserve">ull </w:t>
      </w:r>
      <w:r w:rsidR="005044F0" w:rsidRPr="00CA23AA">
        <w:t>a</w:t>
      </w:r>
      <w:r w:rsidR="00D24A56" w:rsidRPr="00CA23AA">
        <w:t>nalysis</w:t>
      </w:r>
      <w:r w:rsidR="005044F0" w:rsidRPr="00CA23AA">
        <w:t xml:space="preserve"> s</w:t>
      </w:r>
      <w:r w:rsidR="00D24A56" w:rsidRPr="00CA23AA">
        <w:t>et (</w:t>
      </w:r>
      <w:r w:rsidR="0050438D" w:rsidRPr="00CA23AA">
        <w:t>FAS</w:t>
      </w:r>
      <w:r w:rsidR="00D24A56" w:rsidRPr="00CA23AA">
        <w:t>)</w:t>
      </w:r>
      <w:r w:rsidR="00E76B41" w:rsidRPr="00CA23AA">
        <w:t xml:space="preserve"> – </w:t>
      </w:r>
      <w:r w:rsidR="002E65D4" w:rsidRPr="00CA23AA">
        <w:t>t</w:t>
      </w:r>
      <w:r w:rsidR="00E76B41" w:rsidRPr="00CA23AA">
        <w:t>reated population.</w:t>
      </w:r>
      <w:r w:rsidR="00CE462B" w:rsidRPr="00CA23AA">
        <w:t xml:space="preserve"> Similar results were observed in the </w:t>
      </w:r>
      <w:r w:rsidR="005044F0" w:rsidRPr="00CA23AA">
        <w:t>intention-to-treat (</w:t>
      </w:r>
      <w:r w:rsidR="00CE462B" w:rsidRPr="00CA23AA">
        <w:t>ITT</w:t>
      </w:r>
      <w:r w:rsidR="005044F0" w:rsidRPr="00CA23AA">
        <w:t>)</w:t>
      </w:r>
      <w:r w:rsidR="00CE462B" w:rsidRPr="00CA23AA">
        <w:t xml:space="preserve"> population.</w:t>
      </w:r>
    </w:p>
    <w:p w14:paraId="41712A35" w14:textId="6C2CCE58" w:rsidR="002A46E7" w:rsidRPr="00CA23AA" w:rsidRDefault="00C46F2D" w:rsidP="00814D77">
      <w:pPr>
        <w:pStyle w:val="TableHeading0"/>
        <w:rPr>
          <w:color w:val="2B579A"/>
        </w:rPr>
      </w:pPr>
      <w:r w:rsidRPr="00CA23AA" w:rsidDel="00C46F2D">
        <w:rPr>
          <w:b w:val="0"/>
        </w:rPr>
        <w:t xml:space="preserve"> </w:t>
      </w:r>
      <w:bookmarkStart w:id="31" w:name="_Ref134060411"/>
      <w:r w:rsidR="085EE9B9" w:rsidRPr="00CA23AA">
        <w:t xml:space="preserve">Table </w:t>
      </w:r>
      <w:r w:rsidR="004467D0" w:rsidRPr="00CA23AA">
        <w:fldChar w:fldCharType="begin"/>
      </w:r>
      <w:r w:rsidR="004467D0" w:rsidRPr="00CA23AA">
        <w:instrText>SEQ Table \* ARABIC</w:instrText>
      </w:r>
      <w:r w:rsidR="004467D0" w:rsidRPr="00CA23AA">
        <w:fldChar w:fldCharType="separate"/>
      </w:r>
      <w:r w:rsidR="00175880" w:rsidRPr="00CA23AA">
        <w:rPr>
          <w:noProof/>
        </w:rPr>
        <w:t>5</w:t>
      </w:r>
      <w:r w:rsidR="004467D0" w:rsidRPr="00CA23AA">
        <w:fldChar w:fldCharType="end"/>
      </w:r>
      <w:bookmarkEnd w:id="31"/>
      <w:r w:rsidR="004C6B75" w:rsidRPr="00CA23AA">
        <w:tab/>
      </w:r>
      <w:r w:rsidR="085EE9B9" w:rsidRPr="00CA23AA">
        <w:t>Summary of pooled estimates of EFS and OS</w:t>
      </w:r>
      <w:r w:rsidR="3D0E8379" w:rsidRPr="00CA23AA">
        <w:t xml:space="preserve"> (ELIANA and ENSIGN)</w:t>
      </w:r>
    </w:p>
    <w:tbl>
      <w:tblPr>
        <w:tblStyle w:val="Summarybox1"/>
        <w:tblW w:w="9639" w:type="dxa"/>
        <w:tblLook w:val="04A0" w:firstRow="1" w:lastRow="0" w:firstColumn="1" w:lastColumn="0" w:noHBand="0" w:noVBand="1"/>
      </w:tblPr>
      <w:tblGrid>
        <w:gridCol w:w="1377"/>
        <w:gridCol w:w="1377"/>
        <w:gridCol w:w="1377"/>
        <w:gridCol w:w="1377"/>
        <w:gridCol w:w="1377"/>
        <w:gridCol w:w="1377"/>
        <w:gridCol w:w="1377"/>
      </w:tblGrid>
      <w:tr w:rsidR="002A46E7" w:rsidRPr="00CA23AA" w14:paraId="12BA704D" w14:textId="77777777" w:rsidTr="0017201C">
        <w:trPr>
          <w:trHeight w:val="198"/>
          <w:tblHeader/>
        </w:trPr>
        <w:tc>
          <w:tcPr>
            <w:tcW w:w="1377" w:type="dxa"/>
            <w:vMerge w:val="restart"/>
            <w:noWrap/>
          </w:tcPr>
          <w:p w14:paraId="386EB23D" w14:textId="77777777" w:rsidR="002A46E7" w:rsidRPr="00CA23AA" w:rsidRDefault="002A46E7" w:rsidP="00C07C6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Month</w:t>
            </w:r>
          </w:p>
        </w:tc>
        <w:tc>
          <w:tcPr>
            <w:tcW w:w="4131" w:type="dxa"/>
            <w:gridSpan w:val="3"/>
            <w:noWrap/>
          </w:tcPr>
          <w:p w14:paraId="09B88FBA" w14:textId="77777777" w:rsidR="002A46E7" w:rsidRPr="00CA23AA" w:rsidRDefault="002A46E7" w:rsidP="00C07C6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FAS - Treated</w:t>
            </w:r>
          </w:p>
        </w:tc>
        <w:tc>
          <w:tcPr>
            <w:tcW w:w="4131" w:type="dxa"/>
            <w:gridSpan w:val="3"/>
          </w:tcPr>
          <w:p w14:paraId="086E8394" w14:textId="77777777" w:rsidR="002A46E7" w:rsidRPr="00CA23AA" w:rsidRDefault="002A46E7" w:rsidP="00C07C6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 xml:space="preserve">ITT - Enrolled </w:t>
            </w:r>
          </w:p>
        </w:tc>
      </w:tr>
      <w:tr w:rsidR="00A54A59" w:rsidRPr="00CA23AA" w14:paraId="511D3B95" w14:textId="77777777" w:rsidTr="0017201C">
        <w:trPr>
          <w:trHeight w:val="198"/>
          <w:tblHeader/>
        </w:trPr>
        <w:tc>
          <w:tcPr>
            <w:tcW w:w="1377" w:type="dxa"/>
            <w:vMerge/>
            <w:noWrap/>
            <w:hideMark/>
          </w:tcPr>
          <w:p w14:paraId="157301E8" w14:textId="77777777" w:rsidR="002A46E7" w:rsidRPr="00CA23AA" w:rsidRDefault="002A46E7" w:rsidP="00C07C67">
            <w:pPr>
              <w:spacing w:before="40" w:after="40"/>
              <w:ind w:left="-57" w:right="-57"/>
              <w:jc w:val="center"/>
              <w:rPr>
                <w:rFonts w:ascii="Arial Narrow" w:hAnsi="Arial Narrow" w:cs="Times New Roman"/>
                <w:b/>
                <w:sz w:val="20"/>
                <w:szCs w:val="20"/>
              </w:rPr>
            </w:pPr>
          </w:p>
        </w:tc>
        <w:tc>
          <w:tcPr>
            <w:tcW w:w="1377" w:type="dxa"/>
            <w:shd w:val="clear" w:color="auto" w:fill="DEEAF6" w:themeFill="accent1" w:themeFillTint="33"/>
            <w:noWrap/>
            <w:hideMark/>
          </w:tcPr>
          <w:p w14:paraId="781CE324" w14:textId="4D6E4226" w:rsidR="002A46E7" w:rsidRPr="00CA23AA" w:rsidRDefault="16048CAD" w:rsidP="00C07C67">
            <w:pPr>
              <w:spacing w:before="40" w:after="40"/>
              <w:ind w:left="-57" w:right="-57"/>
              <w:jc w:val="center"/>
              <w:rPr>
                <w:rFonts w:ascii="Arial Narrow" w:hAnsi="Arial Narrow" w:cs="Times New Roman"/>
                <w:b/>
                <w:sz w:val="20"/>
                <w:szCs w:val="20"/>
              </w:rPr>
            </w:pPr>
            <w:r w:rsidRPr="00CA23AA">
              <w:rPr>
                <w:rFonts w:ascii="Arial Narrow" w:hAnsi="Arial Narrow" w:cs="Times New Roman"/>
                <w:b/>
                <w:bCs/>
                <w:sz w:val="20"/>
                <w:szCs w:val="20"/>
              </w:rPr>
              <w:t xml:space="preserve">ADAR 1519 </w:t>
            </w:r>
            <w:r w:rsidR="002A46E7" w:rsidRPr="00CA23AA">
              <w:br/>
            </w:r>
            <w:r w:rsidRPr="00CA23AA">
              <w:rPr>
                <w:rFonts w:ascii="Arial Narrow" w:hAnsi="Arial Narrow" w:cs="Times New Roman"/>
                <w:b/>
                <w:bCs/>
                <w:sz w:val="20"/>
                <w:szCs w:val="20"/>
              </w:rPr>
              <w:t>(November 2018)</w:t>
            </w:r>
          </w:p>
        </w:tc>
        <w:tc>
          <w:tcPr>
            <w:tcW w:w="1377" w:type="dxa"/>
            <w:shd w:val="clear" w:color="auto" w:fill="DEEAF6" w:themeFill="accent1" w:themeFillTint="33"/>
          </w:tcPr>
          <w:p w14:paraId="0742CF52" w14:textId="19EC778F" w:rsidR="002A46E7" w:rsidRPr="00CA23AA" w:rsidRDefault="002A46E7" w:rsidP="00C07C67">
            <w:pPr>
              <w:spacing w:before="40" w:after="40"/>
              <w:ind w:left="-57" w:right="-57"/>
              <w:jc w:val="center"/>
              <w:rPr>
                <w:rFonts w:ascii="Arial Narrow" w:hAnsi="Arial Narrow" w:cs="Times New Roman"/>
                <w:b/>
                <w:sz w:val="20"/>
                <w:szCs w:val="20"/>
              </w:rPr>
            </w:pPr>
            <w:r w:rsidRPr="00CA23AA">
              <w:br/>
            </w:r>
            <w:r w:rsidR="7556FF45" w:rsidRPr="00CA23AA">
              <w:rPr>
                <w:rFonts w:ascii="Arial Narrow" w:hAnsi="Arial Narrow" w:cs="Times New Roman"/>
                <w:b/>
                <w:bCs/>
                <w:sz w:val="20"/>
                <w:szCs w:val="20"/>
              </w:rPr>
              <w:t>ADAR 1519</w:t>
            </w:r>
            <w:r w:rsidRPr="00CA23AA">
              <w:br/>
            </w:r>
            <w:r w:rsidR="60F26C84" w:rsidRPr="00CA23AA">
              <w:rPr>
                <w:rFonts w:ascii="Arial Narrow" w:hAnsi="Arial Narrow" w:cs="Times New Roman"/>
                <w:b/>
                <w:bCs/>
                <w:sz w:val="20"/>
                <w:szCs w:val="20"/>
              </w:rPr>
              <w:t>(March 2019)</w:t>
            </w:r>
          </w:p>
        </w:tc>
        <w:tc>
          <w:tcPr>
            <w:tcW w:w="1377" w:type="dxa"/>
          </w:tcPr>
          <w:p w14:paraId="203C6AD8" w14:textId="1FB374EE" w:rsidR="002A46E7" w:rsidRPr="00CA23AA" w:rsidRDefault="002A46E7" w:rsidP="42666280">
            <w:pPr>
              <w:spacing w:before="40" w:after="40"/>
              <w:ind w:left="-57" w:right="-57"/>
              <w:jc w:val="center"/>
              <w:rPr>
                <w:rFonts w:ascii="Arial Narrow" w:hAnsi="Arial Narrow" w:cs="Times New Roman"/>
                <w:b/>
                <w:bCs/>
                <w:sz w:val="20"/>
                <w:szCs w:val="20"/>
              </w:rPr>
            </w:pPr>
          </w:p>
          <w:p w14:paraId="29183E5A" w14:textId="3F26CDB9" w:rsidR="002A46E7" w:rsidRPr="00CA23AA" w:rsidRDefault="79F85518" w:rsidP="00C07C67">
            <w:pPr>
              <w:spacing w:before="40" w:after="40"/>
              <w:ind w:left="-57" w:right="-57"/>
              <w:jc w:val="center"/>
              <w:rPr>
                <w:rFonts w:ascii="Arial Narrow" w:hAnsi="Arial Narrow" w:cs="Times New Roman"/>
                <w:b/>
                <w:sz w:val="20"/>
                <w:szCs w:val="20"/>
              </w:rPr>
            </w:pPr>
            <w:r w:rsidRPr="00CA23AA">
              <w:rPr>
                <w:rFonts w:ascii="Arial Narrow" w:hAnsi="Arial Narrow" w:cs="Times New Roman"/>
                <w:b/>
                <w:bCs/>
                <w:sz w:val="20"/>
                <w:szCs w:val="20"/>
              </w:rPr>
              <w:t>ADAR 1748</w:t>
            </w:r>
            <w:r w:rsidR="002A46E7" w:rsidRPr="00CA23AA">
              <w:br/>
            </w:r>
            <w:r w:rsidR="59459D13" w:rsidRPr="00CA23AA">
              <w:rPr>
                <w:rFonts w:ascii="Arial Narrow" w:hAnsi="Arial Narrow" w:cs="Times New Roman"/>
                <w:b/>
                <w:bCs/>
                <w:sz w:val="20"/>
                <w:szCs w:val="20"/>
              </w:rPr>
              <w:t>(June 2023)</w:t>
            </w:r>
          </w:p>
        </w:tc>
        <w:tc>
          <w:tcPr>
            <w:tcW w:w="1377" w:type="dxa"/>
            <w:shd w:val="clear" w:color="auto" w:fill="DEEAF6" w:themeFill="accent1" w:themeFillTint="33"/>
          </w:tcPr>
          <w:p w14:paraId="221CDA10" w14:textId="429988FB" w:rsidR="002A46E7" w:rsidRPr="00CA23AA" w:rsidRDefault="2340821F" w:rsidP="00C07C67">
            <w:pPr>
              <w:spacing w:before="40" w:after="40"/>
              <w:ind w:left="-57" w:right="-57"/>
              <w:jc w:val="center"/>
              <w:rPr>
                <w:rFonts w:ascii="Arial Narrow" w:hAnsi="Arial Narrow" w:cs="Times New Roman"/>
                <w:b/>
                <w:sz w:val="20"/>
                <w:szCs w:val="20"/>
              </w:rPr>
            </w:pPr>
            <w:r w:rsidRPr="00CA23AA">
              <w:rPr>
                <w:rFonts w:ascii="Arial Narrow" w:hAnsi="Arial Narrow" w:cs="Times New Roman"/>
                <w:b/>
                <w:bCs/>
                <w:sz w:val="20"/>
                <w:szCs w:val="20"/>
              </w:rPr>
              <w:t>ADAR 1519</w:t>
            </w:r>
            <w:r w:rsidR="002A46E7" w:rsidRPr="00CA23AA">
              <w:br/>
            </w:r>
            <w:r w:rsidR="41DF9CDB" w:rsidRPr="00CA23AA">
              <w:rPr>
                <w:rFonts w:ascii="Arial Narrow" w:hAnsi="Arial Narrow" w:cs="Times New Roman"/>
                <w:b/>
                <w:bCs/>
                <w:sz w:val="20"/>
                <w:szCs w:val="20"/>
              </w:rPr>
              <w:t>(November 2018)</w:t>
            </w:r>
          </w:p>
        </w:tc>
        <w:tc>
          <w:tcPr>
            <w:tcW w:w="1377" w:type="dxa"/>
            <w:shd w:val="clear" w:color="auto" w:fill="DEEAF6" w:themeFill="accent1" w:themeFillTint="33"/>
          </w:tcPr>
          <w:p w14:paraId="47E669B5" w14:textId="1728D9B5" w:rsidR="002A46E7" w:rsidRPr="00CA23AA" w:rsidRDefault="002A46E7" w:rsidP="00C07C67">
            <w:pPr>
              <w:spacing w:before="40" w:after="40"/>
              <w:ind w:left="-57" w:right="-57"/>
              <w:jc w:val="center"/>
              <w:rPr>
                <w:rFonts w:ascii="Arial Narrow" w:hAnsi="Arial Narrow" w:cs="Times New Roman"/>
                <w:b/>
                <w:sz w:val="20"/>
                <w:szCs w:val="20"/>
              </w:rPr>
            </w:pPr>
            <w:r w:rsidRPr="00CA23AA">
              <w:br/>
            </w:r>
            <w:r w:rsidR="34314CED" w:rsidRPr="00CA23AA">
              <w:rPr>
                <w:rFonts w:ascii="Arial Narrow" w:hAnsi="Arial Narrow" w:cs="Times New Roman"/>
                <w:b/>
                <w:bCs/>
                <w:sz w:val="20"/>
                <w:szCs w:val="20"/>
              </w:rPr>
              <w:t>ADAR 1519</w:t>
            </w:r>
            <w:r w:rsidRPr="00CA23AA">
              <w:br/>
            </w:r>
            <w:r w:rsidR="60841F90" w:rsidRPr="00CA23AA">
              <w:rPr>
                <w:rFonts w:ascii="Arial Narrow" w:hAnsi="Arial Narrow" w:cs="Times New Roman"/>
                <w:b/>
                <w:bCs/>
                <w:sz w:val="20"/>
                <w:szCs w:val="20"/>
              </w:rPr>
              <w:t>(March 2019)</w:t>
            </w:r>
          </w:p>
        </w:tc>
        <w:tc>
          <w:tcPr>
            <w:tcW w:w="1377" w:type="dxa"/>
          </w:tcPr>
          <w:p w14:paraId="6D72330C" w14:textId="1534A409" w:rsidR="002A46E7" w:rsidRPr="00CA23AA" w:rsidRDefault="002A46E7" w:rsidP="00C07C67">
            <w:pPr>
              <w:spacing w:before="40" w:after="40"/>
              <w:ind w:left="-57" w:right="-57"/>
              <w:jc w:val="center"/>
              <w:rPr>
                <w:rFonts w:ascii="Arial Narrow" w:hAnsi="Arial Narrow" w:cs="Times New Roman"/>
                <w:b/>
                <w:sz w:val="20"/>
                <w:szCs w:val="20"/>
              </w:rPr>
            </w:pPr>
            <w:r w:rsidRPr="00CA23AA">
              <w:br/>
            </w:r>
            <w:r w:rsidR="4094F4C5" w:rsidRPr="00CA23AA">
              <w:rPr>
                <w:rFonts w:ascii="Arial Narrow" w:hAnsi="Arial Narrow" w:cs="Times New Roman"/>
                <w:b/>
                <w:bCs/>
                <w:sz w:val="20"/>
                <w:szCs w:val="20"/>
              </w:rPr>
              <w:t>ADAR 1748 (June 2023)</w:t>
            </w:r>
          </w:p>
        </w:tc>
      </w:tr>
      <w:tr w:rsidR="002A46E7" w:rsidRPr="00CA23AA" w14:paraId="7CFAFBCB" w14:textId="77777777" w:rsidTr="005C3211">
        <w:trPr>
          <w:trHeight w:val="198"/>
        </w:trPr>
        <w:tc>
          <w:tcPr>
            <w:tcW w:w="9639" w:type="dxa"/>
            <w:gridSpan w:val="7"/>
            <w:noWrap/>
          </w:tcPr>
          <w:p w14:paraId="6983B671" w14:textId="77777777" w:rsidR="002A46E7" w:rsidRPr="00CA23AA" w:rsidRDefault="002A46E7" w:rsidP="004C6B75">
            <w:pPr>
              <w:spacing w:before="40" w:after="40"/>
              <w:ind w:left="-57" w:right="-57"/>
              <w:rPr>
                <w:rFonts w:ascii="Arial Narrow" w:hAnsi="Arial Narrow" w:cs="Times New Roman"/>
                <w:b/>
                <w:sz w:val="20"/>
                <w:szCs w:val="20"/>
              </w:rPr>
            </w:pPr>
            <w:r w:rsidRPr="00CA23AA">
              <w:rPr>
                <w:rFonts w:ascii="Arial Narrow" w:hAnsi="Arial Narrow" w:cs="Times New Roman"/>
                <w:b/>
                <w:sz w:val="20"/>
                <w:szCs w:val="20"/>
              </w:rPr>
              <w:t>EFS</w:t>
            </w:r>
          </w:p>
        </w:tc>
      </w:tr>
      <w:tr w:rsidR="00A54A59" w:rsidRPr="00CA23AA" w14:paraId="00CA5F59" w14:textId="77777777" w:rsidTr="0017201C">
        <w:trPr>
          <w:trHeight w:val="198"/>
        </w:trPr>
        <w:tc>
          <w:tcPr>
            <w:tcW w:w="1377" w:type="dxa"/>
            <w:noWrap/>
            <w:hideMark/>
          </w:tcPr>
          <w:p w14:paraId="439A866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w:t>
            </w:r>
          </w:p>
        </w:tc>
        <w:tc>
          <w:tcPr>
            <w:tcW w:w="1377" w:type="dxa"/>
            <w:shd w:val="clear" w:color="auto" w:fill="DEEAF6" w:themeFill="accent1" w:themeFillTint="33"/>
            <w:noWrap/>
          </w:tcPr>
          <w:p w14:paraId="1A23917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86.86%</w:t>
            </w:r>
          </w:p>
        </w:tc>
        <w:tc>
          <w:tcPr>
            <w:tcW w:w="1377" w:type="dxa"/>
            <w:shd w:val="clear" w:color="auto" w:fill="DEEAF6" w:themeFill="accent1" w:themeFillTint="33"/>
          </w:tcPr>
          <w:p w14:paraId="6190267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86.86%</w:t>
            </w:r>
          </w:p>
        </w:tc>
        <w:tc>
          <w:tcPr>
            <w:tcW w:w="1377" w:type="dxa"/>
          </w:tcPr>
          <w:p w14:paraId="7221ACAD"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86.81%</w:t>
            </w:r>
          </w:p>
        </w:tc>
        <w:tc>
          <w:tcPr>
            <w:tcW w:w="1377" w:type="dxa"/>
            <w:vMerge w:val="restart"/>
            <w:shd w:val="clear" w:color="auto" w:fill="DEEAF6" w:themeFill="accent1" w:themeFillTint="33"/>
          </w:tcPr>
          <w:p w14:paraId="10EA6130"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provided</w:t>
            </w:r>
          </w:p>
        </w:tc>
        <w:tc>
          <w:tcPr>
            <w:tcW w:w="1377" w:type="dxa"/>
            <w:shd w:val="clear" w:color="auto" w:fill="DEEAF6" w:themeFill="accent1" w:themeFillTint="33"/>
          </w:tcPr>
          <w:p w14:paraId="0A9F172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72.35%</w:t>
            </w:r>
          </w:p>
        </w:tc>
        <w:tc>
          <w:tcPr>
            <w:tcW w:w="1377" w:type="dxa"/>
          </w:tcPr>
          <w:p w14:paraId="1446F24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72.25%</w:t>
            </w:r>
          </w:p>
        </w:tc>
      </w:tr>
      <w:tr w:rsidR="002A46E7" w:rsidRPr="00CA23AA" w14:paraId="7711C36D" w14:textId="77777777" w:rsidTr="0017201C">
        <w:trPr>
          <w:trHeight w:val="198"/>
        </w:trPr>
        <w:tc>
          <w:tcPr>
            <w:tcW w:w="1377" w:type="dxa"/>
            <w:noWrap/>
            <w:hideMark/>
          </w:tcPr>
          <w:p w14:paraId="6EB897F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w:t>
            </w:r>
          </w:p>
        </w:tc>
        <w:tc>
          <w:tcPr>
            <w:tcW w:w="1377" w:type="dxa"/>
            <w:shd w:val="clear" w:color="auto" w:fill="DEEAF6" w:themeFill="accent1" w:themeFillTint="33"/>
            <w:noWrap/>
          </w:tcPr>
          <w:p w14:paraId="3AAAFF9A"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77.83%</w:t>
            </w:r>
          </w:p>
        </w:tc>
        <w:tc>
          <w:tcPr>
            <w:tcW w:w="1377" w:type="dxa"/>
            <w:shd w:val="clear" w:color="auto" w:fill="DEEAF6" w:themeFill="accent1" w:themeFillTint="33"/>
          </w:tcPr>
          <w:p w14:paraId="4D1C9BB9"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77.88%</w:t>
            </w:r>
          </w:p>
        </w:tc>
        <w:tc>
          <w:tcPr>
            <w:tcW w:w="1377" w:type="dxa"/>
          </w:tcPr>
          <w:p w14:paraId="5D8EEDC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78.86%</w:t>
            </w:r>
          </w:p>
        </w:tc>
        <w:tc>
          <w:tcPr>
            <w:tcW w:w="1377" w:type="dxa"/>
            <w:vMerge/>
          </w:tcPr>
          <w:p w14:paraId="4F4603BA"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4C09D52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70.41%</w:t>
            </w:r>
          </w:p>
        </w:tc>
        <w:tc>
          <w:tcPr>
            <w:tcW w:w="1377" w:type="dxa"/>
          </w:tcPr>
          <w:p w14:paraId="304235AC"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70.48%</w:t>
            </w:r>
          </w:p>
        </w:tc>
      </w:tr>
      <w:tr w:rsidR="002A46E7" w:rsidRPr="00CA23AA" w14:paraId="13F35B5B" w14:textId="77777777" w:rsidTr="0017201C">
        <w:trPr>
          <w:trHeight w:val="198"/>
        </w:trPr>
        <w:tc>
          <w:tcPr>
            <w:tcW w:w="1377" w:type="dxa"/>
            <w:noWrap/>
            <w:hideMark/>
          </w:tcPr>
          <w:p w14:paraId="7F83126C"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w:t>
            </w:r>
          </w:p>
        </w:tc>
        <w:tc>
          <w:tcPr>
            <w:tcW w:w="1377" w:type="dxa"/>
            <w:shd w:val="clear" w:color="auto" w:fill="DEEAF6" w:themeFill="accent1" w:themeFillTint="33"/>
            <w:noWrap/>
          </w:tcPr>
          <w:p w14:paraId="6266B3B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67.75%</w:t>
            </w:r>
          </w:p>
        </w:tc>
        <w:tc>
          <w:tcPr>
            <w:tcW w:w="1377" w:type="dxa"/>
            <w:shd w:val="clear" w:color="auto" w:fill="DEEAF6" w:themeFill="accent1" w:themeFillTint="33"/>
          </w:tcPr>
          <w:p w14:paraId="190A594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66.97%</w:t>
            </w:r>
          </w:p>
        </w:tc>
        <w:tc>
          <w:tcPr>
            <w:tcW w:w="1377" w:type="dxa"/>
          </w:tcPr>
          <w:p w14:paraId="3D0F45F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69.62%</w:t>
            </w:r>
          </w:p>
        </w:tc>
        <w:tc>
          <w:tcPr>
            <w:tcW w:w="1377" w:type="dxa"/>
            <w:vMerge/>
          </w:tcPr>
          <w:p w14:paraId="0DFCF545"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3C5A234C"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62.07%</w:t>
            </w:r>
          </w:p>
        </w:tc>
        <w:tc>
          <w:tcPr>
            <w:tcW w:w="1377" w:type="dxa"/>
          </w:tcPr>
          <w:p w14:paraId="6908DC2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62.55%</w:t>
            </w:r>
          </w:p>
        </w:tc>
      </w:tr>
      <w:tr w:rsidR="002A46E7" w:rsidRPr="00CA23AA" w14:paraId="58A42ECB" w14:textId="77777777" w:rsidTr="0017201C">
        <w:trPr>
          <w:trHeight w:val="198"/>
        </w:trPr>
        <w:tc>
          <w:tcPr>
            <w:tcW w:w="1377" w:type="dxa"/>
            <w:noWrap/>
            <w:hideMark/>
          </w:tcPr>
          <w:p w14:paraId="7A045D97"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w:t>
            </w:r>
          </w:p>
        </w:tc>
        <w:tc>
          <w:tcPr>
            <w:tcW w:w="1377" w:type="dxa"/>
            <w:shd w:val="clear" w:color="auto" w:fill="DEEAF6" w:themeFill="accent1" w:themeFillTint="33"/>
            <w:noWrap/>
          </w:tcPr>
          <w:p w14:paraId="14875827"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57.31%</w:t>
            </w:r>
          </w:p>
        </w:tc>
        <w:tc>
          <w:tcPr>
            <w:tcW w:w="1377" w:type="dxa"/>
            <w:shd w:val="clear" w:color="auto" w:fill="DEEAF6" w:themeFill="accent1" w:themeFillTint="33"/>
          </w:tcPr>
          <w:p w14:paraId="274D920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56.50%</w:t>
            </w:r>
          </w:p>
        </w:tc>
        <w:tc>
          <w:tcPr>
            <w:tcW w:w="1377" w:type="dxa"/>
          </w:tcPr>
          <w:p w14:paraId="65E809C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60.58%</w:t>
            </w:r>
          </w:p>
        </w:tc>
        <w:tc>
          <w:tcPr>
            <w:tcW w:w="1377" w:type="dxa"/>
            <w:vMerge/>
          </w:tcPr>
          <w:p w14:paraId="11CC256F"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5FC4DCC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52.51%</w:t>
            </w:r>
          </w:p>
        </w:tc>
        <w:tc>
          <w:tcPr>
            <w:tcW w:w="1377" w:type="dxa"/>
          </w:tcPr>
          <w:p w14:paraId="1E55B24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55.24%</w:t>
            </w:r>
          </w:p>
        </w:tc>
      </w:tr>
      <w:tr w:rsidR="002A46E7" w:rsidRPr="00CA23AA" w14:paraId="4DD0B49C" w14:textId="77777777" w:rsidTr="0017201C">
        <w:trPr>
          <w:trHeight w:val="198"/>
        </w:trPr>
        <w:tc>
          <w:tcPr>
            <w:tcW w:w="1377" w:type="dxa"/>
            <w:noWrap/>
            <w:hideMark/>
          </w:tcPr>
          <w:p w14:paraId="2DA4110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12</w:t>
            </w:r>
          </w:p>
        </w:tc>
        <w:tc>
          <w:tcPr>
            <w:tcW w:w="1377" w:type="dxa"/>
            <w:shd w:val="clear" w:color="auto" w:fill="DEEAF6" w:themeFill="accent1" w:themeFillTint="33"/>
            <w:noWrap/>
          </w:tcPr>
          <w:p w14:paraId="0A2D962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51.28%</w:t>
            </w:r>
          </w:p>
        </w:tc>
        <w:tc>
          <w:tcPr>
            <w:tcW w:w="1377" w:type="dxa"/>
            <w:shd w:val="clear" w:color="auto" w:fill="DEEAF6" w:themeFill="accent1" w:themeFillTint="33"/>
          </w:tcPr>
          <w:p w14:paraId="11E7206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51.88%</w:t>
            </w:r>
          </w:p>
        </w:tc>
        <w:tc>
          <w:tcPr>
            <w:tcW w:w="1377" w:type="dxa"/>
          </w:tcPr>
          <w:p w14:paraId="6AD1EF8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56.35%</w:t>
            </w:r>
          </w:p>
        </w:tc>
        <w:tc>
          <w:tcPr>
            <w:tcW w:w="1377" w:type="dxa"/>
            <w:vMerge/>
          </w:tcPr>
          <w:p w14:paraId="12DEA9B2"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0320C63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44.39%</w:t>
            </w:r>
          </w:p>
        </w:tc>
        <w:tc>
          <w:tcPr>
            <w:tcW w:w="1377" w:type="dxa"/>
          </w:tcPr>
          <w:p w14:paraId="1B6005F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48.35%</w:t>
            </w:r>
          </w:p>
        </w:tc>
      </w:tr>
      <w:tr w:rsidR="002A46E7" w:rsidRPr="00CA23AA" w14:paraId="32309015" w14:textId="77777777" w:rsidTr="0017201C">
        <w:trPr>
          <w:trHeight w:val="198"/>
        </w:trPr>
        <w:tc>
          <w:tcPr>
            <w:tcW w:w="1377" w:type="dxa"/>
            <w:noWrap/>
            <w:hideMark/>
          </w:tcPr>
          <w:p w14:paraId="5AADAF2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18</w:t>
            </w:r>
          </w:p>
        </w:tc>
        <w:tc>
          <w:tcPr>
            <w:tcW w:w="1377" w:type="dxa"/>
            <w:shd w:val="clear" w:color="auto" w:fill="DEEAF6" w:themeFill="accent1" w:themeFillTint="33"/>
            <w:noWrap/>
          </w:tcPr>
          <w:p w14:paraId="5424FC8D"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49.45%</w:t>
            </w:r>
          </w:p>
        </w:tc>
        <w:tc>
          <w:tcPr>
            <w:tcW w:w="1377" w:type="dxa"/>
            <w:shd w:val="clear" w:color="auto" w:fill="DEEAF6" w:themeFill="accent1" w:themeFillTint="33"/>
          </w:tcPr>
          <w:p w14:paraId="29F98C7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51.88%</w:t>
            </w:r>
          </w:p>
        </w:tc>
        <w:tc>
          <w:tcPr>
            <w:tcW w:w="1377" w:type="dxa"/>
          </w:tcPr>
          <w:p w14:paraId="658E392C"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53.41%</w:t>
            </w:r>
          </w:p>
        </w:tc>
        <w:tc>
          <w:tcPr>
            <w:tcW w:w="1377" w:type="dxa"/>
            <w:vMerge/>
          </w:tcPr>
          <w:p w14:paraId="1C343091"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1937ED8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43.38%</w:t>
            </w:r>
          </w:p>
        </w:tc>
        <w:tc>
          <w:tcPr>
            <w:tcW w:w="1377" w:type="dxa"/>
          </w:tcPr>
          <w:p w14:paraId="119F955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45.23%</w:t>
            </w:r>
          </w:p>
        </w:tc>
      </w:tr>
      <w:tr w:rsidR="002A46E7" w:rsidRPr="00CA23AA" w14:paraId="22F4CB42" w14:textId="77777777" w:rsidTr="0017201C">
        <w:trPr>
          <w:trHeight w:val="198"/>
        </w:trPr>
        <w:tc>
          <w:tcPr>
            <w:tcW w:w="1377" w:type="dxa"/>
            <w:noWrap/>
            <w:hideMark/>
          </w:tcPr>
          <w:p w14:paraId="0C1443E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24</w:t>
            </w:r>
          </w:p>
        </w:tc>
        <w:tc>
          <w:tcPr>
            <w:tcW w:w="1377" w:type="dxa"/>
            <w:shd w:val="clear" w:color="auto" w:fill="DEEAF6" w:themeFill="accent1" w:themeFillTint="33"/>
            <w:noWrap/>
          </w:tcPr>
          <w:p w14:paraId="007ED430"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49.45%</w:t>
            </w:r>
          </w:p>
        </w:tc>
        <w:tc>
          <w:tcPr>
            <w:tcW w:w="1377" w:type="dxa"/>
            <w:shd w:val="clear" w:color="auto" w:fill="DEEAF6" w:themeFill="accent1" w:themeFillTint="33"/>
          </w:tcPr>
          <w:p w14:paraId="1C9ED6E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49.62%</w:t>
            </w:r>
          </w:p>
        </w:tc>
        <w:tc>
          <w:tcPr>
            <w:tcW w:w="1377" w:type="dxa"/>
          </w:tcPr>
          <w:p w14:paraId="14A849B9"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49.95%</w:t>
            </w:r>
          </w:p>
        </w:tc>
        <w:tc>
          <w:tcPr>
            <w:tcW w:w="1377" w:type="dxa"/>
            <w:vMerge/>
          </w:tcPr>
          <w:p w14:paraId="1720F458"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664AA3A7"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41.10%</w:t>
            </w:r>
          </w:p>
        </w:tc>
        <w:tc>
          <w:tcPr>
            <w:tcW w:w="1377" w:type="dxa"/>
          </w:tcPr>
          <w:p w14:paraId="5875316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42.51%</w:t>
            </w:r>
          </w:p>
        </w:tc>
      </w:tr>
      <w:tr w:rsidR="002A46E7" w:rsidRPr="00CA23AA" w14:paraId="0FD69EF6" w14:textId="77777777" w:rsidTr="0017201C">
        <w:trPr>
          <w:trHeight w:val="198"/>
        </w:trPr>
        <w:tc>
          <w:tcPr>
            <w:tcW w:w="1377" w:type="dxa"/>
            <w:noWrap/>
            <w:hideMark/>
          </w:tcPr>
          <w:p w14:paraId="2426551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30</w:t>
            </w:r>
          </w:p>
        </w:tc>
        <w:tc>
          <w:tcPr>
            <w:tcW w:w="1377" w:type="dxa"/>
            <w:shd w:val="clear" w:color="auto" w:fill="DEEAF6" w:themeFill="accent1" w:themeFillTint="33"/>
            <w:noWrap/>
          </w:tcPr>
          <w:p w14:paraId="6D9BB423"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49.45%</w:t>
            </w:r>
          </w:p>
        </w:tc>
        <w:tc>
          <w:tcPr>
            <w:tcW w:w="1377" w:type="dxa"/>
            <w:shd w:val="clear" w:color="auto" w:fill="DEEAF6" w:themeFill="accent1" w:themeFillTint="33"/>
          </w:tcPr>
          <w:p w14:paraId="095A9FEC"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49.62%</w:t>
            </w:r>
          </w:p>
        </w:tc>
        <w:tc>
          <w:tcPr>
            <w:tcW w:w="1377" w:type="dxa"/>
          </w:tcPr>
          <w:p w14:paraId="74B5E84A"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48.48%</w:t>
            </w:r>
          </w:p>
        </w:tc>
        <w:tc>
          <w:tcPr>
            <w:tcW w:w="1377" w:type="dxa"/>
            <w:vMerge/>
          </w:tcPr>
          <w:p w14:paraId="019D4AA2"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0A44E420"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41.10%</w:t>
            </w:r>
          </w:p>
        </w:tc>
        <w:tc>
          <w:tcPr>
            <w:tcW w:w="1377" w:type="dxa"/>
          </w:tcPr>
          <w:p w14:paraId="0FF046B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41.36%</w:t>
            </w:r>
          </w:p>
        </w:tc>
      </w:tr>
      <w:tr w:rsidR="00A54A59" w:rsidRPr="00CA23AA" w14:paraId="7C61B575" w14:textId="77777777" w:rsidTr="0017201C">
        <w:trPr>
          <w:trHeight w:val="198"/>
        </w:trPr>
        <w:tc>
          <w:tcPr>
            <w:tcW w:w="1377" w:type="dxa"/>
            <w:noWrap/>
            <w:hideMark/>
          </w:tcPr>
          <w:p w14:paraId="379CFA7A"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36</w:t>
            </w:r>
          </w:p>
        </w:tc>
        <w:tc>
          <w:tcPr>
            <w:tcW w:w="1377" w:type="dxa"/>
            <w:vMerge w:val="restart"/>
            <w:shd w:val="clear" w:color="auto" w:fill="DEEAF6" w:themeFill="accent1" w:themeFillTint="33"/>
            <w:noWrap/>
          </w:tcPr>
          <w:p w14:paraId="1C41F7D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available</w:t>
            </w:r>
          </w:p>
        </w:tc>
        <w:tc>
          <w:tcPr>
            <w:tcW w:w="1377" w:type="dxa"/>
            <w:vMerge w:val="restart"/>
            <w:shd w:val="clear" w:color="auto" w:fill="DEEAF6" w:themeFill="accent1" w:themeFillTint="33"/>
          </w:tcPr>
          <w:p w14:paraId="29CEE43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available</w:t>
            </w:r>
          </w:p>
        </w:tc>
        <w:tc>
          <w:tcPr>
            <w:tcW w:w="1377" w:type="dxa"/>
          </w:tcPr>
          <w:p w14:paraId="01156F9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46.97%</w:t>
            </w:r>
          </w:p>
        </w:tc>
        <w:tc>
          <w:tcPr>
            <w:tcW w:w="1377" w:type="dxa"/>
            <w:vMerge/>
          </w:tcPr>
          <w:p w14:paraId="2E66BF62"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val="restart"/>
            <w:shd w:val="clear" w:color="auto" w:fill="DEEAF6" w:themeFill="accent1" w:themeFillTint="33"/>
          </w:tcPr>
          <w:p w14:paraId="36C8F00A"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available</w:t>
            </w:r>
          </w:p>
        </w:tc>
        <w:tc>
          <w:tcPr>
            <w:tcW w:w="1377" w:type="dxa"/>
          </w:tcPr>
          <w:p w14:paraId="55AD820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38.89%</w:t>
            </w:r>
          </w:p>
        </w:tc>
      </w:tr>
      <w:tr w:rsidR="002A46E7" w:rsidRPr="00CA23AA" w14:paraId="4065A0B6" w14:textId="77777777" w:rsidTr="0017201C">
        <w:trPr>
          <w:trHeight w:val="198"/>
        </w:trPr>
        <w:tc>
          <w:tcPr>
            <w:tcW w:w="1377" w:type="dxa"/>
            <w:noWrap/>
            <w:hideMark/>
          </w:tcPr>
          <w:p w14:paraId="4B7B39D2"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42</w:t>
            </w:r>
          </w:p>
        </w:tc>
        <w:tc>
          <w:tcPr>
            <w:tcW w:w="1377" w:type="dxa"/>
            <w:vMerge/>
            <w:noWrap/>
          </w:tcPr>
          <w:p w14:paraId="516611EB"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53CA3C09"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106E130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46.97%</w:t>
            </w:r>
          </w:p>
        </w:tc>
        <w:tc>
          <w:tcPr>
            <w:tcW w:w="1377" w:type="dxa"/>
            <w:vMerge/>
          </w:tcPr>
          <w:p w14:paraId="69DD4471"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68978CC6"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19006D1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38.89%</w:t>
            </w:r>
          </w:p>
        </w:tc>
      </w:tr>
      <w:tr w:rsidR="002A46E7" w:rsidRPr="00CA23AA" w14:paraId="2837A5A8" w14:textId="77777777" w:rsidTr="0017201C">
        <w:trPr>
          <w:trHeight w:val="198"/>
        </w:trPr>
        <w:tc>
          <w:tcPr>
            <w:tcW w:w="1377" w:type="dxa"/>
            <w:noWrap/>
            <w:hideMark/>
          </w:tcPr>
          <w:p w14:paraId="15D3370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48</w:t>
            </w:r>
          </w:p>
        </w:tc>
        <w:tc>
          <w:tcPr>
            <w:tcW w:w="1377" w:type="dxa"/>
            <w:vMerge/>
            <w:noWrap/>
          </w:tcPr>
          <w:p w14:paraId="62F35B10"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2CF96C40"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77BA9B4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41.47%</w:t>
            </w:r>
          </w:p>
        </w:tc>
        <w:tc>
          <w:tcPr>
            <w:tcW w:w="1377" w:type="dxa"/>
            <w:vMerge/>
          </w:tcPr>
          <w:p w14:paraId="4CE2FBCE"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3AE2FCF5"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310F04C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37.39%</w:t>
            </w:r>
          </w:p>
        </w:tc>
      </w:tr>
      <w:tr w:rsidR="002A46E7" w:rsidRPr="00CA23AA" w14:paraId="64B28884" w14:textId="77777777" w:rsidTr="0017201C">
        <w:trPr>
          <w:trHeight w:val="198"/>
        </w:trPr>
        <w:tc>
          <w:tcPr>
            <w:tcW w:w="1377" w:type="dxa"/>
            <w:noWrap/>
            <w:hideMark/>
          </w:tcPr>
          <w:p w14:paraId="79DAE390"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54</w:t>
            </w:r>
          </w:p>
        </w:tc>
        <w:tc>
          <w:tcPr>
            <w:tcW w:w="1377" w:type="dxa"/>
            <w:vMerge/>
            <w:noWrap/>
          </w:tcPr>
          <w:p w14:paraId="5D58FABB"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3997B5AB"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0C2143E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41.47%</w:t>
            </w:r>
          </w:p>
        </w:tc>
        <w:tc>
          <w:tcPr>
            <w:tcW w:w="1377" w:type="dxa"/>
            <w:vMerge/>
          </w:tcPr>
          <w:p w14:paraId="7335D1A5"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72B8AF02"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321EDA89"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34.14%</w:t>
            </w:r>
          </w:p>
        </w:tc>
      </w:tr>
      <w:tr w:rsidR="002A46E7" w:rsidRPr="00CA23AA" w14:paraId="0E6C5F75" w14:textId="77777777" w:rsidTr="0017201C">
        <w:trPr>
          <w:trHeight w:val="198"/>
        </w:trPr>
        <w:tc>
          <w:tcPr>
            <w:tcW w:w="1377" w:type="dxa"/>
            <w:noWrap/>
            <w:hideMark/>
          </w:tcPr>
          <w:p w14:paraId="302C2C7C"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60</w:t>
            </w:r>
          </w:p>
        </w:tc>
        <w:tc>
          <w:tcPr>
            <w:tcW w:w="1377" w:type="dxa"/>
            <w:vMerge/>
            <w:noWrap/>
          </w:tcPr>
          <w:p w14:paraId="29B3668B"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62719FA3"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3C061272"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41.47%</w:t>
            </w:r>
          </w:p>
        </w:tc>
        <w:tc>
          <w:tcPr>
            <w:tcW w:w="1377" w:type="dxa"/>
            <w:vMerge/>
          </w:tcPr>
          <w:p w14:paraId="4FFE7E46"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713F1B9E"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1D13749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34.14%</w:t>
            </w:r>
          </w:p>
        </w:tc>
      </w:tr>
      <w:tr w:rsidR="002A46E7" w:rsidRPr="00CA23AA" w14:paraId="2AEF74EA" w14:textId="77777777" w:rsidTr="005C3211">
        <w:trPr>
          <w:trHeight w:val="198"/>
        </w:trPr>
        <w:tc>
          <w:tcPr>
            <w:tcW w:w="9639" w:type="dxa"/>
            <w:gridSpan w:val="7"/>
            <w:noWrap/>
          </w:tcPr>
          <w:p w14:paraId="6E96D17C" w14:textId="77777777" w:rsidR="002A46E7" w:rsidRPr="00CA23AA" w:rsidRDefault="002A46E7" w:rsidP="004C6B75">
            <w:pPr>
              <w:spacing w:before="40" w:after="40"/>
              <w:ind w:left="-57" w:right="-57"/>
              <w:rPr>
                <w:rFonts w:ascii="Arial Narrow" w:hAnsi="Arial Narrow" w:cs="Times New Roman"/>
                <w:b/>
                <w:sz w:val="20"/>
                <w:szCs w:val="20"/>
              </w:rPr>
            </w:pPr>
            <w:r w:rsidRPr="00CA23AA">
              <w:rPr>
                <w:rFonts w:ascii="Arial Narrow" w:hAnsi="Arial Narrow" w:cs="Times New Roman"/>
                <w:b/>
                <w:sz w:val="20"/>
                <w:szCs w:val="20"/>
              </w:rPr>
              <w:t>OS</w:t>
            </w:r>
          </w:p>
        </w:tc>
      </w:tr>
      <w:tr w:rsidR="00A54A59" w:rsidRPr="00CA23AA" w14:paraId="67499395" w14:textId="77777777" w:rsidTr="0017201C">
        <w:trPr>
          <w:trHeight w:val="198"/>
        </w:trPr>
        <w:tc>
          <w:tcPr>
            <w:tcW w:w="1377" w:type="dxa"/>
            <w:noWrap/>
            <w:hideMark/>
          </w:tcPr>
          <w:p w14:paraId="3F64FA0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w:t>
            </w:r>
          </w:p>
        </w:tc>
        <w:tc>
          <w:tcPr>
            <w:tcW w:w="1377" w:type="dxa"/>
            <w:shd w:val="clear" w:color="auto" w:fill="DEEAF6" w:themeFill="accent1" w:themeFillTint="33"/>
            <w:noWrap/>
          </w:tcPr>
          <w:p w14:paraId="1FD8507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97.03%</w:t>
            </w:r>
          </w:p>
        </w:tc>
        <w:tc>
          <w:tcPr>
            <w:tcW w:w="1377" w:type="dxa"/>
            <w:shd w:val="clear" w:color="auto" w:fill="DEEAF6" w:themeFill="accent1" w:themeFillTint="33"/>
          </w:tcPr>
          <w:p w14:paraId="48936CA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97.03%</w:t>
            </w:r>
          </w:p>
        </w:tc>
        <w:tc>
          <w:tcPr>
            <w:tcW w:w="1377" w:type="dxa"/>
          </w:tcPr>
          <w:p w14:paraId="5ABBF57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97.22%</w:t>
            </w:r>
          </w:p>
        </w:tc>
        <w:tc>
          <w:tcPr>
            <w:tcW w:w="1377" w:type="dxa"/>
            <w:vMerge w:val="restart"/>
            <w:shd w:val="clear" w:color="auto" w:fill="DEEAF6" w:themeFill="accent1" w:themeFillTint="33"/>
          </w:tcPr>
          <w:p w14:paraId="77C4DC4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provided</w:t>
            </w:r>
          </w:p>
        </w:tc>
        <w:tc>
          <w:tcPr>
            <w:tcW w:w="1377" w:type="dxa"/>
            <w:shd w:val="clear" w:color="auto" w:fill="DEEAF6" w:themeFill="accent1" w:themeFillTint="33"/>
          </w:tcPr>
          <w:p w14:paraId="564367E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97.02%</w:t>
            </w:r>
          </w:p>
        </w:tc>
        <w:tc>
          <w:tcPr>
            <w:tcW w:w="1377" w:type="dxa"/>
          </w:tcPr>
          <w:p w14:paraId="72F6207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97.07%</w:t>
            </w:r>
          </w:p>
        </w:tc>
      </w:tr>
      <w:tr w:rsidR="002A46E7" w:rsidRPr="00CA23AA" w14:paraId="5240BEFC" w14:textId="77777777" w:rsidTr="0017201C">
        <w:trPr>
          <w:trHeight w:val="198"/>
        </w:trPr>
        <w:tc>
          <w:tcPr>
            <w:tcW w:w="1377" w:type="dxa"/>
            <w:noWrap/>
            <w:hideMark/>
          </w:tcPr>
          <w:p w14:paraId="0CAFA74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w:t>
            </w:r>
          </w:p>
        </w:tc>
        <w:tc>
          <w:tcPr>
            <w:tcW w:w="1377" w:type="dxa"/>
            <w:shd w:val="clear" w:color="auto" w:fill="DEEAF6" w:themeFill="accent1" w:themeFillTint="33"/>
            <w:noWrap/>
          </w:tcPr>
          <w:p w14:paraId="49B0203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91.51%</w:t>
            </w:r>
          </w:p>
        </w:tc>
        <w:tc>
          <w:tcPr>
            <w:tcW w:w="1377" w:type="dxa"/>
            <w:shd w:val="clear" w:color="auto" w:fill="DEEAF6" w:themeFill="accent1" w:themeFillTint="33"/>
          </w:tcPr>
          <w:p w14:paraId="04D088E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91.58%</w:t>
            </w:r>
          </w:p>
        </w:tc>
        <w:tc>
          <w:tcPr>
            <w:tcW w:w="1377" w:type="dxa"/>
          </w:tcPr>
          <w:p w14:paraId="4F2155E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92.36%</w:t>
            </w:r>
          </w:p>
        </w:tc>
        <w:tc>
          <w:tcPr>
            <w:tcW w:w="1377" w:type="dxa"/>
            <w:vMerge/>
          </w:tcPr>
          <w:p w14:paraId="4CE9FB33"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4756C3C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87.35%</w:t>
            </w:r>
          </w:p>
        </w:tc>
        <w:tc>
          <w:tcPr>
            <w:tcW w:w="1377" w:type="dxa"/>
          </w:tcPr>
          <w:p w14:paraId="66A13A2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88.07%</w:t>
            </w:r>
          </w:p>
        </w:tc>
      </w:tr>
      <w:tr w:rsidR="002A46E7" w:rsidRPr="00CA23AA" w14:paraId="5089953A" w14:textId="77777777" w:rsidTr="0017201C">
        <w:trPr>
          <w:trHeight w:val="198"/>
        </w:trPr>
        <w:tc>
          <w:tcPr>
            <w:tcW w:w="1377" w:type="dxa"/>
            <w:noWrap/>
            <w:hideMark/>
          </w:tcPr>
          <w:p w14:paraId="18EBBB1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w:t>
            </w:r>
          </w:p>
        </w:tc>
        <w:tc>
          <w:tcPr>
            <w:tcW w:w="1377" w:type="dxa"/>
            <w:shd w:val="clear" w:color="auto" w:fill="DEEAF6" w:themeFill="accent1" w:themeFillTint="33"/>
            <w:noWrap/>
          </w:tcPr>
          <w:p w14:paraId="267435C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84.91%</w:t>
            </w:r>
          </w:p>
        </w:tc>
        <w:tc>
          <w:tcPr>
            <w:tcW w:w="1377" w:type="dxa"/>
            <w:shd w:val="clear" w:color="auto" w:fill="DEEAF6" w:themeFill="accent1" w:themeFillTint="33"/>
          </w:tcPr>
          <w:p w14:paraId="533FA20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85.08%</w:t>
            </w:r>
          </w:p>
        </w:tc>
        <w:tc>
          <w:tcPr>
            <w:tcW w:w="1377" w:type="dxa"/>
          </w:tcPr>
          <w:p w14:paraId="4B38C49C"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86.81%</w:t>
            </w:r>
          </w:p>
        </w:tc>
        <w:tc>
          <w:tcPr>
            <w:tcW w:w="1377" w:type="dxa"/>
            <w:vMerge/>
          </w:tcPr>
          <w:p w14:paraId="5BDB6020"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0A038219"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77.09%</w:t>
            </w:r>
          </w:p>
        </w:tc>
        <w:tc>
          <w:tcPr>
            <w:tcW w:w="1377" w:type="dxa"/>
          </w:tcPr>
          <w:p w14:paraId="43A29DB9"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77.82%</w:t>
            </w:r>
          </w:p>
        </w:tc>
      </w:tr>
      <w:tr w:rsidR="002A46E7" w:rsidRPr="00CA23AA" w14:paraId="3B66585F" w14:textId="77777777" w:rsidTr="0017201C">
        <w:trPr>
          <w:trHeight w:val="198"/>
        </w:trPr>
        <w:tc>
          <w:tcPr>
            <w:tcW w:w="1377" w:type="dxa"/>
            <w:noWrap/>
            <w:hideMark/>
          </w:tcPr>
          <w:p w14:paraId="492EB5CD"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9</w:t>
            </w:r>
          </w:p>
        </w:tc>
        <w:tc>
          <w:tcPr>
            <w:tcW w:w="1377" w:type="dxa"/>
            <w:shd w:val="clear" w:color="auto" w:fill="DEEAF6" w:themeFill="accent1" w:themeFillTint="33"/>
            <w:noWrap/>
          </w:tcPr>
          <w:p w14:paraId="20014A3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77.84%</w:t>
            </w:r>
          </w:p>
        </w:tc>
        <w:tc>
          <w:tcPr>
            <w:tcW w:w="1377" w:type="dxa"/>
            <w:shd w:val="clear" w:color="auto" w:fill="DEEAF6" w:themeFill="accent1" w:themeFillTint="33"/>
          </w:tcPr>
          <w:p w14:paraId="6C8A256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78.04%</w:t>
            </w:r>
          </w:p>
        </w:tc>
        <w:tc>
          <w:tcPr>
            <w:tcW w:w="1377" w:type="dxa"/>
          </w:tcPr>
          <w:p w14:paraId="0AC8F9EB"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77.01%</w:t>
            </w:r>
          </w:p>
        </w:tc>
        <w:tc>
          <w:tcPr>
            <w:tcW w:w="1377" w:type="dxa"/>
            <w:vMerge/>
          </w:tcPr>
          <w:p w14:paraId="5B2873A0"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39E8B75D"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71.06%</w:t>
            </w:r>
          </w:p>
        </w:tc>
        <w:tc>
          <w:tcPr>
            <w:tcW w:w="1377" w:type="dxa"/>
          </w:tcPr>
          <w:p w14:paraId="2FCF366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71.78%</w:t>
            </w:r>
          </w:p>
        </w:tc>
      </w:tr>
      <w:tr w:rsidR="002A46E7" w:rsidRPr="00CA23AA" w14:paraId="04D0148D" w14:textId="77777777" w:rsidTr="0017201C">
        <w:trPr>
          <w:trHeight w:val="198"/>
        </w:trPr>
        <w:tc>
          <w:tcPr>
            <w:tcW w:w="1377" w:type="dxa"/>
            <w:noWrap/>
            <w:hideMark/>
          </w:tcPr>
          <w:p w14:paraId="6058F74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12</w:t>
            </w:r>
          </w:p>
        </w:tc>
        <w:tc>
          <w:tcPr>
            <w:tcW w:w="1377" w:type="dxa"/>
            <w:shd w:val="clear" w:color="auto" w:fill="DEEAF6" w:themeFill="accent1" w:themeFillTint="33"/>
            <w:noWrap/>
          </w:tcPr>
          <w:p w14:paraId="50130C33"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71.03%</w:t>
            </w:r>
          </w:p>
        </w:tc>
        <w:tc>
          <w:tcPr>
            <w:tcW w:w="1377" w:type="dxa"/>
            <w:shd w:val="clear" w:color="auto" w:fill="DEEAF6" w:themeFill="accent1" w:themeFillTint="33"/>
          </w:tcPr>
          <w:p w14:paraId="05C7DD3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71.43%</w:t>
            </w:r>
          </w:p>
        </w:tc>
        <w:tc>
          <w:tcPr>
            <w:tcW w:w="1377" w:type="dxa"/>
          </w:tcPr>
          <w:p w14:paraId="5F7E54E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72.06%</w:t>
            </w:r>
          </w:p>
        </w:tc>
        <w:tc>
          <w:tcPr>
            <w:tcW w:w="1377" w:type="dxa"/>
            <w:vMerge/>
          </w:tcPr>
          <w:p w14:paraId="0C8C1E87"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767BD723"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66.31%</w:t>
            </w:r>
          </w:p>
        </w:tc>
        <w:tc>
          <w:tcPr>
            <w:tcW w:w="1377" w:type="dxa"/>
          </w:tcPr>
          <w:p w14:paraId="07F95F77"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65.67%</w:t>
            </w:r>
          </w:p>
        </w:tc>
      </w:tr>
      <w:tr w:rsidR="002A46E7" w:rsidRPr="00CA23AA" w14:paraId="3681C567" w14:textId="77777777" w:rsidTr="0017201C">
        <w:trPr>
          <w:trHeight w:val="198"/>
        </w:trPr>
        <w:tc>
          <w:tcPr>
            <w:tcW w:w="1377" w:type="dxa"/>
            <w:noWrap/>
            <w:hideMark/>
          </w:tcPr>
          <w:p w14:paraId="3DB1212A"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18</w:t>
            </w:r>
          </w:p>
        </w:tc>
        <w:tc>
          <w:tcPr>
            <w:tcW w:w="1377" w:type="dxa"/>
            <w:shd w:val="clear" w:color="auto" w:fill="DEEAF6" w:themeFill="accent1" w:themeFillTint="33"/>
            <w:noWrap/>
          </w:tcPr>
          <w:p w14:paraId="4F522E1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63.43%</w:t>
            </w:r>
          </w:p>
        </w:tc>
        <w:tc>
          <w:tcPr>
            <w:tcW w:w="1377" w:type="dxa"/>
            <w:shd w:val="clear" w:color="auto" w:fill="DEEAF6" w:themeFill="accent1" w:themeFillTint="33"/>
          </w:tcPr>
          <w:p w14:paraId="1EBED610"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64.57%</w:t>
            </w:r>
          </w:p>
        </w:tc>
        <w:tc>
          <w:tcPr>
            <w:tcW w:w="1377" w:type="dxa"/>
          </w:tcPr>
          <w:p w14:paraId="1A26F603"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66.62%</w:t>
            </w:r>
          </w:p>
        </w:tc>
        <w:tc>
          <w:tcPr>
            <w:tcW w:w="1377" w:type="dxa"/>
            <w:vMerge/>
          </w:tcPr>
          <w:p w14:paraId="63B88E87"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3A40CF2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56.59%</w:t>
            </w:r>
          </w:p>
        </w:tc>
        <w:tc>
          <w:tcPr>
            <w:tcW w:w="1377" w:type="dxa"/>
          </w:tcPr>
          <w:p w14:paraId="6357B32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59.21%</w:t>
            </w:r>
          </w:p>
        </w:tc>
      </w:tr>
      <w:tr w:rsidR="002A46E7" w:rsidRPr="00CA23AA" w14:paraId="44A22EA8" w14:textId="77777777" w:rsidTr="0017201C">
        <w:trPr>
          <w:trHeight w:val="198"/>
        </w:trPr>
        <w:tc>
          <w:tcPr>
            <w:tcW w:w="1377" w:type="dxa"/>
            <w:noWrap/>
            <w:hideMark/>
          </w:tcPr>
          <w:p w14:paraId="2B7EC42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24</w:t>
            </w:r>
          </w:p>
        </w:tc>
        <w:tc>
          <w:tcPr>
            <w:tcW w:w="1377" w:type="dxa"/>
            <w:shd w:val="clear" w:color="auto" w:fill="DEEAF6" w:themeFill="accent1" w:themeFillTint="33"/>
            <w:noWrap/>
          </w:tcPr>
          <w:p w14:paraId="3937EDCD"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58.54%</w:t>
            </w:r>
          </w:p>
        </w:tc>
        <w:tc>
          <w:tcPr>
            <w:tcW w:w="1377" w:type="dxa"/>
            <w:shd w:val="clear" w:color="auto" w:fill="DEEAF6" w:themeFill="accent1" w:themeFillTint="33"/>
          </w:tcPr>
          <w:p w14:paraId="31AA9EF3"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59.70%</w:t>
            </w:r>
          </w:p>
        </w:tc>
        <w:tc>
          <w:tcPr>
            <w:tcW w:w="1377" w:type="dxa"/>
          </w:tcPr>
          <w:p w14:paraId="79A0A312"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62.89%</w:t>
            </w:r>
          </w:p>
        </w:tc>
        <w:tc>
          <w:tcPr>
            <w:tcW w:w="1377" w:type="dxa"/>
            <w:vMerge/>
          </w:tcPr>
          <w:p w14:paraId="229CDEBB"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771962B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54.02%</w:t>
            </w:r>
          </w:p>
        </w:tc>
        <w:tc>
          <w:tcPr>
            <w:tcW w:w="1377" w:type="dxa"/>
          </w:tcPr>
          <w:p w14:paraId="23EC8B2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56.97%</w:t>
            </w:r>
          </w:p>
        </w:tc>
      </w:tr>
      <w:tr w:rsidR="002A46E7" w:rsidRPr="00CA23AA" w14:paraId="6E840FA3" w14:textId="77777777" w:rsidTr="0017201C">
        <w:trPr>
          <w:trHeight w:val="198"/>
        </w:trPr>
        <w:tc>
          <w:tcPr>
            <w:tcW w:w="1377" w:type="dxa"/>
            <w:noWrap/>
            <w:hideMark/>
          </w:tcPr>
          <w:p w14:paraId="1CE4A95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30</w:t>
            </w:r>
          </w:p>
        </w:tc>
        <w:tc>
          <w:tcPr>
            <w:tcW w:w="1377" w:type="dxa"/>
            <w:shd w:val="clear" w:color="auto" w:fill="DEEAF6" w:themeFill="accent1" w:themeFillTint="33"/>
            <w:noWrap/>
          </w:tcPr>
          <w:p w14:paraId="0B404A7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58.54%</w:t>
            </w:r>
          </w:p>
        </w:tc>
        <w:tc>
          <w:tcPr>
            <w:tcW w:w="1377" w:type="dxa"/>
            <w:shd w:val="clear" w:color="auto" w:fill="DEEAF6" w:themeFill="accent1" w:themeFillTint="33"/>
          </w:tcPr>
          <w:p w14:paraId="3C748580"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55.11%</w:t>
            </w:r>
          </w:p>
        </w:tc>
        <w:tc>
          <w:tcPr>
            <w:tcW w:w="1377" w:type="dxa"/>
          </w:tcPr>
          <w:p w14:paraId="5D325F08"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59.64%</w:t>
            </w:r>
          </w:p>
        </w:tc>
        <w:tc>
          <w:tcPr>
            <w:tcW w:w="1377" w:type="dxa"/>
            <w:vMerge/>
          </w:tcPr>
          <w:p w14:paraId="7074A672"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shd w:val="clear" w:color="auto" w:fill="DEEAF6" w:themeFill="accent1" w:themeFillTint="33"/>
          </w:tcPr>
          <w:p w14:paraId="46225CD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50.84%</w:t>
            </w:r>
          </w:p>
        </w:tc>
        <w:tc>
          <w:tcPr>
            <w:tcW w:w="1377" w:type="dxa"/>
          </w:tcPr>
          <w:p w14:paraId="2F51C1C9"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53.55%</w:t>
            </w:r>
          </w:p>
        </w:tc>
      </w:tr>
      <w:tr w:rsidR="00A54A59" w:rsidRPr="00CA23AA" w14:paraId="4494217A" w14:textId="77777777" w:rsidTr="0017201C">
        <w:trPr>
          <w:trHeight w:val="198"/>
        </w:trPr>
        <w:tc>
          <w:tcPr>
            <w:tcW w:w="1377" w:type="dxa"/>
            <w:noWrap/>
            <w:hideMark/>
          </w:tcPr>
          <w:p w14:paraId="5B58D554"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36</w:t>
            </w:r>
          </w:p>
        </w:tc>
        <w:tc>
          <w:tcPr>
            <w:tcW w:w="1377" w:type="dxa"/>
            <w:vMerge w:val="restart"/>
            <w:shd w:val="clear" w:color="auto" w:fill="DEEAF6" w:themeFill="accent1" w:themeFillTint="33"/>
            <w:noWrap/>
          </w:tcPr>
          <w:p w14:paraId="79FCCDC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available</w:t>
            </w:r>
          </w:p>
        </w:tc>
        <w:tc>
          <w:tcPr>
            <w:tcW w:w="1377" w:type="dxa"/>
            <w:vMerge w:val="restart"/>
            <w:shd w:val="clear" w:color="auto" w:fill="DEEAF6" w:themeFill="accent1" w:themeFillTint="33"/>
          </w:tcPr>
          <w:p w14:paraId="726E67E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available</w:t>
            </w:r>
          </w:p>
        </w:tc>
        <w:tc>
          <w:tcPr>
            <w:tcW w:w="1377" w:type="dxa"/>
          </w:tcPr>
          <w:p w14:paraId="109641B9"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57.25%</w:t>
            </w:r>
          </w:p>
        </w:tc>
        <w:tc>
          <w:tcPr>
            <w:tcW w:w="1377" w:type="dxa"/>
            <w:vMerge/>
          </w:tcPr>
          <w:p w14:paraId="6F642075"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val="restart"/>
            <w:shd w:val="clear" w:color="auto" w:fill="DEEAF6" w:themeFill="accent1" w:themeFillTint="33"/>
          </w:tcPr>
          <w:p w14:paraId="6F3E28E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Not available</w:t>
            </w:r>
          </w:p>
        </w:tc>
        <w:tc>
          <w:tcPr>
            <w:tcW w:w="1377" w:type="dxa"/>
          </w:tcPr>
          <w:p w14:paraId="3EB51930"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49.52%</w:t>
            </w:r>
          </w:p>
        </w:tc>
      </w:tr>
      <w:tr w:rsidR="002A46E7" w:rsidRPr="00CA23AA" w14:paraId="43150604" w14:textId="77777777" w:rsidTr="0017201C">
        <w:trPr>
          <w:trHeight w:val="198"/>
        </w:trPr>
        <w:tc>
          <w:tcPr>
            <w:tcW w:w="1377" w:type="dxa"/>
            <w:noWrap/>
            <w:hideMark/>
          </w:tcPr>
          <w:p w14:paraId="01D5136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42</w:t>
            </w:r>
          </w:p>
        </w:tc>
        <w:tc>
          <w:tcPr>
            <w:tcW w:w="1377" w:type="dxa"/>
            <w:vMerge/>
            <w:noWrap/>
          </w:tcPr>
          <w:p w14:paraId="6655EDDE"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0993583D"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74ACC69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56.06%</w:t>
            </w:r>
          </w:p>
        </w:tc>
        <w:tc>
          <w:tcPr>
            <w:tcW w:w="1377" w:type="dxa"/>
            <w:vMerge/>
          </w:tcPr>
          <w:p w14:paraId="234AA18A"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0123DE2A"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580E991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48.49%</w:t>
            </w:r>
          </w:p>
        </w:tc>
      </w:tr>
      <w:tr w:rsidR="002A46E7" w:rsidRPr="00CA23AA" w14:paraId="70B8655F" w14:textId="77777777" w:rsidTr="0017201C">
        <w:trPr>
          <w:trHeight w:val="198"/>
        </w:trPr>
        <w:tc>
          <w:tcPr>
            <w:tcW w:w="1377" w:type="dxa"/>
            <w:noWrap/>
            <w:hideMark/>
          </w:tcPr>
          <w:p w14:paraId="18949EE6"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48</w:t>
            </w:r>
          </w:p>
        </w:tc>
        <w:tc>
          <w:tcPr>
            <w:tcW w:w="1377" w:type="dxa"/>
            <w:vMerge/>
            <w:noWrap/>
          </w:tcPr>
          <w:p w14:paraId="18A0900F"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62C35342"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7A5DF393"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51.15%</w:t>
            </w:r>
          </w:p>
        </w:tc>
        <w:tc>
          <w:tcPr>
            <w:tcW w:w="1377" w:type="dxa"/>
            <w:vMerge/>
          </w:tcPr>
          <w:p w14:paraId="01563E20"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6499FE81"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02C59381"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44.27%</w:t>
            </w:r>
          </w:p>
        </w:tc>
      </w:tr>
      <w:tr w:rsidR="002A46E7" w:rsidRPr="00CA23AA" w14:paraId="6EDF58B8" w14:textId="77777777" w:rsidTr="0017201C">
        <w:trPr>
          <w:trHeight w:val="198"/>
        </w:trPr>
        <w:tc>
          <w:tcPr>
            <w:tcW w:w="1377" w:type="dxa"/>
            <w:noWrap/>
            <w:hideMark/>
          </w:tcPr>
          <w:p w14:paraId="6D15DF7A"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54</w:t>
            </w:r>
          </w:p>
        </w:tc>
        <w:tc>
          <w:tcPr>
            <w:tcW w:w="1377" w:type="dxa"/>
            <w:vMerge/>
            <w:noWrap/>
          </w:tcPr>
          <w:p w14:paraId="7B2B46B9"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46452DB4"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66F72E07"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49.69%</w:t>
            </w:r>
          </w:p>
        </w:tc>
        <w:tc>
          <w:tcPr>
            <w:tcW w:w="1377" w:type="dxa"/>
            <w:vMerge/>
          </w:tcPr>
          <w:p w14:paraId="33ADA201"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272CC393"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7B57B59E"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44.27%</w:t>
            </w:r>
          </w:p>
        </w:tc>
      </w:tr>
      <w:tr w:rsidR="002A46E7" w:rsidRPr="00CA23AA" w14:paraId="43999363" w14:textId="77777777" w:rsidTr="0017201C">
        <w:trPr>
          <w:trHeight w:val="198"/>
        </w:trPr>
        <w:tc>
          <w:tcPr>
            <w:tcW w:w="1377" w:type="dxa"/>
            <w:noWrap/>
            <w:hideMark/>
          </w:tcPr>
          <w:p w14:paraId="095B817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60</w:t>
            </w:r>
          </w:p>
        </w:tc>
        <w:tc>
          <w:tcPr>
            <w:tcW w:w="1377" w:type="dxa"/>
            <w:vMerge/>
            <w:noWrap/>
          </w:tcPr>
          <w:p w14:paraId="16822DAA"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1B1E832A"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7C9AA2C5"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47.98%</w:t>
            </w:r>
          </w:p>
        </w:tc>
        <w:tc>
          <w:tcPr>
            <w:tcW w:w="1377" w:type="dxa"/>
            <w:vMerge/>
          </w:tcPr>
          <w:p w14:paraId="53634877"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vMerge/>
          </w:tcPr>
          <w:p w14:paraId="22DFE276" w14:textId="77777777" w:rsidR="002A46E7" w:rsidRPr="00CA23AA" w:rsidRDefault="002A46E7" w:rsidP="00C07C67">
            <w:pPr>
              <w:spacing w:before="40" w:after="40"/>
              <w:ind w:left="-57" w:right="-57"/>
              <w:jc w:val="center"/>
              <w:rPr>
                <w:rFonts w:ascii="Arial Narrow" w:hAnsi="Arial Narrow" w:cs="Times New Roman"/>
                <w:sz w:val="20"/>
                <w:szCs w:val="20"/>
              </w:rPr>
            </w:pPr>
          </w:p>
        </w:tc>
        <w:tc>
          <w:tcPr>
            <w:tcW w:w="1377" w:type="dxa"/>
          </w:tcPr>
          <w:p w14:paraId="01FF8B8F" w14:textId="77777777" w:rsidR="002A46E7" w:rsidRPr="00CA23AA" w:rsidRDefault="002A46E7" w:rsidP="00C07C67">
            <w:pPr>
              <w:spacing w:before="40" w:after="40"/>
              <w:ind w:left="-57" w:right="-57"/>
              <w:jc w:val="center"/>
              <w:rPr>
                <w:rFonts w:ascii="Arial Narrow" w:hAnsi="Arial Narrow" w:cs="Times New Roman"/>
                <w:sz w:val="20"/>
                <w:szCs w:val="20"/>
              </w:rPr>
            </w:pPr>
            <w:r w:rsidRPr="00CA23AA">
              <w:rPr>
                <w:rFonts w:ascii="Arial Narrow" w:hAnsi="Arial Narrow" w:cs="Times New Roman"/>
                <w:sz w:val="20"/>
                <w:szCs w:val="20"/>
              </w:rPr>
              <w:t>41.49%</w:t>
            </w:r>
          </w:p>
        </w:tc>
      </w:tr>
    </w:tbl>
    <w:p w14:paraId="7FE31366" w14:textId="75C9325D" w:rsidR="750DFDFE" w:rsidRPr="00CA23AA" w:rsidRDefault="384F5136" w:rsidP="0017201C">
      <w:pPr>
        <w:pStyle w:val="TableFooter"/>
      </w:pPr>
      <w:r w:rsidRPr="00CA23AA">
        <w:t xml:space="preserve">EFS = Event Free </w:t>
      </w:r>
      <w:r w:rsidR="3AA3B2B5" w:rsidRPr="00CA23AA">
        <w:t>Survival;</w:t>
      </w:r>
      <w:r w:rsidRPr="00CA23AA">
        <w:t xml:space="preserve"> FAS = Full Analysis Set; ITT = Intention to treat; OS = Overall Survival</w:t>
      </w:r>
    </w:p>
    <w:p w14:paraId="1933873B" w14:textId="403B22BE" w:rsidR="00A2236D" w:rsidRPr="00CA23AA" w:rsidRDefault="4552411A" w:rsidP="0017201C">
      <w:pPr>
        <w:pStyle w:val="TableFooter"/>
        <w:rPr>
          <w:rFonts w:eastAsia="Arial Narrow" w:cs="Arial Narrow"/>
        </w:rPr>
      </w:pPr>
      <w:r w:rsidRPr="00CA23AA">
        <w:rPr>
          <w:rFonts w:eastAsia="Arial Narrow" w:cs="Arial Narrow"/>
        </w:rPr>
        <w:t>Estimates are pooled from ELIANA and ENSIGN trials</w:t>
      </w:r>
      <w:r w:rsidR="67C9E399" w:rsidRPr="00CA23AA">
        <w:rPr>
          <w:rFonts w:eastAsia="Arial Narrow" w:cs="Arial Narrow"/>
        </w:rPr>
        <w:t>. The Median follow-up for the studies were 45.9 and 15.1 months, respectively.</w:t>
      </w:r>
      <w:r w:rsidR="00A50C65" w:rsidRPr="00CA23AA">
        <w:rPr>
          <w:rFonts w:eastAsia="Arial Narrow" w:cs="Arial Narrow"/>
        </w:rPr>
        <w:t xml:space="preserve"> EFS was defined in trials as:</w:t>
      </w:r>
      <w:r w:rsidR="00A50C65" w:rsidRPr="00CA23AA">
        <w:t xml:space="preserve"> </w:t>
      </w:r>
      <w:r w:rsidR="00A50C65" w:rsidRPr="00CA23AA">
        <w:rPr>
          <w:rFonts w:eastAsia="Arial Narrow" w:cs="Arial Narrow"/>
        </w:rPr>
        <w:t xml:space="preserve">The time from date of TIS infusion to the earliest of death, relapse or treatment </w:t>
      </w:r>
      <w:proofErr w:type="gramStart"/>
      <w:r w:rsidR="00A50C65" w:rsidRPr="00CA23AA">
        <w:rPr>
          <w:rFonts w:eastAsia="Arial Narrow" w:cs="Arial Narrow"/>
        </w:rPr>
        <w:t>failure</w:t>
      </w:r>
      <w:proofErr w:type="gramEnd"/>
    </w:p>
    <w:p w14:paraId="02279102" w14:textId="01C36C1E" w:rsidR="1E2A2683" w:rsidRPr="00CA23AA" w:rsidRDefault="1E2A2683" w:rsidP="0017201C">
      <w:pPr>
        <w:pStyle w:val="TableFooter"/>
        <w:rPr>
          <w:rFonts w:eastAsia="Arial Narrow" w:cs="Arial Narrow"/>
        </w:rPr>
      </w:pPr>
      <w:r w:rsidRPr="00CA23AA">
        <w:rPr>
          <w:rFonts w:eastAsia="Arial Narrow" w:cs="Arial Narrow"/>
        </w:rPr>
        <w:t xml:space="preserve">Shaded cells </w:t>
      </w:r>
      <w:r w:rsidR="006E59FA" w:rsidRPr="00CA23AA">
        <w:rPr>
          <w:rFonts w:eastAsia="Arial Narrow" w:cs="Arial Narrow"/>
        </w:rPr>
        <w:t>represent</w:t>
      </w:r>
      <w:r w:rsidRPr="00CA23AA">
        <w:rPr>
          <w:rFonts w:eastAsia="Arial Narrow" w:cs="Arial Narrow"/>
        </w:rPr>
        <w:t xml:space="preserve"> data that have been considered previously in</w:t>
      </w:r>
      <w:r w:rsidR="2738B96A" w:rsidRPr="00CA23AA">
        <w:rPr>
          <w:rFonts w:eastAsia="Arial Narrow" w:cs="Arial Narrow"/>
        </w:rPr>
        <w:t xml:space="preserve"> ADAR 1519 (November 2018 and March 2019).</w:t>
      </w:r>
    </w:p>
    <w:p w14:paraId="2030B2E9" w14:textId="67FE0852" w:rsidR="0017201C" w:rsidRPr="00CA23AA" w:rsidRDefault="3102B492" w:rsidP="0017201C">
      <w:pPr>
        <w:pStyle w:val="TableFooter"/>
        <w:rPr>
          <w:rFonts w:eastAsia="Arial Narrow" w:cs="Arial Narrow"/>
        </w:rPr>
      </w:pPr>
      <w:r w:rsidRPr="00CA23AA">
        <w:t xml:space="preserve">Source: </w:t>
      </w:r>
      <w:r w:rsidR="34F302D4" w:rsidRPr="00CA23AA">
        <w:t>Table 2.2</w:t>
      </w:r>
      <w:r w:rsidR="63EB6B44" w:rsidRPr="00CA23AA">
        <w:t>-</w:t>
      </w:r>
      <w:r w:rsidR="34F302D4" w:rsidRPr="00CA23AA">
        <w:t>22</w:t>
      </w:r>
      <w:r w:rsidR="34F302D4" w:rsidRPr="00CA23AA">
        <w:rPr>
          <w:rFonts w:eastAsia="Arial Narrow" w:cs="Arial Narrow"/>
        </w:rPr>
        <w:t xml:space="preserve"> of MSAC 1748 </w:t>
      </w:r>
      <w:proofErr w:type="spellStart"/>
      <w:r w:rsidR="7CE6C81C" w:rsidRPr="00CA23AA">
        <w:rPr>
          <w:rFonts w:eastAsia="Arial Narrow" w:cs="Arial Narrow"/>
        </w:rPr>
        <w:t>ADAR</w:t>
      </w:r>
      <w:r w:rsidR="00A205FA" w:rsidRPr="00CA23AA">
        <w:rPr>
          <w:rFonts w:eastAsia="Arial Narrow" w:cs="Arial Narrow"/>
        </w:rPr>
        <w:t>+inline</w:t>
      </w:r>
      <w:proofErr w:type="spellEnd"/>
      <w:r w:rsidR="00A205FA" w:rsidRPr="00CA23AA">
        <w:rPr>
          <w:rFonts w:eastAsia="Arial Narrow" w:cs="Arial Narrow"/>
        </w:rPr>
        <w:t xml:space="preserve"> commentary</w:t>
      </w:r>
      <w:r w:rsidR="4552411A" w:rsidRPr="00CA23AA">
        <w:rPr>
          <w:rFonts w:eastAsia="Arial Narrow" w:cs="Arial Narrow"/>
        </w:rPr>
        <w:t>.</w:t>
      </w:r>
    </w:p>
    <w:p w14:paraId="3F70D783" w14:textId="23BD7FEC" w:rsidR="00037172" w:rsidRPr="00CA23AA" w:rsidRDefault="439E5167" w:rsidP="00D21C20">
      <w:r w:rsidRPr="00CA23AA">
        <w:t xml:space="preserve">The commentary compared the combined data for the three sponsored trials with the Australian registry data (ABMTRR), and six publications reporting on efficacy outcomes from four different registries and from three hospital databases. A summary of the outcomes reported for each study is provided in </w:t>
      </w:r>
      <w:r w:rsidR="00037172" w:rsidRPr="00CA23AA">
        <w:fldChar w:fldCharType="begin"/>
      </w:r>
      <w:r w:rsidR="00037172" w:rsidRPr="00CA23AA">
        <w:instrText xml:space="preserve"> REF _Ref132894653 \h </w:instrText>
      </w:r>
      <w:r w:rsidR="00CA23AA">
        <w:instrText xml:space="preserve"> \* MERGEFORMAT </w:instrText>
      </w:r>
      <w:r w:rsidR="00037172" w:rsidRPr="00CA23AA">
        <w:fldChar w:fldCharType="separate"/>
      </w:r>
      <w:r w:rsidR="00175880" w:rsidRPr="00CA23AA">
        <w:t xml:space="preserve">Table </w:t>
      </w:r>
      <w:r w:rsidR="00175880" w:rsidRPr="00CA23AA">
        <w:rPr>
          <w:noProof/>
        </w:rPr>
        <w:t>6</w:t>
      </w:r>
      <w:r w:rsidR="00037172" w:rsidRPr="00CA23AA">
        <w:fldChar w:fldCharType="end"/>
      </w:r>
      <w:r w:rsidRPr="00CA23AA">
        <w:t xml:space="preserve">. </w:t>
      </w:r>
    </w:p>
    <w:p w14:paraId="1BC1B652" w14:textId="3419754E" w:rsidR="00414F8B" w:rsidRPr="00CA23AA" w:rsidRDefault="439E5167" w:rsidP="00414F8B">
      <w:proofErr w:type="spellStart"/>
      <w:r w:rsidRPr="00CA23AA">
        <w:t>Dourthe</w:t>
      </w:r>
      <w:proofErr w:type="spellEnd"/>
      <w:r w:rsidRPr="00CA23AA">
        <w:t xml:space="preserve"> et al (2021) was excluded from this analysis as the article had not reported the outcomes. The sponsor had provided estimates from a Kaplan Meier graph</w:t>
      </w:r>
      <w:r w:rsidR="231FB342" w:rsidRPr="00CA23AA">
        <w:t xml:space="preserve"> without stating how those estimates were made</w:t>
      </w:r>
      <w:r w:rsidRPr="00CA23AA">
        <w:t>.</w:t>
      </w:r>
    </w:p>
    <w:p w14:paraId="126F80D5" w14:textId="0C664AE4" w:rsidR="00B22AC8" w:rsidRPr="00CA23AA" w:rsidRDefault="00B80AB6" w:rsidP="00724803">
      <w:r w:rsidRPr="00CA23AA">
        <w:t xml:space="preserve">The ABMTRR data provided are from the January 2023 cut-off, as requested for the commentary. The ADAR provided ABMTRR data from the September 2022 cut-off. The 2023 estimates are censored for </w:t>
      </w:r>
      <w:proofErr w:type="spellStart"/>
      <w:r w:rsidRPr="00CA23AA">
        <w:t>aHSCT</w:t>
      </w:r>
      <w:proofErr w:type="spellEnd"/>
      <w:r w:rsidRPr="00CA23AA">
        <w:t xml:space="preserve"> or </w:t>
      </w:r>
      <w:r w:rsidR="2111BC84" w:rsidRPr="00CA23AA">
        <w:t>other subsequent therapy</w:t>
      </w:r>
      <w:r w:rsidRPr="00CA23AA">
        <w:t xml:space="preserve"> during remission, as opposed to the 2022 estimates which were not. In comparison to the earlier cut-off point, efficacy estimates decreased marginally. It is unclear whether this was due to greater precision or due to a change in the censoring conditions.</w:t>
      </w:r>
      <w:r w:rsidR="00724803" w:rsidRPr="00CA23AA">
        <w:t xml:space="preserve"> The Sponsor is requested to present a pooled survival analysis for all Sponsored trials as well as the ABMTRR data</w:t>
      </w:r>
      <w:r w:rsidR="00724803" w:rsidRPr="00CA23AA">
        <w:rPr>
          <w:rStyle w:val="CommentReference"/>
        </w:rPr>
        <w:t>.</w:t>
      </w:r>
    </w:p>
    <w:p w14:paraId="21335502" w14:textId="6CF8EEE4" w:rsidR="00451D15" w:rsidRPr="00CA23AA" w:rsidRDefault="00451D15" w:rsidP="00724803">
      <w:pPr>
        <w:rPr>
          <w:b/>
        </w:rPr>
      </w:pPr>
      <w:r w:rsidRPr="00CA23AA">
        <w:rPr>
          <w:b/>
        </w:rPr>
        <w:t>Overall Response Rate (ORR)</w:t>
      </w:r>
    </w:p>
    <w:p w14:paraId="7F383314" w14:textId="5ADAF2C5" w:rsidR="00B22AC8" w:rsidRPr="00CA23AA" w:rsidRDefault="00CE46D1" w:rsidP="00724803">
      <w:r w:rsidRPr="00CA23AA">
        <w:t>Overall Response Rate (ORR) was determined from the best response observed in patients and could include complete remission (CR) or complete remission with incomplete cell count (</w:t>
      </w:r>
      <w:proofErr w:type="spellStart"/>
      <w:r w:rsidRPr="00CA23AA">
        <w:t>CRi</w:t>
      </w:r>
      <w:proofErr w:type="spellEnd"/>
      <w:r w:rsidRPr="00CA23AA">
        <w:t xml:space="preserve">). The ABMTRR cohort reported an ORR of </w:t>
      </w:r>
      <w:r w:rsidR="00594907" w:rsidRPr="00594907">
        <w:rPr>
          <w:color w:val="000000"/>
          <w:w w:val="86"/>
          <w:shd w:val="solid" w:color="000000" w:fill="000000"/>
          <w:fitText w:val="380" w:id="-1161539835"/>
          <w14:textFill>
            <w14:solidFill>
              <w14:srgbClr w14:val="000000">
                <w14:alpha w14:val="100000"/>
              </w14:srgbClr>
            </w14:solidFill>
          </w14:textFill>
        </w:rPr>
        <w:t>|||</w:t>
      </w:r>
      <w:r w:rsidR="00594907" w:rsidRPr="00594907">
        <w:rPr>
          <w:color w:val="000000"/>
          <w:spacing w:val="1"/>
          <w:w w:val="86"/>
          <w:shd w:val="solid" w:color="000000" w:fill="000000"/>
          <w:fitText w:val="380" w:id="-1161539835"/>
          <w14:textFill>
            <w14:solidFill>
              <w14:srgbClr w14:val="000000">
                <w14:alpha w14:val="100000"/>
              </w14:srgbClr>
            </w14:solidFill>
          </w14:textFill>
        </w:rPr>
        <w:t>|</w:t>
      </w:r>
      <w:r w:rsidRPr="00CA23AA">
        <w:t>%</w:t>
      </w:r>
      <w:r w:rsidR="00A72BE2" w:rsidRPr="00CA23AA">
        <w:t xml:space="preserve"> (timeframe not specified)</w:t>
      </w:r>
      <w:r w:rsidRPr="00CA23AA">
        <w:t xml:space="preserve">, which was </w:t>
      </w:r>
      <w:r w:rsidR="00594907" w:rsidRPr="00594907">
        <w:rPr>
          <w:color w:val="000000"/>
          <w:w w:val="86"/>
          <w:shd w:val="solid" w:color="000000" w:fill="000000"/>
          <w:fitText w:val="380" w:id="-1161539834"/>
          <w14:textFill>
            <w14:solidFill>
              <w14:srgbClr w14:val="000000">
                <w14:alpha w14:val="100000"/>
              </w14:srgbClr>
            </w14:solidFill>
          </w14:textFill>
        </w:rPr>
        <w:t>|||</w:t>
      </w:r>
      <w:r w:rsidR="00594907" w:rsidRPr="00594907">
        <w:rPr>
          <w:color w:val="000000"/>
          <w:spacing w:val="1"/>
          <w:w w:val="86"/>
          <w:shd w:val="solid" w:color="000000" w:fill="000000"/>
          <w:fitText w:val="380" w:id="-1161539834"/>
          <w14:textFill>
            <w14:solidFill>
              <w14:srgbClr w14:val="000000">
                <w14:alpha w14:val="100000"/>
              </w14:srgbClr>
            </w14:solidFill>
          </w14:textFill>
        </w:rPr>
        <w:t>|</w:t>
      </w:r>
      <w:r w:rsidRPr="00CA23AA">
        <w:t xml:space="preserve"> than the reported range of </w:t>
      </w:r>
      <w:r w:rsidR="00594907" w:rsidRPr="00594907">
        <w:rPr>
          <w:color w:val="000000"/>
          <w:w w:val="86"/>
          <w:shd w:val="solid" w:color="000000" w:fill="000000"/>
          <w:fitText w:val="380" w:id="-1161539833"/>
          <w14:textFill>
            <w14:solidFill>
              <w14:srgbClr w14:val="000000">
                <w14:alpha w14:val="100000"/>
              </w14:srgbClr>
            </w14:solidFill>
          </w14:textFill>
        </w:rPr>
        <w:t>|||</w:t>
      </w:r>
      <w:r w:rsidR="00594907" w:rsidRPr="00594907">
        <w:rPr>
          <w:color w:val="000000"/>
          <w:spacing w:val="1"/>
          <w:w w:val="86"/>
          <w:shd w:val="solid" w:color="000000" w:fill="000000"/>
          <w:fitText w:val="380" w:id="-1161539833"/>
          <w14:textFill>
            <w14:solidFill>
              <w14:srgbClr w14:val="000000">
                <w14:alpha w14:val="100000"/>
              </w14:srgbClr>
            </w14:solidFill>
          </w14:textFill>
        </w:rPr>
        <w:t>|</w:t>
      </w:r>
      <w:r w:rsidRPr="00CA23AA">
        <w:t xml:space="preserve"> to </w:t>
      </w:r>
      <w:r w:rsidR="00594907" w:rsidRPr="00594907">
        <w:rPr>
          <w:color w:val="000000"/>
          <w:w w:val="88"/>
          <w:shd w:val="solid" w:color="000000" w:fill="000000"/>
          <w:fitText w:val="390" w:id="-1161539832"/>
          <w14:textFill>
            <w14:solidFill>
              <w14:srgbClr w14:val="000000">
                <w14:alpha w14:val="100000"/>
              </w14:srgbClr>
            </w14:solidFill>
          </w14:textFill>
        </w:rPr>
        <w:t>|||</w:t>
      </w:r>
      <w:r w:rsidR="00594907" w:rsidRPr="00594907">
        <w:rPr>
          <w:color w:val="000000"/>
          <w:spacing w:val="2"/>
          <w:w w:val="88"/>
          <w:shd w:val="solid" w:color="000000" w:fill="000000"/>
          <w:fitText w:val="390" w:id="-1161539832"/>
          <w14:textFill>
            <w14:solidFill>
              <w14:srgbClr w14:val="000000">
                <w14:alpha w14:val="100000"/>
              </w14:srgbClr>
            </w14:solidFill>
          </w14:textFill>
        </w:rPr>
        <w:t>|</w:t>
      </w:r>
      <w:r w:rsidRPr="00CA23AA">
        <w:t xml:space="preserve">% in sponsored studies, and </w:t>
      </w:r>
      <w:r w:rsidR="00594907" w:rsidRPr="00594907">
        <w:rPr>
          <w:color w:val="000000"/>
          <w:w w:val="88"/>
          <w:shd w:val="solid" w:color="000000" w:fill="000000"/>
          <w:fitText w:val="390" w:id="-1161539831"/>
          <w14:textFill>
            <w14:solidFill>
              <w14:srgbClr w14:val="000000">
                <w14:alpha w14:val="100000"/>
              </w14:srgbClr>
            </w14:solidFill>
          </w14:textFill>
        </w:rPr>
        <w:t>|||</w:t>
      </w:r>
      <w:r w:rsidR="00594907" w:rsidRPr="00594907">
        <w:rPr>
          <w:color w:val="000000"/>
          <w:spacing w:val="2"/>
          <w:w w:val="88"/>
          <w:shd w:val="solid" w:color="000000" w:fill="000000"/>
          <w:fitText w:val="390" w:id="-1161539831"/>
          <w14:textFill>
            <w14:solidFill>
              <w14:srgbClr w14:val="000000">
                <w14:alpha w14:val="100000"/>
              </w14:srgbClr>
            </w14:solidFill>
          </w14:textFill>
        </w:rPr>
        <w:t>|</w:t>
      </w:r>
      <w:r w:rsidRPr="00CA23AA">
        <w:t xml:space="preserve">% to </w:t>
      </w:r>
      <w:r w:rsidR="00594907" w:rsidRPr="00594907">
        <w:rPr>
          <w:color w:val="000000"/>
          <w:w w:val="88"/>
          <w:shd w:val="solid" w:color="000000" w:fill="000000"/>
          <w:fitText w:val="390" w:id="-1161539830"/>
          <w14:textFill>
            <w14:solidFill>
              <w14:srgbClr w14:val="000000">
                <w14:alpha w14:val="100000"/>
              </w14:srgbClr>
            </w14:solidFill>
          </w14:textFill>
        </w:rPr>
        <w:t>|||</w:t>
      </w:r>
      <w:r w:rsidR="00594907" w:rsidRPr="00594907">
        <w:rPr>
          <w:color w:val="000000"/>
          <w:spacing w:val="2"/>
          <w:w w:val="88"/>
          <w:shd w:val="solid" w:color="000000" w:fill="000000"/>
          <w:fitText w:val="390" w:id="-1161539830"/>
          <w14:textFill>
            <w14:solidFill>
              <w14:srgbClr w14:val="000000">
                <w14:alpha w14:val="100000"/>
              </w14:srgbClr>
            </w14:solidFill>
          </w14:textFill>
        </w:rPr>
        <w:t>|</w:t>
      </w:r>
      <w:r w:rsidRPr="00CA23AA">
        <w:t xml:space="preserve">% from real-world studies. The </w:t>
      </w:r>
      <w:r w:rsidR="00594907" w:rsidRPr="00594907">
        <w:rPr>
          <w:color w:val="000000"/>
          <w:w w:val="88"/>
          <w:shd w:val="solid" w:color="000000" w:fill="000000"/>
          <w:fitText w:val="390" w:id="-1161539829"/>
          <w14:textFill>
            <w14:solidFill>
              <w14:srgbClr w14:val="000000">
                <w14:alpha w14:val="100000"/>
              </w14:srgbClr>
            </w14:solidFill>
          </w14:textFill>
        </w:rPr>
        <w:t>|||</w:t>
      </w:r>
      <w:r w:rsidR="00594907" w:rsidRPr="00594907">
        <w:rPr>
          <w:color w:val="000000"/>
          <w:spacing w:val="2"/>
          <w:w w:val="88"/>
          <w:shd w:val="solid" w:color="000000" w:fill="000000"/>
          <w:fitText w:val="390" w:id="-1161539829"/>
          <w14:textFill>
            <w14:solidFill>
              <w14:srgbClr w14:val="000000">
                <w14:alpha w14:val="100000"/>
              </w14:srgbClr>
            </w14:solidFill>
          </w14:textFill>
        </w:rPr>
        <w:t>|</w:t>
      </w:r>
      <w:r w:rsidRPr="00CA23AA">
        <w:t xml:space="preserve">response rate from the ABMTRR may be biased because </w:t>
      </w:r>
      <w:r w:rsidR="00594907" w:rsidRPr="00594907">
        <w:rPr>
          <w:color w:val="000000"/>
          <w:w w:val="88"/>
          <w:shd w:val="solid" w:color="000000" w:fill="000000"/>
          <w:fitText w:val="390" w:id="-1161539828"/>
          <w14:textFill>
            <w14:solidFill>
              <w14:srgbClr w14:val="000000">
                <w14:alpha w14:val="100000"/>
              </w14:srgbClr>
            </w14:solidFill>
          </w14:textFill>
        </w:rPr>
        <w:t>|||</w:t>
      </w:r>
      <w:r w:rsidR="00594907" w:rsidRPr="00594907">
        <w:rPr>
          <w:color w:val="000000"/>
          <w:spacing w:val="2"/>
          <w:w w:val="88"/>
          <w:shd w:val="solid" w:color="000000" w:fill="000000"/>
          <w:fitText w:val="390" w:id="-1161539828"/>
          <w14:textFill>
            <w14:solidFill>
              <w14:srgbClr w14:val="000000">
                <w14:alpha w14:val="100000"/>
              </w14:srgbClr>
            </w14:solidFill>
          </w14:textFill>
        </w:rPr>
        <w:t>|</w:t>
      </w:r>
      <w:r w:rsidRPr="00CA23AA">
        <w:t xml:space="preserve"> patients (</w:t>
      </w:r>
      <w:r w:rsidR="00594907" w:rsidRPr="00594907">
        <w:rPr>
          <w:color w:val="000000"/>
          <w:w w:val="88"/>
          <w:shd w:val="solid" w:color="000000" w:fill="000000"/>
          <w:fitText w:val="390" w:id="-1161539827"/>
          <w14:textFill>
            <w14:solidFill>
              <w14:srgbClr w14:val="000000">
                <w14:alpha w14:val="100000"/>
              </w14:srgbClr>
            </w14:solidFill>
          </w14:textFill>
        </w:rPr>
        <w:t>|||</w:t>
      </w:r>
      <w:r w:rsidR="00594907" w:rsidRPr="00594907">
        <w:rPr>
          <w:color w:val="000000"/>
          <w:spacing w:val="2"/>
          <w:w w:val="88"/>
          <w:shd w:val="solid" w:color="000000" w:fill="000000"/>
          <w:fitText w:val="390" w:id="-1161539827"/>
          <w14:textFill>
            <w14:solidFill>
              <w14:srgbClr w14:val="000000">
                <w14:alpha w14:val="100000"/>
              </w14:srgbClr>
            </w14:solidFill>
          </w14:textFill>
        </w:rPr>
        <w:t>|</w:t>
      </w:r>
      <w:r w:rsidRPr="00CA23AA">
        <w:t>%) were in remission at the point of infusion of TIS</w:t>
      </w:r>
      <w:r w:rsidRPr="00CA23AA">
        <w:rPr>
          <w:rStyle w:val="FootnoteReference"/>
          <w:b/>
          <w:bCs/>
        </w:rPr>
        <w:footnoteReference w:id="11"/>
      </w:r>
      <w:r w:rsidRPr="00CA23AA">
        <w:t xml:space="preserve">. Of these, </w:t>
      </w:r>
      <w:r w:rsidR="00594907" w:rsidRPr="00594907">
        <w:rPr>
          <w:color w:val="000000"/>
          <w:w w:val="88"/>
          <w:shd w:val="solid" w:color="000000" w:fill="000000"/>
          <w:fitText w:val="390" w:id="-1161539826"/>
          <w14:textFill>
            <w14:solidFill>
              <w14:srgbClr w14:val="000000">
                <w14:alpha w14:val="100000"/>
              </w14:srgbClr>
            </w14:solidFill>
          </w14:textFill>
        </w:rPr>
        <w:t>|||</w:t>
      </w:r>
      <w:r w:rsidR="00594907" w:rsidRPr="00594907">
        <w:rPr>
          <w:color w:val="000000"/>
          <w:spacing w:val="2"/>
          <w:w w:val="88"/>
          <w:shd w:val="solid" w:color="000000" w:fill="000000"/>
          <w:fitText w:val="390" w:id="-1161539826"/>
          <w14:textFill>
            <w14:solidFill>
              <w14:srgbClr w14:val="000000">
                <w14:alpha w14:val="100000"/>
              </w14:srgbClr>
            </w14:solidFill>
          </w14:textFill>
        </w:rPr>
        <w:t>|</w:t>
      </w:r>
      <w:r w:rsidRPr="00CA23AA">
        <w:t xml:space="preserve">patients had received bridging therapy. </w:t>
      </w:r>
      <w:r w:rsidRPr="00CA23AA">
        <w:rPr>
          <w:rStyle w:val="FootnoteReference"/>
          <w:b/>
          <w:bCs/>
        </w:rPr>
        <w:footnoteReference w:id="12"/>
      </w:r>
      <w:r w:rsidRPr="00CA23AA">
        <w:t>. It is unclear what extra clinical benefit TIS provides to these patients who are in remission (due to bridging therapy).</w:t>
      </w:r>
      <w:r w:rsidR="00E04DEA" w:rsidRPr="00CA23AA">
        <w:t xml:space="preserve"> </w:t>
      </w:r>
      <w:r w:rsidR="00902CC5" w:rsidRPr="00CA23AA">
        <w:t xml:space="preserve">Further, the </w:t>
      </w:r>
      <w:r w:rsidR="00E04DEA" w:rsidRPr="00CA23AA">
        <w:t>comparison</w:t>
      </w:r>
      <w:r w:rsidR="00902CC5" w:rsidRPr="00CA23AA">
        <w:t xml:space="preserve"> of ORR reported </w:t>
      </w:r>
      <w:r w:rsidR="00016701" w:rsidRPr="00CA23AA">
        <w:t>by the ABMTRR</w:t>
      </w:r>
      <w:r w:rsidR="006576A0" w:rsidRPr="00CA23AA">
        <w:t xml:space="preserve">, </w:t>
      </w:r>
      <w:r w:rsidR="00016701" w:rsidRPr="00CA23AA">
        <w:t xml:space="preserve">sponsor </w:t>
      </w:r>
      <w:r w:rsidR="006576A0" w:rsidRPr="00CA23AA">
        <w:t xml:space="preserve">studies </w:t>
      </w:r>
      <w:r w:rsidR="00016701" w:rsidRPr="00CA23AA">
        <w:t xml:space="preserve">and real-world </w:t>
      </w:r>
      <w:r w:rsidR="006576A0" w:rsidRPr="00CA23AA">
        <w:t>studies</w:t>
      </w:r>
      <w:r w:rsidR="00E04DEA" w:rsidRPr="00CA23AA">
        <w:t xml:space="preserve"> is highly uncertain as</w:t>
      </w:r>
      <w:r w:rsidR="006576A0" w:rsidRPr="00CA23AA">
        <w:t xml:space="preserve"> the</w:t>
      </w:r>
      <w:r w:rsidR="00E04DEA" w:rsidRPr="00CA23AA">
        <w:t xml:space="preserve"> follow up period for ORR is highly-variable across studies. ELIANA reported ORR within 3 months, ENSIGN reported ORR at 6 months, whereas the ABMTRR did not specify </w:t>
      </w:r>
      <w:proofErr w:type="gramStart"/>
      <w:r w:rsidR="00E04DEA" w:rsidRPr="00CA23AA">
        <w:t>a time period</w:t>
      </w:r>
      <w:proofErr w:type="gramEnd"/>
      <w:r w:rsidR="00E04DEA" w:rsidRPr="00CA23AA">
        <w:t xml:space="preserve"> (</w:t>
      </w:r>
      <w:r w:rsidR="00E04DEA" w:rsidRPr="00CA23AA">
        <w:fldChar w:fldCharType="begin"/>
      </w:r>
      <w:r w:rsidR="00E04DEA" w:rsidRPr="00CA23AA">
        <w:instrText xml:space="preserve"> REF _Ref132894653 \h  \* MERGEFORMAT </w:instrText>
      </w:r>
      <w:r w:rsidR="00E04DEA" w:rsidRPr="00CA23AA">
        <w:fldChar w:fldCharType="separate"/>
      </w:r>
      <w:r w:rsidR="00175880" w:rsidRPr="00CA23AA">
        <w:t>Table 6</w:t>
      </w:r>
      <w:r w:rsidR="00E04DEA" w:rsidRPr="00CA23AA">
        <w:fldChar w:fldCharType="end"/>
      </w:r>
      <w:r w:rsidR="00E04DEA" w:rsidRPr="00CA23AA">
        <w:t>).</w:t>
      </w:r>
    </w:p>
    <w:p w14:paraId="3DC011F8" w14:textId="4EA383F3" w:rsidR="00B0011F" w:rsidRPr="00CA23AA" w:rsidRDefault="00594907" w:rsidP="00B0011F">
      <w:r w:rsidRPr="00594907">
        <w:rPr>
          <w:color w:val="000000"/>
          <w:w w:val="88"/>
          <w:shd w:val="solid" w:color="000000" w:fill="000000"/>
          <w:fitText w:val="390" w:id="-1161539825"/>
          <w14:textFill>
            <w14:solidFill>
              <w14:srgbClr w14:val="000000">
                <w14:alpha w14:val="100000"/>
              </w14:srgbClr>
            </w14:solidFill>
          </w14:textFill>
        </w:rPr>
        <w:t>|||</w:t>
      </w:r>
      <w:r w:rsidRPr="00594907">
        <w:rPr>
          <w:color w:val="000000"/>
          <w:spacing w:val="2"/>
          <w:w w:val="88"/>
          <w:shd w:val="solid" w:color="000000" w:fill="000000"/>
          <w:fitText w:val="390" w:id="-1161539825"/>
          <w14:textFill>
            <w14:solidFill>
              <w14:srgbClr w14:val="000000">
                <w14:alpha w14:val="100000"/>
              </w14:srgbClr>
            </w14:solidFill>
          </w14:textFill>
        </w:rPr>
        <w:t>|</w:t>
      </w:r>
    </w:p>
    <w:p w14:paraId="6096D173" w14:textId="7B04D7CA" w:rsidR="00451D15" w:rsidRPr="00CA23AA" w:rsidRDefault="00451D15" w:rsidP="00B80AB6">
      <w:pPr>
        <w:rPr>
          <w:b/>
        </w:rPr>
      </w:pPr>
      <w:r w:rsidRPr="00CA23AA">
        <w:rPr>
          <w:b/>
        </w:rPr>
        <w:t>Duration of Remission</w:t>
      </w:r>
    </w:p>
    <w:p w14:paraId="3D365F46" w14:textId="5ABA6342" w:rsidR="00CE46D1" w:rsidRPr="00CA23AA" w:rsidRDefault="00CE46D1" w:rsidP="000F736C">
      <w:r w:rsidRPr="00CA23AA">
        <w:t>Duration of Remission (DOR)</w:t>
      </w:r>
      <w:r w:rsidR="00C05DC1" w:rsidRPr="00CA23AA">
        <w:rPr>
          <w:rStyle w:val="FootnoteReference"/>
        </w:rPr>
        <w:footnoteReference w:id="13"/>
      </w:r>
      <w:r w:rsidRPr="00CA23AA">
        <w:t xml:space="preserve"> was not reported in the ABMTRR cohort. ELIANA reported a median duration of 46.8 months. This was longer than the duration reported in the CIBMTR of 12.3</w:t>
      </w:r>
      <w:r w:rsidR="000358FE" w:rsidRPr="00CA23AA">
        <w:t> </w:t>
      </w:r>
      <w:r w:rsidRPr="00CA23AA">
        <w:t xml:space="preserve">months. </w:t>
      </w:r>
      <w:proofErr w:type="spellStart"/>
      <w:r w:rsidRPr="00CA23AA">
        <w:t>Ravich</w:t>
      </w:r>
      <w:proofErr w:type="spellEnd"/>
      <w:r w:rsidRPr="00CA23AA">
        <w:t xml:space="preserve"> et al 2022 reported 5.2 months </w:t>
      </w:r>
      <w:r w:rsidR="00B80AB6" w:rsidRPr="00CA23AA">
        <w:t>(</w:t>
      </w:r>
      <w:r w:rsidRPr="00CA23AA">
        <w:fldChar w:fldCharType="begin"/>
      </w:r>
      <w:r w:rsidRPr="00CA23AA">
        <w:instrText xml:space="preserve"> REF _Ref132894653 \h </w:instrText>
      </w:r>
      <w:r w:rsidR="00B80AB6" w:rsidRPr="00CA23AA">
        <w:instrText xml:space="preserve"> \* MERGEFORMAT </w:instrText>
      </w:r>
      <w:r w:rsidRPr="00CA23AA">
        <w:fldChar w:fldCharType="separate"/>
      </w:r>
      <w:r w:rsidR="00175880" w:rsidRPr="00CA23AA">
        <w:t>Table 6</w:t>
      </w:r>
      <w:r w:rsidRPr="00CA23AA">
        <w:fldChar w:fldCharType="end"/>
      </w:r>
      <w:r w:rsidR="00B80AB6" w:rsidRPr="00CA23AA">
        <w:t>)</w:t>
      </w:r>
      <w:r w:rsidRPr="00CA23AA">
        <w:t>.</w:t>
      </w:r>
    </w:p>
    <w:p w14:paraId="69F1E67B" w14:textId="77777777" w:rsidR="00CE46D1" w:rsidRPr="00CA23AA" w:rsidRDefault="00CE46D1" w:rsidP="00CE46D1">
      <w:pPr>
        <w:keepNext/>
        <w:spacing w:after="0"/>
      </w:pPr>
      <w:r w:rsidRPr="00CA23AA">
        <w:rPr>
          <w:noProof/>
        </w:rPr>
        <w:drawing>
          <wp:inline distT="0" distB="0" distL="0" distR="0" wp14:anchorId="4D018FF9" wp14:editId="5A11D650">
            <wp:extent cx="3768346" cy="1192530"/>
            <wp:effectExtent l="0" t="0" r="3810" b="7620"/>
            <wp:docPr id="8" name="Picture 8" descr="Kaplan Meier plots for duration of remission for ABMTRR (Left), ELIANA (Centre), and B2001X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922102"/>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768596" cy="1192609"/>
                    </a:xfrm>
                    <a:prstGeom prst="rect">
                      <a:avLst/>
                    </a:prstGeom>
                    <a:ln>
                      <a:noFill/>
                    </a:ln>
                    <a:extLst>
                      <a:ext uri="{53640926-AAD7-44D8-BBD7-CCE9431645EC}">
                        <a14:shadowObscured xmlns:a14="http://schemas.microsoft.com/office/drawing/2010/main"/>
                      </a:ext>
                    </a:extLst>
                  </pic:spPr>
                </pic:pic>
              </a:graphicData>
            </a:graphic>
          </wp:inline>
        </w:drawing>
      </w:r>
    </w:p>
    <w:p w14:paraId="0023E5AA" w14:textId="3C515DD8" w:rsidR="00CE46D1" w:rsidRPr="00CA23AA" w:rsidRDefault="00CE46D1" w:rsidP="00814D77">
      <w:pPr>
        <w:pStyle w:val="TableHeading0"/>
      </w:pPr>
      <w:bookmarkStart w:id="32" w:name="_Ref142851246"/>
      <w:r w:rsidRPr="00CA23AA">
        <w:t xml:space="preserve">Figure </w:t>
      </w:r>
      <w:fldSimple w:instr=" SEQ Figure \* ARABIC ">
        <w:r w:rsidR="00175880" w:rsidRPr="00CA23AA">
          <w:rPr>
            <w:noProof/>
          </w:rPr>
          <w:t>1</w:t>
        </w:r>
      </w:fldSimple>
      <w:bookmarkEnd w:id="32"/>
      <w:r w:rsidRPr="00CA23AA">
        <w:tab/>
        <w:t>Kaplan Meier plots for DOR for ABMTRR</w:t>
      </w:r>
      <w:r w:rsidR="00D0599C" w:rsidRPr="00CA23AA">
        <w:t xml:space="preserve"> (redacted)</w:t>
      </w:r>
      <w:r w:rsidRPr="00CA23AA">
        <w:t xml:space="preserve"> and Sponsored trials</w:t>
      </w:r>
    </w:p>
    <w:p w14:paraId="7C2E4A39" w14:textId="299B06DC" w:rsidR="00CE46D1" w:rsidRPr="00CA23AA" w:rsidRDefault="00CE46D1" w:rsidP="00CE46D1">
      <w:pPr>
        <w:pStyle w:val="Tablenotes0"/>
      </w:pPr>
      <w:r w:rsidRPr="00CA23AA">
        <w:t>ALL = Acute Lymphoblastic Leukemia; ABMTRR</w:t>
      </w:r>
      <w:r w:rsidR="00ED3563" w:rsidRPr="00CA23AA">
        <w:t xml:space="preserve"> =</w:t>
      </w:r>
      <w:r w:rsidRPr="00CA23AA">
        <w:t xml:space="preserve"> Australian Bone Marrow Transplant Recipient Registry; DOR = Duration of Response</w:t>
      </w:r>
    </w:p>
    <w:p w14:paraId="16E27801" w14:textId="77777777" w:rsidR="00CE46D1" w:rsidRPr="00CA23AA" w:rsidRDefault="00CE46D1" w:rsidP="00CE46D1">
      <w:pPr>
        <w:pStyle w:val="Tablenotes0"/>
      </w:pPr>
      <w:r w:rsidRPr="00CA23AA">
        <w:t xml:space="preserve">Sources, Left to right: ABMTRR (January 2023); ELIANA CSR Figure 14.2-6.1; B2001X CSR Figure </w:t>
      </w:r>
      <w:proofErr w:type="gramStart"/>
      <w:r w:rsidRPr="00CA23AA">
        <w:t>14.2-1.1;</w:t>
      </w:r>
      <w:proofErr w:type="gramEnd"/>
    </w:p>
    <w:p w14:paraId="41608456" w14:textId="15B3E56F" w:rsidR="002A12D5" w:rsidRPr="00CA23AA" w:rsidRDefault="00CE46D1" w:rsidP="00B80AB6">
      <w:r w:rsidRPr="00CA23AA">
        <w:t xml:space="preserve">The proportion of patients in remission at 12 months was estimated to be around </w:t>
      </w:r>
      <w:r w:rsidR="00594907" w:rsidRPr="00594907">
        <w:rPr>
          <w:color w:val="000000"/>
          <w:w w:val="88"/>
          <w:shd w:val="solid" w:color="000000" w:fill="000000"/>
          <w:fitText w:val="390" w:id="-1161539824"/>
          <w14:textFill>
            <w14:solidFill>
              <w14:srgbClr w14:val="000000">
                <w14:alpha w14:val="100000"/>
              </w14:srgbClr>
            </w14:solidFill>
          </w14:textFill>
        </w:rPr>
        <w:t>|||</w:t>
      </w:r>
      <w:r w:rsidR="00594907" w:rsidRPr="00594907">
        <w:rPr>
          <w:color w:val="000000"/>
          <w:spacing w:val="2"/>
          <w:w w:val="88"/>
          <w:shd w:val="solid" w:color="000000" w:fill="000000"/>
          <w:fitText w:val="390" w:id="-1161539824"/>
          <w14:textFill>
            <w14:solidFill>
              <w14:srgbClr w14:val="000000">
                <w14:alpha w14:val="100000"/>
              </w14:srgbClr>
            </w14:solidFill>
          </w14:textFill>
        </w:rPr>
        <w:t>|</w:t>
      </w:r>
      <w:r w:rsidRPr="00CA23AA">
        <w:t xml:space="preserve">% from the ABMTRR (Jan 2023, estimated from </w:t>
      </w:r>
      <w:r w:rsidR="00B80AB6" w:rsidRPr="00CA23AA">
        <w:fldChar w:fldCharType="begin"/>
      </w:r>
      <w:r w:rsidR="00B80AB6" w:rsidRPr="00CA23AA">
        <w:instrText xml:space="preserve"> REF _Ref132894653 \h  \* MERGEFORMAT </w:instrText>
      </w:r>
      <w:r w:rsidR="00B80AB6" w:rsidRPr="00CA23AA">
        <w:fldChar w:fldCharType="separate"/>
      </w:r>
      <w:r w:rsidR="00175880" w:rsidRPr="00CA23AA">
        <w:t>Table 6</w:t>
      </w:r>
      <w:r w:rsidR="00B80AB6" w:rsidRPr="00CA23AA">
        <w:fldChar w:fldCharType="end"/>
      </w:r>
      <w:r w:rsidRPr="00CA23AA">
        <w:t xml:space="preserve">), 67.4% in ELIANA, and 70.5% in ENSIGN. Remission rates were reported in two real-world studies: </w:t>
      </w:r>
      <w:proofErr w:type="spellStart"/>
      <w:r w:rsidRPr="00CA23AA">
        <w:t>Pasquini</w:t>
      </w:r>
      <w:proofErr w:type="spellEnd"/>
      <w:r w:rsidRPr="00CA23AA">
        <w:t xml:space="preserve"> et al (2020) reported that 60.9% of patients were in remission at 12 months, and data from PRWCC reported 12-month remission rate of 62%. The proportion of patients in remission at 24 months was </w:t>
      </w:r>
      <w:r w:rsidR="00594907" w:rsidRPr="00594907">
        <w:rPr>
          <w:color w:val="000000"/>
          <w:w w:val="86"/>
          <w:shd w:val="solid" w:color="000000" w:fill="000000"/>
          <w:fitText w:val="380" w:id="-1161539840"/>
          <w14:textFill>
            <w14:solidFill>
              <w14:srgbClr w14:val="000000">
                <w14:alpha w14:val="100000"/>
              </w14:srgbClr>
            </w14:solidFill>
          </w14:textFill>
        </w:rPr>
        <w:t>|||</w:t>
      </w:r>
      <w:r w:rsidR="00594907" w:rsidRPr="00594907">
        <w:rPr>
          <w:color w:val="000000"/>
          <w:spacing w:val="1"/>
          <w:w w:val="86"/>
          <w:shd w:val="solid" w:color="000000" w:fill="000000"/>
          <w:fitText w:val="380" w:id="-1161539840"/>
          <w14:textFill>
            <w14:solidFill>
              <w14:srgbClr w14:val="000000">
                <w14:alpha w14:val="100000"/>
              </w14:srgbClr>
            </w14:solidFill>
          </w14:textFill>
        </w:rPr>
        <w:t>|</w:t>
      </w:r>
      <w:r w:rsidRPr="00CA23AA">
        <w:t xml:space="preserve">% for ABMTRR, (estimated from </w:t>
      </w:r>
      <w:r w:rsidR="00B80AB6" w:rsidRPr="00CA23AA">
        <w:fldChar w:fldCharType="begin"/>
      </w:r>
      <w:r w:rsidR="00B80AB6" w:rsidRPr="00CA23AA">
        <w:instrText xml:space="preserve"> REF _Ref132894653 \h  \* MERGEFORMAT </w:instrText>
      </w:r>
      <w:r w:rsidR="00B80AB6" w:rsidRPr="00CA23AA">
        <w:fldChar w:fldCharType="separate"/>
      </w:r>
      <w:r w:rsidR="00175880" w:rsidRPr="00CA23AA">
        <w:t>Table 6</w:t>
      </w:r>
      <w:r w:rsidR="00B80AB6" w:rsidRPr="00CA23AA">
        <w:fldChar w:fldCharType="end"/>
      </w:r>
      <w:r w:rsidRPr="00CA23AA">
        <w:t>) and 58.4% for ELIANA. No patients in the B2001X trial were at risk at 24 months. Longer-term data from ELIANA reported that 48.9% of patients were in remission at 5 years of follow-up. However, this was determined from a small sample of patients and should be interpreted with caution. At four years of follow-up, 18 patients were at risk whereas only one patient was at risk at 60 months</w:t>
      </w:r>
      <w:r w:rsidRPr="00CA23AA">
        <w:rPr>
          <w:rStyle w:val="FootnoteReference"/>
          <w:b/>
        </w:rPr>
        <w:footnoteReference w:id="14"/>
      </w:r>
      <w:r w:rsidRPr="00CA23AA">
        <w:t xml:space="preserve">. </w:t>
      </w:r>
    </w:p>
    <w:p w14:paraId="5A344776" w14:textId="15B014F4" w:rsidR="002A12D5" w:rsidRPr="00CA23AA" w:rsidRDefault="002A12D5" w:rsidP="00B80AB6">
      <w:pPr>
        <w:rPr>
          <w:b/>
        </w:rPr>
      </w:pPr>
      <w:r w:rsidRPr="00CA23AA">
        <w:rPr>
          <w:b/>
        </w:rPr>
        <w:t>Event Free Survival</w:t>
      </w:r>
    </w:p>
    <w:p w14:paraId="092273A4" w14:textId="33BF459D" w:rsidR="00CE46D1" w:rsidRPr="00CA23AA" w:rsidRDefault="00CE46D1" w:rsidP="00B80AB6">
      <w:r w:rsidRPr="00CA23AA">
        <w:t xml:space="preserve">Median EFS was not reached in the ABMTRR cohort, </w:t>
      </w:r>
      <w:r w:rsidR="7FDDB347" w:rsidRPr="00CA23AA">
        <w:t xml:space="preserve">and </w:t>
      </w:r>
      <w:r w:rsidRPr="00CA23AA">
        <w:t xml:space="preserve">widely varied across the published evidence. Sponsored trials reported median EFS ranging from 15.1 to 23.7 months. Real-world studies reported a range of 4.3 to 20.3 months </w:t>
      </w:r>
      <w:r w:rsidR="74B64EA5" w:rsidRPr="00CA23AA">
        <w:t>(see</w:t>
      </w:r>
      <w:r w:rsidRPr="00CA23AA">
        <w:t xml:space="preserve"> </w:t>
      </w:r>
      <w:r w:rsidRPr="00CA23AA">
        <w:fldChar w:fldCharType="begin"/>
      </w:r>
      <w:r w:rsidRPr="00CA23AA">
        <w:instrText xml:space="preserve"> REF _Ref132894653 \h </w:instrText>
      </w:r>
      <w:r w:rsidR="00B80AB6" w:rsidRPr="00CA23AA">
        <w:instrText xml:space="preserve"> \* MERGEFORMAT </w:instrText>
      </w:r>
      <w:r w:rsidRPr="00CA23AA">
        <w:fldChar w:fldCharType="separate"/>
      </w:r>
      <w:r w:rsidR="00175880" w:rsidRPr="00CA23AA">
        <w:t>Table 6</w:t>
      </w:r>
      <w:r w:rsidRPr="00CA23AA">
        <w:fldChar w:fldCharType="end"/>
      </w:r>
      <w:r w:rsidR="603E77A8" w:rsidRPr="00CA23AA">
        <w:t>)</w:t>
      </w:r>
      <w:r w:rsidRPr="00CA23AA">
        <w:t>.</w:t>
      </w:r>
    </w:p>
    <w:p w14:paraId="09BB13AD" w14:textId="5FF92ED4" w:rsidR="00CE46D1" w:rsidRPr="00CA23AA" w:rsidRDefault="00CE46D1" w:rsidP="008E6142">
      <w:pPr>
        <w:keepNext/>
        <w:keepLines/>
      </w:pPr>
    </w:p>
    <w:p w14:paraId="68EE970E" w14:textId="5D93D073" w:rsidR="00CE46D1" w:rsidRPr="00CA23AA" w:rsidRDefault="00022F36" w:rsidP="008E6142">
      <w:pPr>
        <w:pStyle w:val="TableHeading0"/>
        <w:keepLines/>
      </w:pPr>
      <w:bookmarkStart w:id="33" w:name="_Ref133941298"/>
      <w:r w:rsidRPr="00CA23AA">
        <w:rPr>
          <w:noProof/>
        </w:rPr>
        <w:drawing>
          <wp:inline distT="0" distB="0" distL="0" distR="0" wp14:anchorId="0BD1E0DB" wp14:editId="0A4A3ED2">
            <wp:extent cx="5657850" cy="3348913"/>
            <wp:effectExtent l="0" t="0" r="0" b="4445"/>
            <wp:docPr id="2" name="Picture 2" descr="Kaplan Meier analysis of EFS for ABMTRR (redacted) and Sponsor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plan Meier analysis of EFS for ABMTRR (redacted) and Sponsored trials"/>
                    <pic:cNvPicPr/>
                  </pic:nvPicPr>
                  <pic:blipFill>
                    <a:blip r:embed="rId19">
                      <a:extLst>
                        <a:ext uri="{28A0092B-C50C-407E-A947-70E740481C1C}">
                          <a14:useLocalDpi xmlns:a14="http://schemas.microsoft.com/office/drawing/2010/main" val="0"/>
                        </a:ext>
                      </a:extLst>
                    </a:blip>
                    <a:stretch>
                      <a:fillRect/>
                    </a:stretch>
                  </pic:blipFill>
                  <pic:spPr>
                    <a:xfrm>
                      <a:off x="0" y="0"/>
                      <a:ext cx="5673519" cy="3358188"/>
                    </a:xfrm>
                    <a:prstGeom prst="rect">
                      <a:avLst/>
                    </a:prstGeom>
                  </pic:spPr>
                </pic:pic>
              </a:graphicData>
            </a:graphic>
          </wp:inline>
        </w:drawing>
      </w:r>
      <w:r w:rsidR="00CE46D1" w:rsidRPr="00CA23AA">
        <w:t xml:space="preserve">Figure </w:t>
      </w:r>
      <w:fldSimple w:instr=" SEQ Figure \* ARABIC ">
        <w:r w:rsidR="00175880" w:rsidRPr="00CA23AA">
          <w:rPr>
            <w:noProof/>
          </w:rPr>
          <w:t>2</w:t>
        </w:r>
      </w:fldSimple>
      <w:bookmarkEnd w:id="33"/>
      <w:r w:rsidR="00CE46D1" w:rsidRPr="00CA23AA">
        <w:t xml:space="preserve"> Kaplan Meier analysis of EFS for ABMTRR</w:t>
      </w:r>
      <w:r w:rsidR="00E6123B" w:rsidRPr="00CA23AA">
        <w:t xml:space="preserve"> (redacted)</w:t>
      </w:r>
      <w:r w:rsidR="00CE46D1" w:rsidRPr="00CA23AA">
        <w:t xml:space="preserve"> and Sponsored trials</w:t>
      </w:r>
    </w:p>
    <w:p w14:paraId="2425F1AB" w14:textId="44A2E723" w:rsidR="00CE46D1" w:rsidRPr="00CA23AA" w:rsidRDefault="00CE46D1" w:rsidP="008E6142">
      <w:pPr>
        <w:pStyle w:val="Tablenotes0"/>
        <w:keepNext/>
        <w:keepLines/>
      </w:pPr>
      <w:r w:rsidRPr="00CA23AA">
        <w:t>ALL = Acute Lymphoblastic Leukemia; ABMTRR</w:t>
      </w:r>
      <w:r w:rsidR="00ED3563" w:rsidRPr="00CA23AA">
        <w:t xml:space="preserve"> =</w:t>
      </w:r>
      <w:r w:rsidRPr="00CA23AA">
        <w:t xml:space="preserve"> Australian Bone Marrow Transplant Recipient Registry; EFS = Event Free </w:t>
      </w:r>
      <w:proofErr w:type="gramStart"/>
      <w:r w:rsidRPr="00CA23AA">
        <w:t>Survival;</w:t>
      </w:r>
      <w:proofErr w:type="gramEnd"/>
    </w:p>
    <w:p w14:paraId="5EB4F114" w14:textId="23271FB5" w:rsidR="00CE46D1" w:rsidRPr="00CA23AA" w:rsidRDefault="00CE46D1" w:rsidP="008E6142">
      <w:pPr>
        <w:pStyle w:val="Tablenotes0"/>
        <w:keepNext/>
        <w:keepLines/>
      </w:pPr>
      <w:r w:rsidRPr="00CA23AA">
        <w:t>Sources top-to-bottom, left-to-right: ABMTRR (January 2023); ELIANA CSR Figure 14.2-8.1; B2001X CSR Figure: 14.2-3.1; ENSIGN CSR Figure 14.2-8.1</w:t>
      </w:r>
    </w:p>
    <w:p w14:paraId="5E9182CD" w14:textId="2D2AAE61" w:rsidR="00F36C0B" w:rsidRPr="00CA23AA" w:rsidRDefault="00CE46D1" w:rsidP="00B80AB6">
      <w:r w:rsidRPr="00CA23AA">
        <w:t xml:space="preserve">EFS at 12-months was estimated to be </w:t>
      </w:r>
      <w:r w:rsidR="00594907" w:rsidRPr="00594907">
        <w:rPr>
          <w:color w:val="000000"/>
          <w:w w:val="88"/>
          <w:shd w:val="solid" w:color="000000" w:fill="000000"/>
          <w:fitText w:val="390" w:id="-1161539839"/>
          <w14:textFill>
            <w14:solidFill>
              <w14:srgbClr w14:val="000000">
                <w14:alpha w14:val="100000"/>
              </w14:srgbClr>
            </w14:solidFill>
          </w14:textFill>
        </w:rPr>
        <w:t>|||</w:t>
      </w:r>
      <w:r w:rsidR="00594907" w:rsidRPr="00594907">
        <w:rPr>
          <w:color w:val="000000"/>
          <w:spacing w:val="2"/>
          <w:w w:val="88"/>
          <w:shd w:val="solid" w:color="000000" w:fill="000000"/>
          <w:fitText w:val="390" w:id="-1161539839"/>
          <w14:textFill>
            <w14:solidFill>
              <w14:srgbClr w14:val="000000">
                <w14:alpha w14:val="100000"/>
              </w14:srgbClr>
            </w14:solidFill>
          </w14:textFill>
        </w:rPr>
        <w:t>|</w:t>
      </w:r>
      <w:r w:rsidRPr="00CA23AA">
        <w:t xml:space="preserve">% from the ABMTRR, 67.3% for B2001X, 57.2% for ELIANA, and 53.6% for ENSIGN. These </w:t>
      </w:r>
      <w:r w:rsidR="52E72B3A" w:rsidRPr="00CA23AA">
        <w:t>EFS results</w:t>
      </w:r>
      <w:r w:rsidR="0FE4C53C" w:rsidRPr="00CA23AA">
        <w:t xml:space="preserve"> </w:t>
      </w:r>
      <w:r w:rsidRPr="00CA23AA">
        <w:t xml:space="preserve">are higher than reported for other registries such as PRWCC (50%) and CIBMTR (52.4%). EFS at 24-months was </w:t>
      </w:r>
      <w:r w:rsidR="00594907" w:rsidRPr="00594907">
        <w:rPr>
          <w:color w:val="000000"/>
          <w:w w:val="86"/>
          <w:shd w:val="solid" w:color="000000" w:fill="000000"/>
          <w:fitText w:val="380" w:id="-1161539838"/>
          <w14:textFill>
            <w14:solidFill>
              <w14:srgbClr w14:val="000000">
                <w14:alpha w14:val="100000"/>
              </w14:srgbClr>
            </w14:solidFill>
          </w14:textFill>
        </w:rPr>
        <w:t>|||</w:t>
      </w:r>
      <w:r w:rsidR="00594907" w:rsidRPr="00594907">
        <w:rPr>
          <w:color w:val="000000"/>
          <w:spacing w:val="1"/>
          <w:w w:val="86"/>
          <w:shd w:val="solid" w:color="000000" w:fill="000000"/>
          <w:fitText w:val="380" w:id="-1161539838"/>
          <w14:textFill>
            <w14:solidFill>
              <w14:srgbClr w14:val="000000">
                <w14:alpha w14:val="100000"/>
              </w14:srgbClr>
            </w14:solidFill>
          </w14:textFill>
        </w:rPr>
        <w:t>|</w:t>
      </w:r>
      <w:r w:rsidRPr="00CA23AA">
        <w:t xml:space="preserve">% from the ABMTRR (estimated from </w:t>
      </w:r>
      <w:r w:rsidRPr="00CA23AA">
        <w:fldChar w:fldCharType="begin"/>
      </w:r>
      <w:r w:rsidRPr="00CA23AA">
        <w:instrText xml:space="preserve"> REF _Ref133941298 \h </w:instrText>
      </w:r>
      <w:r w:rsidR="00B80AB6" w:rsidRPr="00CA23AA">
        <w:instrText xml:space="preserve"> \* MERGEFORMAT </w:instrText>
      </w:r>
      <w:r w:rsidRPr="00CA23AA">
        <w:fldChar w:fldCharType="separate"/>
      </w:r>
      <w:r w:rsidR="00175880" w:rsidRPr="00CA23AA">
        <w:t>Figure 2</w:t>
      </w:r>
      <w:r w:rsidRPr="00CA23AA">
        <w:fldChar w:fldCharType="end"/>
      </w:r>
      <w:r w:rsidRPr="00CA23AA">
        <w:t xml:space="preserve">); 49.6% from ELIANA; and 47.8% from ENSIGN </w:t>
      </w:r>
      <w:r w:rsidR="08583C0D" w:rsidRPr="00CA23AA">
        <w:t>(</w:t>
      </w:r>
      <w:r w:rsidRPr="00CA23AA">
        <w:fldChar w:fldCharType="begin"/>
      </w:r>
      <w:r w:rsidRPr="00CA23AA">
        <w:instrText xml:space="preserve"> REF _Ref132894653 \h </w:instrText>
      </w:r>
      <w:r w:rsidR="00B80AB6" w:rsidRPr="00CA23AA">
        <w:instrText xml:space="preserve"> \* MERGEFORMAT </w:instrText>
      </w:r>
      <w:r w:rsidRPr="00CA23AA">
        <w:fldChar w:fldCharType="separate"/>
      </w:r>
      <w:r w:rsidR="00175880" w:rsidRPr="00CA23AA">
        <w:t>Table 6</w:t>
      </w:r>
      <w:r w:rsidRPr="00CA23AA">
        <w:fldChar w:fldCharType="end"/>
      </w:r>
      <w:r w:rsidR="48C3386E" w:rsidRPr="00CA23AA">
        <w:t>)</w:t>
      </w:r>
      <w:r w:rsidRPr="00CA23AA">
        <w:t>. The commentary noted that the method of determining EFS was variable across studies because of what constituted a “treatment failure event”.</w:t>
      </w:r>
      <w:r w:rsidRPr="00CA23AA">
        <w:rPr>
          <w:rStyle w:val="FootnoteReference"/>
          <w:b/>
        </w:rPr>
        <w:footnoteReference w:id="15"/>
      </w:r>
      <w:r w:rsidRPr="00CA23AA">
        <w:t xml:space="preserve"> </w:t>
      </w:r>
    </w:p>
    <w:p w14:paraId="58755DEB" w14:textId="75EFBD7C" w:rsidR="002A12D5" w:rsidRPr="00CA23AA" w:rsidRDefault="002A12D5" w:rsidP="008E6142">
      <w:pPr>
        <w:keepNext/>
        <w:keepLines/>
        <w:rPr>
          <w:b/>
        </w:rPr>
      </w:pPr>
      <w:r w:rsidRPr="00CA23AA">
        <w:rPr>
          <w:b/>
        </w:rPr>
        <w:t>Overall Survival (OS)</w:t>
      </w:r>
    </w:p>
    <w:p w14:paraId="0F53D9F4" w14:textId="50F62632" w:rsidR="00CE46D1" w:rsidRPr="00CA23AA" w:rsidRDefault="00CE46D1" w:rsidP="008E6142">
      <w:pPr>
        <w:pStyle w:val="Guidelinescross-ref"/>
        <w:keepNext/>
        <w:keepLines/>
        <w:rPr>
          <w:b w:val="0"/>
          <w:color w:val="auto"/>
          <w:sz w:val="22"/>
        </w:rPr>
      </w:pPr>
      <w:r w:rsidRPr="00CA23AA">
        <w:rPr>
          <w:b w:val="0"/>
          <w:color w:val="auto"/>
          <w:sz w:val="22"/>
        </w:rPr>
        <w:t xml:space="preserve">Median OS was not reached in the ABMTRR cohort, or in any of the real-world studies. Only two clinical studies: ENSIGN and B2001X reported median OS of 29.9 and 15.1 months, respectively </w:t>
      </w:r>
      <w:r w:rsidR="523C3735" w:rsidRPr="00CA23AA">
        <w:rPr>
          <w:b w:val="0"/>
          <w:color w:val="auto"/>
          <w:sz w:val="22"/>
        </w:rPr>
        <w:t>(</w:t>
      </w:r>
      <w:r w:rsidR="00B80AB6" w:rsidRPr="00CA23AA">
        <w:rPr>
          <w:b w:val="0"/>
          <w:color w:val="auto"/>
          <w:sz w:val="22"/>
        </w:rPr>
        <w:fldChar w:fldCharType="begin"/>
      </w:r>
      <w:r w:rsidR="00B80AB6" w:rsidRPr="00CA23AA">
        <w:rPr>
          <w:b w:val="0"/>
          <w:color w:val="auto"/>
          <w:sz w:val="22"/>
        </w:rPr>
        <w:instrText xml:space="preserve"> REF _Ref132894653 \h  \* MERGEFORMAT </w:instrText>
      </w:r>
      <w:r w:rsidR="00B80AB6" w:rsidRPr="00CA23AA">
        <w:rPr>
          <w:b w:val="0"/>
          <w:color w:val="auto"/>
          <w:sz w:val="22"/>
        </w:rPr>
      </w:r>
      <w:r w:rsidR="00B80AB6" w:rsidRPr="00CA23AA">
        <w:rPr>
          <w:b w:val="0"/>
          <w:color w:val="auto"/>
          <w:sz w:val="22"/>
        </w:rPr>
        <w:fldChar w:fldCharType="separate"/>
      </w:r>
      <w:r w:rsidR="00175880" w:rsidRPr="00CA23AA">
        <w:rPr>
          <w:b w:val="0"/>
          <w:color w:val="auto"/>
          <w:sz w:val="22"/>
        </w:rPr>
        <w:t>Table 6</w:t>
      </w:r>
      <w:r w:rsidR="00B80AB6" w:rsidRPr="00CA23AA">
        <w:rPr>
          <w:b w:val="0"/>
          <w:color w:val="auto"/>
          <w:sz w:val="22"/>
        </w:rPr>
        <w:fldChar w:fldCharType="end"/>
      </w:r>
      <w:r w:rsidR="00B80AB6" w:rsidRPr="00CA23AA">
        <w:rPr>
          <w:b w:val="0"/>
          <w:color w:val="auto"/>
          <w:sz w:val="22"/>
        </w:rPr>
        <w:t>)</w:t>
      </w:r>
      <w:r w:rsidRPr="00CA23AA">
        <w:rPr>
          <w:b w:val="0"/>
          <w:color w:val="auto"/>
          <w:sz w:val="22"/>
        </w:rPr>
        <w:t>.</w:t>
      </w:r>
    </w:p>
    <w:p w14:paraId="1EDD1333" w14:textId="5145904E" w:rsidR="00CE46D1" w:rsidRPr="00CA23AA" w:rsidRDefault="00CE46D1" w:rsidP="00CE46D1"/>
    <w:p w14:paraId="6A234B57" w14:textId="77777777" w:rsidR="00A04A9B" w:rsidRPr="00CA23AA" w:rsidRDefault="00A04A9B" w:rsidP="00814D77">
      <w:pPr>
        <w:pStyle w:val="TableHeading0"/>
      </w:pPr>
      <w:bookmarkStart w:id="34" w:name="_Ref133942020"/>
      <w:r w:rsidRPr="00CA23AA">
        <w:rPr>
          <w:noProof/>
        </w:rPr>
        <w:drawing>
          <wp:inline distT="0" distB="0" distL="0" distR="0" wp14:anchorId="0564EFD1" wp14:editId="0021DA17">
            <wp:extent cx="4580017" cy="2598645"/>
            <wp:effectExtent l="0" t="0" r="0" b="0"/>
            <wp:docPr id="3" name="Picture 3" descr="Kaplan Meier analysis of OS for ABMTRR and Sponsor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plan Meier analysis of OS for ABMTRR and Sponsored trials"/>
                    <pic:cNvPicPr/>
                  </pic:nvPicPr>
                  <pic:blipFill>
                    <a:blip r:embed="rId20">
                      <a:extLst>
                        <a:ext uri="{28A0092B-C50C-407E-A947-70E740481C1C}">
                          <a14:useLocalDpi xmlns:a14="http://schemas.microsoft.com/office/drawing/2010/main" val="0"/>
                        </a:ext>
                      </a:extLst>
                    </a:blip>
                    <a:stretch>
                      <a:fillRect/>
                    </a:stretch>
                  </pic:blipFill>
                  <pic:spPr>
                    <a:xfrm>
                      <a:off x="0" y="0"/>
                      <a:ext cx="4580017" cy="2598645"/>
                    </a:xfrm>
                    <a:prstGeom prst="rect">
                      <a:avLst/>
                    </a:prstGeom>
                  </pic:spPr>
                </pic:pic>
              </a:graphicData>
            </a:graphic>
          </wp:inline>
        </w:drawing>
      </w:r>
    </w:p>
    <w:p w14:paraId="22364FCA" w14:textId="7D420E16" w:rsidR="00CE46D1" w:rsidRPr="00CA23AA" w:rsidRDefault="00CE46D1" w:rsidP="00814D77">
      <w:pPr>
        <w:pStyle w:val="TableHeading0"/>
      </w:pPr>
      <w:r w:rsidRPr="00CA23AA">
        <w:t xml:space="preserve">Figure </w:t>
      </w:r>
      <w:fldSimple w:instr=" SEQ Figure \* ARABIC ">
        <w:r w:rsidR="00175880" w:rsidRPr="00CA23AA">
          <w:rPr>
            <w:noProof/>
          </w:rPr>
          <w:t>3</w:t>
        </w:r>
      </w:fldSimple>
      <w:bookmarkEnd w:id="34"/>
      <w:r w:rsidRPr="00CA23AA">
        <w:t xml:space="preserve"> Kaplan Meier analysis of OS for ABMTRR and Sponsored trials</w:t>
      </w:r>
    </w:p>
    <w:p w14:paraId="189FBE12" w14:textId="77463BEF" w:rsidR="00CE46D1" w:rsidRPr="00CA23AA" w:rsidRDefault="00CE46D1" w:rsidP="00CE46D1">
      <w:pPr>
        <w:pStyle w:val="Tablenotes0"/>
      </w:pPr>
      <w:r w:rsidRPr="00CA23AA">
        <w:t>ALL = Acute Lymphoblastic Leukemia; ABMTRR</w:t>
      </w:r>
      <w:r w:rsidR="00896741" w:rsidRPr="00CA23AA">
        <w:t xml:space="preserve"> =</w:t>
      </w:r>
      <w:r w:rsidRPr="00CA23AA">
        <w:t xml:space="preserve"> Australian Bone Marrow Transplant Recipient Registry; OS = Overall Survival </w:t>
      </w:r>
    </w:p>
    <w:p w14:paraId="434B692B" w14:textId="321A3D79" w:rsidR="00CE46D1" w:rsidRPr="00CA23AA" w:rsidRDefault="00CE46D1" w:rsidP="00CE46D1">
      <w:pPr>
        <w:pStyle w:val="Tablenotes0"/>
      </w:pPr>
      <w:r w:rsidRPr="00CA23AA">
        <w:t>Sources top-to-bottom, left-to-right: ABMTRR (January 2023); ELIANA CSR Figure 14.2-9.1; B2001X CSR Figure: 14.2-4.2; ENSIGN CSR Figure 14.2-9.1</w:t>
      </w:r>
    </w:p>
    <w:p w14:paraId="3F0E6C0A" w14:textId="61D26073" w:rsidR="00D920B0" w:rsidRPr="00CA23AA" w:rsidRDefault="00CE46D1" w:rsidP="00D920B0">
      <w:r w:rsidRPr="00CA23AA">
        <w:t xml:space="preserve">Overall survival (OS) at 12 months was </w:t>
      </w:r>
      <w:r w:rsidR="00594907" w:rsidRPr="00594907">
        <w:rPr>
          <w:color w:val="000000"/>
          <w:w w:val="86"/>
          <w:shd w:val="solid" w:color="000000" w:fill="000000"/>
          <w:fitText w:val="380" w:id="-1161539837"/>
          <w14:textFill>
            <w14:solidFill>
              <w14:srgbClr w14:val="000000">
                <w14:alpha w14:val="100000"/>
              </w14:srgbClr>
            </w14:solidFill>
          </w14:textFill>
        </w:rPr>
        <w:t>|||</w:t>
      </w:r>
      <w:r w:rsidR="00594907" w:rsidRPr="00594907">
        <w:rPr>
          <w:color w:val="000000"/>
          <w:spacing w:val="1"/>
          <w:w w:val="86"/>
          <w:shd w:val="solid" w:color="000000" w:fill="000000"/>
          <w:fitText w:val="380" w:id="-1161539837"/>
          <w14:textFill>
            <w14:solidFill>
              <w14:srgbClr w14:val="000000">
                <w14:alpha w14:val="100000"/>
              </w14:srgbClr>
            </w14:solidFill>
          </w14:textFill>
        </w:rPr>
        <w:t>|</w:t>
      </w:r>
      <w:r w:rsidRPr="00CA23AA">
        <w:t xml:space="preserve">% from the ABMTRR, 77.1% for ELIANA, 88% for B2001X, and 65.4% for ENSIGN. This was </w:t>
      </w:r>
      <w:proofErr w:type="gramStart"/>
      <w:r w:rsidRPr="00CA23AA">
        <w:t>similar to</w:t>
      </w:r>
      <w:proofErr w:type="gramEnd"/>
      <w:r w:rsidRPr="00CA23AA">
        <w:t xml:space="preserve"> OS reported across real-world studies (Range: 72 to 84%). The notable exception to this is </w:t>
      </w:r>
      <w:proofErr w:type="spellStart"/>
      <w:r w:rsidRPr="00CA23AA">
        <w:t>Ravich</w:t>
      </w:r>
      <w:proofErr w:type="spellEnd"/>
      <w:r w:rsidRPr="00CA23AA">
        <w:t xml:space="preserve"> et al (2022) which reported a 12-month survival of 51.5%. This is likely because the study by </w:t>
      </w:r>
      <w:proofErr w:type="spellStart"/>
      <w:r w:rsidRPr="00CA23AA">
        <w:t>Ravich</w:t>
      </w:r>
      <w:proofErr w:type="spellEnd"/>
      <w:r w:rsidRPr="00CA23AA">
        <w:t xml:space="preserve"> et al (2002) was small</w:t>
      </w:r>
      <w:r w:rsidR="5C010118" w:rsidRPr="00CA23AA">
        <w:t xml:space="preserve"> </w:t>
      </w:r>
      <w:r w:rsidRPr="00CA23AA">
        <w:t xml:space="preserve">(with low precision), and almost half of the patients had high disease burden. Overall survival at 24 months was </w:t>
      </w:r>
      <w:r w:rsidR="00594907" w:rsidRPr="00594907">
        <w:rPr>
          <w:color w:val="000000"/>
          <w:w w:val="88"/>
          <w:shd w:val="solid" w:color="000000" w:fill="000000"/>
          <w:fitText w:val="390" w:id="-1161539836"/>
          <w14:textFill>
            <w14:solidFill>
              <w14:srgbClr w14:val="000000">
                <w14:alpha w14:val="100000"/>
              </w14:srgbClr>
            </w14:solidFill>
          </w14:textFill>
        </w:rPr>
        <w:t>|||</w:t>
      </w:r>
      <w:r w:rsidR="00594907" w:rsidRPr="00594907">
        <w:rPr>
          <w:color w:val="000000"/>
          <w:spacing w:val="2"/>
          <w:w w:val="88"/>
          <w:shd w:val="solid" w:color="000000" w:fill="000000"/>
          <w:fitText w:val="390" w:id="-1161539836"/>
          <w14:textFill>
            <w14:solidFill>
              <w14:srgbClr w14:val="000000">
                <w14:alpha w14:val="100000"/>
              </w14:srgbClr>
            </w14:solidFill>
          </w14:textFill>
        </w:rPr>
        <w:t>|</w:t>
      </w:r>
      <w:r w:rsidRPr="00CA23AA">
        <w:t xml:space="preserve">% from the ABMTRR (estimated from </w:t>
      </w:r>
      <w:r w:rsidRPr="00CA23AA">
        <w:fldChar w:fldCharType="begin"/>
      </w:r>
      <w:r w:rsidRPr="00CA23AA">
        <w:instrText xml:space="preserve"> REF _Ref133942020 \h </w:instrText>
      </w:r>
      <w:r w:rsidR="00CA23AA">
        <w:instrText xml:space="preserve"> \* MERGEFORMAT </w:instrText>
      </w:r>
      <w:r w:rsidRPr="00CA23AA">
        <w:fldChar w:fldCharType="separate"/>
      </w:r>
      <w:r w:rsidR="00175880" w:rsidRPr="00CA23AA">
        <w:t xml:space="preserve">Figure </w:t>
      </w:r>
      <w:r w:rsidR="00175880" w:rsidRPr="00CA23AA">
        <w:rPr>
          <w:noProof/>
        </w:rPr>
        <w:t>3</w:t>
      </w:r>
      <w:r w:rsidRPr="00CA23AA">
        <w:fldChar w:fldCharType="end"/>
      </w:r>
      <w:r w:rsidRPr="00CA23AA">
        <w:t xml:space="preserve">), 67.8% from ELIANA, and 54.7% from ENSIGN. OS at 24 months in B2001X could not be estimated as there was only one person at risk. One real world study (Bader 2023) reported OS at 24 months: 53.2%, which was </w:t>
      </w:r>
      <w:proofErr w:type="gramStart"/>
      <w:r w:rsidRPr="00CA23AA">
        <w:t>similar to</w:t>
      </w:r>
      <w:proofErr w:type="gramEnd"/>
      <w:r w:rsidRPr="00CA23AA">
        <w:t xml:space="preserve"> that reported for the sponsored trials. </w:t>
      </w:r>
      <w:r w:rsidR="152002CB" w:rsidRPr="00CA23AA">
        <w:t xml:space="preserve">The commentary noted that the OS analyses off the sponsored trials did not censor for </w:t>
      </w:r>
      <w:proofErr w:type="spellStart"/>
      <w:r w:rsidR="152002CB" w:rsidRPr="00CA23AA">
        <w:t>aHSC</w:t>
      </w:r>
      <w:r w:rsidR="738E6879" w:rsidRPr="00CA23AA">
        <w:t>T</w:t>
      </w:r>
      <w:proofErr w:type="spellEnd"/>
      <w:r w:rsidR="738E6879" w:rsidRPr="00CA23AA">
        <w:t xml:space="preserve"> or additional treatments.</w:t>
      </w:r>
    </w:p>
    <w:p w14:paraId="5DC253B1" w14:textId="4B9F145F" w:rsidR="007D6155" w:rsidRPr="00CA23AA" w:rsidRDefault="007D6155" w:rsidP="00CE46D1">
      <w:pPr>
        <w:rPr>
          <w:b/>
        </w:rPr>
      </w:pPr>
      <w:r w:rsidRPr="00CA23AA">
        <w:rPr>
          <w:b/>
        </w:rPr>
        <w:t>Duration of B-cell Aplasia</w:t>
      </w:r>
    </w:p>
    <w:p w14:paraId="5FD42830" w14:textId="402C161A" w:rsidR="00CE46D1" w:rsidRPr="00CA23AA" w:rsidRDefault="00CE46D1" w:rsidP="00CE46D1">
      <w:r w:rsidRPr="00CA23AA">
        <w:t xml:space="preserve">Duration of B-cell aplasia (DBA) was not an outcome reported in the </w:t>
      </w:r>
      <w:r w:rsidR="7D3DD824" w:rsidRPr="00CA23AA">
        <w:t>ADAR</w:t>
      </w:r>
      <w:r w:rsidRPr="00CA23AA">
        <w:t xml:space="preserve">. However, it is an outcome associated with persistence of TIS in the patient and its loss can signify imminent relapse for the patient, at which point consolidative </w:t>
      </w:r>
      <w:proofErr w:type="spellStart"/>
      <w:r w:rsidRPr="00CA23AA">
        <w:t>aHSCT</w:t>
      </w:r>
      <w:proofErr w:type="spellEnd"/>
      <w:r w:rsidRPr="00CA23AA">
        <w:t xml:space="preserve"> may be recommended. DBA was not reported across clinical trials or in the Australian Registry. However, </w:t>
      </w:r>
      <w:proofErr w:type="spellStart"/>
      <w:r w:rsidRPr="00CA23AA">
        <w:t>Ghorashian</w:t>
      </w:r>
      <w:proofErr w:type="spellEnd"/>
      <w:r w:rsidRPr="00CA23AA">
        <w:t xml:space="preserve"> et al (2022) reported a median DBA of 24.4 months and a 12 month estimate of 70%. This was </w:t>
      </w:r>
      <w:proofErr w:type="gramStart"/>
      <w:r w:rsidRPr="00CA23AA">
        <w:t>similar to</w:t>
      </w:r>
      <w:proofErr w:type="gramEnd"/>
      <w:r w:rsidRPr="00CA23AA">
        <w:t xml:space="preserve"> data from the PRWCC registry estimate of 57%.  </w:t>
      </w:r>
    </w:p>
    <w:p w14:paraId="21F4C28C" w14:textId="0609706B" w:rsidR="0096716A" w:rsidRPr="00CA23AA" w:rsidRDefault="0096716A" w:rsidP="47DCBF74">
      <w:pPr>
        <w:sectPr w:rsidR="0096716A" w:rsidRPr="00CA23AA" w:rsidSect="00983A37">
          <w:headerReference w:type="even" r:id="rId21"/>
          <w:headerReference w:type="default" r:id="rId22"/>
          <w:footerReference w:type="even" r:id="rId23"/>
          <w:pgSz w:w="11906" w:h="16838"/>
          <w:pgMar w:top="1440" w:right="1440" w:bottom="1440" w:left="1440" w:header="708" w:footer="708" w:gutter="0"/>
          <w:cols w:space="708"/>
          <w:docGrid w:linePitch="360"/>
        </w:sectPr>
      </w:pPr>
    </w:p>
    <w:p w14:paraId="2FBD278C" w14:textId="0FB6C32E" w:rsidR="00290928" w:rsidRPr="00CA23AA" w:rsidRDefault="6FA21F1B" w:rsidP="00814D77">
      <w:pPr>
        <w:pStyle w:val="TableHeading0"/>
      </w:pPr>
      <w:bookmarkStart w:id="35" w:name="_Ref132894653"/>
      <w:bookmarkStart w:id="36" w:name="_Ref133943661"/>
      <w:r w:rsidRPr="00CA23AA">
        <w:t xml:space="preserve">Table </w:t>
      </w:r>
      <w:fldSimple w:instr=" SEQ Table \* ARABIC ">
        <w:r w:rsidR="00175880" w:rsidRPr="00CA23AA">
          <w:rPr>
            <w:noProof/>
          </w:rPr>
          <w:t>6</w:t>
        </w:r>
      </w:fldSimple>
      <w:bookmarkEnd w:id="35"/>
      <w:r w:rsidRPr="00CA23AA">
        <w:t xml:space="preserve"> Summary of the </w:t>
      </w:r>
      <w:r w:rsidR="3C5C10B1" w:rsidRPr="00CA23AA">
        <w:t>efficacy</w:t>
      </w:r>
      <w:r w:rsidRPr="00CA23AA">
        <w:t xml:space="preserve"> data for TIS from clinical trials and from real</w:t>
      </w:r>
      <w:r w:rsidR="52EFB509" w:rsidRPr="00CA23AA">
        <w:t>-</w:t>
      </w:r>
      <w:r w:rsidRPr="00CA23AA">
        <w:t>world experiences</w:t>
      </w:r>
      <w:bookmarkEnd w:id="36"/>
    </w:p>
    <w:tbl>
      <w:tblPr>
        <w:tblStyle w:val="PBACTableStyle"/>
        <w:tblW w:w="14146" w:type="dxa"/>
        <w:tblLayout w:type="fixed"/>
        <w:tblLook w:val="04A0" w:firstRow="1" w:lastRow="0" w:firstColumn="1" w:lastColumn="0" w:noHBand="0" w:noVBand="1"/>
      </w:tblPr>
      <w:tblGrid>
        <w:gridCol w:w="1286"/>
        <w:gridCol w:w="1286"/>
        <w:gridCol w:w="1286"/>
        <w:gridCol w:w="1286"/>
        <w:gridCol w:w="1286"/>
        <w:gridCol w:w="1286"/>
        <w:gridCol w:w="1286"/>
        <w:gridCol w:w="1286"/>
        <w:gridCol w:w="1286"/>
        <w:gridCol w:w="1286"/>
        <w:gridCol w:w="1286"/>
      </w:tblGrid>
      <w:tr w:rsidR="46F8A5F2" w:rsidRPr="00CA23AA" w14:paraId="5D9383F8" w14:textId="77777777" w:rsidTr="0059490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0" w:type="dxa"/>
            <w:tcMar>
              <w:top w:w="15" w:type="dxa"/>
              <w:left w:w="108" w:type="dxa"/>
              <w:bottom w:w="15" w:type="dxa"/>
              <w:right w:w="108" w:type="dxa"/>
            </w:tcMar>
          </w:tcPr>
          <w:p w14:paraId="714E9A20" w14:textId="4C836AA0" w:rsidR="46F8A5F2" w:rsidRPr="00CA23AA" w:rsidRDefault="46F8A5F2" w:rsidP="005C3211">
            <w:pPr>
              <w:pStyle w:val="TableHeading0"/>
            </w:pPr>
          </w:p>
        </w:tc>
        <w:tc>
          <w:tcPr>
            <w:tcW w:w="0" w:type="dxa"/>
            <w:tcMar>
              <w:top w:w="15" w:type="dxa"/>
              <w:left w:w="108" w:type="dxa"/>
              <w:bottom w:w="15" w:type="dxa"/>
              <w:right w:w="108" w:type="dxa"/>
            </w:tcMar>
          </w:tcPr>
          <w:p w14:paraId="0AF9BCE0" w14:textId="0AED174B" w:rsidR="46F8A5F2" w:rsidRPr="00CA23AA" w:rsidRDefault="46F8A5F2" w:rsidP="005C3211">
            <w:pPr>
              <w:pStyle w:val="TableHeading0"/>
              <w:cnfStyle w:val="100000000000" w:firstRow="1" w:lastRow="0" w:firstColumn="0" w:lastColumn="0" w:oddVBand="0" w:evenVBand="0" w:oddHBand="0" w:evenHBand="0" w:firstRowFirstColumn="0" w:firstRowLastColumn="0" w:lastRowFirstColumn="0" w:lastRowLastColumn="0"/>
            </w:pPr>
            <w:r w:rsidRPr="00CA23AA">
              <w:rPr>
                <w:b/>
              </w:rPr>
              <w:t>ELIANA</w:t>
            </w:r>
          </w:p>
        </w:tc>
        <w:tc>
          <w:tcPr>
            <w:tcW w:w="0" w:type="dxa"/>
            <w:tcMar>
              <w:top w:w="15" w:type="dxa"/>
              <w:left w:w="108" w:type="dxa"/>
              <w:bottom w:w="15" w:type="dxa"/>
              <w:right w:w="108" w:type="dxa"/>
            </w:tcMar>
          </w:tcPr>
          <w:p w14:paraId="4016CA56" w14:textId="44A35E61" w:rsidR="46F8A5F2" w:rsidRPr="00CA23AA" w:rsidRDefault="46F8A5F2" w:rsidP="005C3211">
            <w:pPr>
              <w:pStyle w:val="TableHeading0"/>
              <w:cnfStyle w:val="100000000000" w:firstRow="1" w:lastRow="0" w:firstColumn="0" w:lastColumn="0" w:oddVBand="0" w:evenVBand="0" w:oddHBand="0" w:evenHBand="0" w:firstRowFirstColumn="0" w:firstRowLastColumn="0" w:lastRowFirstColumn="0" w:lastRowLastColumn="0"/>
            </w:pPr>
            <w:r w:rsidRPr="00CA23AA">
              <w:rPr>
                <w:b/>
              </w:rPr>
              <w:t>ENSIGN</w:t>
            </w:r>
          </w:p>
        </w:tc>
        <w:tc>
          <w:tcPr>
            <w:tcW w:w="0" w:type="dxa"/>
            <w:tcMar>
              <w:top w:w="15" w:type="dxa"/>
              <w:left w:w="108" w:type="dxa"/>
              <w:bottom w:w="15" w:type="dxa"/>
              <w:right w:w="108" w:type="dxa"/>
            </w:tcMar>
          </w:tcPr>
          <w:p w14:paraId="1BA7992F" w14:textId="4A6889AD" w:rsidR="46F8A5F2" w:rsidRPr="00CA23AA" w:rsidRDefault="46F8A5F2" w:rsidP="005C3211">
            <w:pPr>
              <w:pStyle w:val="TableHeading0"/>
              <w:cnfStyle w:val="100000000000" w:firstRow="1" w:lastRow="0" w:firstColumn="0" w:lastColumn="0" w:oddVBand="0" w:evenVBand="0" w:oddHBand="0" w:evenHBand="0" w:firstRowFirstColumn="0" w:firstRowLastColumn="0" w:lastRowFirstColumn="0" w:lastRowLastColumn="0"/>
            </w:pPr>
            <w:r w:rsidRPr="00CA23AA">
              <w:rPr>
                <w:b/>
              </w:rPr>
              <w:t>B2001X</w:t>
            </w:r>
          </w:p>
        </w:tc>
        <w:tc>
          <w:tcPr>
            <w:tcW w:w="0" w:type="dxa"/>
            <w:tcBorders>
              <w:bottom w:val="single" w:sz="4" w:space="0" w:color="auto"/>
            </w:tcBorders>
            <w:tcMar>
              <w:top w:w="15" w:type="dxa"/>
              <w:left w:w="108" w:type="dxa"/>
              <w:bottom w:w="15" w:type="dxa"/>
              <w:right w:w="108" w:type="dxa"/>
            </w:tcMar>
          </w:tcPr>
          <w:p w14:paraId="64A6C243" w14:textId="77777777" w:rsidR="00C75344"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ABMTRR</w:t>
            </w:r>
          </w:p>
          <w:p w14:paraId="7385F9FB" w14:textId="0B3B40B5" w:rsidR="46F8A5F2"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(Sept 2022)</w:t>
            </w:r>
            <w:r w:rsidR="46F8A5F2" w:rsidRPr="00CA23AA">
              <w:br/>
            </w:r>
          </w:p>
        </w:tc>
        <w:tc>
          <w:tcPr>
            <w:tcW w:w="0" w:type="dxa"/>
            <w:tcBorders>
              <w:bottom w:val="single" w:sz="4" w:space="0" w:color="auto"/>
            </w:tcBorders>
            <w:tcMar>
              <w:top w:w="15" w:type="dxa"/>
              <w:left w:w="108" w:type="dxa"/>
              <w:bottom w:w="15" w:type="dxa"/>
              <w:right w:w="108" w:type="dxa"/>
            </w:tcMar>
          </w:tcPr>
          <w:p w14:paraId="7454360E" w14:textId="6DEC4003" w:rsidR="46F8A5F2" w:rsidRPr="00CA23AA" w:rsidRDefault="46F8A5F2"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bCs/>
                <w:color w:val="auto"/>
              </w:rPr>
              <w:t>ABMTRR</w:t>
            </w:r>
            <w:r w:rsidRPr="00CA23AA">
              <w:rPr>
                <w:color w:val="auto"/>
              </w:rPr>
              <w:t xml:space="preserve"> </w:t>
            </w:r>
            <w:r w:rsidRPr="00CA23AA">
              <w:rPr>
                <w:b/>
              </w:rPr>
              <w:br/>
            </w:r>
            <w:r w:rsidRPr="00CA23AA">
              <w:rPr>
                <w:b/>
                <w:color w:val="auto"/>
              </w:rPr>
              <w:t>(Jan 2023)</w:t>
            </w:r>
          </w:p>
        </w:tc>
        <w:tc>
          <w:tcPr>
            <w:tcW w:w="0" w:type="dxa"/>
            <w:tcMar>
              <w:top w:w="15" w:type="dxa"/>
              <w:left w:w="108" w:type="dxa"/>
              <w:bottom w:w="15" w:type="dxa"/>
              <w:right w:w="108" w:type="dxa"/>
            </w:tcMar>
          </w:tcPr>
          <w:p w14:paraId="75EBA142" w14:textId="77777777" w:rsidR="00C75344"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CIBMTR</w:t>
            </w:r>
          </w:p>
          <w:p w14:paraId="650F8780" w14:textId="7B2E0A9C" w:rsidR="46F8A5F2"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proofErr w:type="spellStart"/>
            <w:r w:rsidRPr="00CA23AA">
              <w:rPr>
                <w:b/>
              </w:rPr>
              <w:t>Pasquini</w:t>
            </w:r>
            <w:proofErr w:type="spellEnd"/>
            <w:r w:rsidRPr="00CA23AA">
              <w:rPr>
                <w:b/>
              </w:rPr>
              <w:t xml:space="preserve"> et al (2020)</w:t>
            </w:r>
          </w:p>
        </w:tc>
        <w:tc>
          <w:tcPr>
            <w:tcW w:w="0" w:type="dxa"/>
            <w:tcMar>
              <w:top w:w="15" w:type="dxa"/>
              <w:left w:w="108" w:type="dxa"/>
              <w:bottom w:w="15" w:type="dxa"/>
              <w:right w:w="108" w:type="dxa"/>
            </w:tcMar>
          </w:tcPr>
          <w:p w14:paraId="50234E05" w14:textId="77777777" w:rsidR="00C75344"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PRSZT/</w:t>
            </w:r>
            <w:r w:rsidRPr="00CA23AA">
              <w:rPr>
                <w:b/>
              </w:rPr>
              <w:br/>
              <w:t>DRST</w:t>
            </w:r>
          </w:p>
          <w:p w14:paraId="3E8BAB61" w14:textId="3059FEFB" w:rsidR="46F8A5F2"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Bader et al (2023)</w:t>
            </w:r>
          </w:p>
        </w:tc>
        <w:tc>
          <w:tcPr>
            <w:tcW w:w="0" w:type="dxa"/>
            <w:tcMar>
              <w:top w:w="15" w:type="dxa"/>
              <w:left w:w="108" w:type="dxa"/>
              <w:bottom w:w="15" w:type="dxa"/>
              <w:right w:w="108" w:type="dxa"/>
            </w:tcMar>
          </w:tcPr>
          <w:p w14:paraId="483B4E9E" w14:textId="77777777" w:rsidR="00C75344"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PRWCC</w:t>
            </w:r>
          </w:p>
          <w:p w14:paraId="6C22A2FF" w14:textId="50252D3F" w:rsidR="46F8A5F2"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Fabrizio</w:t>
            </w:r>
            <w:r w:rsidR="005C3211" w:rsidRPr="00CA23AA">
              <w:rPr>
                <w:b/>
              </w:rPr>
              <w:t xml:space="preserve"> et al (2022)</w:t>
            </w:r>
            <w:r w:rsidRPr="00CA23AA">
              <w:rPr>
                <w:b/>
              </w:rPr>
              <w:t xml:space="preserve">, Shultz </w:t>
            </w:r>
            <w:r w:rsidR="00C82CCD" w:rsidRPr="00CA23AA">
              <w:rPr>
                <w:b/>
              </w:rPr>
              <w:t>et al</w:t>
            </w:r>
            <w:r w:rsidRPr="00CA23AA">
              <w:rPr>
                <w:b/>
              </w:rPr>
              <w:t xml:space="preserve"> (2022) </w:t>
            </w:r>
            <w:r w:rsidR="00C82CCD" w:rsidRPr="00CA23AA">
              <w:rPr>
                <w:b/>
              </w:rPr>
              <w:t xml:space="preserve">and </w:t>
            </w:r>
            <w:proofErr w:type="spellStart"/>
            <w:r w:rsidRPr="00CA23AA">
              <w:rPr>
                <w:b/>
              </w:rPr>
              <w:t>Rossoff</w:t>
            </w:r>
            <w:proofErr w:type="spellEnd"/>
            <w:r w:rsidRPr="00CA23AA">
              <w:rPr>
                <w:b/>
              </w:rPr>
              <w:t xml:space="preserve"> et al (2021)</w:t>
            </w:r>
          </w:p>
        </w:tc>
        <w:tc>
          <w:tcPr>
            <w:tcW w:w="0" w:type="dxa"/>
            <w:tcMar>
              <w:top w:w="15" w:type="dxa"/>
              <w:left w:w="108" w:type="dxa"/>
              <w:bottom w:w="15" w:type="dxa"/>
              <w:right w:w="108" w:type="dxa"/>
            </w:tcMar>
          </w:tcPr>
          <w:p w14:paraId="11B058A9" w14:textId="77777777" w:rsidR="00C75344"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pPr>
            <w:r w:rsidRPr="00CA23AA">
              <w:rPr>
                <w:b/>
              </w:rPr>
              <w:t>JH &amp; SJ Hosp</w:t>
            </w:r>
          </w:p>
          <w:p w14:paraId="30821CC9" w14:textId="3D459EC8" w:rsidR="46F8A5F2" w:rsidRPr="00CA23AA" w:rsidRDefault="003307B4" w:rsidP="00C82CCD">
            <w:pPr>
              <w:pStyle w:val="TableHeading0"/>
              <w:cnfStyle w:val="100000000000" w:firstRow="1" w:lastRow="0" w:firstColumn="0" w:lastColumn="0" w:oddVBand="0" w:evenVBand="0" w:oddHBand="0" w:evenHBand="0" w:firstRowFirstColumn="0" w:firstRowLastColumn="0" w:lastRowFirstColumn="0" w:lastRowLastColumn="0"/>
            </w:pPr>
            <w:proofErr w:type="spellStart"/>
            <w:r w:rsidRPr="00CA23AA">
              <w:rPr>
                <w:b/>
              </w:rPr>
              <w:t>Ravich</w:t>
            </w:r>
            <w:proofErr w:type="spellEnd"/>
            <w:r w:rsidR="00C75344" w:rsidRPr="00CA23AA">
              <w:rPr>
                <w:b/>
              </w:rPr>
              <w:t xml:space="preserve"> et al (2022)</w:t>
            </w:r>
          </w:p>
        </w:tc>
        <w:tc>
          <w:tcPr>
            <w:tcW w:w="0" w:type="dxa"/>
            <w:tcMar>
              <w:top w:w="15" w:type="dxa"/>
              <w:left w:w="108" w:type="dxa"/>
              <w:bottom w:w="15" w:type="dxa"/>
              <w:right w:w="108" w:type="dxa"/>
            </w:tcMar>
          </w:tcPr>
          <w:p w14:paraId="363ECC5B" w14:textId="32E930C7" w:rsidR="46F8A5F2" w:rsidRPr="00CA23AA" w:rsidRDefault="00C75344" w:rsidP="00C82CCD">
            <w:pPr>
              <w:pStyle w:val="TableHeading0"/>
              <w:cnfStyle w:val="100000000000" w:firstRow="1" w:lastRow="0" w:firstColumn="0" w:lastColumn="0" w:oddVBand="0" w:evenVBand="0" w:oddHBand="0" w:evenHBand="0" w:firstRowFirstColumn="0" w:firstRowLastColumn="0" w:lastRowFirstColumn="0" w:lastRowLastColumn="0"/>
              <w:rPr>
                <w:lang w:val="es-ES"/>
              </w:rPr>
            </w:pPr>
            <w:r w:rsidRPr="00CA23AA">
              <w:rPr>
                <w:b/>
                <w:lang w:val="es-ES"/>
              </w:rPr>
              <w:t xml:space="preserve">15 </w:t>
            </w:r>
            <w:proofErr w:type="spellStart"/>
            <w:r w:rsidRPr="00CA23AA">
              <w:rPr>
                <w:b/>
                <w:lang w:val="es-ES"/>
              </w:rPr>
              <w:t>European</w:t>
            </w:r>
            <w:proofErr w:type="spellEnd"/>
            <w:r w:rsidRPr="00CA23AA">
              <w:rPr>
                <w:b/>
                <w:lang w:val="es-ES"/>
              </w:rPr>
              <w:t xml:space="preserve"> Centres</w:t>
            </w:r>
            <w:r w:rsidRPr="00CA23AA">
              <w:rPr>
                <w:b/>
                <w:lang w:val="es-ES"/>
              </w:rPr>
              <w:br/>
            </w:r>
            <w:proofErr w:type="spellStart"/>
            <w:r w:rsidRPr="00CA23AA">
              <w:rPr>
                <w:b/>
                <w:lang w:val="es-ES"/>
              </w:rPr>
              <w:t>Ghorashian</w:t>
            </w:r>
            <w:proofErr w:type="spellEnd"/>
            <w:r w:rsidRPr="00CA23AA">
              <w:rPr>
                <w:b/>
                <w:lang w:val="es-ES"/>
              </w:rPr>
              <w:t xml:space="preserve"> et al (2022)</w:t>
            </w:r>
          </w:p>
        </w:tc>
      </w:tr>
      <w:tr w:rsidR="005110DD" w:rsidRPr="00CA23AA" w14:paraId="38DF8EBA" w14:textId="77777777" w:rsidTr="0059490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0" w:type="dxa"/>
            <w:tcMar>
              <w:top w:w="15" w:type="dxa"/>
              <w:left w:w="108" w:type="dxa"/>
              <w:bottom w:w="15" w:type="dxa"/>
              <w:right w:w="108" w:type="dxa"/>
            </w:tcMar>
          </w:tcPr>
          <w:p w14:paraId="6A4AB7BA" w14:textId="53C47382" w:rsidR="005110DD" w:rsidRPr="00CA23AA" w:rsidRDefault="005110DD" w:rsidP="00C82CCD">
            <w:pPr>
              <w:jc w:val="left"/>
              <w:rPr>
                <w:rFonts w:ascii="Arial Narrow" w:eastAsia="Arial Narrow" w:hAnsi="Arial Narrow" w:cs="Arial Narrow"/>
                <w:i/>
                <w:color w:val="auto"/>
              </w:rPr>
            </w:pPr>
            <w:r w:rsidRPr="00CA23AA">
              <w:rPr>
                <w:rFonts w:ascii="Arial Narrow" w:eastAsia="Arial Narrow" w:hAnsi="Arial Narrow" w:cs="Arial Narrow"/>
                <w:i/>
              </w:rPr>
              <w:t>N infused</w:t>
            </w:r>
          </w:p>
        </w:tc>
        <w:tc>
          <w:tcPr>
            <w:tcW w:w="0" w:type="dxa"/>
            <w:tcMar>
              <w:top w:w="15" w:type="dxa"/>
              <w:left w:w="108" w:type="dxa"/>
              <w:bottom w:w="15" w:type="dxa"/>
              <w:right w:w="108" w:type="dxa"/>
            </w:tcMar>
          </w:tcPr>
          <w:p w14:paraId="4F774831" w14:textId="11BE3674" w:rsidR="005110DD" w:rsidRPr="00CA23AA" w:rsidRDefault="0038204E">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79</w:t>
            </w:r>
          </w:p>
        </w:tc>
        <w:tc>
          <w:tcPr>
            <w:tcW w:w="0" w:type="dxa"/>
            <w:tcMar>
              <w:top w:w="15" w:type="dxa"/>
              <w:left w:w="108" w:type="dxa"/>
              <w:bottom w:w="15" w:type="dxa"/>
              <w:right w:w="108" w:type="dxa"/>
            </w:tcMar>
          </w:tcPr>
          <w:p w14:paraId="2E194FAD" w14:textId="121049F4" w:rsidR="005110DD" w:rsidRPr="00CA23AA" w:rsidRDefault="0038204E">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64</w:t>
            </w:r>
          </w:p>
        </w:tc>
        <w:tc>
          <w:tcPr>
            <w:tcW w:w="0" w:type="dxa"/>
            <w:tcMar>
              <w:top w:w="15" w:type="dxa"/>
              <w:left w:w="108" w:type="dxa"/>
              <w:bottom w:w="15" w:type="dxa"/>
              <w:right w:w="108" w:type="dxa"/>
            </w:tcMar>
          </w:tcPr>
          <w:p w14:paraId="1C126B74" w14:textId="78F3C79A" w:rsidR="005110DD" w:rsidRPr="00CA23AA" w:rsidRDefault="0038204E">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69</w:t>
            </w:r>
          </w:p>
        </w:tc>
        <w:tc>
          <w:tcPr>
            <w:tcW w:w="0" w:type="dxa"/>
            <w:tcBorders>
              <w:bottom w:val="single" w:sz="4" w:space="0" w:color="auto"/>
            </w:tcBorders>
            <w:shd w:val="solid" w:color="000000" w:fill="000000"/>
            <w:tcMar>
              <w:top w:w="15" w:type="dxa"/>
              <w:left w:w="108" w:type="dxa"/>
              <w:bottom w:w="15" w:type="dxa"/>
              <w:right w:w="108" w:type="dxa"/>
            </w:tcMar>
          </w:tcPr>
          <w:p w14:paraId="09B0FF2F" w14:textId="50D9B3CE" w:rsidR="005110DD" w:rsidRPr="00CA23AA" w:rsidRDefault="00594907">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0" w:type="dxa"/>
            <w:tcBorders>
              <w:bottom w:val="single" w:sz="4" w:space="0" w:color="auto"/>
            </w:tcBorders>
            <w:shd w:val="solid" w:color="000000" w:fill="000000"/>
            <w:tcMar>
              <w:top w:w="15" w:type="dxa"/>
              <w:left w:w="108" w:type="dxa"/>
              <w:bottom w:w="15" w:type="dxa"/>
              <w:right w:w="108" w:type="dxa"/>
            </w:tcMar>
          </w:tcPr>
          <w:p w14:paraId="663A70D5" w14:textId="142EFC21" w:rsidR="005110DD" w:rsidRPr="00CA23AA" w:rsidRDefault="00594907">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0" w:type="dxa"/>
            <w:tcMar>
              <w:top w:w="15" w:type="dxa"/>
              <w:left w:w="108" w:type="dxa"/>
              <w:bottom w:w="15" w:type="dxa"/>
              <w:right w:w="108" w:type="dxa"/>
            </w:tcMar>
          </w:tcPr>
          <w:p w14:paraId="6B079582" w14:textId="0F3F7BBB" w:rsidR="005110DD" w:rsidRPr="00CA23AA" w:rsidRDefault="003C38F0">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255</w:t>
            </w:r>
          </w:p>
        </w:tc>
        <w:tc>
          <w:tcPr>
            <w:tcW w:w="0" w:type="dxa"/>
            <w:tcMar>
              <w:top w:w="15" w:type="dxa"/>
              <w:left w:w="108" w:type="dxa"/>
              <w:bottom w:w="15" w:type="dxa"/>
              <w:right w:w="108" w:type="dxa"/>
            </w:tcMar>
          </w:tcPr>
          <w:p w14:paraId="1CFF9F47" w14:textId="219103F9" w:rsidR="005110DD" w:rsidRPr="00CA23AA" w:rsidRDefault="003C38F0">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81</w:t>
            </w:r>
          </w:p>
        </w:tc>
        <w:tc>
          <w:tcPr>
            <w:tcW w:w="0" w:type="dxa"/>
            <w:tcMar>
              <w:top w:w="15" w:type="dxa"/>
              <w:left w:w="108" w:type="dxa"/>
              <w:bottom w:w="15" w:type="dxa"/>
              <w:right w:w="108" w:type="dxa"/>
            </w:tcMar>
          </w:tcPr>
          <w:p w14:paraId="158E34CC" w14:textId="59B3E68F" w:rsidR="005110DD" w:rsidRPr="00CA23AA" w:rsidRDefault="003C38F0">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185</w:t>
            </w:r>
          </w:p>
        </w:tc>
        <w:tc>
          <w:tcPr>
            <w:tcW w:w="0" w:type="dxa"/>
            <w:tcMar>
              <w:top w:w="15" w:type="dxa"/>
              <w:left w:w="108" w:type="dxa"/>
              <w:bottom w:w="15" w:type="dxa"/>
              <w:right w:w="108" w:type="dxa"/>
            </w:tcMar>
          </w:tcPr>
          <w:p w14:paraId="0B8C2CF6" w14:textId="444A64DF" w:rsidR="005110DD" w:rsidRPr="00CA23AA" w:rsidRDefault="00C75344">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31</w:t>
            </w:r>
          </w:p>
        </w:tc>
        <w:tc>
          <w:tcPr>
            <w:tcW w:w="0" w:type="dxa"/>
            <w:tcMar>
              <w:top w:w="15" w:type="dxa"/>
              <w:left w:w="108" w:type="dxa"/>
              <w:bottom w:w="15" w:type="dxa"/>
              <w:right w:w="108" w:type="dxa"/>
            </w:tcMar>
          </w:tcPr>
          <w:p w14:paraId="1BA58B59" w14:textId="00DA8327" w:rsidR="005110DD" w:rsidRPr="00CA23AA" w:rsidRDefault="00C75344">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rPr>
              <w:t>35</w:t>
            </w:r>
          </w:p>
        </w:tc>
      </w:tr>
      <w:tr w:rsidR="46F8A5F2" w:rsidRPr="00CA23AA" w14:paraId="7FBCFB7F"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615011BA" w14:textId="2B704FCB" w:rsidR="46F8A5F2" w:rsidRPr="00CA23AA" w:rsidRDefault="46F8A5F2">
            <w:pPr>
              <w:rPr>
                <w:color w:val="auto"/>
              </w:rPr>
            </w:pPr>
            <w:r w:rsidRPr="00CA23AA">
              <w:rPr>
                <w:rFonts w:ascii="Arial Narrow" w:eastAsia="Arial Narrow" w:hAnsi="Arial Narrow" w:cs="Arial Narrow"/>
                <w:i/>
                <w:color w:val="auto"/>
              </w:rPr>
              <w:t>ORR</w:t>
            </w:r>
          </w:p>
        </w:tc>
        <w:tc>
          <w:tcPr>
            <w:tcW w:w="1286" w:type="dxa"/>
            <w:tcMar>
              <w:top w:w="15" w:type="dxa"/>
              <w:left w:w="108" w:type="dxa"/>
              <w:bottom w:w="15" w:type="dxa"/>
              <w:right w:w="108" w:type="dxa"/>
            </w:tcMar>
            <w:vAlign w:val="center"/>
          </w:tcPr>
          <w:p w14:paraId="798E6C37" w14:textId="6A4BBFC4"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82.3%</w:t>
            </w:r>
          </w:p>
        </w:tc>
        <w:tc>
          <w:tcPr>
            <w:tcW w:w="1286" w:type="dxa"/>
            <w:tcMar>
              <w:top w:w="15" w:type="dxa"/>
              <w:left w:w="108" w:type="dxa"/>
              <w:bottom w:w="15" w:type="dxa"/>
              <w:right w:w="108" w:type="dxa"/>
            </w:tcMar>
            <w:vAlign w:val="center"/>
          </w:tcPr>
          <w:p w14:paraId="5581445C" w14:textId="73678C2D"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70.3%</w:t>
            </w:r>
          </w:p>
        </w:tc>
        <w:tc>
          <w:tcPr>
            <w:tcW w:w="1286" w:type="dxa"/>
            <w:tcMar>
              <w:top w:w="15" w:type="dxa"/>
              <w:left w:w="108" w:type="dxa"/>
              <w:bottom w:w="15" w:type="dxa"/>
              <w:right w:w="108" w:type="dxa"/>
            </w:tcMar>
            <w:vAlign w:val="center"/>
          </w:tcPr>
          <w:p w14:paraId="525F7121" w14:textId="37A1D0F2"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82.6%</w:t>
            </w:r>
          </w:p>
        </w:tc>
        <w:tc>
          <w:tcPr>
            <w:tcW w:w="1286" w:type="dxa"/>
            <w:shd w:val="solid" w:color="000000" w:fill="000000"/>
            <w:tcMar>
              <w:top w:w="15" w:type="dxa"/>
              <w:left w:w="108" w:type="dxa"/>
              <w:bottom w:w="15" w:type="dxa"/>
              <w:right w:w="108" w:type="dxa"/>
            </w:tcMar>
            <w:vAlign w:val="center"/>
          </w:tcPr>
          <w:p w14:paraId="5904E7E4" w14:textId="55BF9B32"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shd w:val="solid" w:color="000000" w:fill="000000"/>
            <w:tcMar>
              <w:top w:w="15" w:type="dxa"/>
              <w:left w:w="108" w:type="dxa"/>
              <w:bottom w:w="15" w:type="dxa"/>
              <w:right w:w="108" w:type="dxa"/>
            </w:tcMar>
            <w:vAlign w:val="center"/>
          </w:tcPr>
          <w:p w14:paraId="28FE957C" w14:textId="6DC595C4"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14A850D7" w14:textId="638A7BE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85.5%*</w:t>
            </w:r>
          </w:p>
        </w:tc>
        <w:tc>
          <w:tcPr>
            <w:tcW w:w="1286" w:type="dxa"/>
            <w:tcMar>
              <w:top w:w="15" w:type="dxa"/>
              <w:left w:w="108" w:type="dxa"/>
              <w:bottom w:w="15" w:type="dxa"/>
              <w:right w:w="108" w:type="dxa"/>
            </w:tcMar>
            <w:vAlign w:val="center"/>
          </w:tcPr>
          <w:p w14:paraId="569B36AE" w14:textId="6E5D26D4"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51.9%*</w:t>
            </w:r>
            <w:r w:rsidRPr="00CA23AA">
              <w:br/>
            </w:r>
            <w:r w:rsidRPr="00CA23AA">
              <w:rPr>
                <w:rFonts w:ascii="Arial Narrow" w:eastAsia="Arial Narrow" w:hAnsi="Arial Narrow" w:cs="Arial Narrow"/>
                <w:i/>
                <w:color w:val="auto"/>
              </w:rPr>
              <w:t xml:space="preserve"> (42/81)</w:t>
            </w:r>
          </w:p>
        </w:tc>
        <w:tc>
          <w:tcPr>
            <w:tcW w:w="1286" w:type="dxa"/>
            <w:tcMar>
              <w:top w:w="15" w:type="dxa"/>
              <w:left w:w="108" w:type="dxa"/>
              <w:bottom w:w="15" w:type="dxa"/>
              <w:right w:w="108" w:type="dxa"/>
            </w:tcMar>
            <w:vAlign w:val="center"/>
          </w:tcPr>
          <w:p w14:paraId="0C4365AA" w14:textId="06BC8F81"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84.3%* (156/185)</w:t>
            </w:r>
          </w:p>
        </w:tc>
        <w:tc>
          <w:tcPr>
            <w:tcW w:w="1286" w:type="dxa"/>
            <w:tcMar>
              <w:top w:w="15" w:type="dxa"/>
              <w:left w:w="108" w:type="dxa"/>
              <w:bottom w:w="15" w:type="dxa"/>
              <w:right w:w="108" w:type="dxa"/>
            </w:tcMar>
            <w:vAlign w:val="center"/>
          </w:tcPr>
          <w:p w14:paraId="0B38FAC5" w14:textId="5DDDDCA9"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67.7%* </w:t>
            </w:r>
            <w:r w:rsidRPr="00CA23AA">
              <w:br/>
            </w:r>
            <w:r w:rsidRPr="00CA23AA">
              <w:rPr>
                <w:rFonts w:ascii="Arial Narrow" w:eastAsia="Arial Narrow" w:hAnsi="Arial Narrow" w:cs="Arial Narrow"/>
                <w:i/>
                <w:color w:val="auto"/>
              </w:rPr>
              <w:t>(21/31)</w:t>
            </w:r>
          </w:p>
        </w:tc>
        <w:tc>
          <w:tcPr>
            <w:tcW w:w="1286" w:type="dxa"/>
            <w:tcMar>
              <w:top w:w="15" w:type="dxa"/>
              <w:left w:w="108" w:type="dxa"/>
              <w:bottom w:w="15" w:type="dxa"/>
              <w:right w:w="108" w:type="dxa"/>
            </w:tcMar>
            <w:vAlign w:val="center"/>
          </w:tcPr>
          <w:p w14:paraId="0E0E8B29" w14:textId="35F5C9A4"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88.6%* (31/35)</w:t>
            </w:r>
          </w:p>
        </w:tc>
      </w:tr>
      <w:tr w:rsidR="46F8A5F2" w:rsidRPr="00CA23AA" w14:paraId="6E81BB99" w14:textId="77777777" w:rsidTr="0017201C">
        <w:trPr>
          <w:trHeight w:val="300"/>
        </w:trPr>
        <w:tc>
          <w:tcPr>
            <w:cnfStyle w:val="001000000000" w:firstRow="0" w:lastRow="0" w:firstColumn="1" w:lastColumn="0" w:oddVBand="0" w:evenVBand="0" w:oddHBand="0" w:evenHBand="0" w:firstRowFirstColumn="0" w:firstRowLastColumn="0" w:lastRowFirstColumn="0" w:lastRowLastColumn="0"/>
            <w:tcW w:w="14146" w:type="dxa"/>
            <w:gridSpan w:val="11"/>
            <w:tcMar>
              <w:top w:w="15" w:type="dxa"/>
              <w:left w:w="108" w:type="dxa"/>
              <w:bottom w:w="15" w:type="dxa"/>
              <w:right w:w="108" w:type="dxa"/>
            </w:tcMar>
          </w:tcPr>
          <w:p w14:paraId="15F66540" w14:textId="7A78FABA" w:rsidR="46F8A5F2" w:rsidRPr="00CA23AA" w:rsidRDefault="46F8A5F2">
            <w:pPr>
              <w:rPr>
                <w:color w:val="auto"/>
              </w:rPr>
            </w:pPr>
            <w:r w:rsidRPr="00CA23AA">
              <w:rPr>
                <w:rFonts w:ascii="Arial Narrow" w:eastAsia="Arial Narrow" w:hAnsi="Arial Narrow" w:cs="Arial Narrow"/>
                <w:b/>
                <w:i/>
                <w:color w:val="auto"/>
              </w:rPr>
              <w:t>DOR</w:t>
            </w:r>
          </w:p>
        </w:tc>
      </w:tr>
      <w:tr w:rsidR="46F8A5F2" w:rsidRPr="00CA23AA" w14:paraId="49263AB0"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08F5EAD1" w14:textId="7109631C" w:rsidR="46F8A5F2" w:rsidRPr="00CA23AA" w:rsidRDefault="46F8A5F2">
            <w:pPr>
              <w:rPr>
                <w:color w:val="auto"/>
              </w:rPr>
            </w:pPr>
            <w:r w:rsidRPr="00CA23AA">
              <w:rPr>
                <w:rFonts w:ascii="Arial Narrow" w:eastAsia="Arial Narrow" w:hAnsi="Arial Narrow" w:cs="Arial Narrow"/>
                <w:i/>
                <w:color w:val="auto"/>
              </w:rPr>
              <w:t>Median</w:t>
            </w:r>
            <w:r w:rsidRPr="00CA23AA">
              <w:rPr>
                <w:rFonts w:ascii="Arial Narrow" w:eastAsia="Arial Narrow" w:hAnsi="Arial Narrow" w:cs="Arial Narrow"/>
                <w:color w:val="auto"/>
              </w:rPr>
              <w:t xml:space="preserve"> DOR</w:t>
            </w:r>
          </w:p>
        </w:tc>
        <w:tc>
          <w:tcPr>
            <w:tcW w:w="1286" w:type="dxa"/>
            <w:tcMar>
              <w:top w:w="15" w:type="dxa"/>
              <w:left w:w="108" w:type="dxa"/>
              <w:bottom w:w="15" w:type="dxa"/>
              <w:right w:w="108" w:type="dxa"/>
            </w:tcMar>
            <w:vAlign w:val="center"/>
          </w:tcPr>
          <w:p w14:paraId="69CE6468" w14:textId="7C814E4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46.8 months</w:t>
            </w:r>
          </w:p>
        </w:tc>
        <w:tc>
          <w:tcPr>
            <w:tcW w:w="1286" w:type="dxa"/>
            <w:tcMar>
              <w:top w:w="15" w:type="dxa"/>
              <w:left w:w="108" w:type="dxa"/>
              <w:bottom w:w="15" w:type="dxa"/>
              <w:right w:w="108" w:type="dxa"/>
            </w:tcMar>
            <w:vAlign w:val="center"/>
          </w:tcPr>
          <w:p w14:paraId="74AF0051" w14:textId="77EF008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vAlign w:val="center"/>
          </w:tcPr>
          <w:p w14:paraId="725BCA71" w14:textId="563CA095"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Not reached</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421D6062" w14:textId="69E26723"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608CDA81" w14:textId="75AE3AF7"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51F7B5CE" w14:textId="4D1C3661"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12.3 months</w:t>
            </w:r>
          </w:p>
        </w:tc>
        <w:tc>
          <w:tcPr>
            <w:tcW w:w="1286" w:type="dxa"/>
            <w:tcMar>
              <w:top w:w="15" w:type="dxa"/>
              <w:left w:w="108" w:type="dxa"/>
              <w:bottom w:w="15" w:type="dxa"/>
              <w:right w:w="108" w:type="dxa"/>
            </w:tcMar>
            <w:vAlign w:val="center"/>
          </w:tcPr>
          <w:p w14:paraId="6CD3A35F" w14:textId="347B1D91"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6A25E7E" w14:textId="3713B5A7"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vAlign w:val="center"/>
          </w:tcPr>
          <w:p w14:paraId="0A3FFC63" w14:textId="6822BCFC"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5.2 months</w:t>
            </w:r>
          </w:p>
        </w:tc>
        <w:tc>
          <w:tcPr>
            <w:tcW w:w="1286" w:type="dxa"/>
            <w:tcMar>
              <w:top w:w="15" w:type="dxa"/>
              <w:left w:w="108" w:type="dxa"/>
              <w:bottom w:w="15" w:type="dxa"/>
              <w:right w:w="108" w:type="dxa"/>
            </w:tcMar>
            <w:vAlign w:val="center"/>
          </w:tcPr>
          <w:p w14:paraId="1A5CA9C9" w14:textId="034DB56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r>
      <w:tr w:rsidR="46F8A5F2" w:rsidRPr="00CA23AA" w14:paraId="075E8F42"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089D3852" w14:textId="15382E6B" w:rsidR="46F8A5F2" w:rsidRPr="00CA23AA" w:rsidRDefault="46F8A5F2">
            <w:pPr>
              <w:rPr>
                <w:color w:val="auto"/>
              </w:rPr>
            </w:pPr>
            <w:r w:rsidRPr="00CA23AA">
              <w:rPr>
                <w:rFonts w:ascii="Arial Narrow" w:eastAsia="Arial Narrow" w:hAnsi="Arial Narrow" w:cs="Arial Narrow"/>
                <w:i/>
                <w:color w:val="auto"/>
              </w:rPr>
              <w:t>-1 year</w:t>
            </w:r>
          </w:p>
        </w:tc>
        <w:tc>
          <w:tcPr>
            <w:tcW w:w="1286" w:type="dxa"/>
            <w:tcMar>
              <w:top w:w="15" w:type="dxa"/>
              <w:left w:w="108" w:type="dxa"/>
              <w:bottom w:w="15" w:type="dxa"/>
              <w:right w:w="108" w:type="dxa"/>
            </w:tcMar>
            <w:vAlign w:val="center"/>
          </w:tcPr>
          <w:p w14:paraId="4F54E3DF" w14:textId="77586D0A"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67.4%</w:t>
            </w:r>
            <w:r w:rsidRPr="00CA23AA">
              <w:br/>
            </w:r>
            <w:r w:rsidRPr="00CA23AA">
              <w:rPr>
                <w:rFonts w:ascii="Arial Narrow" w:eastAsia="Arial Narrow" w:hAnsi="Arial Narrow" w:cs="Arial Narrow"/>
                <w:i/>
                <w:color w:val="auto"/>
              </w:rPr>
              <w:t xml:space="preserve"> </w:t>
            </w:r>
            <w:r w:rsidRPr="00CA23AA">
              <w:rPr>
                <w:rFonts w:ascii="Arial Narrow" w:eastAsia="Arial Narrow" w:hAnsi="Arial Narrow" w:cs="Arial Narrow"/>
                <w:color w:val="auto"/>
              </w:rPr>
              <w:t>(53.2</w:t>
            </w:r>
            <w:r w:rsidRPr="00CA23AA">
              <w:rPr>
                <w:rFonts w:ascii="Arial Narrow" w:eastAsia="Arial Narrow" w:hAnsi="Arial Narrow" w:cs="Arial Narrow"/>
                <w:i/>
                <w:color w:val="auto"/>
              </w:rPr>
              <w:t>–</w:t>
            </w:r>
            <w:r w:rsidRPr="00CA23AA">
              <w:rPr>
                <w:rFonts w:ascii="Arial Narrow" w:eastAsia="Arial Narrow" w:hAnsi="Arial Narrow" w:cs="Arial Narrow"/>
                <w:color w:val="auto"/>
              </w:rPr>
              <w:t>78.1</w:t>
            </w:r>
            <w:r w:rsidRPr="00CA23AA">
              <w:rPr>
                <w:rFonts w:ascii="Arial Narrow" w:eastAsia="Arial Narrow" w:hAnsi="Arial Narrow" w:cs="Arial Narrow"/>
                <w:i/>
                <w:color w:val="auto"/>
              </w:rPr>
              <w:t>)</w:t>
            </w:r>
          </w:p>
        </w:tc>
        <w:tc>
          <w:tcPr>
            <w:tcW w:w="1286" w:type="dxa"/>
            <w:tcMar>
              <w:top w:w="15" w:type="dxa"/>
              <w:left w:w="108" w:type="dxa"/>
              <w:bottom w:w="15" w:type="dxa"/>
              <w:right w:w="108" w:type="dxa"/>
            </w:tcMar>
            <w:vAlign w:val="center"/>
          </w:tcPr>
          <w:p w14:paraId="5ADE8C09" w14:textId="7658C3F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70.5%</w:t>
            </w:r>
            <w:r w:rsidRPr="00CA23AA">
              <w:br/>
            </w:r>
            <w:r w:rsidRPr="00CA23AA">
              <w:rPr>
                <w:rFonts w:ascii="Arial Narrow" w:eastAsia="Arial Narrow" w:hAnsi="Arial Narrow" w:cs="Arial Narrow"/>
                <w:i/>
                <w:color w:val="auto"/>
              </w:rPr>
              <w:t>(52.8–82.6)</w:t>
            </w:r>
          </w:p>
        </w:tc>
        <w:tc>
          <w:tcPr>
            <w:tcW w:w="1286" w:type="dxa"/>
            <w:tcMar>
              <w:top w:w="15" w:type="dxa"/>
              <w:left w:w="108" w:type="dxa"/>
              <w:bottom w:w="15" w:type="dxa"/>
              <w:right w:w="108" w:type="dxa"/>
            </w:tcMar>
            <w:vAlign w:val="center"/>
          </w:tcPr>
          <w:p w14:paraId="5A49D7E0" w14:textId="77496A32"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NA</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40B3E2B7" w14:textId="18467952"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737CFF42" w14:textId="2E88843C"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5D253DEF" w14:textId="15E01DD2"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60.9% </w:t>
            </w:r>
            <w:r w:rsidRPr="00CA23AA">
              <w:br/>
            </w:r>
            <w:r w:rsidRPr="00CA23AA">
              <w:rPr>
                <w:rFonts w:ascii="Arial Narrow" w:eastAsia="Arial Narrow" w:hAnsi="Arial Narrow" w:cs="Arial Narrow"/>
                <w:i/>
                <w:color w:val="auto"/>
              </w:rPr>
              <w:t>(49.4–70.5)</w:t>
            </w:r>
          </w:p>
        </w:tc>
        <w:tc>
          <w:tcPr>
            <w:tcW w:w="1286" w:type="dxa"/>
            <w:tcMar>
              <w:top w:w="15" w:type="dxa"/>
              <w:left w:w="108" w:type="dxa"/>
              <w:bottom w:w="15" w:type="dxa"/>
              <w:right w:w="108" w:type="dxa"/>
            </w:tcMar>
            <w:vAlign w:val="center"/>
          </w:tcPr>
          <w:p w14:paraId="76ADF781" w14:textId="58F51CAD"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799CFC80" w14:textId="59ECB822"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62.0%</w:t>
            </w:r>
          </w:p>
        </w:tc>
        <w:tc>
          <w:tcPr>
            <w:tcW w:w="1286" w:type="dxa"/>
            <w:tcMar>
              <w:top w:w="15" w:type="dxa"/>
              <w:left w:w="108" w:type="dxa"/>
              <w:bottom w:w="15" w:type="dxa"/>
              <w:right w:w="108" w:type="dxa"/>
            </w:tcMar>
            <w:vAlign w:val="center"/>
          </w:tcPr>
          <w:p w14:paraId="1214BFD6" w14:textId="0EB337E7"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09A6C6A5" w14:textId="504CC4C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r>
      <w:tr w:rsidR="46F8A5F2" w:rsidRPr="00CA23AA" w14:paraId="6A1C9F48"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35E29D53" w14:textId="6EB2D2D3" w:rsidR="46F8A5F2" w:rsidRPr="00CA23AA" w:rsidRDefault="46F8A5F2">
            <w:pPr>
              <w:rPr>
                <w:color w:val="auto"/>
              </w:rPr>
            </w:pPr>
            <w:r w:rsidRPr="00CA23AA">
              <w:rPr>
                <w:rFonts w:ascii="Arial Narrow" w:eastAsia="Arial Narrow" w:hAnsi="Arial Narrow" w:cs="Arial Narrow"/>
                <w:i/>
                <w:color w:val="auto"/>
              </w:rPr>
              <w:t xml:space="preserve">-2 </w:t>
            </w:r>
            <w:r w:rsidRPr="00CA23AA">
              <w:rPr>
                <w:rFonts w:ascii="Arial Narrow" w:eastAsia="Arial Narrow" w:hAnsi="Arial Narrow" w:cs="Arial Narrow"/>
                <w:i/>
                <w:iCs/>
                <w:color w:val="auto"/>
              </w:rPr>
              <w:t>yea</w:t>
            </w:r>
            <w:r w:rsidR="064B7D41" w:rsidRPr="00CA23AA">
              <w:rPr>
                <w:rFonts w:ascii="Arial Narrow" w:eastAsia="Arial Narrow" w:hAnsi="Arial Narrow" w:cs="Arial Narrow"/>
                <w:i/>
                <w:iCs/>
                <w:color w:val="auto"/>
              </w:rPr>
              <w:t>r</w:t>
            </w:r>
          </w:p>
        </w:tc>
        <w:tc>
          <w:tcPr>
            <w:tcW w:w="1286" w:type="dxa"/>
            <w:tcMar>
              <w:top w:w="15" w:type="dxa"/>
              <w:left w:w="108" w:type="dxa"/>
              <w:bottom w:w="15" w:type="dxa"/>
              <w:right w:w="108" w:type="dxa"/>
            </w:tcMar>
            <w:vAlign w:val="center"/>
          </w:tcPr>
          <w:p w14:paraId="22B3821F" w14:textId="1CA9C368"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58.4%</w:t>
            </w:r>
            <w:r w:rsidRPr="00CA23AA">
              <w:br/>
            </w:r>
            <w:r w:rsidRPr="00CA23AA">
              <w:rPr>
                <w:rFonts w:ascii="Arial Narrow" w:eastAsia="Arial Narrow" w:hAnsi="Arial Narrow" w:cs="Arial Narrow"/>
                <w:i/>
                <w:color w:val="auto"/>
              </w:rPr>
              <w:t xml:space="preserve"> (43.7–70.5)</w:t>
            </w:r>
          </w:p>
        </w:tc>
        <w:tc>
          <w:tcPr>
            <w:tcW w:w="1286" w:type="dxa"/>
            <w:tcMar>
              <w:top w:w="15" w:type="dxa"/>
              <w:left w:w="108" w:type="dxa"/>
              <w:bottom w:w="15" w:type="dxa"/>
              <w:right w:w="108" w:type="dxa"/>
            </w:tcMar>
            <w:vAlign w:val="center"/>
          </w:tcPr>
          <w:p w14:paraId="03DCDF9D" w14:textId="132DB7D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62.8% </w:t>
            </w:r>
            <w:r w:rsidRPr="00CA23AA">
              <w:br/>
            </w:r>
            <w:r w:rsidRPr="00CA23AA">
              <w:rPr>
                <w:rFonts w:ascii="Arial Narrow" w:eastAsia="Arial Narrow" w:hAnsi="Arial Narrow" w:cs="Arial Narrow"/>
                <w:i/>
                <w:color w:val="auto"/>
              </w:rPr>
              <w:t>(43.9–76.9)</w:t>
            </w:r>
          </w:p>
        </w:tc>
        <w:tc>
          <w:tcPr>
            <w:tcW w:w="1286" w:type="dxa"/>
            <w:tcMar>
              <w:top w:w="15" w:type="dxa"/>
              <w:left w:w="108" w:type="dxa"/>
              <w:bottom w:w="15" w:type="dxa"/>
              <w:right w:w="108" w:type="dxa"/>
            </w:tcMar>
            <w:vAlign w:val="center"/>
          </w:tcPr>
          <w:p w14:paraId="19856437" w14:textId="5A5231E0"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1AC4B650" w14:textId="205F58BE"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76387A13" w14:textId="7F02ABDC"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2B6545F5" w14:textId="57A35EBE"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53D707D4" w14:textId="107295B9" w:rsidR="46F8A5F2" w:rsidRPr="00CA23AA" w:rsidRDefault="001F119D">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0A093AA3" w14:textId="59652EFA"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1FCC3D5B" w14:textId="692602E4"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72576BE4" w14:textId="52235BD5"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r>
      <w:tr w:rsidR="46F8A5F2" w:rsidRPr="00CA23AA" w14:paraId="039789DE"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56C9362E" w14:textId="4C1D96B6" w:rsidR="46F8A5F2" w:rsidRPr="00CA23AA" w:rsidRDefault="46F8A5F2">
            <w:pPr>
              <w:rPr>
                <w:color w:val="auto"/>
              </w:rPr>
            </w:pPr>
            <w:r w:rsidRPr="00CA23AA">
              <w:rPr>
                <w:rFonts w:ascii="Arial Narrow" w:eastAsia="Arial Narrow" w:hAnsi="Arial Narrow" w:cs="Arial Narrow"/>
                <w:i/>
                <w:color w:val="auto"/>
              </w:rPr>
              <w:t>-3 year</w:t>
            </w:r>
          </w:p>
        </w:tc>
        <w:tc>
          <w:tcPr>
            <w:tcW w:w="1286" w:type="dxa"/>
            <w:tcMar>
              <w:top w:w="15" w:type="dxa"/>
              <w:left w:w="108" w:type="dxa"/>
              <w:bottom w:w="15" w:type="dxa"/>
              <w:right w:w="108" w:type="dxa"/>
            </w:tcMar>
            <w:vAlign w:val="center"/>
          </w:tcPr>
          <w:p w14:paraId="261A35FB" w14:textId="2B52A87A"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53.9%</w:t>
            </w:r>
            <w:r w:rsidRPr="00CA23AA">
              <w:br/>
            </w:r>
            <w:r w:rsidRPr="00CA23AA">
              <w:rPr>
                <w:rFonts w:ascii="Arial Narrow" w:eastAsia="Arial Narrow" w:hAnsi="Arial Narrow" w:cs="Arial Narrow"/>
                <w:i/>
                <w:color w:val="auto"/>
              </w:rPr>
              <w:t xml:space="preserve"> (39.2–66.5)</w:t>
            </w:r>
          </w:p>
        </w:tc>
        <w:tc>
          <w:tcPr>
            <w:tcW w:w="1286" w:type="dxa"/>
            <w:tcMar>
              <w:top w:w="15" w:type="dxa"/>
              <w:left w:w="108" w:type="dxa"/>
              <w:bottom w:w="15" w:type="dxa"/>
              <w:right w:w="108" w:type="dxa"/>
            </w:tcMar>
            <w:vAlign w:val="center"/>
          </w:tcPr>
          <w:p w14:paraId="0449C222" w14:textId="2FA46503"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FBFF2F8" w14:textId="1E504302"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214EEEF2" w14:textId="0052E772"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381957CC" w14:textId="329E3A92"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6CC4A070" w14:textId="31768048"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163A07D6" w14:textId="7AF040A1" w:rsidR="46F8A5F2" w:rsidRPr="00CA23AA" w:rsidRDefault="001F119D">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18309CC" w14:textId="19C80BD5"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229D491E" w14:textId="7249CA21"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49385730" w14:textId="3186E6A7"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r>
      <w:tr w:rsidR="46F8A5F2" w:rsidRPr="00CA23AA" w14:paraId="2B602586"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34EB089E" w14:textId="7399125F" w:rsidR="46F8A5F2" w:rsidRPr="00CA23AA" w:rsidRDefault="46F8A5F2">
            <w:pPr>
              <w:rPr>
                <w:color w:val="auto"/>
              </w:rPr>
            </w:pPr>
            <w:r w:rsidRPr="00CA23AA">
              <w:rPr>
                <w:rFonts w:ascii="Arial Narrow" w:eastAsia="Arial Narrow" w:hAnsi="Arial Narrow" w:cs="Arial Narrow"/>
                <w:i/>
                <w:color w:val="auto"/>
              </w:rPr>
              <w:t>-4 year</w:t>
            </w:r>
          </w:p>
        </w:tc>
        <w:tc>
          <w:tcPr>
            <w:tcW w:w="1286" w:type="dxa"/>
            <w:tcMar>
              <w:top w:w="15" w:type="dxa"/>
              <w:left w:w="108" w:type="dxa"/>
              <w:bottom w:w="15" w:type="dxa"/>
              <w:right w:w="108" w:type="dxa"/>
            </w:tcMar>
            <w:vAlign w:val="center"/>
          </w:tcPr>
          <w:p w14:paraId="0E4F3FFB" w14:textId="528400C2"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48.9%</w:t>
            </w:r>
          </w:p>
          <w:p w14:paraId="7C5D3F6F" w14:textId="4E9923CD"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(34.1–62.1)</w:t>
            </w:r>
          </w:p>
        </w:tc>
        <w:tc>
          <w:tcPr>
            <w:tcW w:w="1286" w:type="dxa"/>
            <w:tcMar>
              <w:top w:w="15" w:type="dxa"/>
              <w:left w:w="108" w:type="dxa"/>
              <w:bottom w:w="15" w:type="dxa"/>
              <w:right w:w="108" w:type="dxa"/>
            </w:tcMar>
            <w:vAlign w:val="center"/>
          </w:tcPr>
          <w:p w14:paraId="732FDF35" w14:textId="50C3FB15"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54D46762" w14:textId="08275508"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001F8F0C" w14:textId="3CC50AB6"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77F93FB9" w14:textId="6847BDB5"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5E6BD44F" w14:textId="2A241B28"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3F2C0839" w14:textId="27AAFB89" w:rsidR="46F8A5F2" w:rsidRPr="00CA23AA" w:rsidRDefault="001F119D">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7BA95BB4" w14:textId="2A7AAA25"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2EBB8D71" w14:textId="13DC4402"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0CA51FA0" w14:textId="1F4B5A34"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r>
      <w:tr w:rsidR="46F8A5F2" w:rsidRPr="00CA23AA" w14:paraId="165DBE7E"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7CEB17DC" w14:textId="46ECFA05" w:rsidR="46F8A5F2" w:rsidRPr="00CA23AA" w:rsidRDefault="46F8A5F2">
            <w:pPr>
              <w:rPr>
                <w:color w:val="auto"/>
              </w:rPr>
            </w:pPr>
            <w:r w:rsidRPr="00CA23AA">
              <w:rPr>
                <w:rFonts w:ascii="Arial Narrow" w:eastAsia="Arial Narrow" w:hAnsi="Arial Narrow" w:cs="Arial Narrow"/>
                <w:i/>
                <w:color w:val="auto"/>
              </w:rPr>
              <w:t>-5 year</w:t>
            </w:r>
          </w:p>
        </w:tc>
        <w:tc>
          <w:tcPr>
            <w:tcW w:w="1286" w:type="dxa"/>
            <w:tcMar>
              <w:top w:w="15" w:type="dxa"/>
              <w:left w:w="108" w:type="dxa"/>
              <w:bottom w:w="15" w:type="dxa"/>
              <w:right w:w="108" w:type="dxa"/>
            </w:tcMar>
            <w:vAlign w:val="center"/>
          </w:tcPr>
          <w:p w14:paraId="28D940AF" w14:textId="489EE838"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48.9% </w:t>
            </w:r>
            <w:r w:rsidRPr="00CA23AA">
              <w:br/>
            </w:r>
            <w:r w:rsidRPr="00CA23AA">
              <w:rPr>
                <w:rFonts w:ascii="Arial Narrow" w:eastAsia="Arial Narrow" w:hAnsi="Arial Narrow" w:cs="Arial Narrow"/>
                <w:i/>
                <w:color w:val="auto"/>
              </w:rPr>
              <w:t>(34.1–62.1)</w:t>
            </w:r>
          </w:p>
        </w:tc>
        <w:tc>
          <w:tcPr>
            <w:tcW w:w="1286" w:type="dxa"/>
            <w:tcMar>
              <w:top w:w="15" w:type="dxa"/>
              <w:left w:w="108" w:type="dxa"/>
              <w:bottom w:w="15" w:type="dxa"/>
              <w:right w:w="108" w:type="dxa"/>
            </w:tcMar>
            <w:vAlign w:val="center"/>
          </w:tcPr>
          <w:p w14:paraId="3830EB5C" w14:textId="09842A0D"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439E9D7C" w14:textId="67F5DB50"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shd w:val="solid" w:color="000000" w:fill="000000"/>
            <w:tcMar>
              <w:top w:w="15" w:type="dxa"/>
              <w:left w:w="108" w:type="dxa"/>
              <w:bottom w:w="15" w:type="dxa"/>
              <w:right w:w="108" w:type="dxa"/>
            </w:tcMar>
            <w:vAlign w:val="center"/>
          </w:tcPr>
          <w:p w14:paraId="3E4D67A0" w14:textId="369660C7"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shd w:val="solid" w:color="000000" w:fill="000000"/>
            <w:tcMar>
              <w:top w:w="15" w:type="dxa"/>
              <w:left w:w="108" w:type="dxa"/>
              <w:bottom w:w="15" w:type="dxa"/>
              <w:right w:w="108" w:type="dxa"/>
            </w:tcMar>
            <w:vAlign w:val="center"/>
          </w:tcPr>
          <w:p w14:paraId="1A7862C7" w14:textId="006696B2"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4F29E0C4" w14:textId="46328E92"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BF357C0" w14:textId="18583FE7" w:rsidR="46F8A5F2" w:rsidRPr="00CA23AA" w:rsidRDefault="001F119D">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2687FF15" w14:textId="3EDE1705"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325279B4" w14:textId="0429C97C"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F95CCDC" w14:textId="28D045F3"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r>
      <w:tr w:rsidR="46F8A5F2" w:rsidRPr="00CA23AA" w14:paraId="551162FF" w14:textId="77777777" w:rsidTr="0017201C">
        <w:trPr>
          <w:trHeight w:val="300"/>
        </w:trPr>
        <w:tc>
          <w:tcPr>
            <w:cnfStyle w:val="001000000000" w:firstRow="0" w:lastRow="0" w:firstColumn="1" w:lastColumn="0" w:oddVBand="0" w:evenVBand="0" w:oddHBand="0" w:evenHBand="0" w:firstRowFirstColumn="0" w:firstRowLastColumn="0" w:lastRowFirstColumn="0" w:lastRowLastColumn="0"/>
            <w:tcW w:w="14146" w:type="dxa"/>
            <w:gridSpan w:val="11"/>
            <w:tcMar>
              <w:top w:w="15" w:type="dxa"/>
              <w:left w:w="108" w:type="dxa"/>
              <w:bottom w:w="15" w:type="dxa"/>
              <w:right w:w="108" w:type="dxa"/>
            </w:tcMar>
          </w:tcPr>
          <w:p w14:paraId="5BF6C54C" w14:textId="3AEC6DA4" w:rsidR="46F8A5F2" w:rsidRPr="00CA23AA" w:rsidRDefault="46F8A5F2">
            <w:pPr>
              <w:rPr>
                <w:color w:val="auto"/>
              </w:rPr>
            </w:pPr>
            <w:r w:rsidRPr="00CA23AA">
              <w:rPr>
                <w:rFonts w:ascii="Arial Narrow" w:eastAsia="Arial Narrow" w:hAnsi="Arial Narrow" w:cs="Arial Narrow"/>
                <w:b/>
                <w:i/>
                <w:color w:val="auto"/>
              </w:rPr>
              <w:t>EFS</w:t>
            </w:r>
          </w:p>
        </w:tc>
      </w:tr>
      <w:tr w:rsidR="46F8A5F2" w:rsidRPr="00CA23AA" w14:paraId="05049589"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46326114" w14:textId="4EDEFA92" w:rsidR="46F8A5F2" w:rsidRPr="00CA23AA" w:rsidRDefault="46F8A5F2">
            <w:pPr>
              <w:rPr>
                <w:color w:val="auto"/>
              </w:rPr>
            </w:pPr>
            <w:r w:rsidRPr="00CA23AA">
              <w:rPr>
                <w:rFonts w:ascii="Arial Narrow" w:eastAsia="Arial Narrow" w:hAnsi="Arial Narrow" w:cs="Arial Narrow"/>
                <w:i/>
                <w:color w:val="auto"/>
              </w:rPr>
              <w:t>Median EFS</w:t>
            </w:r>
          </w:p>
        </w:tc>
        <w:tc>
          <w:tcPr>
            <w:tcW w:w="1286" w:type="dxa"/>
            <w:tcMar>
              <w:top w:w="15" w:type="dxa"/>
              <w:left w:w="108" w:type="dxa"/>
              <w:bottom w:w="15" w:type="dxa"/>
              <w:right w:w="108" w:type="dxa"/>
            </w:tcMar>
            <w:vAlign w:val="center"/>
          </w:tcPr>
          <w:p w14:paraId="5DCA6708" w14:textId="7F3C1EB6"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23.7 months</w:t>
            </w:r>
          </w:p>
        </w:tc>
        <w:tc>
          <w:tcPr>
            <w:tcW w:w="1286" w:type="dxa"/>
            <w:tcMar>
              <w:top w:w="15" w:type="dxa"/>
              <w:left w:w="108" w:type="dxa"/>
              <w:bottom w:w="15" w:type="dxa"/>
              <w:right w:w="108" w:type="dxa"/>
            </w:tcMar>
            <w:vAlign w:val="center"/>
          </w:tcPr>
          <w:p w14:paraId="75B5FA9F" w14:textId="654092BC"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23.7 months</w:t>
            </w:r>
          </w:p>
        </w:tc>
        <w:tc>
          <w:tcPr>
            <w:tcW w:w="1286" w:type="dxa"/>
            <w:tcMar>
              <w:top w:w="15" w:type="dxa"/>
              <w:left w:w="108" w:type="dxa"/>
              <w:bottom w:w="15" w:type="dxa"/>
              <w:right w:w="108" w:type="dxa"/>
            </w:tcMar>
            <w:vAlign w:val="center"/>
          </w:tcPr>
          <w:p w14:paraId="4E9F3241" w14:textId="0925A35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15.1 months</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38ADDCEF" w14:textId="57B8272C"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27EE4AFA" w14:textId="720BDE37"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10C4D489" w14:textId="486DA842"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12.24 months</w:t>
            </w:r>
          </w:p>
        </w:tc>
        <w:tc>
          <w:tcPr>
            <w:tcW w:w="1286" w:type="dxa"/>
            <w:tcMar>
              <w:top w:w="15" w:type="dxa"/>
              <w:left w:w="108" w:type="dxa"/>
              <w:bottom w:w="15" w:type="dxa"/>
              <w:right w:w="108" w:type="dxa"/>
            </w:tcMar>
            <w:vAlign w:val="center"/>
          </w:tcPr>
          <w:p w14:paraId="04460F49" w14:textId="1C6E1CF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09BEF8B7" w14:textId="5031BC39"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vAlign w:val="center"/>
          </w:tcPr>
          <w:p w14:paraId="0E4D9AB6" w14:textId="14F1B43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4.3 months</w:t>
            </w:r>
          </w:p>
        </w:tc>
        <w:tc>
          <w:tcPr>
            <w:tcW w:w="1286" w:type="dxa"/>
            <w:tcMar>
              <w:top w:w="15" w:type="dxa"/>
              <w:left w:w="108" w:type="dxa"/>
              <w:bottom w:w="15" w:type="dxa"/>
              <w:right w:w="108" w:type="dxa"/>
            </w:tcMar>
            <w:vAlign w:val="center"/>
          </w:tcPr>
          <w:p w14:paraId="2C0BEB72" w14:textId="1CB2716C"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20.3 months</w:t>
            </w:r>
          </w:p>
        </w:tc>
      </w:tr>
      <w:tr w:rsidR="46F8A5F2" w:rsidRPr="00CA23AA" w14:paraId="43BF2A27"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1A3D7454" w14:textId="325E288B" w:rsidR="46F8A5F2" w:rsidRPr="00CA23AA" w:rsidRDefault="46F8A5F2">
            <w:pPr>
              <w:rPr>
                <w:color w:val="auto"/>
              </w:rPr>
            </w:pPr>
            <w:r w:rsidRPr="00CA23AA">
              <w:rPr>
                <w:rFonts w:ascii="Arial Narrow" w:eastAsia="Arial Narrow" w:hAnsi="Arial Narrow" w:cs="Arial Narrow"/>
                <w:i/>
                <w:color w:val="auto"/>
              </w:rPr>
              <w:t>-1 year</w:t>
            </w:r>
          </w:p>
        </w:tc>
        <w:tc>
          <w:tcPr>
            <w:tcW w:w="1286" w:type="dxa"/>
            <w:tcMar>
              <w:top w:w="15" w:type="dxa"/>
              <w:left w:w="108" w:type="dxa"/>
              <w:bottom w:w="15" w:type="dxa"/>
              <w:right w:w="108" w:type="dxa"/>
            </w:tcMar>
            <w:vAlign w:val="center"/>
          </w:tcPr>
          <w:p w14:paraId="7842ECA5" w14:textId="7A7D52A8"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57.2% </w:t>
            </w:r>
            <w:r w:rsidRPr="00CA23AA">
              <w:br/>
            </w:r>
            <w:r w:rsidRPr="00CA23AA">
              <w:rPr>
                <w:rFonts w:ascii="Arial Narrow" w:eastAsia="Arial Narrow" w:hAnsi="Arial Narrow" w:cs="Arial Narrow"/>
                <w:i/>
                <w:color w:val="auto"/>
              </w:rPr>
              <w:t>(44.5–68.0)</w:t>
            </w:r>
          </w:p>
        </w:tc>
        <w:tc>
          <w:tcPr>
            <w:tcW w:w="1286" w:type="dxa"/>
            <w:tcMar>
              <w:top w:w="15" w:type="dxa"/>
              <w:left w:w="108" w:type="dxa"/>
              <w:bottom w:w="15" w:type="dxa"/>
              <w:right w:w="108" w:type="dxa"/>
            </w:tcMar>
            <w:vAlign w:val="center"/>
          </w:tcPr>
          <w:p w14:paraId="4FAD277F" w14:textId="50947D8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53.6% </w:t>
            </w:r>
            <w:r w:rsidRPr="00CA23AA">
              <w:br/>
            </w:r>
            <w:r w:rsidRPr="00CA23AA">
              <w:rPr>
                <w:rFonts w:ascii="Arial Narrow" w:eastAsia="Arial Narrow" w:hAnsi="Arial Narrow" w:cs="Arial Narrow"/>
                <w:i/>
                <w:color w:val="auto"/>
              </w:rPr>
              <w:t>(39.3–66.0)</w:t>
            </w:r>
          </w:p>
        </w:tc>
        <w:tc>
          <w:tcPr>
            <w:tcW w:w="1286" w:type="dxa"/>
            <w:tcMar>
              <w:top w:w="15" w:type="dxa"/>
              <w:left w:w="108" w:type="dxa"/>
              <w:bottom w:w="15" w:type="dxa"/>
              <w:right w:w="108" w:type="dxa"/>
            </w:tcMar>
            <w:vAlign w:val="center"/>
          </w:tcPr>
          <w:p w14:paraId="37D94330" w14:textId="63857E61"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67.3% </w:t>
            </w:r>
            <w:r w:rsidRPr="00CA23AA">
              <w:br/>
            </w:r>
            <w:r w:rsidRPr="00CA23AA">
              <w:rPr>
                <w:rFonts w:ascii="Arial Narrow" w:eastAsia="Arial Narrow" w:hAnsi="Arial Narrow" w:cs="Arial Narrow"/>
                <w:i/>
                <w:color w:val="auto"/>
              </w:rPr>
              <w:t>(52.8–78.2)</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7CFC2140" w14:textId="0E9E73E0"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3A5A0D41" w14:textId="58C98D8A"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3F51A6C0" w14:textId="68BE8B2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52.4% </w:t>
            </w:r>
            <w:r w:rsidRPr="00CA23AA">
              <w:br/>
            </w:r>
            <w:r w:rsidRPr="00CA23AA">
              <w:rPr>
                <w:rFonts w:ascii="Arial Narrow" w:eastAsia="Arial Narrow" w:hAnsi="Arial Narrow" w:cs="Arial Narrow"/>
                <w:i/>
                <w:color w:val="auto"/>
              </w:rPr>
              <w:t>(43.4–60.7)</w:t>
            </w:r>
          </w:p>
        </w:tc>
        <w:tc>
          <w:tcPr>
            <w:tcW w:w="1286" w:type="dxa"/>
            <w:tcMar>
              <w:top w:w="15" w:type="dxa"/>
              <w:left w:w="108" w:type="dxa"/>
              <w:bottom w:w="15" w:type="dxa"/>
              <w:right w:w="108" w:type="dxa"/>
            </w:tcMar>
            <w:vAlign w:val="center"/>
          </w:tcPr>
          <w:p w14:paraId="7608B294" w14:textId="2738E306"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47360482" w14:textId="13A61EA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50.0%</w:t>
            </w:r>
          </w:p>
        </w:tc>
        <w:tc>
          <w:tcPr>
            <w:tcW w:w="1286" w:type="dxa"/>
            <w:tcMar>
              <w:top w:w="15" w:type="dxa"/>
              <w:left w:w="108" w:type="dxa"/>
              <w:bottom w:w="15" w:type="dxa"/>
              <w:right w:w="108" w:type="dxa"/>
            </w:tcMar>
            <w:vAlign w:val="center"/>
          </w:tcPr>
          <w:p w14:paraId="6B428FA3" w14:textId="02F404B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35.2%</w:t>
            </w:r>
          </w:p>
        </w:tc>
        <w:tc>
          <w:tcPr>
            <w:tcW w:w="1286" w:type="dxa"/>
            <w:tcMar>
              <w:top w:w="15" w:type="dxa"/>
              <w:left w:w="108" w:type="dxa"/>
              <w:bottom w:w="15" w:type="dxa"/>
              <w:right w:w="108" w:type="dxa"/>
            </w:tcMar>
            <w:vAlign w:val="center"/>
          </w:tcPr>
          <w:p w14:paraId="5E316387" w14:textId="6DD84F37"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69% </w:t>
            </w:r>
            <w:r w:rsidRPr="00CA23AA">
              <w:br/>
            </w:r>
            <w:r w:rsidRPr="00CA23AA">
              <w:rPr>
                <w:rFonts w:ascii="Arial Narrow" w:eastAsia="Arial Narrow" w:hAnsi="Arial Narrow" w:cs="Arial Narrow"/>
                <w:i/>
                <w:color w:val="auto"/>
              </w:rPr>
              <w:t>(47–83)</w:t>
            </w:r>
          </w:p>
        </w:tc>
      </w:tr>
      <w:tr w:rsidR="46F8A5F2" w:rsidRPr="00CA23AA" w14:paraId="794D357F"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3A67D9AF" w14:textId="51A65ED6" w:rsidR="46F8A5F2" w:rsidRPr="00CA23AA" w:rsidRDefault="46F8A5F2">
            <w:pPr>
              <w:rPr>
                <w:color w:val="auto"/>
              </w:rPr>
            </w:pPr>
            <w:r w:rsidRPr="00CA23AA">
              <w:rPr>
                <w:rFonts w:ascii="Arial Narrow" w:eastAsia="Arial Narrow" w:hAnsi="Arial Narrow" w:cs="Arial Narrow"/>
                <w:i/>
                <w:color w:val="auto"/>
              </w:rPr>
              <w:t>-2 year</w:t>
            </w:r>
          </w:p>
        </w:tc>
        <w:tc>
          <w:tcPr>
            <w:tcW w:w="1286" w:type="dxa"/>
            <w:tcMar>
              <w:top w:w="15" w:type="dxa"/>
              <w:left w:w="108" w:type="dxa"/>
              <w:bottom w:w="15" w:type="dxa"/>
              <w:right w:w="108" w:type="dxa"/>
            </w:tcMar>
            <w:vAlign w:val="center"/>
          </w:tcPr>
          <w:p w14:paraId="2A783D45" w14:textId="197CC101"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49.6% </w:t>
            </w:r>
            <w:r w:rsidRPr="00CA23AA">
              <w:br/>
            </w:r>
            <w:r w:rsidRPr="00CA23AA">
              <w:rPr>
                <w:rFonts w:ascii="Arial Narrow" w:eastAsia="Arial Narrow" w:hAnsi="Arial Narrow" w:cs="Arial Narrow"/>
                <w:i/>
                <w:color w:val="auto"/>
              </w:rPr>
              <w:t>(36.7–61.2)</w:t>
            </w:r>
          </w:p>
        </w:tc>
        <w:tc>
          <w:tcPr>
            <w:tcW w:w="1286" w:type="dxa"/>
            <w:tcMar>
              <w:top w:w="15" w:type="dxa"/>
              <w:left w:w="108" w:type="dxa"/>
              <w:bottom w:w="15" w:type="dxa"/>
              <w:right w:w="108" w:type="dxa"/>
            </w:tcMar>
            <w:vAlign w:val="center"/>
          </w:tcPr>
          <w:p w14:paraId="58A46F4F" w14:textId="70468900"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47.8% </w:t>
            </w:r>
            <w:r w:rsidRPr="00CA23AA">
              <w:br/>
            </w:r>
            <w:r w:rsidRPr="00CA23AA">
              <w:rPr>
                <w:rFonts w:ascii="Arial Narrow" w:eastAsia="Arial Narrow" w:hAnsi="Arial Narrow" w:cs="Arial Narrow"/>
                <w:i/>
                <w:color w:val="auto"/>
              </w:rPr>
              <w:t>(33.0–61.1)</w:t>
            </w:r>
          </w:p>
        </w:tc>
        <w:tc>
          <w:tcPr>
            <w:tcW w:w="1286" w:type="dxa"/>
            <w:tcMar>
              <w:top w:w="15" w:type="dxa"/>
              <w:left w:w="108" w:type="dxa"/>
              <w:bottom w:w="15" w:type="dxa"/>
              <w:right w:w="108" w:type="dxa"/>
            </w:tcMar>
            <w:vAlign w:val="center"/>
          </w:tcPr>
          <w:p w14:paraId="76792F09" w14:textId="3BA022CC"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shd w:val="solid" w:color="000000" w:fill="000000"/>
            <w:tcMar>
              <w:top w:w="15" w:type="dxa"/>
              <w:left w:w="108" w:type="dxa"/>
              <w:bottom w:w="15" w:type="dxa"/>
              <w:right w:w="108" w:type="dxa"/>
            </w:tcMar>
            <w:vAlign w:val="center"/>
          </w:tcPr>
          <w:p w14:paraId="2C9DFFA4" w14:textId="535D3C76"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shd w:val="solid" w:color="000000" w:fill="000000"/>
            <w:tcMar>
              <w:top w:w="15" w:type="dxa"/>
              <w:left w:w="108" w:type="dxa"/>
              <w:bottom w:w="15" w:type="dxa"/>
              <w:right w:w="108" w:type="dxa"/>
            </w:tcMar>
            <w:vAlign w:val="center"/>
          </w:tcPr>
          <w:p w14:paraId="56B18B97" w14:textId="769717AB"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54FA050A" w14:textId="6749056B"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08301390" w14:textId="11F190B0"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45.3%</w:t>
            </w:r>
          </w:p>
        </w:tc>
        <w:tc>
          <w:tcPr>
            <w:tcW w:w="1286" w:type="dxa"/>
            <w:tcMar>
              <w:top w:w="15" w:type="dxa"/>
              <w:left w:w="108" w:type="dxa"/>
              <w:bottom w:w="15" w:type="dxa"/>
              <w:right w:w="108" w:type="dxa"/>
            </w:tcMar>
            <w:vAlign w:val="center"/>
          </w:tcPr>
          <w:p w14:paraId="7AEEDEB4" w14:textId="0DFC141B"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17FD97FA" w14:textId="1282705E"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520B53A1" w14:textId="544C8E06"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r>
      <w:tr w:rsidR="46F8A5F2" w:rsidRPr="00CA23AA" w14:paraId="6C8117AD" w14:textId="77777777" w:rsidTr="0017201C">
        <w:trPr>
          <w:trHeight w:val="300"/>
        </w:trPr>
        <w:tc>
          <w:tcPr>
            <w:cnfStyle w:val="001000000000" w:firstRow="0" w:lastRow="0" w:firstColumn="1" w:lastColumn="0" w:oddVBand="0" w:evenVBand="0" w:oddHBand="0" w:evenHBand="0" w:firstRowFirstColumn="0" w:firstRowLastColumn="0" w:lastRowFirstColumn="0" w:lastRowLastColumn="0"/>
            <w:tcW w:w="14146" w:type="dxa"/>
            <w:gridSpan w:val="11"/>
            <w:tcMar>
              <w:top w:w="15" w:type="dxa"/>
              <w:left w:w="108" w:type="dxa"/>
              <w:bottom w:w="15" w:type="dxa"/>
              <w:right w:w="108" w:type="dxa"/>
            </w:tcMar>
          </w:tcPr>
          <w:p w14:paraId="137F9AC7" w14:textId="40F6AF9D" w:rsidR="46F8A5F2" w:rsidRPr="00CA23AA" w:rsidRDefault="46F8A5F2">
            <w:pPr>
              <w:rPr>
                <w:color w:val="auto"/>
              </w:rPr>
            </w:pPr>
            <w:r w:rsidRPr="00CA23AA">
              <w:rPr>
                <w:rFonts w:ascii="Arial Narrow" w:eastAsia="Arial Narrow" w:hAnsi="Arial Narrow" w:cs="Arial Narrow"/>
                <w:b/>
                <w:i/>
                <w:color w:val="auto"/>
              </w:rPr>
              <w:t>OS</w:t>
            </w:r>
          </w:p>
        </w:tc>
      </w:tr>
      <w:tr w:rsidR="46F8A5F2" w:rsidRPr="00CA23AA" w14:paraId="38937D5B"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42AF59E8" w14:textId="1BA3A017" w:rsidR="46F8A5F2" w:rsidRPr="00CA23AA" w:rsidRDefault="46F8A5F2">
            <w:pPr>
              <w:rPr>
                <w:color w:val="auto"/>
              </w:rPr>
            </w:pPr>
            <w:r w:rsidRPr="00CA23AA">
              <w:rPr>
                <w:rFonts w:ascii="Arial Narrow" w:eastAsia="Arial Narrow" w:hAnsi="Arial Narrow" w:cs="Arial Narrow"/>
                <w:i/>
                <w:color w:val="auto"/>
              </w:rPr>
              <w:t>Median OS</w:t>
            </w:r>
          </w:p>
        </w:tc>
        <w:tc>
          <w:tcPr>
            <w:tcW w:w="1286" w:type="dxa"/>
            <w:tcMar>
              <w:top w:w="15" w:type="dxa"/>
              <w:left w:w="108" w:type="dxa"/>
              <w:bottom w:w="15" w:type="dxa"/>
              <w:right w:w="108" w:type="dxa"/>
            </w:tcMar>
          </w:tcPr>
          <w:p w14:paraId="368647A8" w14:textId="4DD033BE"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tcPr>
          <w:p w14:paraId="680624CC" w14:textId="6AA175F9"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29.9 months</w:t>
            </w:r>
          </w:p>
        </w:tc>
        <w:tc>
          <w:tcPr>
            <w:tcW w:w="1286" w:type="dxa"/>
            <w:tcMar>
              <w:top w:w="15" w:type="dxa"/>
              <w:left w:w="108" w:type="dxa"/>
              <w:bottom w:w="15" w:type="dxa"/>
              <w:right w:w="108" w:type="dxa"/>
            </w:tcMar>
          </w:tcPr>
          <w:p w14:paraId="2EC6E86A" w14:textId="5276F85E"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15.1 months</w:t>
            </w:r>
          </w:p>
        </w:tc>
        <w:tc>
          <w:tcPr>
            <w:tcW w:w="1286" w:type="dxa"/>
            <w:tcBorders>
              <w:bottom w:val="single" w:sz="4" w:space="0" w:color="auto"/>
            </w:tcBorders>
            <w:shd w:val="solid" w:color="000000" w:fill="000000"/>
            <w:tcMar>
              <w:top w:w="15" w:type="dxa"/>
              <w:left w:w="108" w:type="dxa"/>
              <w:bottom w:w="15" w:type="dxa"/>
              <w:right w:w="108" w:type="dxa"/>
            </w:tcMar>
          </w:tcPr>
          <w:p w14:paraId="33D492D7" w14:textId="03EDB1F9" w:rsidR="46F8A5F2" w:rsidRPr="00CA23AA" w:rsidRDefault="00594907">
            <w:pPr>
              <w:cnfStyle w:val="000000000000" w:firstRow="0" w:lastRow="0" w:firstColumn="0" w:lastColumn="0" w:oddVBand="0" w:evenVBand="0" w:oddHBand="0" w:evenHBand="0" w:firstRowFirstColumn="0" w:firstRowLastColumn="0" w:lastRowFirstColumn="0" w:lastRowLastColumn="0"/>
              <w:rPr>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tcPr>
          <w:p w14:paraId="7D16B54B" w14:textId="4ADF17F8" w:rsidR="46F8A5F2" w:rsidRPr="00CA23AA" w:rsidRDefault="00594907">
            <w:pPr>
              <w:cnfStyle w:val="000000000000" w:firstRow="0" w:lastRow="0" w:firstColumn="0" w:lastColumn="0" w:oddVBand="0" w:evenVBand="0" w:oddHBand="0" w:evenHBand="0" w:firstRowFirstColumn="0" w:firstRowLastColumn="0" w:lastRowFirstColumn="0" w:lastRowLastColumn="0"/>
              <w:rPr>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tcPr>
          <w:p w14:paraId="4B769067" w14:textId="35AE0510"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tcPr>
          <w:p w14:paraId="22A236AF" w14:textId="508BEB7A"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tcPr>
          <w:p w14:paraId="10271B10" w14:textId="096BEDC0"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tcPr>
          <w:p w14:paraId="1034D6E8" w14:textId="117C1B81"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Not reached</w:t>
            </w:r>
          </w:p>
        </w:tc>
        <w:tc>
          <w:tcPr>
            <w:tcW w:w="1286" w:type="dxa"/>
            <w:tcMar>
              <w:top w:w="15" w:type="dxa"/>
              <w:left w:w="108" w:type="dxa"/>
              <w:bottom w:w="15" w:type="dxa"/>
              <w:right w:w="108" w:type="dxa"/>
            </w:tcMar>
          </w:tcPr>
          <w:p w14:paraId="1EAEB3ED" w14:textId="003C471F"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Not reached</w:t>
            </w:r>
          </w:p>
        </w:tc>
      </w:tr>
      <w:tr w:rsidR="46F8A5F2" w:rsidRPr="00CA23AA" w14:paraId="2155D3EB"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7A2AC9C9" w14:textId="51990518" w:rsidR="46F8A5F2" w:rsidRPr="00CA23AA" w:rsidRDefault="46F8A5F2">
            <w:pPr>
              <w:rPr>
                <w:color w:val="auto"/>
              </w:rPr>
            </w:pPr>
            <w:r w:rsidRPr="00CA23AA">
              <w:rPr>
                <w:rFonts w:ascii="Arial Narrow" w:eastAsia="Arial Narrow" w:hAnsi="Arial Narrow" w:cs="Arial Narrow"/>
                <w:i/>
                <w:color w:val="auto"/>
              </w:rPr>
              <w:t>-1 year</w:t>
            </w:r>
          </w:p>
        </w:tc>
        <w:tc>
          <w:tcPr>
            <w:tcW w:w="1286" w:type="dxa"/>
            <w:tcMar>
              <w:top w:w="15" w:type="dxa"/>
              <w:left w:w="108" w:type="dxa"/>
              <w:bottom w:w="15" w:type="dxa"/>
              <w:right w:w="108" w:type="dxa"/>
            </w:tcMar>
          </w:tcPr>
          <w:p w14:paraId="261A3FDA" w14:textId="40F8504F"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77.1% </w:t>
            </w:r>
            <w:r w:rsidRPr="00CA23AA">
              <w:br/>
            </w:r>
            <w:r w:rsidRPr="00CA23AA">
              <w:rPr>
                <w:rFonts w:ascii="Arial Narrow" w:eastAsia="Arial Narrow" w:hAnsi="Arial Narrow" w:cs="Arial Narrow"/>
                <w:i/>
                <w:color w:val="auto"/>
              </w:rPr>
              <w:t>(66.1–84.9)</w:t>
            </w:r>
          </w:p>
        </w:tc>
        <w:tc>
          <w:tcPr>
            <w:tcW w:w="1286" w:type="dxa"/>
            <w:tcMar>
              <w:top w:w="15" w:type="dxa"/>
              <w:left w:w="108" w:type="dxa"/>
              <w:bottom w:w="15" w:type="dxa"/>
              <w:right w:w="108" w:type="dxa"/>
            </w:tcMar>
          </w:tcPr>
          <w:p w14:paraId="133B02B3" w14:textId="1B9DCE87"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65.4% </w:t>
            </w:r>
            <w:r w:rsidRPr="00CA23AA">
              <w:br/>
            </w:r>
            <w:r w:rsidRPr="00CA23AA">
              <w:rPr>
                <w:rFonts w:ascii="Arial Narrow" w:eastAsia="Arial Narrow" w:hAnsi="Arial Narrow" w:cs="Arial Narrow"/>
                <w:i/>
                <w:color w:val="auto"/>
              </w:rPr>
              <w:t>(52.4–75.7)</w:t>
            </w:r>
          </w:p>
        </w:tc>
        <w:tc>
          <w:tcPr>
            <w:tcW w:w="1286" w:type="dxa"/>
            <w:tcMar>
              <w:top w:w="15" w:type="dxa"/>
              <w:left w:w="108" w:type="dxa"/>
              <w:bottom w:w="15" w:type="dxa"/>
              <w:right w:w="108" w:type="dxa"/>
            </w:tcMar>
          </w:tcPr>
          <w:p w14:paraId="28BC3A78" w14:textId="11B4E089"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88% </w:t>
            </w:r>
            <w:r w:rsidRPr="00CA23AA">
              <w:br/>
            </w:r>
            <w:r w:rsidRPr="00CA23AA">
              <w:rPr>
                <w:rFonts w:ascii="Arial Narrow" w:eastAsia="Arial Narrow" w:hAnsi="Arial Narrow" w:cs="Arial Narrow"/>
                <w:i/>
                <w:color w:val="auto"/>
              </w:rPr>
              <w:t>(76.2–94.1)</w:t>
            </w:r>
          </w:p>
        </w:tc>
        <w:tc>
          <w:tcPr>
            <w:tcW w:w="1286" w:type="dxa"/>
            <w:tcBorders>
              <w:bottom w:val="single" w:sz="4" w:space="0" w:color="auto"/>
            </w:tcBorders>
            <w:shd w:val="solid" w:color="000000" w:fill="000000"/>
            <w:tcMar>
              <w:top w:w="15" w:type="dxa"/>
              <w:left w:w="108" w:type="dxa"/>
              <w:bottom w:w="15" w:type="dxa"/>
              <w:right w:w="108" w:type="dxa"/>
            </w:tcMar>
          </w:tcPr>
          <w:p w14:paraId="37392D5E" w14:textId="68AAD897"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tcPr>
          <w:p w14:paraId="4FBE097B" w14:textId="0907E4B8"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tcPr>
          <w:p w14:paraId="224C0007" w14:textId="6BA85AB2"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77.2% </w:t>
            </w:r>
            <w:r w:rsidRPr="00CA23AA">
              <w:br/>
            </w:r>
            <w:r w:rsidRPr="00CA23AA">
              <w:rPr>
                <w:rFonts w:ascii="Arial Narrow" w:eastAsia="Arial Narrow" w:hAnsi="Arial Narrow" w:cs="Arial Narrow"/>
                <w:i/>
                <w:color w:val="auto"/>
              </w:rPr>
              <w:t>(69.8–83.1)</w:t>
            </w:r>
          </w:p>
        </w:tc>
        <w:tc>
          <w:tcPr>
            <w:tcW w:w="1286" w:type="dxa"/>
            <w:tcMar>
              <w:top w:w="15" w:type="dxa"/>
              <w:left w:w="108" w:type="dxa"/>
              <w:bottom w:w="15" w:type="dxa"/>
              <w:right w:w="108" w:type="dxa"/>
            </w:tcMar>
          </w:tcPr>
          <w:p w14:paraId="190059D8" w14:textId="68E52348"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6662C8E0" w14:textId="3789CB15"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72.0%</w:t>
            </w:r>
          </w:p>
        </w:tc>
        <w:tc>
          <w:tcPr>
            <w:tcW w:w="1286" w:type="dxa"/>
            <w:tcMar>
              <w:top w:w="15" w:type="dxa"/>
              <w:left w:w="108" w:type="dxa"/>
              <w:bottom w:w="15" w:type="dxa"/>
              <w:right w:w="108" w:type="dxa"/>
            </w:tcMar>
          </w:tcPr>
          <w:p w14:paraId="18F7E26C" w14:textId="0D36CB2D"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51.5%</w:t>
            </w:r>
          </w:p>
        </w:tc>
        <w:tc>
          <w:tcPr>
            <w:tcW w:w="1286" w:type="dxa"/>
            <w:tcMar>
              <w:top w:w="15" w:type="dxa"/>
              <w:left w:w="108" w:type="dxa"/>
              <w:bottom w:w="15" w:type="dxa"/>
              <w:right w:w="108" w:type="dxa"/>
            </w:tcMar>
          </w:tcPr>
          <w:p w14:paraId="1E293102" w14:textId="3A5AFD18"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84% </w:t>
            </w:r>
            <w:r w:rsidRPr="00CA23AA">
              <w:br/>
            </w:r>
            <w:r w:rsidRPr="00CA23AA">
              <w:rPr>
                <w:rFonts w:ascii="Arial Narrow" w:eastAsia="Arial Narrow" w:hAnsi="Arial Narrow" w:cs="Arial Narrow"/>
                <w:i/>
                <w:color w:val="auto"/>
              </w:rPr>
              <w:t>(64–93)</w:t>
            </w:r>
          </w:p>
        </w:tc>
      </w:tr>
      <w:tr w:rsidR="46F8A5F2" w:rsidRPr="00CA23AA" w14:paraId="5BE74884"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6028BB87" w14:textId="2C1A1D8D" w:rsidR="46F8A5F2" w:rsidRPr="00CA23AA" w:rsidRDefault="46F8A5F2">
            <w:pPr>
              <w:rPr>
                <w:color w:val="auto"/>
              </w:rPr>
            </w:pPr>
            <w:r w:rsidRPr="00CA23AA">
              <w:rPr>
                <w:rFonts w:ascii="Arial Narrow" w:eastAsia="Arial Narrow" w:hAnsi="Arial Narrow" w:cs="Arial Narrow"/>
                <w:i/>
                <w:color w:val="auto"/>
              </w:rPr>
              <w:t>-2 year</w:t>
            </w:r>
          </w:p>
        </w:tc>
        <w:tc>
          <w:tcPr>
            <w:tcW w:w="1286" w:type="dxa"/>
            <w:tcMar>
              <w:top w:w="15" w:type="dxa"/>
              <w:left w:w="108" w:type="dxa"/>
              <w:bottom w:w="15" w:type="dxa"/>
              <w:right w:w="108" w:type="dxa"/>
            </w:tcMar>
          </w:tcPr>
          <w:p w14:paraId="40CF2351" w14:textId="09133581" w:rsidR="46F8A5F2" w:rsidRPr="00CA23AA" w:rsidRDefault="64D07819" w:rsidP="0017201C">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 xml:space="preserve">67.8% </w:t>
            </w:r>
            <w:r w:rsidR="46F8A5F2" w:rsidRPr="00CA23AA">
              <w:br/>
            </w:r>
            <w:r w:rsidRPr="00CA23AA">
              <w:rPr>
                <w:rFonts w:ascii="Arial Narrow" w:eastAsia="Arial Narrow" w:hAnsi="Arial Narrow" w:cs="Arial Narrow"/>
                <w:i/>
                <w:color w:val="auto"/>
              </w:rPr>
              <w:t>(56.1–77.0)</w:t>
            </w:r>
          </w:p>
        </w:tc>
        <w:tc>
          <w:tcPr>
            <w:tcW w:w="1286" w:type="dxa"/>
            <w:tcMar>
              <w:top w:w="15" w:type="dxa"/>
              <w:left w:w="108" w:type="dxa"/>
              <w:bottom w:w="15" w:type="dxa"/>
              <w:right w:w="108" w:type="dxa"/>
            </w:tcMar>
          </w:tcPr>
          <w:p w14:paraId="3E38F5AE" w14:textId="3554F7D6" w:rsidR="46F8A5F2" w:rsidRPr="00CA23AA" w:rsidRDefault="64D07819" w:rsidP="0017201C">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 xml:space="preserve">54.7% </w:t>
            </w:r>
            <w:r w:rsidR="46F8A5F2" w:rsidRPr="00CA23AA">
              <w:br/>
            </w:r>
            <w:r w:rsidRPr="00CA23AA">
              <w:rPr>
                <w:rFonts w:ascii="Arial Narrow" w:eastAsia="Arial Narrow" w:hAnsi="Arial Narrow" w:cs="Arial Narrow"/>
                <w:i/>
                <w:color w:val="auto"/>
              </w:rPr>
              <w:t>(39.8–67.4)</w:t>
            </w:r>
          </w:p>
        </w:tc>
        <w:tc>
          <w:tcPr>
            <w:tcW w:w="1286" w:type="dxa"/>
            <w:tcMar>
              <w:top w:w="15" w:type="dxa"/>
              <w:left w:w="108" w:type="dxa"/>
              <w:bottom w:w="15" w:type="dxa"/>
              <w:right w:w="108" w:type="dxa"/>
            </w:tcMar>
          </w:tcPr>
          <w:p w14:paraId="1CD5A96C" w14:textId="5D0B91C6" w:rsidR="46F8A5F2" w:rsidRPr="00CA23AA" w:rsidRDefault="001F119D" w:rsidP="0017201C">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shd w:val="solid" w:color="000000" w:fill="000000"/>
            <w:tcMar>
              <w:top w:w="15" w:type="dxa"/>
              <w:left w:w="108" w:type="dxa"/>
              <w:bottom w:w="15" w:type="dxa"/>
              <w:right w:w="108" w:type="dxa"/>
            </w:tcMar>
          </w:tcPr>
          <w:p w14:paraId="61F199A2" w14:textId="4D24694D" w:rsidR="46F8A5F2" w:rsidRPr="00CA23AA" w:rsidRDefault="00594907" w:rsidP="0017201C">
            <w:pPr>
              <w:cnfStyle w:val="000000000000" w:firstRow="0" w:lastRow="0" w:firstColumn="0" w:lastColumn="0" w:oddVBand="0" w:evenVBand="0" w:oddHBand="0" w:evenHBand="0" w:firstRowFirstColumn="0" w:firstRowLastColumn="0" w:lastRowFirstColumn="0" w:lastRowLastColumn="0"/>
              <w:rPr>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shd w:val="solid" w:color="000000" w:fill="000000"/>
            <w:tcMar>
              <w:top w:w="15" w:type="dxa"/>
              <w:left w:w="108" w:type="dxa"/>
              <w:bottom w:w="15" w:type="dxa"/>
              <w:right w:w="108" w:type="dxa"/>
            </w:tcMar>
          </w:tcPr>
          <w:p w14:paraId="355F2B88" w14:textId="67BC1DA4" w:rsidR="46F8A5F2" w:rsidRPr="00CA23AA" w:rsidRDefault="00594907" w:rsidP="0017201C">
            <w:pPr>
              <w:cnfStyle w:val="000000000000" w:firstRow="0" w:lastRow="0" w:firstColumn="0" w:lastColumn="0" w:oddVBand="0" w:evenVBand="0" w:oddHBand="0" w:evenHBand="0" w:firstRowFirstColumn="0" w:firstRowLastColumn="0" w:lastRowFirstColumn="0" w:lastRowLastColumn="0"/>
              <w:rPr>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tcPr>
          <w:p w14:paraId="5E80906D" w14:textId="0569F878" w:rsidR="46F8A5F2" w:rsidRPr="00CA23AA" w:rsidRDefault="001F119D" w:rsidP="0017201C">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4B962CE8" w14:textId="5B038611" w:rsidR="46F8A5F2" w:rsidRPr="00CA23AA" w:rsidRDefault="64D07819" w:rsidP="0017201C">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53.2%</w:t>
            </w:r>
          </w:p>
        </w:tc>
        <w:tc>
          <w:tcPr>
            <w:tcW w:w="1286" w:type="dxa"/>
            <w:tcMar>
              <w:top w:w="15" w:type="dxa"/>
              <w:left w:w="108" w:type="dxa"/>
              <w:bottom w:w="15" w:type="dxa"/>
              <w:right w:w="108" w:type="dxa"/>
            </w:tcMar>
          </w:tcPr>
          <w:p w14:paraId="5B32A15F" w14:textId="52AB0948" w:rsidR="46F8A5F2" w:rsidRPr="00CA23AA" w:rsidRDefault="001F119D" w:rsidP="0017201C">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0C78C98C" w14:textId="068FFECE"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55188FFC" w14:textId="5D2ECAAC" w:rsidR="46F8A5F2" w:rsidRPr="00CA23AA" w:rsidRDefault="001F119D">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p>
        </w:tc>
      </w:tr>
      <w:tr w:rsidR="46F8A5F2" w:rsidRPr="00CA23AA" w14:paraId="2CD13EAD" w14:textId="77777777" w:rsidTr="0017201C">
        <w:trPr>
          <w:trHeight w:val="300"/>
        </w:trPr>
        <w:tc>
          <w:tcPr>
            <w:cnfStyle w:val="001000000000" w:firstRow="0" w:lastRow="0" w:firstColumn="1" w:lastColumn="0" w:oddVBand="0" w:evenVBand="0" w:oddHBand="0" w:evenHBand="0" w:firstRowFirstColumn="0" w:firstRowLastColumn="0" w:lastRowFirstColumn="0" w:lastRowLastColumn="0"/>
            <w:tcW w:w="14146" w:type="dxa"/>
            <w:gridSpan w:val="11"/>
            <w:tcMar>
              <w:top w:w="15" w:type="dxa"/>
              <w:left w:w="108" w:type="dxa"/>
              <w:bottom w:w="15" w:type="dxa"/>
              <w:right w:w="108" w:type="dxa"/>
            </w:tcMar>
          </w:tcPr>
          <w:p w14:paraId="21BEE112" w14:textId="06E5A2C5" w:rsidR="46F8A5F2" w:rsidRPr="00CA23AA" w:rsidRDefault="46F8A5F2">
            <w:pPr>
              <w:rPr>
                <w:color w:val="auto"/>
              </w:rPr>
            </w:pPr>
            <w:r w:rsidRPr="00CA23AA">
              <w:rPr>
                <w:rFonts w:ascii="Arial Narrow" w:eastAsia="Arial Narrow" w:hAnsi="Arial Narrow" w:cs="Arial Narrow"/>
                <w:b/>
                <w:i/>
                <w:color w:val="auto"/>
              </w:rPr>
              <w:t>DBA</w:t>
            </w:r>
          </w:p>
        </w:tc>
      </w:tr>
      <w:tr w:rsidR="46F8A5F2" w:rsidRPr="00CA23AA" w14:paraId="7A14761A" w14:textId="77777777" w:rsidTr="00594907">
        <w:trPr>
          <w:trHeight w:val="225"/>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tcPr>
          <w:p w14:paraId="5F86AE97" w14:textId="149EFC4D" w:rsidR="46F8A5F2" w:rsidRPr="00CA23AA" w:rsidRDefault="46F8A5F2">
            <w:pPr>
              <w:rPr>
                <w:color w:val="auto"/>
              </w:rPr>
            </w:pPr>
            <w:r w:rsidRPr="00CA23AA">
              <w:rPr>
                <w:rFonts w:ascii="Arial Narrow" w:eastAsia="Arial Narrow" w:hAnsi="Arial Narrow" w:cs="Arial Narrow"/>
                <w:i/>
                <w:color w:val="auto"/>
              </w:rPr>
              <w:t>Median DBA</w:t>
            </w:r>
          </w:p>
        </w:tc>
        <w:tc>
          <w:tcPr>
            <w:tcW w:w="1286" w:type="dxa"/>
            <w:tcMar>
              <w:top w:w="15" w:type="dxa"/>
              <w:left w:w="108" w:type="dxa"/>
              <w:bottom w:w="15" w:type="dxa"/>
              <w:right w:w="108" w:type="dxa"/>
            </w:tcMar>
            <w:vAlign w:val="center"/>
          </w:tcPr>
          <w:p w14:paraId="1A85154B" w14:textId="12683627"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2CDA0EDB" w14:textId="26C08E9D"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4D6A07AD" w14:textId="57AC08F9"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Borders>
              <w:bottom w:val="single" w:sz="4" w:space="0" w:color="auto"/>
            </w:tcBorders>
            <w:shd w:val="solid" w:color="000000" w:fill="000000"/>
            <w:tcMar>
              <w:top w:w="15" w:type="dxa"/>
              <w:left w:w="108" w:type="dxa"/>
              <w:bottom w:w="15" w:type="dxa"/>
              <w:right w:w="108" w:type="dxa"/>
            </w:tcMar>
          </w:tcPr>
          <w:p w14:paraId="0594050F" w14:textId="5ECEF09C"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tcPr>
          <w:p w14:paraId="1883C53D" w14:textId="5742AFA5"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tcPr>
          <w:p w14:paraId="7A191457" w14:textId="0EBCCF84"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6CD67C41" w14:textId="21F4F767"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171C9812" w14:textId="697B230E"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7410130C" w14:textId="45EF7A91"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tcPr>
          <w:p w14:paraId="420CF3E1" w14:textId="0FB1E2AB"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24.4%</w:t>
            </w:r>
          </w:p>
        </w:tc>
      </w:tr>
      <w:tr w:rsidR="46F8A5F2" w:rsidRPr="00CA23AA" w14:paraId="1374BC8C" w14:textId="77777777" w:rsidTr="00594907">
        <w:trPr>
          <w:trHeight w:val="225"/>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vAlign w:val="center"/>
          </w:tcPr>
          <w:p w14:paraId="6DC44112" w14:textId="36928A88" w:rsidR="46F8A5F2" w:rsidRPr="00CA23AA" w:rsidRDefault="46F8A5F2">
            <w:pPr>
              <w:rPr>
                <w:color w:val="auto"/>
              </w:rPr>
            </w:pPr>
            <w:r w:rsidRPr="00CA23AA">
              <w:rPr>
                <w:rFonts w:ascii="Arial Narrow" w:eastAsia="Arial Narrow" w:hAnsi="Arial Narrow" w:cs="Arial Narrow"/>
                <w:i/>
                <w:color w:val="auto"/>
              </w:rPr>
              <w:t>-1 year</w:t>
            </w:r>
          </w:p>
        </w:tc>
        <w:tc>
          <w:tcPr>
            <w:tcW w:w="1286" w:type="dxa"/>
            <w:tcMar>
              <w:top w:w="15" w:type="dxa"/>
              <w:left w:w="108" w:type="dxa"/>
              <w:bottom w:w="15" w:type="dxa"/>
              <w:right w:w="108" w:type="dxa"/>
            </w:tcMar>
            <w:vAlign w:val="center"/>
          </w:tcPr>
          <w:p w14:paraId="700237F8" w14:textId="61E121CC"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0E3EE6F7" w14:textId="29CE0B8C"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5FC5EF52" w14:textId="6AD03A8D"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19711D06" w14:textId="43DA38F7"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Borders>
              <w:bottom w:val="single" w:sz="4" w:space="0" w:color="auto"/>
            </w:tcBorders>
            <w:shd w:val="solid" w:color="000000" w:fill="000000"/>
            <w:tcMar>
              <w:top w:w="15" w:type="dxa"/>
              <w:left w:w="108" w:type="dxa"/>
              <w:bottom w:w="15" w:type="dxa"/>
              <w:right w:w="108" w:type="dxa"/>
            </w:tcMar>
            <w:vAlign w:val="center"/>
          </w:tcPr>
          <w:p w14:paraId="7226C5EC" w14:textId="4D38A5D7"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297858E2" w14:textId="7C521E85"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2AA01829" w14:textId="3BBB68EC"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1459D214" w14:textId="018170E3"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57%</w:t>
            </w:r>
          </w:p>
        </w:tc>
        <w:tc>
          <w:tcPr>
            <w:tcW w:w="1286" w:type="dxa"/>
            <w:tcMar>
              <w:top w:w="15" w:type="dxa"/>
              <w:left w:w="108" w:type="dxa"/>
              <w:bottom w:w="15" w:type="dxa"/>
              <w:right w:w="108" w:type="dxa"/>
            </w:tcMar>
            <w:vAlign w:val="center"/>
          </w:tcPr>
          <w:p w14:paraId="4FFA7EE4" w14:textId="221352ED"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ED99DD2" w14:textId="7416626A"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 xml:space="preserve">70% </w:t>
            </w:r>
            <w:r w:rsidRPr="00CA23AA">
              <w:br/>
            </w:r>
            <w:r w:rsidRPr="00CA23AA">
              <w:rPr>
                <w:rFonts w:ascii="Arial Narrow" w:eastAsia="Arial Narrow" w:hAnsi="Arial Narrow" w:cs="Arial Narrow"/>
                <w:i/>
                <w:color w:val="auto"/>
              </w:rPr>
              <w:t>(46–84)</w:t>
            </w:r>
          </w:p>
        </w:tc>
      </w:tr>
      <w:tr w:rsidR="46F8A5F2" w:rsidRPr="00CA23AA" w14:paraId="7229A436" w14:textId="77777777" w:rsidTr="00594907">
        <w:trPr>
          <w:trHeight w:val="300"/>
        </w:trPr>
        <w:tc>
          <w:tcPr>
            <w:cnfStyle w:val="001000000000" w:firstRow="0" w:lastRow="0" w:firstColumn="1" w:lastColumn="0" w:oddVBand="0" w:evenVBand="0" w:oddHBand="0" w:evenHBand="0" w:firstRowFirstColumn="0" w:firstRowLastColumn="0" w:lastRowFirstColumn="0" w:lastRowLastColumn="0"/>
            <w:tcW w:w="1286" w:type="dxa"/>
            <w:tcMar>
              <w:top w:w="15" w:type="dxa"/>
              <w:left w:w="108" w:type="dxa"/>
              <w:bottom w:w="15" w:type="dxa"/>
              <w:right w:w="108" w:type="dxa"/>
            </w:tcMar>
            <w:vAlign w:val="center"/>
          </w:tcPr>
          <w:p w14:paraId="59E64015" w14:textId="04BAC222" w:rsidR="46F8A5F2" w:rsidRPr="00CA23AA" w:rsidRDefault="46F8A5F2">
            <w:pPr>
              <w:rPr>
                <w:color w:val="auto"/>
              </w:rPr>
            </w:pPr>
            <w:r w:rsidRPr="00CA23AA">
              <w:rPr>
                <w:rFonts w:ascii="Arial Narrow" w:eastAsia="Arial Narrow" w:hAnsi="Arial Narrow" w:cs="Arial Narrow"/>
                <w:i/>
                <w:color w:val="auto"/>
              </w:rPr>
              <w:t>-2 year</w:t>
            </w:r>
          </w:p>
        </w:tc>
        <w:tc>
          <w:tcPr>
            <w:tcW w:w="1286" w:type="dxa"/>
            <w:tcMar>
              <w:top w:w="15" w:type="dxa"/>
              <w:left w:w="108" w:type="dxa"/>
              <w:bottom w:w="15" w:type="dxa"/>
              <w:right w:w="108" w:type="dxa"/>
            </w:tcMar>
            <w:vAlign w:val="center"/>
          </w:tcPr>
          <w:p w14:paraId="0F3B1772" w14:textId="090D3024"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BA0D1FE" w14:textId="5F2202B6"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5268EACA" w14:textId="5E4681C0"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shd w:val="solid" w:color="000000" w:fill="000000"/>
            <w:tcMar>
              <w:top w:w="15" w:type="dxa"/>
              <w:left w:w="108" w:type="dxa"/>
              <w:bottom w:w="15" w:type="dxa"/>
              <w:right w:w="108" w:type="dxa"/>
            </w:tcMar>
            <w:vAlign w:val="center"/>
          </w:tcPr>
          <w:p w14:paraId="5DAF06F2" w14:textId="7296AA2E"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shd w:val="solid" w:color="000000" w:fill="000000"/>
            <w:tcMar>
              <w:top w:w="15" w:type="dxa"/>
              <w:left w:w="108" w:type="dxa"/>
              <w:bottom w:w="15" w:type="dxa"/>
              <w:right w:w="108" w:type="dxa"/>
            </w:tcMar>
            <w:vAlign w:val="center"/>
          </w:tcPr>
          <w:p w14:paraId="578E6EFD" w14:textId="0D68161E" w:rsidR="46F8A5F2" w:rsidRPr="00CA23AA" w:rsidRDefault="0059490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594907">
              <w:rPr>
                <w:rFonts w:ascii="Arial Narrow" w:eastAsia="Arial Narrow" w:hAnsi="Arial Narrow" w:cs="Arial Narrow"/>
                <w:i/>
                <w14:textFill>
                  <w14:solidFill>
                    <w14:schemeClr w14:val="tx1">
                      <w14:alpha w14:val="100000"/>
                    </w14:schemeClr>
                  </w14:solidFill>
                </w14:textFill>
              </w:rPr>
              <w:t>|</w:t>
            </w:r>
          </w:p>
        </w:tc>
        <w:tc>
          <w:tcPr>
            <w:tcW w:w="1286" w:type="dxa"/>
            <w:tcMar>
              <w:top w:w="15" w:type="dxa"/>
              <w:left w:w="108" w:type="dxa"/>
              <w:bottom w:w="15" w:type="dxa"/>
              <w:right w:w="108" w:type="dxa"/>
            </w:tcMar>
            <w:vAlign w:val="center"/>
          </w:tcPr>
          <w:p w14:paraId="36159136" w14:textId="01C4F259"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6495C07D" w14:textId="49FC4706"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50.5%</w:t>
            </w:r>
          </w:p>
        </w:tc>
        <w:tc>
          <w:tcPr>
            <w:tcW w:w="1286" w:type="dxa"/>
            <w:tcMar>
              <w:top w:w="15" w:type="dxa"/>
              <w:left w:w="108" w:type="dxa"/>
              <w:bottom w:w="15" w:type="dxa"/>
              <w:right w:w="108" w:type="dxa"/>
            </w:tcMar>
            <w:vAlign w:val="center"/>
          </w:tcPr>
          <w:p w14:paraId="4DCCBD34" w14:textId="2A8F9E4A"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001C4545" w14:textId="66ED0111" w:rsidR="46F8A5F2" w:rsidRPr="00CA23AA" w:rsidRDefault="46F8A5F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color w:val="auto"/>
              </w:rPr>
            </w:pPr>
            <w:r w:rsidRPr="00CA23AA">
              <w:rPr>
                <w:rFonts w:ascii="Arial Narrow" w:eastAsia="Arial Narrow" w:hAnsi="Arial Narrow" w:cs="Arial Narrow"/>
                <w:i/>
                <w:color w:val="auto"/>
              </w:rPr>
              <w:t>NR</w:t>
            </w:r>
          </w:p>
        </w:tc>
        <w:tc>
          <w:tcPr>
            <w:tcW w:w="1286" w:type="dxa"/>
            <w:tcMar>
              <w:top w:w="15" w:type="dxa"/>
              <w:left w:w="108" w:type="dxa"/>
              <w:bottom w:w="15" w:type="dxa"/>
              <w:right w:w="108" w:type="dxa"/>
            </w:tcMar>
            <w:vAlign w:val="center"/>
          </w:tcPr>
          <w:p w14:paraId="5C26C868" w14:textId="1ACB383B" w:rsidR="46F8A5F2" w:rsidRPr="00CA23AA" w:rsidRDefault="46F8A5F2">
            <w:pPr>
              <w:cnfStyle w:val="000000000000" w:firstRow="0" w:lastRow="0" w:firstColumn="0" w:lastColumn="0" w:oddVBand="0" w:evenVBand="0" w:oddHBand="0" w:evenHBand="0" w:firstRowFirstColumn="0" w:firstRowLastColumn="0" w:lastRowFirstColumn="0" w:lastRowLastColumn="0"/>
              <w:rPr>
                <w:color w:val="auto"/>
              </w:rPr>
            </w:pPr>
            <w:r w:rsidRPr="00CA23AA">
              <w:rPr>
                <w:rFonts w:ascii="Arial Narrow" w:eastAsia="Arial Narrow" w:hAnsi="Arial Narrow" w:cs="Arial Narrow"/>
                <w:i/>
                <w:color w:val="auto"/>
              </w:rPr>
              <w:t>NR</w:t>
            </w:r>
            <w:r w:rsidRPr="00CA23AA">
              <w:t xml:space="preserve"> </w:t>
            </w:r>
          </w:p>
        </w:tc>
      </w:tr>
    </w:tbl>
    <w:p w14:paraId="155ABE8A" w14:textId="55D37BD7" w:rsidR="47BE37DD" w:rsidRPr="00CA23AA" w:rsidRDefault="47BE37DD" w:rsidP="43D95380">
      <w:pPr>
        <w:pStyle w:val="CommentaryTabletext"/>
        <w:rPr>
          <w:i w:val="0"/>
          <w:color w:val="auto"/>
        </w:rPr>
      </w:pPr>
      <w:r w:rsidRPr="00CA23AA">
        <w:rPr>
          <w:i w:val="0"/>
          <w:color w:val="auto"/>
        </w:rPr>
        <w:t>DOR, EFS, OS and DBA are presented as Kaplan Meier estimate (95% Confidence Interval</w:t>
      </w:r>
      <w:r w:rsidRPr="00CA23AA">
        <w:rPr>
          <w:i w:val="0"/>
          <w:iCs w:val="0"/>
          <w:color w:val="auto"/>
        </w:rPr>
        <w:t>)</w:t>
      </w:r>
      <w:r w:rsidR="00144D05" w:rsidRPr="00CA23AA">
        <w:rPr>
          <w:i w:val="0"/>
          <w:iCs w:val="0"/>
          <w:color w:val="auto"/>
        </w:rPr>
        <w:t xml:space="preserve">. DOR and EFS </w:t>
      </w:r>
      <w:r w:rsidR="004B59A4" w:rsidRPr="00CA23AA">
        <w:rPr>
          <w:i w:val="0"/>
          <w:iCs w:val="0"/>
          <w:color w:val="auto"/>
        </w:rPr>
        <w:t>were censored for SCT in ELIANA, B2001X, and ENSIGN</w:t>
      </w:r>
      <w:r w:rsidRPr="00CA23AA">
        <w:rPr>
          <w:i w:val="0"/>
          <w:iCs w:val="0"/>
          <w:color w:val="auto"/>
        </w:rPr>
        <w:t xml:space="preserve"> </w:t>
      </w:r>
    </w:p>
    <w:p w14:paraId="0B08F20B" w14:textId="0E7FB7F2" w:rsidR="00F57C26" w:rsidRPr="00CA23AA" w:rsidRDefault="47BE37DD" w:rsidP="00BA697C">
      <w:pPr>
        <w:pStyle w:val="CommentaryTabletext"/>
        <w:rPr>
          <w:i w:val="0"/>
          <w:color w:val="auto"/>
        </w:rPr>
      </w:pPr>
      <w:r w:rsidRPr="00CA23AA">
        <w:rPr>
          <w:i w:val="0"/>
          <w:color w:val="auto"/>
        </w:rPr>
        <w:t xml:space="preserve">ORR are presented as proportion of best overall response. Values marked with * were calculated by the </w:t>
      </w:r>
      <w:proofErr w:type="gramStart"/>
      <w:r w:rsidR="687FC869" w:rsidRPr="00CA23AA">
        <w:rPr>
          <w:i w:val="0"/>
          <w:iCs w:val="0"/>
          <w:color w:val="auto"/>
        </w:rPr>
        <w:t>commentary</w:t>
      </w:r>
      <w:proofErr w:type="gramEnd"/>
    </w:p>
    <w:p w14:paraId="745A580D" w14:textId="1960B97C" w:rsidR="00014A8D" w:rsidRPr="00CA23AA" w:rsidRDefault="00DB34E9" w:rsidP="00014A8D">
      <w:pPr>
        <w:pStyle w:val="CommentaryTabletext"/>
        <w:rPr>
          <w:i w:val="0"/>
          <w:color w:val="auto"/>
        </w:rPr>
      </w:pPr>
      <w:r w:rsidRPr="00CA23AA">
        <w:rPr>
          <w:i w:val="0"/>
          <w:color w:val="auto"/>
        </w:rPr>
        <w:t xml:space="preserve">ABMTRR = Australian Bone Marrow Transplant Recipient Registry; </w:t>
      </w:r>
      <w:proofErr w:type="spellStart"/>
      <w:r w:rsidR="60837C38" w:rsidRPr="00CA23AA">
        <w:rPr>
          <w:i w:val="0"/>
          <w:iCs w:val="0"/>
          <w:color w:val="auto"/>
        </w:rPr>
        <w:t>aHSCT</w:t>
      </w:r>
      <w:proofErr w:type="spellEnd"/>
      <w:r w:rsidR="60837C38" w:rsidRPr="00CA23AA">
        <w:rPr>
          <w:i w:val="0"/>
          <w:iCs w:val="0"/>
          <w:color w:val="auto"/>
        </w:rPr>
        <w:t xml:space="preserve"> = </w:t>
      </w:r>
      <w:r w:rsidR="4875B90E" w:rsidRPr="00CA23AA">
        <w:rPr>
          <w:i w:val="0"/>
          <w:iCs w:val="0"/>
          <w:color w:val="auto"/>
        </w:rPr>
        <w:t xml:space="preserve">Allogenic haematopoietic stem cell transplant; </w:t>
      </w:r>
      <w:r w:rsidR="6B788A65" w:rsidRPr="00CA23AA">
        <w:rPr>
          <w:i w:val="0"/>
          <w:color w:val="auto"/>
        </w:rPr>
        <w:t xml:space="preserve">DBA = duration of B-cell aplasia; DOR = duration of response; EFS = event-free survival; NA = not applicable; NR = not reported; </w:t>
      </w:r>
      <w:r w:rsidR="07B14474" w:rsidRPr="00CA23AA">
        <w:rPr>
          <w:i w:val="0"/>
          <w:color w:val="auto"/>
        </w:rPr>
        <w:t xml:space="preserve">ORR = Overall Response Rate; </w:t>
      </w:r>
      <w:r w:rsidR="6B788A65" w:rsidRPr="00CA23AA">
        <w:rPr>
          <w:i w:val="0"/>
          <w:color w:val="auto"/>
        </w:rPr>
        <w:t xml:space="preserve">OS = overall survival; </w:t>
      </w:r>
      <w:r w:rsidR="00A52EFB" w:rsidRPr="00CA23AA">
        <w:rPr>
          <w:i w:val="0"/>
          <w:color w:val="auto"/>
        </w:rPr>
        <w:t xml:space="preserve">PRSZT/DRST = </w:t>
      </w:r>
      <w:proofErr w:type="spellStart"/>
      <w:r w:rsidR="00A52EFB" w:rsidRPr="00CA23AA">
        <w:rPr>
          <w:i w:val="0"/>
          <w:color w:val="auto"/>
        </w:rPr>
        <w:t>Pediatric</w:t>
      </w:r>
      <w:proofErr w:type="spellEnd"/>
      <w:r w:rsidR="00A52EFB" w:rsidRPr="00CA23AA">
        <w:rPr>
          <w:i w:val="0"/>
          <w:color w:val="auto"/>
        </w:rPr>
        <w:t xml:space="preserve"> Registry for Stem Cell Transplantation and Cell Therapy/German Registry for Stem Cell Transplantation;</w:t>
      </w:r>
      <w:r w:rsidR="6B788A65" w:rsidRPr="00CA23AA">
        <w:rPr>
          <w:i w:val="0"/>
          <w:color w:val="auto"/>
        </w:rPr>
        <w:t xml:space="preserve"> PRWCC = </w:t>
      </w:r>
      <w:proofErr w:type="spellStart"/>
      <w:r w:rsidR="6B788A65" w:rsidRPr="00CA23AA">
        <w:rPr>
          <w:i w:val="0"/>
          <w:color w:val="auto"/>
        </w:rPr>
        <w:t>Pediatric</w:t>
      </w:r>
      <w:proofErr w:type="spellEnd"/>
      <w:r w:rsidR="6B788A65" w:rsidRPr="00CA23AA">
        <w:rPr>
          <w:i w:val="0"/>
          <w:color w:val="auto"/>
        </w:rPr>
        <w:t xml:space="preserve"> Real World CAR Consortium </w:t>
      </w:r>
      <w:r w:rsidR="53FEDE56" w:rsidRPr="00CA23AA">
        <w:rPr>
          <w:i w:val="0"/>
          <w:color w:val="auto"/>
        </w:rPr>
        <w:t>(</w:t>
      </w:r>
      <w:r w:rsidR="6B788A65" w:rsidRPr="00CA23AA">
        <w:rPr>
          <w:i w:val="0"/>
          <w:color w:val="auto"/>
        </w:rPr>
        <w:t>Fabrizio et al 2022</w:t>
      </w:r>
      <w:r w:rsidR="0034689D" w:rsidRPr="00CA23AA">
        <w:rPr>
          <w:i w:val="0"/>
          <w:color w:val="auto"/>
        </w:rPr>
        <w:t>;</w:t>
      </w:r>
      <w:r w:rsidR="6B788A65" w:rsidRPr="00CA23AA">
        <w:rPr>
          <w:i w:val="0"/>
          <w:color w:val="auto"/>
        </w:rPr>
        <w:t xml:space="preserve"> Schultz et al 2022</w:t>
      </w:r>
      <w:r w:rsidR="0034689D" w:rsidRPr="00CA23AA">
        <w:rPr>
          <w:i w:val="0"/>
          <w:color w:val="auto"/>
        </w:rPr>
        <w:t>;</w:t>
      </w:r>
      <w:r w:rsidR="6B788A65" w:rsidRPr="00CA23AA">
        <w:rPr>
          <w:i w:val="0"/>
          <w:color w:val="auto"/>
        </w:rPr>
        <w:t xml:space="preserve"> </w:t>
      </w:r>
      <w:proofErr w:type="spellStart"/>
      <w:r w:rsidR="00632A13" w:rsidRPr="00CA23AA">
        <w:rPr>
          <w:i w:val="0"/>
          <w:color w:val="auto"/>
        </w:rPr>
        <w:t>Rossoff</w:t>
      </w:r>
      <w:proofErr w:type="spellEnd"/>
      <w:r w:rsidR="6B788A65" w:rsidRPr="00CA23AA">
        <w:rPr>
          <w:i w:val="0"/>
          <w:color w:val="auto"/>
        </w:rPr>
        <w:t xml:space="preserve"> et al 2021</w:t>
      </w:r>
      <w:r w:rsidRPr="00CA23AA">
        <w:rPr>
          <w:i w:val="0"/>
          <w:color w:val="auto"/>
        </w:rPr>
        <w:t xml:space="preserve">; </w:t>
      </w:r>
      <w:proofErr w:type="spellStart"/>
      <w:r w:rsidRPr="00CA23AA">
        <w:rPr>
          <w:i w:val="0"/>
          <w:color w:val="auto"/>
        </w:rPr>
        <w:t>Moskop</w:t>
      </w:r>
      <w:proofErr w:type="spellEnd"/>
      <w:r w:rsidRPr="00CA23AA">
        <w:rPr>
          <w:i w:val="0"/>
          <w:color w:val="auto"/>
        </w:rPr>
        <w:t xml:space="preserve"> et al 2022 for patients under 3 years</w:t>
      </w:r>
      <w:r w:rsidR="6B788A65" w:rsidRPr="00CA23AA">
        <w:rPr>
          <w:i w:val="0"/>
          <w:color w:val="auto"/>
        </w:rPr>
        <w:t>)</w:t>
      </w:r>
    </w:p>
    <w:p w14:paraId="30C9C967" w14:textId="54C08007" w:rsidR="000277FB" w:rsidRPr="00CA23AA" w:rsidRDefault="176713F7" w:rsidP="000277FB">
      <w:pPr>
        <w:pStyle w:val="CommentaryTabletext"/>
        <w:rPr>
          <w:i w:val="0"/>
          <w:color w:val="auto"/>
        </w:rPr>
      </w:pPr>
      <w:r w:rsidRPr="00CA23AA">
        <w:rPr>
          <w:i w:val="0"/>
          <w:color w:val="auto"/>
        </w:rPr>
        <w:t>Source:</w:t>
      </w:r>
      <w:r w:rsidR="1B98D571" w:rsidRPr="00CA23AA">
        <w:rPr>
          <w:i w:val="0"/>
          <w:color w:val="auto"/>
        </w:rPr>
        <w:t xml:space="preserve"> </w:t>
      </w:r>
      <w:r w:rsidRPr="00CA23AA">
        <w:rPr>
          <w:i w:val="0"/>
          <w:color w:val="auto"/>
        </w:rPr>
        <w:t>Commentary Table 15</w:t>
      </w:r>
      <w:r w:rsidR="00C743AD" w:rsidRPr="00CA23AA">
        <w:rPr>
          <w:i w:val="0"/>
          <w:iCs w:val="0"/>
          <w:color w:val="auto"/>
        </w:rPr>
        <w:t xml:space="preserve">, </w:t>
      </w:r>
      <w:proofErr w:type="spellStart"/>
      <w:r w:rsidR="00C743AD" w:rsidRPr="00CA23AA">
        <w:rPr>
          <w:i w:val="0"/>
          <w:iCs w:val="0"/>
          <w:color w:val="auto"/>
        </w:rPr>
        <w:t>pg</w:t>
      </w:r>
      <w:proofErr w:type="spellEnd"/>
      <w:r w:rsidR="00C743AD" w:rsidRPr="00CA23AA">
        <w:rPr>
          <w:i w:val="0"/>
          <w:iCs w:val="0"/>
          <w:color w:val="auto"/>
        </w:rPr>
        <w:t xml:space="preserve"> </w:t>
      </w:r>
      <w:r w:rsidR="00510513" w:rsidRPr="00CA23AA">
        <w:rPr>
          <w:i w:val="0"/>
          <w:iCs w:val="0"/>
          <w:color w:val="auto"/>
        </w:rPr>
        <w:t>142</w:t>
      </w:r>
      <w:r w:rsidR="00C743AD" w:rsidRPr="00CA23AA">
        <w:rPr>
          <w:i w:val="0"/>
          <w:iCs w:val="0"/>
          <w:color w:val="auto"/>
        </w:rPr>
        <w:t xml:space="preserve"> of MSAC 1</w:t>
      </w:r>
      <w:r w:rsidR="00510513" w:rsidRPr="00CA23AA">
        <w:rPr>
          <w:i w:val="0"/>
          <w:iCs w:val="0"/>
          <w:color w:val="auto"/>
        </w:rPr>
        <w:t xml:space="preserve">748 </w:t>
      </w:r>
      <w:proofErr w:type="spellStart"/>
      <w:r w:rsidR="00510513" w:rsidRPr="00CA23AA">
        <w:rPr>
          <w:i w:val="0"/>
          <w:iCs w:val="0"/>
          <w:color w:val="auto"/>
        </w:rPr>
        <w:t>ADAR+inline</w:t>
      </w:r>
      <w:proofErr w:type="spellEnd"/>
      <w:r w:rsidR="00510513" w:rsidRPr="00CA23AA">
        <w:rPr>
          <w:i w:val="0"/>
          <w:iCs w:val="0"/>
          <w:color w:val="auto"/>
        </w:rPr>
        <w:t xml:space="preserve"> commentary</w:t>
      </w:r>
      <w:r w:rsidRPr="00CA23AA">
        <w:rPr>
          <w:i w:val="0"/>
          <w:color w:val="auto"/>
        </w:rPr>
        <w:t xml:space="preserve"> </w:t>
      </w:r>
    </w:p>
    <w:p w14:paraId="138FBA63" w14:textId="236BD0F7" w:rsidR="0067167E" w:rsidRPr="00CA23AA" w:rsidRDefault="0067167E">
      <w:pPr>
        <w:sectPr w:rsidR="0067167E" w:rsidRPr="00CA23AA" w:rsidSect="0067167E">
          <w:headerReference w:type="even" r:id="rId24"/>
          <w:headerReference w:type="default" r:id="rId25"/>
          <w:pgSz w:w="16838" w:h="11906" w:orient="landscape"/>
          <w:pgMar w:top="1440" w:right="1440" w:bottom="1440" w:left="1440" w:header="708" w:footer="708" w:gutter="0"/>
          <w:cols w:space="708"/>
          <w:docGrid w:linePitch="360"/>
        </w:sectPr>
      </w:pPr>
    </w:p>
    <w:p w14:paraId="48246F32" w14:textId="17D3CC7A" w:rsidR="005711F5" w:rsidRPr="00CA23AA" w:rsidRDefault="005711F5" w:rsidP="00B80AB6">
      <w:pPr>
        <w:rPr>
          <w:b/>
        </w:rPr>
      </w:pPr>
      <w:r w:rsidRPr="00CA23AA">
        <w:rPr>
          <w:b/>
        </w:rPr>
        <w:t>Multiple TIS infusions</w:t>
      </w:r>
    </w:p>
    <w:p w14:paraId="32F0929D" w14:textId="53EAD116" w:rsidR="00112CC9" w:rsidRPr="00CA23AA" w:rsidRDefault="00112CC9" w:rsidP="00112CC9">
      <w:r w:rsidRPr="00CA23AA">
        <w:t>TIS for ALL is indicated for one infusion only. However, there are instances where patients are receiving more than one dose. Additional infusions result in increased cost</w:t>
      </w:r>
      <w:r w:rsidR="38B1BB53" w:rsidRPr="00CA23AA">
        <w:t>s</w:t>
      </w:r>
      <w:r w:rsidRPr="00CA23AA">
        <w:t xml:space="preserve"> to the healthcare system and patient/carer, even if the cost of additional dose is covered by the Sponsor. This is because the process of apheresis and patient care, has additional costs in resources and personnel which are not covered by the Sponsor. </w:t>
      </w:r>
    </w:p>
    <w:p w14:paraId="38CAA71C" w14:textId="34338FBE" w:rsidR="005711F5" w:rsidRPr="00CA23AA" w:rsidRDefault="005711F5" w:rsidP="005711F5">
      <w:r w:rsidRPr="00CA23AA">
        <w:t xml:space="preserve">Data from the ABMTRR reported that by the end of September 2022, </w:t>
      </w:r>
      <w:r w:rsidR="00594907" w:rsidRPr="00594907">
        <w:rPr>
          <w:color w:val="000000"/>
          <w:w w:val="88"/>
          <w:shd w:val="solid" w:color="000000" w:fill="000000"/>
          <w:fitText w:val="390" w:id="-1161539835"/>
          <w14:textFill>
            <w14:solidFill>
              <w14:srgbClr w14:val="000000">
                <w14:alpha w14:val="100000"/>
              </w14:srgbClr>
            </w14:solidFill>
          </w14:textFill>
        </w:rPr>
        <w:t>|||</w:t>
      </w:r>
      <w:r w:rsidR="00594907" w:rsidRPr="00594907">
        <w:rPr>
          <w:color w:val="000000"/>
          <w:spacing w:val="2"/>
          <w:w w:val="88"/>
          <w:shd w:val="solid" w:color="000000" w:fill="000000"/>
          <w:fitText w:val="390" w:id="-1161539835"/>
          <w14:textFill>
            <w14:solidFill>
              <w14:srgbClr w14:val="000000">
                <w14:alpha w14:val="100000"/>
              </w14:srgbClr>
            </w14:solidFill>
          </w14:textFill>
        </w:rPr>
        <w:t>|</w:t>
      </w:r>
      <w:r w:rsidRPr="00CA23AA">
        <w:t xml:space="preserve"> received 2 infusions and </w:t>
      </w:r>
      <w:r w:rsidR="00594907" w:rsidRPr="00594907">
        <w:rPr>
          <w:color w:val="000000"/>
          <w:w w:val="88"/>
          <w:shd w:val="solid" w:color="000000" w:fill="000000"/>
          <w:fitText w:val="390" w:id="-1161539834"/>
          <w14:textFill>
            <w14:solidFill>
              <w14:srgbClr w14:val="000000">
                <w14:alpha w14:val="100000"/>
              </w14:srgbClr>
            </w14:solidFill>
          </w14:textFill>
        </w:rPr>
        <w:t>|||</w:t>
      </w:r>
      <w:r w:rsidR="00594907" w:rsidRPr="00594907">
        <w:rPr>
          <w:color w:val="000000"/>
          <w:spacing w:val="2"/>
          <w:w w:val="88"/>
          <w:shd w:val="solid" w:color="000000" w:fill="000000"/>
          <w:fitText w:val="390" w:id="-1161539834"/>
          <w14:textFill>
            <w14:solidFill>
              <w14:srgbClr w14:val="000000">
                <w14:alpha w14:val="100000"/>
              </w14:srgbClr>
            </w14:solidFill>
          </w14:textFill>
        </w:rPr>
        <w:t>|</w:t>
      </w:r>
      <w:r w:rsidRPr="00CA23AA">
        <w:t xml:space="preserve"> received three (</w:t>
      </w:r>
      <w:r w:rsidR="00112CC9" w:rsidRPr="00CA23AA">
        <w:fldChar w:fldCharType="begin"/>
      </w:r>
      <w:r w:rsidR="00112CC9" w:rsidRPr="00CA23AA">
        <w:instrText xml:space="preserve"> REF _Ref133948025 \h </w:instrText>
      </w:r>
      <w:r w:rsidR="00CA23AA">
        <w:instrText xml:space="preserve"> \* MERGEFORMAT </w:instrText>
      </w:r>
      <w:r w:rsidR="00112CC9" w:rsidRPr="00CA23AA">
        <w:fldChar w:fldCharType="separate"/>
      </w:r>
      <w:r w:rsidR="00175880" w:rsidRPr="00CA23AA">
        <w:t xml:space="preserve">Table </w:t>
      </w:r>
      <w:r w:rsidR="00175880" w:rsidRPr="00CA23AA">
        <w:rPr>
          <w:noProof/>
        </w:rPr>
        <w:t>7</w:t>
      </w:r>
      <w:r w:rsidR="00112CC9" w:rsidRPr="00CA23AA">
        <w:fldChar w:fldCharType="end"/>
      </w:r>
      <w:r w:rsidRPr="00CA23AA">
        <w:t>).</w:t>
      </w:r>
    </w:p>
    <w:p w14:paraId="51799DC2" w14:textId="3C266B9B" w:rsidR="005711F5" w:rsidRPr="00CA23AA" w:rsidRDefault="005711F5" w:rsidP="00814D77">
      <w:pPr>
        <w:pStyle w:val="TableHeading0"/>
      </w:pPr>
      <w:bookmarkStart w:id="37" w:name="_Ref133948025"/>
      <w:r w:rsidRPr="00CA23AA">
        <w:t xml:space="preserve">Table </w:t>
      </w:r>
      <w:fldSimple w:instr=" SEQ Table \* ARABIC ">
        <w:r w:rsidR="00175880" w:rsidRPr="00CA23AA">
          <w:rPr>
            <w:noProof/>
          </w:rPr>
          <w:t>7</w:t>
        </w:r>
      </w:fldSimple>
      <w:bookmarkEnd w:id="37"/>
      <w:r w:rsidRPr="00CA23AA">
        <w:t xml:space="preserve"> Patients who received multiple </w:t>
      </w:r>
      <w:r w:rsidR="00CB1AF9" w:rsidRPr="00CA23AA">
        <w:t>TIS</w:t>
      </w:r>
      <w:r w:rsidRPr="00CA23AA">
        <w:t xml:space="preserve"> </w:t>
      </w:r>
      <w:proofErr w:type="gramStart"/>
      <w:r w:rsidRPr="00CA23AA">
        <w:t>infusions</w:t>
      </w:r>
      <w:proofErr w:type="gramEnd"/>
    </w:p>
    <w:tbl>
      <w:tblPr>
        <w:tblStyle w:val="TableGrid"/>
        <w:tblW w:w="0" w:type="auto"/>
        <w:tblLook w:val="06A0" w:firstRow="1" w:lastRow="0" w:firstColumn="1" w:lastColumn="0" w:noHBand="1" w:noVBand="1"/>
      </w:tblPr>
      <w:tblGrid>
        <w:gridCol w:w="1803"/>
        <w:gridCol w:w="1803"/>
        <w:gridCol w:w="1803"/>
        <w:gridCol w:w="1803"/>
        <w:gridCol w:w="1803"/>
      </w:tblGrid>
      <w:tr w:rsidR="005711F5" w:rsidRPr="00CA23AA" w14:paraId="77A6637C" w14:textId="77777777" w:rsidTr="00E61893">
        <w:trPr>
          <w:trHeight w:val="315"/>
        </w:trPr>
        <w:tc>
          <w:tcPr>
            <w:tcW w:w="1803" w:type="dxa"/>
          </w:tcPr>
          <w:p w14:paraId="41A60B58" w14:textId="77777777" w:rsidR="005711F5" w:rsidRPr="00CA23AA" w:rsidRDefault="005711F5" w:rsidP="00ED2443">
            <w:pPr>
              <w:pStyle w:val="Tabletext0"/>
              <w:jc w:val="left"/>
              <w:rPr>
                <w:b/>
                <w:bCs/>
              </w:rPr>
            </w:pPr>
          </w:p>
        </w:tc>
        <w:tc>
          <w:tcPr>
            <w:tcW w:w="1803" w:type="dxa"/>
            <w:vAlign w:val="center"/>
          </w:tcPr>
          <w:p w14:paraId="1A0E1014" w14:textId="2A71CC4D" w:rsidR="005711F5" w:rsidRPr="00CA23AA" w:rsidRDefault="005711F5" w:rsidP="00E61893">
            <w:pPr>
              <w:pStyle w:val="Tabletext0"/>
              <w:jc w:val="center"/>
              <w:rPr>
                <w:b/>
                <w:bCs/>
              </w:rPr>
            </w:pPr>
            <w:r w:rsidRPr="00CA23AA">
              <w:rPr>
                <w:b/>
                <w:bCs/>
              </w:rPr>
              <w:t>ABMTRR</w:t>
            </w:r>
          </w:p>
        </w:tc>
        <w:tc>
          <w:tcPr>
            <w:tcW w:w="1803" w:type="dxa"/>
            <w:vAlign w:val="center"/>
          </w:tcPr>
          <w:p w14:paraId="288B9254" w14:textId="77777777" w:rsidR="005711F5" w:rsidRPr="00CA23AA" w:rsidRDefault="005711F5" w:rsidP="00E61893">
            <w:pPr>
              <w:pStyle w:val="Tabletext0"/>
              <w:jc w:val="center"/>
            </w:pPr>
            <w:r w:rsidRPr="00CA23AA">
              <w:rPr>
                <w:b/>
                <w:bCs/>
              </w:rPr>
              <w:t>QLD</w:t>
            </w:r>
          </w:p>
        </w:tc>
        <w:tc>
          <w:tcPr>
            <w:tcW w:w="1803" w:type="dxa"/>
            <w:vAlign w:val="center"/>
          </w:tcPr>
          <w:p w14:paraId="0D7969CD" w14:textId="77777777" w:rsidR="005711F5" w:rsidRPr="00CA23AA" w:rsidRDefault="005711F5" w:rsidP="00E61893">
            <w:pPr>
              <w:pStyle w:val="Tabletext0"/>
              <w:jc w:val="center"/>
              <w:rPr>
                <w:b/>
                <w:bCs/>
              </w:rPr>
            </w:pPr>
            <w:r w:rsidRPr="00CA23AA">
              <w:rPr>
                <w:b/>
                <w:bCs/>
              </w:rPr>
              <w:t>NSW</w:t>
            </w:r>
          </w:p>
        </w:tc>
        <w:tc>
          <w:tcPr>
            <w:tcW w:w="1803" w:type="dxa"/>
            <w:vAlign w:val="center"/>
          </w:tcPr>
          <w:p w14:paraId="05DC8351" w14:textId="77777777" w:rsidR="005711F5" w:rsidRPr="00CA23AA" w:rsidRDefault="005711F5" w:rsidP="00E61893">
            <w:pPr>
              <w:pStyle w:val="Tabletext0"/>
              <w:jc w:val="center"/>
            </w:pPr>
            <w:r w:rsidRPr="00CA23AA">
              <w:rPr>
                <w:b/>
                <w:bCs/>
              </w:rPr>
              <w:t>VIC</w:t>
            </w:r>
          </w:p>
        </w:tc>
      </w:tr>
      <w:tr w:rsidR="005711F5" w:rsidRPr="00CA23AA" w14:paraId="7FE4D8F2" w14:textId="77777777" w:rsidTr="00594907">
        <w:trPr>
          <w:trHeight w:val="597"/>
        </w:trPr>
        <w:tc>
          <w:tcPr>
            <w:tcW w:w="1803" w:type="dxa"/>
          </w:tcPr>
          <w:p w14:paraId="45437A91" w14:textId="77777777" w:rsidR="005711F5" w:rsidRPr="00CA23AA" w:rsidRDefault="005711F5" w:rsidP="00ED2443">
            <w:pPr>
              <w:pStyle w:val="Tabletext0"/>
              <w:jc w:val="left"/>
            </w:pPr>
            <w:r w:rsidRPr="00CA23AA">
              <w:t>Reporting period</w:t>
            </w:r>
          </w:p>
        </w:tc>
        <w:tc>
          <w:tcPr>
            <w:tcW w:w="1803" w:type="dxa"/>
            <w:tcBorders>
              <w:bottom w:val="single" w:sz="4" w:space="0" w:color="auto"/>
            </w:tcBorders>
            <w:vAlign w:val="center"/>
          </w:tcPr>
          <w:p w14:paraId="48C1E384" w14:textId="77777777" w:rsidR="005711F5" w:rsidRPr="00CA23AA" w:rsidRDefault="005711F5" w:rsidP="00E61893">
            <w:pPr>
              <w:pStyle w:val="Tabletext0"/>
              <w:jc w:val="center"/>
            </w:pPr>
            <w:r w:rsidRPr="00CA23AA">
              <w:t>Up to September 2022</w:t>
            </w:r>
          </w:p>
        </w:tc>
        <w:tc>
          <w:tcPr>
            <w:tcW w:w="1803" w:type="dxa"/>
            <w:vAlign w:val="center"/>
          </w:tcPr>
          <w:p w14:paraId="51422CCC" w14:textId="6AB76A74" w:rsidR="005711F5" w:rsidRPr="00CA23AA" w:rsidRDefault="005711F5" w:rsidP="00E61893">
            <w:pPr>
              <w:pStyle w:val="Tabletext0"/>
              <w:jc w:val="center"/>
            </w:pPr>
            <w:r w:rsidRPr="00CA23AA">
              <w:t>1st April 2019 to 28th September 2022</w:t>
            </w:r>
          </w:p>
        </w:tc>
        <w:tc>
          <w:tcPr>
            <w:tcW w:w="1803" w:type="dxa"/>
            <w:vAlign w:val="center"/>
          </w:tcPr>
          <w:p w14:paraId="72BD72E3" w14:textId="77777777" w:rsidR="005711F5" w:rsidRPr="00CA23AA" w:rsidRDefault="005711F5" w:rsidP="00E61893">
            <w:pPr>
              <w:pStyle w:val="Tabletext0"/>
              <w:jc w:val="center"/>
            </w:pPr>
            <w:r w:rsidRPr="00CA23AA">
              <w:t>2020 to 30th June 2022</w:t>
            </w:r>
          </w:p>
        </w:tc>
        <w:tc>
          <w:tcPr>
            <w:tcW w:w="1803" w:type="dxa"/>
            <w:tcBorders>
              <w:bottom w:val="single" w:sz="4" w:space="0" w:color="auto"/>
            </w:tcBorders>
            <w:vAlign w:val="center"/>
          </w:tcPr>
          <w:p w14:paraId="68ED5411" w14:textId="77777777" w:rsidR="005711F5" w:rsidRPr="00CA23AA" w:rsidRDefault="005711F5" w:rsidP="00E61893">
            <w:pPr>
              <w:pStyle w:val="Tabletext0"/>
              <w:jc w:val="center"/>
            </w:pPr>
            <w:r w:rsidRPr="00CA23AA">
              <w:t>May 2019 to January 2023</w:t>
            </w:r>
          </w:p>
          <w:p w14:paraId="73BEF5B3" w14:textId="77777777" w:rsidR="005711F5" w:rsidRPr="00CA23AA" w:rsidRDefault="005711F5" w:rsidP="00E61893">
            <w:pPr>
              <w:pStyle w:val="Tabletext0"/>
              <w:jc w:val="center"/>
            </w:pPr>
          </w:p>
        </w:tc>
      </w:tr>
      <w:tr w:rsidR="005711F5" w:rsidRPr="00CA23AA" w14:paraId="3DCE38CB" w14:textId="77777777" w:rsidTr="00594907">
        <w:trPr>
          <w:trHeight w:val="300"/>
        </w:trPr>
        <w:tc>
          <w:tcPr>
            <w:tcW w:w="1803" w:type="dxa"/>
          </w:tcPr>
          <w:p w14:paraId="0963C51D" w14:textId="77777777" w:rsidR="005711F5" w:rsidRPr="00CA23AA" w:rsidRDefault="005711F5" w:rsidP="00ED2443">
            <w:pPr>
              <w:pStyle w:val="Tabletext0"/>
              <w:jc w:val="left"/>
            </w:pPr>
            <w:r w:rsidRPr="00CA23AA">
              <w:t>2 infusions</w:t>
            </w:r>
          </w:p>
        </w:tc>
        <w:tc>
          <w:tcPr>
            <w:tcW w:w="1803" w:type="dxa"/>
            <w:tcBorders>
              <w:bottom w:val="single" w:sz="4" w:space="0" w:color="auto"/>
            </w:tcBorders>
            <w:shd w:val="solid" w:color="000000" w:fill="000000"/>
            <w:vAlign w:val="center"/>
          </w:tcPr>
          <w:p w14:paraId="538D8D20" w14:textId="4E10B451" w:rsidR="005711F5" w:rsidRPr="00CA23AA" w:rsidRDefault="00594907" w:rsidP="00E61893">
            <w:pPr>
              <w:pStyle w:val="Tabletext0"/>
              <w:jc w:val="center"/>
            </w:pPr>
            <w:r w:rsidRPr="00594907">
              <w:rPr>
                <w:color w:val="000000"/>
                <w14:textFill>
                  <w14:solidFill>
                    <w14:srgbClr w14:val="000000">
                      <w14:alpha w14:val="100000"/>
                    </w14:srgbClr>
                  </w14:solidFill>
                </w14:textFill>
              </w:rPr>
              <w:t>|</w:t>
            </w:r>
          </w:p>
        </w:tc>
        <w:tc>
          <w:tcPr>
            <w:tcW w:w="1803" w:type="dxa"/>
            <w:vAlign w:val="center"/>
          </w:tcPr>
          <w:p w14:paraId="786BE92D" w14:textId="3CB049BF" w:rsidR="005711F5" w:rsidRPr="00CA23AA" w:rsidRDefault="00767F9A" w:rsidP="00E61893">
            <w:pPr>
              <w:pStyle w:val="Tabletext0"/>
              <w:jc w:val="center"/>
            </w:pPr>
            <w:r w:rsidRPr="00CA23AA">
              <w:t>&lt;5</w:t>
            </w:r>
          </w:p>
        </w:tc>
        <w:tc>
          <w:tcPr>
            <w:tcW w:w="1803" w:type="dxa"/>
            <w:vAlign w:val="center"/>
          </w:tcPr>
          <w:p w14:paraId="5EDD5A68" w14:textId="5209FA8E" w:rsidR="005711F5" w:rsidRPr="00CA23AA" w:rsidRDefault="00767F9A" w:rsidP="00E61893">
            <w:pPr>
              <w:pStyle w:val="Tabletext0"/>
              <w:jc w:val="center"/>
            </w:pPr>
            <w:r w:rsidRPr="00CA23AA">
              <w:t>&lt;5</w:t>
            </w:r>
          </w:p>
        </w:tc>
        <w:tc>
          <w:tcPr>
            <w:tcW w:w="1803" w:type="dxa"/>
            <w:tcBorders>
              <w:bottom w:val="single" w:sz="4" w:space="0" w:color="auto"/>
            </w:tcBorders>
            <w:shd w:val="solid" w:color="000000" w:fill="000000"/>
            <w:vAlign w:val="center"/>
          </w:tcPr>
          <w:p w14:paraId="6CE239BF" w14:textId="66922D39" w:rsidR="005711F5" w:rsidRPr="00CA23AA" w:rsidRDefault="00594907" w:rsidP="00E61893">
            <w:pPr>
              <w:pStyle w:val="Tabletext0"/>
              <w:jc w:val="center"/>
            </w:pPr>
            <w:r w:rsidRPr="00594907">
              <w:rPr>
                <w:color w:val="000000"/>
                <w14:textFill>
                  <w14:solidFill>
                    <w14:srgbClr w14:val="000000">
                      <w14:alpha w14:val="100000"/>
                    </w14:srgbClr>
                  </w14:solidFill>
                </w14:textFill>
              </w:rPr>
              <w:t>|</w:t>
            </w:r>
          </w:p>
        </w:tc>
      </w:tr>
      <w:tr w:rsidR="005711F5" w:rsidRPr="00CA23AA" w14:paraId="2F5AEB95" w14:textId="77777777" w:rsidTr="00594907">
        <w:trPr>
          <w:trHeight w:val="300"/>
        </w:trPr>
        <w:tc>
          <w:tcPr>
            <w:tcW w:w="1803" w:type="dxa"/>
          </w:tcPr>
          <w:p w14:paraId="2B658682" w14:textId="77777777" w:rsidR="005711F5" w:rsidRPr="00CA23AA" w:rsidRDefault="005711F5" w:rsidP="00ED2443">
            <w:pPr>
              <w:pStyle w:val="Tabletext0"/>
              <w:jc w:val="left"/>
            </w:pPr>
            <w:r w:rsidRPr="00CA23AA">
              <w:t>3 infusions</w:t>
            </w:r>
          </w:p>
        </w:tc>
        <w:tc>
          <w:tcPr>
            <w:tcW w:w="1803" w:type="dxa"/>
            <w:shd w:val="solid" w:color="000000" w:fill="000000"/>
            <w:vAlign w:val="center"/>
          </w:tcPr>
          <w:p w14:paraId="70E5FCFE" w14:textId="12221694" w:rsidR="005711F5" w:rsidRPr="00CA23AA" w:rsidRDefault="00594907" w:rsidP="00E61893">
            <w:pPr>
              <w:pStyle w:val="Tabletext0"/>
              <w:jc w:val="center"/>
            </w:pPr>
            <w:r w:rsidRPr="00594907">
              <w:rPr>
                <w:color w:val="000000"/>
                <w14:textFill>
                  <w14:solidFill>
                    <w14:srgbClr w14:val="000000">
                      <w14:alpha w14:val="100000"/>
                    </w14:srgbClr>
                  </w14:solidFill>
                </w14:textFill>
              </w:rPr>
              <w:t>|</w:t>
            </w:r>
          </w:p>
        </w:tc>
        <w:tc>
          <w:tcPr>
            <w:tcW w:w="1803" w:type="dxa"/>
            <w:vAlign w:val="center"/>
          </w:tcPr>
          <w:p w14:paraId="42279F53" w14:textId="63DDEF14" w:rsidR="005711F5" w:rsidRPr="00CA23AA" w:rsidRDefault="00767F9A" w:rsidP="00E61893">
            <w:pPr>
              <w:pStyle w:val="Tabletext0"/>
              <w:jc w:val="center"/>
            </w:pPr>
            <w:r w:rsidRPr="00CA23AA">
              <w:t>&lt;5</w:t>
            </w:r>
          </w:p>
        </w:tc>
        <w:tc>
          <w:tcPr>
            <w:tcW w:w="1803" w:type="dxa"/>
            <w:vAlign w:val="center"/>
          </w:tcPr>
          <w:p w14:paraId="05180128" w14:textId="5429B5C5" w:rsidR="005711F5" w:rsidRPr="00CA23AA" w:rsidRDefault="00767F9A" w:rsidP="00E61893">
            <w:pPr>
              <w:pStyle w:val="Tabletext0"/>
              <w:jc w:val="center"/>
            </w:pPr>
            <w:r w:rsidRPr="00CA23AA">
              <w:t>&lt;5</w:t>
            </w:r>
          </w:p>
        </w:tc>
        <w:tc>
          <w:tcPr>
            <w:tcW w:w="1803" w:type="dxa"/>
            <w:shd w:val="solid" w:color="000000" w:fill="000000"/>
            <w:vAlign w:val="center"/>
          </w:tcPr>
          <w:p w14:paraId="04F11262" w14:textId="587F41EA" w:rsidR="005711F5" w:rsidRPr="00CA23AA" w:rsidRDefault="00594907" w:rsidP="00E61893">
            <w:pPr>
              <w:pStyle w:val="Tabletext0"/>
              <w:jc w:val="center"/>
            </w:pPr>
            <w:r w:rsidRPr="00594907">
              <w:rPr>
                <w:color w:val="000000"/>
                <w14:textFill>
                  <w14:solidFill>
                    <w14:srgbClr w14:val="000000">
                      <w14:alpha w14:val="100000"/>
                    </w14:srgbClr>
                  </w14:solidFill>
                </w14:textFill>
              </w:rPr>
              <w:t>|</w:t>
            </w:r>
          </w:p>
        </w:tc>
      </w:tr>
    </w:tbl>
    <w:p w14:paraId="4E0C6C86" w14:textId="180BE5AC" w:rsidR="005711F5" w:rsidRPr="00CA23AA" w:rsidRDefault="005711F5" w:rsidP="005711F5">
      <w:pPr>
        <w:pStyle w:val="Tablenotes0"/>
      </w:pPr>
      <w:r w:rsidRPr="00CA23AA">
        <w:t>ABMTRR = Australasian Bone Marrow Transplant Recipient Registry; NSW = New South Wales QLD = Queensland; V</w:t>
      </w:r>
      <w:r w:rsidR="008177DB" w:rsidRPr="00CA23AA">
        <w:t>IC</w:t>
      </w:r>
      <w:r w:rsidRPr="00CA23AA">
        <w:t xml:space="preserve"> = </w:t>
      </w:r>
      <w:proofErr w:type="gramStart"/>
      <w:r w:rsidRPr="00CA23AA">
        <w:t>Victoria;</w:t>
      </w:r>
      <w:proofErr w:type="gramEnd"/>
    </w:p>
    <w:p w14:paraId="1DCA398A" w14:textId="709B38B5" w:rsidR="003376E8" w:rsidRPr="00CA23AA" w:rsidRDefault="005711F5" w:rsidP="003376E8">
      <w:pPr>
        <w:pStyle w:val="Tablenotes0"/>
      </w:pPr>
      <w:r w:rsidRPr="00CA23AA">
        <w:t>Source: ABMTRR report version 4, and the reviews submitted by state and territories Departments of Health (provided by Department of Health and Aged Care during the evaluation).</w:t>
      </w:r>
    </w:p>
    <w:p w14:paraId="65630A7D" w14:textId="027C67FF" w:rsidR="003E4D22" w:rsidRPr="00CA23AA" w:rsidRDefault="003E4D22" w:rsidP="003E4D22">
      <w:r w:rsidRPr="00CA23AA">
        <w:t>In the sponsored trial ENSIGN, two patients (3.1% of infused cohort) were reinfused with TIS. No further details are provided in the ADAR</w:t>
      </w:r>
      <w:r w:rsidR="0042305B" w:rsidRPr="00CA23AA">
        <w:t xml:space="preserve">. </w:t>
      </w:r>
      <w:r w:rsidRPr="00CA23AA">
        <w:t xml:space="preserve">Reinfusion was reported in two real-world studies. </w:t>
      </w:r>
      <w:proofErr w:type="spellStart"/>
      <w:r w:rsidRPr="00CA23AA">
        <w:t>Dourthe</w:t>
      </w:r>
      <w:proofErr w:type="spellEnd"/>
      <w:r w:rsidRPr="00CA23AA">
        <w:t xml:space="preserve"> et al (2021) reported 3.9% of the cohort was reinfused, due to loss of BCA. Patient response to second infusion was not reported. </w:t>
      </w:r>
      <w:proofErr w:type="spellStart"/>
      <w:r w:rsidRPr="00CA23AA">
        <w:t>Ravich</w:t>
      </w:r>
      <w:proofErr w:type="spellEnd"/>
      <w:r w:rsidRPr="00CA23AA">
        <w:t xml:space="preserve"> et al (2022) reported reinfusions in 12.9% of the cohort due to CD19-positive leukemia or loss of BCA</w:t>
      </w:r>
      <w:r w:rsidR="0042305B" w:rsidRPr="00CA23AA">
        <w:t xml:space="preserve"> (</w:t>
      </w:r>
      <w:r w:rsidR="00D66301" w:rsidRPr="00CA23AA">
        <w:fldChar w:fldCharType="begin"/>
      </w:r>
      <w:r w:rsidR="00D66301" w:rsidRPr="00CA23AA">
        <w:instrText xml:space="preserve"> REF _Ref133941532 \h </w:instrText>
      </w:r>
      <w:r w:rsidR="00CA23AA">
        <w:instrText xml:space="preserve"> \* MERGEFORMAT </w:instrText>
      </w:r>
      <w:r w:rsidR="00D66301" w:rsidRPr="00CA23AA">
        <w:fldChar w:fldCharType="separate"/>
      </w:r>
      <w:r w:rsidR="00175880" w:rsidRPr="00CA23AA">
        <w:t xml:space="preserve">Table </w:t>
      </w:r>
      <w:r w:rsidR="00175880" w:rsidRPr="00CA23AA">
        <w:rPr>
          <w:noProof/>
        </w:rPr>
        <w:t>11</w:t>
      </w:r>
      <w:r w:rsidR="00D66301" w:rsidRPr="00CA23AA">
        <w:fldChar w:fldCharType="end"/>
      </w:r>
      <w:r w:rsidR="00D66301" w:rsidRPr="00CA23AA">
        <w:t>)</w:t>
      </w:r>
      <w:r w:rsidRPr="00CA23AA">
        <w:t xml:space="preserve">. </w:t>
      </w:r>
    </w:p>
    <w:p w14:paraId="2396572C" w14:textId="1DFE8F07" w:rsidR="003E4D22" w:rsidRPr="00CA23AA" w:rsidRDefault="003E4D22" w:rsidP="003E4D22">
      <w:r w:rsidRPr="00CA23AA">
        <w:t xml:space="preserve">Across the literature, there were no safety concerns reported. However, </w:t>
      </w:r>
      <w:proofErr w:type="spellStart"/>
      <w:r w:rsidRPr="00CA23AA">
        <w:t>Ravich</w:t>
      </w:r>
      <w:proofErr w:type="spellEnd"/>
      <w:r w:rsidRPr="00CA23AA">
        <w:t xml:space="preserve"> et al (2022) reports that patients responded poorer to the second infusion than the first.</w:t>
      </w:r>
    </w:p>
    <w:p w14:paraId="2F57004D" w14:textId="599AECD4" w:rsidR="003E4D22" w:rsidRPr="00CA23AA" w:rsidRDefault="003E4D22" w:rsidP="00E61893">
      <w:r w:rsidRPr="00CA23AA">
        <w:t>Overall, the key uncertainty across the body of evidence is whether patients underwent additional apheresis to generate the TIS product, or whether they were reinfused with cells from previously manufactured cells as the former may be associated with substantial cost.</w:t>
      </w:r>
    </w:p>
    <w:p w14:paraId="0A3EE665" w14:textId="77777777" w:rsidR="005711F5" w:rsidRPr="00CA23AA" w:rsidRDefault="005711F5" w:rsidP="005711F5">
      <w:pPr>
        <w:rPr>
          <w:b/>
          <w:bCs/>
        </w:rPr>
      </w:pPr>
      <w:r w:rsidRPr="00CA23AA">
        <w:rPr>
          <w:b/>
          <w:bCs/>
        </w:rPr>
        <w:t>OOS infusion</w:t>
      </w:r>
    </w:p>
    <w:p w14:paraId="2A196C1C" w14:textId="5CC41535" w:rsidR="00171490" w:rsidRPr="00CA23AA" w:rsidRDefault="00594907" w:rsidP="00171490">
      <w:r w:rsidRPr="00594907">
        <w:rPr>
          <w:color w:val="000000"/>
          <w:w w:val="88"/>
          <w:shd w:val="solid" w:color="000000" w:fill="000000"/>
          <w:fitText w:val="390" w:id="-1161539833"/>
          <w14:textFill>
            <w14:solidFill>
              <w14:srgbClr w14:val="000000">
                <w14:alpha w14:val="100000"/>
              </w14:srgbClr>
            </w14:solidFill>
          </w14:textFill>
        </w:rPr>
        <w:t>|||</w:t>
      </w:r>
      <w:r w:rsidRPr="00594907">
        <w:rPr>
          <w:color w:val="000000"/>
          <w:spacing w:val="2"/>
          <w:w w:val="88"/>
          <w:shd w:val="solid" w:color="000000" w:fill="000000"/>
          <w:fitText w:val="390" w:id="-1161539833"/>
          <w14:textFill>
            <w14:solidFill>
              <w14:srgbClr w14:val="000000">
                <w14:alpha w14:val="100000"/>
              </w14:srgbClr>
            </w14:solidFill>
          </w14:textFill>
        </w:rPr>
        <w:t>|</w:t>
      </w:r>
      <w:r w:rsidR="005711F5" w:rsidRPr="00CA23AA">
        <w:t xml:space="preserve"> (</w:t>
      </w:r>
      <w:r w:rsidR="001A4431" w:rsidRPr="00CA23AA">
        <w:fldChar w:fldCharType="begin"/>
      </w:r>
      <w:r w:rsidR="001A4431" w:rsidRPr="00CA23AA">
        <w:instrText xml:space="preserve"> REF _Ref133947843 \h </w:instrText>
      </w:r>
      <w:r w:rsidR="00CA23AA">
        <w:instrText xml:space="preserve"> \* MERGEFORMAT </w:instrText>
      </w:r>
      <w:r w:rsidR="001A4431" w:rsidRPr="00CA23AA">
        <w:fldChar w:fldCharType="separate"/>
      </w:r>
      <w:r w:rsidR="00175880" w:rsidRPr="00CA23AA">
        <w:t xml:space="preserve">Table </w:t>
      </w:r>
      <w:r w:rsidR="00175880" w:rsidRPr="00CA23AA">
        <w:rPr>
          <w:noProof/>
        </w:rPr>
        <w:t>8</w:t>
      </w:r>
      <w:r w:rsidR="001A4431" w:rsidRPr="00CA23AA">
        <w:fldChar w:fldCharType="end"/>
      </w:r>
      <w:r w:rsidR="005711F5" w:rsidRPr="00CA23AA">
        <w:t>).</w:t>
      </w:r>
    </w:p>
    <w:p w14:paraId="16082551" w14:textId="319C38D9" w:rsidR="001A4431" w:rsidRPr="00CA23AA" w:rsidRDefault="001A4431" w:rsidP="005711F5">
      <w:r w:rsidRPr="00CA23AA">
        <w:t xml:space="preserve">This was a lower proportion of OOS infusion in </w:t>
      </w:r>
      <w:r w:rsidR="0091640D" w:rsidRPr="00CA23AA">
        <w:t>s</w:t>
      </w:r>
      <w:r w:rsidRPr="00CA23AA">
        <w:t>ponsored trials (18.8% to 11.6%). PRWCC reported similar proportion of patients receiving OOS (13% of cohort) (</w:t>
      </w:r>
      <w:r w:rsidRPr="00CA23AA">
        <w:fldChar w:fldCharType="begin"/>
      </w:r>
      <w:r w:rsidRPr="00CA23AA">
        <w:instrText xml:space="preserve"> REF _Ref133941532 \h </w:instrText>
      </w:r>
      <w:r w:rsidR="00CA23AA">
        <w:instrText xml:space="preserve"> \* MERGEFORMAT </w:instrText>
      </w:r>
      <w:r w:rsidRPr="00CA23AA">
        <w:fldChar w:fldCharType="separate"/>
      </w:r>
      <w:r w:rsidR="00175880" w:rsidRPr="00CA23AA">
        <w:t xml:space="preserve">Table </w:t>
      </w:r>
      <w:r w:rsidR="00175880" w:rsidRPr="00CA23AA">
        <w:rPr>
          <w:noProof/>
        </w:rPr>
        <w:t>11</w:t>
      </w:r>
      <w:r w:rsidRPr="00CA23AA">
        <w:fldChar w:fldCharType="end"/>
      </w:r>
      <w:r w:rsidRPr="00CA23AA">
        <w:t xml:space="preserve">). </w:t>
      </w:r>
      <w:proofErr w:type="spellStart"/>
      <w:r w:rsidRPr="00CA23AA">
        <w:t>Ros</w:t>
      </w:r>
      <w:r w:rsidR="00C10F3A" w:rsidRPr="00CA23AA">
        <w:t>s</w:t>
      </w:r>
      <w:r w:rsidRPr="00CA23AA">
        <w:t>off</w:t>
      </w:r>
      <w:proofErr w:type="spellEnd"/>
      <w:r w:rsidRPr="00CA23AA">
        <w:t xml:space="preserve"> et al (2021)</w:t>
      </w:r>
      <w:r w:rsidR="00C10F3A" w:rsidRPr="00CA23AA">
        <w:rPr>
          <w:rStyle w:val="FootnoteReference"/>
        </w:rPr>
        <w:footnoteReference w:id="16"/>
      </w:r>
      <w:r w:rsidRPr="00CA23AA">
        <w:t xml:space="preserve"> reported that no difference in efficacy was observed in patients receiving OOS product.</w:t>
      </w:r>
    </w:p>
    <w:p w14:paraId="2C554996" w14:textId="2B9BA33A" w:rsidR="005711F5" w:rsidRPr="00CA23AA" w:rsidRDefault="005711F5" w:rsidP="003944B3">
      <w:pPr>
        <w:pStyle w:val="TableHeading0"/>
        <w:keepLines/>
      </w:pPr>
      <w:bookmarkStart w:id="38" w:name="_Ref133947843"/>
      <w:r w:rsidRPr="00CA23AA">
        <w:t xml:space="preserve">Table </w:t>
      </w:r>
      <w:fldSimple w:instr=" SEQ Table \* ARABIC ">
        <w:r w:rsidR="00175880" w:rsidRPr="00CA23AA">
          <w:rPr>
            <w:noProof/>
          </w:rPr>
          <w:t>8</w:t>
        </w:r>
      </w:fldSimple>
      <w:bookmarkEnd w:id="38"/>
      <w:r w:rsidRPr="00CA23AA">
        <w:t xml:space="preserve"> Out of </w:t>
      </w:r>
      <w:r w:rsidR="00B55FD5" w:rsidRPr="00CA23AA">
        <w:t>s</w:t>
      </w:r>
      <w:r w:rsidRPr="00CA23AA">
        <w:t>pecification infusion with best observed response</w:t>
      </w:r>
    </w:p>
    <w:tbl>
      <w:tblPr>
        <w:tblStyle w:val="TableGrid"/>
        <w:tblW w:w="0" w:type="auto"/>
        <w:tblLook w:val="06A0" w:firstRow="1" w:lastRow="0" w:firstColumn="1" w:lastColumn="0" w:noHBand="1" w:noVBand="1"/>
      </w:tblPr>
      <w:tblGrid>
        <w:gridCol w:w="3614"/>
        <w:gridCol w:w="2700"/>
        <w:gridCol w:w="2700"/>
      </w:tblGrid>
      <w:tr w:rsidR="005711F5" w:rsidRPr="00CA23AA" w14:paraId="76FEF8F8" w14:textId="77777777" w:rsidTr="00E61893">
        <w:trPr>
          <w:trHeight w:val="300"/>
          <w:tblHeader/>
        </w:trPr>
        <w:tc>
          <w:tcPr>
            <w:tcW w:w="3614" w:type="dxa"/>
            <w:tcBorders>
              <w:top w:val="single" w:sz="4" w:space="0" w:color="auto"/>
              <w:left w:val="single" w:sz="4" w:space="0" w:color="auto"/>
              <w:bottom w:val="single" w:sz="4" w:space="0" w:color="auto"/>
              <w:right w:val="single" w:sz="4" w:space="0" w:color="auto"/>
            </w:tcBorders>
          </w:tcPr>
          <w:p w14:paraId="5EF4CA0B" w14:textId="77777777" w:rsidR="005711F5" w:rsidRPr="00CA23AA" w:rsidRDefault="005711F5" w:rsidP="003944B3">
            <w:pPr>
              <w:pStyle w:val="Tabletext0"/>
              <w:keepNext/>
              <w:keepLines/>
              <w:jc w:val="left"/>
            </w:pPr>
          </w:p>
        </w:tc>
        <w:tc>
          <w:tcPr>
            <w:tcW w:w="2700" w:type="dxa"/>
            <w:tcBorders>
              <w:top w:val="single" w:sz="4" w:space="0" w:color="auto"/>
              <w:left w:val="single" w:sz="4" w:space="0" w:color="auto"/>
              <w:bottom w:val="single" w:sz="4" w:space="0" w:color="auto"/>
              <w:right w:val="single" w:sz="4" w:space="0" w:color="auto"/>
            </w:tcBorders>
            <w:vAlign w:val="center"/>
          </w:tcPr>
          <w:p w14:paraId="6FF7FDEE" w14:textId="77777777" w:rsidR="005711F5" w:rsidRPr="00CA23AA" w:rsidRDefault="005711F5" w:rsidP="003944B3">
            <w:pPr>
              <w:pStyle w:val="Tabletext0"/>
              <w:keepNext/>
              <w:keepLines/>
              <w:jc w:val="center"/>
              <w:rPr>
                <w:b/>
              </w:rPr>
            </w:pPr>
            <w:r w:rsidRPr="00CA23AA">
              <w:rPr>
                <w:b/>
              </w:rPr>
              <w:t>ABMTRR</w:t>
            </w:r>
          </w:p>
        </w:tc>
        <w:tc>
          <w:tcPr>
            <w:tcW w:w="2700" w:type="dxa"/>
            <w:tcBorders>
              <w:top w:val="single" w:sz="4" w:space="0" w:color="auto"/>
              <w:left w:val="single" w:sz="4" w:space="0" w:color="auto"/>
              <w:bottom w:val="single" w:sz="4" w:space="0" w:color="auto"/>
              <w:right w:val="single" w:sz="4" w:space="0" w:color="auto"/>
            </w:tcBorders>
            <w:vAlign w:val="center"/>
          </w:tcPr>
          <w:p w14:paraId="17D58FEB" w14:textId="77777777" w:rsidR="005711F5" w:rsidRPr="00CA23AA" w:rsidRDefault="005711F5" w:rsidP="003944B3">
            <w:pPr>
              <w:pStyle w:val="Tabletext0"/>
              <w:keepNext/>
              <w:keepLines/>
              <w:jc w:val="center"/>
              <w:rPr>
                <w:b/>
              </w:rPr>
            </w:pPr>
            <w:r w:rsidRPr="00CA23AA">
              <w:rPr>
                <w:b/>
              </w:rPr>
              <w:t>VIC</w:t>
            </w:r>
          </w:p>
        </w:tc>
      </w:tr>
      <w:tr w:rsidR="005711F5" w:rsidRPr="00CA23AA" w14:paraId="30BA4770" w14:textId="77777777" w:rsidTr="00594907">
        <w:trPr>
          <w:trHeight w:val="300"/>
        </w:trPr>
        <w:tc>
          <w:tcPr>
            <w:tcW w:w="3614" w:type="dxa"/>
            <w:tcBorders>
              <w:top w:val="single" w:sz="4" w:space="0" w:color="auto"/>
              <w:left w:val="single" w:sz="4" w:space="0" w:color="auto"/>
              <w:bottom w:val="single" w:sz="4" w:space="0" w:color="auto"/>
              <w:right w:val="single" w:sz="4" w:space="0" w:color="auto"/>
            </w:tcBorders>
            <w:vAlign w:val="center"/>
          </w:tcPr>
          <w:p w14:paraId="2EA230B0" w14:textId="77777777" w:rsidR="005711F5" w:rsidRPr="00CA23AA" w:rsidRDefault="005711F5" w:rsidP="003944B3">
            <w:pPr>
              <w:pStyle w:val="Tabletext0"/>
              <w:keepNext/>
              <w:keepLines/>
              <w:jc w:val="left"/>
            </w:pPr>
            <w:r w:rsidRPr="00CA23AA">
              <w:t>Reporting period</w:t>
            </w:r>
          </w:p>
        </w:tc>
        <w:tc>
          <w:tcPr>
            <w:tcW w:w="2700" w:type="dxa"/>
            <w:tcBorders>
              <w:top w:val="single" w:sz="4" w:space="0" w:color="auto"/>
              <w:left w:val="single" w:sz="4" w:space="0" w:color="auto"/>
              <w:bottom w:val="single" w:sz="4" w:space="0" w:color="auto"/>
              <w:right w:val="single" w:sz="4" w:space="0" w:color="auto"/>
            </w:tcBorders>
            <w:vAlign w:val="center"/>
          </w:tcPr>
          <w:p w14:paraId="1F32ADAD" w14:textId="77777777" w:rsidR="005711F5" w:rsidRPr="00CA23AA" w:rsidRDefault="005711F5" w:rsidP="003944B3">
            <w:pPr>
              <w:pStyle w:val="Tabletext0"/>
              <w:keepNext/>
              <w:keepLines/>
              <w:jc w:val="center"/>
            </w:pPr>
            <w:r w:rsidRPr="00CA23AA">
              <w:t>Up to September 2022</w:t>
            </w:r>
          </w:p>
        </w:tc>
        <w:tc>
          <w:tcPr>
            <w:tcW w:w="2700" w:type="dxa"/>
            <w:tcBorders>
              <w:top w:val="single" w:sz="4" w:space="0" w:color="auto"/>
              <w:left w:val="single" w:sz="4" w:space="0" w:color="auto"/>
              <w:bottom w:val="single" w:sz="4" w:space="0" w:color="auto"/>
              <w:right w:val="single" w:sz="4" w:space="0" w:color="auto"/>
            </w:tcBorders>
            <w:vAlign w:val="center"/>
          </w:tcPr>
          <w:p w14:paraId="763D823D" w14:textId="77777777" w:rsidR="005711F5" w:rsidRPr="00CA23AA" w:rsidRDefault="005711F5" w:rsidP="003944B3">
            <w:pPr>
              <w:pStyle w:val="Tabletext0"/>
              <w:keepNext/>
              <w:keepLines/>
              <w:jc w:val="center"/>
            </w:pPr>
            <w:r w:rsidRPr="00CA23AA">
              <w:t>May 2019 to January 2023</w:t>
            </w:r>
          </w:p>
        </w:tc>
      </w:tr>
      <w:tr w:rsidR="005711F5" w:rsidRPr="00CA23AA" w14:paraId="2D9DA4EA" w14:textId="77777777" w:rsidTr="00594907">
        <w:trPr>
          <w:trHeight w:val="540"/>
        </w:trPr>
        <w:tc>
          <w:tcPr>
            <w:tcW w:w="3614" w:type="dxa"/>
            <w:tcBorders>
              <w:top w:val="single" w:sz="4" w:space="0" w:color="auto"/>
              <w:left w:val="single" w:sz="4" w:space="0" w:color="auto"/>
              <w:bottom w:val="single" w:sz="4" w:space="0" w:color="auto"/>
              <w:right w:val="single" w:sz="4" w:space="0" w:color="auto"/>
            </w:tcBorders>
            <w:vAlign w:val="center"/>
          </w:tcPr>
          <w:p w14:paraId="75534F1A" w14:textId="77777777" w:rsidR="005711F5" w:rsidRPr="00CA23AA" w:rsidRDefault="005711F5" w:rsidP="003944B3">
            <w:pPr>
              <w:pStyle w:val="Tabletext0"/>
              <w:keepNext/>
              <w:keepLines/>
              <w:jc w:val="left"/>
            </w:pPr>
            <w:r w:rsidRPr="00CA23AA">
              <w:t>Number of patients infused with OOS tisagenlecleucel product</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180E9A39" w14:textId="7925133A"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033F4744" w14:textId="7BE42D2D"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269B79FA" w14:textId="77777777" w:rsidTr="00E61893">
        <w:trPr>
          <w:trHeight w:val="555"/>
        </w:trPr>
        <w:tc>
          <w:tcPr>
            <w:tcW w:w="9014"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3CC7B1B" w14:textId="77777777" w:rsidR="005711F5" w:rsidRPr="00CA23AA" w:rsidRDefault="005711F5" w:rsidP="003944B3">
            <w:pPr>
              <w:pStyle w:val="Tabletext0"/>
              <w:keepNext/>
              <w:keepLines/>
              <w:jc w:val="center"/>
              <w:rPr>
                <w:b/>
              </w:rPr>
            </w:pPr>
            <w:r w:rsidRPr="00CA23AA">
              <w:rPr>
                <w:b/>
              </w:rPr>
              <w:t>Best response (n, %)</w:t>
            </w:r>
          </w:p>
        </w:tc>
      </w:tr>
      <w:tr w:rsidR="005711F5" w:rsidRPr="00CA23AA" w14:paraId="7E3BF4DB" w14:textId="77777777" w:rsidTr="00594907">
        <w:trPr>
          <w:trHeight w:val="555"/>
        </w:trPr>
        <w:tc>
          <w:tcPr>
            <w:tcW w:w="3614" w:type="dxa"/>
            <w:tcBorders>
              <w:top w:val="single" w:sz="4" w:space="0" w:color="auto"/>
              <w:left w:val="single" w:sz="4" w:space="0" w:color="auto"/>
              <w:bottom w:val="single" w:sz="4" w:space="0" w:color="auto"/>
              <w:right w:val="single" w:sz="4" w:space="0" w:color="auto"/>
            </w:tcBorders>
            <w:vAlign w:val="center"/>
          </w:tcPr>
          <w:p w14:paraId="35A32404" w14:textId="77777777" w:rsidR="005711F5" w:rsidRPr="00CA23AA" w:rsidRDefault="005711F5" w:rsidP="003944B3">
            <w:pPr>
              <w:pStyle w:val="Tabletext0"/>
              <w:keepNext/>
              <w:keepLines/>
              <w:jc w:val="center"/>
            </w:pPr>
            <w:r w:rsidRPr="00CA23AA">
              <w:t>Complete remission achieved</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4EA99022" w14:textId="7E81FF69"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5A0B4AA8" w14:textId="2F0B5908"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3E629494" w14:textId="77777777" w:rsidTr="00594907">
        <w:trPr>
          <w:trHeight w:val="555"/>
        </w:trPr>
        <w:tc>
          <w:tcPr>
            <w:tcW w:w="3614" w:type="dxa"/>
            <w:tcBorders>
              <w:top w:val="single" w:sz="4" w:space="0" w:color="auto"/>
              <w:left w:val="single" w:sz="4" w:space="0" w:color="auto"/>
              <w:bottom w:val="single" w:sz="4" w:space="0" w:color="auto"/>
              <w:right w:val="single" w:sz="4" w:space="0" w:color="auto"/>
            </w:tcBorders>
            <w:vAlign w:val="center"/>
          </w:tcPr>
          <w:p w14:paraId="5D2D6FFD" w14:textId="77777777" w:rsidR="005711F5" w:rsidRPr="00CA23AA" w:rsidRDefault="005711F5" w:rsidP="003944B3">
            <w:pPr>
              <w:pStyle w:val="Tabletext0"/>
              <w:keepNext/>
              <w:keepLines/>
              <w:jc w:val="center"/>
            </w:pPr>
            <w:r w:rsidRPr="00CA23AA">
              <w:t>Continued complete remission</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332E359F" w14:textId="775BE554"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0ECBE025" w14:textId="22451D8E"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04F480A3" w14:textId="77777777" w:rsidTr="00594907">
        <w:trPr>
          <w:trHeight w:val="555"/>
        </w:trPr>
        <w:tc>
          <w:tcPr>
            <w:tcW w:w="3614" w:type="dxa"/>
            <w:tcBorders>
              <w:top w:val="single" w:sz="4" w:space="0" w:color="auto"/>
              <w:left w:val="single" w:sz="4" w:space="0" w:color="auto"/>
              <w:bottom w:val="single" w:sz="4" w:space="0" w:color="auto"/>
              <w:right w:val="single" w:sz="4" w:space="0" w:color="auto"/>
            </w:tcBorders>
            <w:vAlign w:val="center"/>
          </w:tcPr>
          <w:p w14:paraId="66EAC0E3" w14:textId="77777777" w:rsidR="005711F5" w:rsidRPr="00CA23AA" w:rsidRDefault="005711F5" w:rsidP="003944B3">
            <w:pPr>
              <w:pStyle w:val="Tabletext0"/>
              <w:keepNext/>
              <w:keepLines/>
              <w:jc w:val="center"/>
            </w:pPr>
            <w:r w:rsidRPr="00CA23AA">
              <w:t>No complete remission</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56F6BD79" w14:textId="29247A8D"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52CFB235" w14:textId="4A9A721F"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72C61E1D" w14:textId="77777777" w:rsidTr="00594907">
        <w:trPr>
          <w:trHeight w:val="555"/>
        </w:trPr>
        <w:tc>
          <w:tcPr>
            <w:tcW w:w="3614" w:type="dxa"/>
            <w:tcBorders>
              <w:top w:val="single" w:sz="4" w:space="0" w:color="auto"/>
              <w:left w:val="single" w:sz="4" w:space="0" w:color="auto"/>
              <w:bottom w:val="single" w:sz="4" w:space="0" w:color="auto"/>
              <w:right w:val="single" w:sz="4" w:space="0" w:color="auto"/>
            </w:tcBorders>
            <w:vAlign w:val="center"/>
          </w:tcPr>
          <w:p w14:paraId="32F7977A" w14:textId="77777777" w:rsidR="005711F5" w:rsidRPr="00CA23AA" w:rsidRDefault="005711F5" w:rsidP="003944B3">
            <w:pPr>
              <w:pStyle w:val="Tabletext0"/>
              <w:keepNext/>
              <w:keepLines/>
              <w:jc w:val="center"/>
            </w:pPr>
            <w:r w:rsidRPr="00CA23AA">
              <w:t>Not reported</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5F7AE7E1" w14:textId="2325939F"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2700" w:type="dxa"/>
            <w:tcBorders>
              <w:top w:val="single" w:sz="4" w:space="0" w:color="auto"/>
              <w:left w:val="single" w:sz="4" w:space="0" w:color="auto"/>
              <w:bottom w:val="single" w:sz="4" w:space="0" w:color="auto"/>
              <w:right w:val="single" w:sz="4" w:space="0" w:color="auto"/>
            </w:tcBorders>
            <w:shd w:val="solid" w:color="000000" w:fill="000000"/>
            <w:vAlign w:val="center"/>
          </w:tcPr>
          <w:p w14:paraId="091E844C" w14:textId="25E55804"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bl>
    <w:p w14:paraId="357E3BD1" w14:textId="77777777" w:rsidR="005711F5" w:rsidRPr="00CA23AA" w:rsidRDefault="005711F5" w:rsidP="003944B3">
      <w:pPr>
        <w:pStyle w:val="Tablenotes0"/>
        <w:keepNext/>
        <w:keepLines/>
      </w:pPr>
      <w:r w:rsidRPr="00CA23AA">
        <w:t xml:space="preserve">ABMTRR = Australasian Bone Marrow Transplant Recipient Registry; OOS = out of specification; VIC = </w:t>
      </w:r>
      <w:proofErr w:type="gramStart"/>
      <w:r w:rsidRPr="00CA23AA">
        <w:t>Victoria;</w:t>
      </w:r>
      <w:proofErr w:type="gramEnd"/>
    </w:p>
    <w:p w14:paraId="46C98F60" w14:textId="77777777" w:rsidR="005711F5" w:rsidRPr="00CA23AA" w:rsidRDefault="005711F5" w:rsidP="003944B3">
      <w:pPr>
        <w:pStyle w:val="Tablenotes0"/>
        <w:keepNext/>
        <w:keepLines/>
      </w:pPr>
      <w:r w:rsidRPr="00CA23AA">
        <w:rPr>
          <w:rFonts w:eastAsiaTheme="minorEastAsia"/>
        </w:rPr>
        <w:t xml:space="preserve">Source: </w:t>
      </w:r>
      <w:r w:rsidRPr="00CA23AA">
        <w:t>Australian Bone Marrow Transplant Recipient Registry (ABMTRR) report version 4, and the reviews submitted by state and territories Departments of Health (provided by Department of Health and Aged Care during the evaluation).</w:t>
      </w:r>
    </w:p>
    <w:p w14:paraId="13CEE563" w14:textId="77777777" w:rsidR="005711F5" w:rsidRPr="00CA23AA" w:rsidRDefault="005711F5" w:rsidP="005711F5">
      <w:pPr>
        <w:rPr>
          <w:b/>
          <w:bCs/>
        </w:rPr>
      </w:pPr>
      <w:r w:rsidRPr="00CA23AA">
        <w:rPr>
          <w:b/>
          <w:bCs/>
        </w:rPr>
        <w:t xml:space="preserve">High-cost medicines </w:t>
      </w:r>
    </w:p>
    <w:p w14:paraId="0342C29D" w14:textId="2DB065FB" w:rsidR="005711F5" w:rsidRPr="00CA23AA" w:rsidRDefault="005711F5" w:rsidP="005711F5">
      <w:r w:rsidRPr="00CA23AA">
        <w:t xml:space="preserve">Two additional medicines are often required as part of treatment of side effects from </w:t>
      </w:r>
      <w:r w:rsidR="2AB460DE" w:rsidRPr="00CA23AA">
        <w:t>TIS</w:t>
      </w:r>
      <w:r w:rsidRPr="00CA23AA">
        <w:t xml:space="preserve"> therapy: </w:t>
      </w:r>
      <w:proofErr w:type="spellStart"/>
      <w:r w:rsidRPr="00CA23AA">
        <w:t>Tociluzumab</w:t>
      </w:r>
      <w:proofErr w:type="spellEnd"/>
      <w:r w:rsidRPr="00CA23AA">
        <w:t xml:space="preserve"> and Immunoglobulin (Ig), </w:t>
      </w:r>
    </w:p>
    <w:p w14:paraId="3330A4A1" w14:textId="311D8E28" w:rsidR="005711F5" w:rsidRPr="00CA23AA" w:rsidRDefault="005711F5" w:rsidP="005711F5">
      <w:proofErr w:type="spellStart"/>
      <w:r w:rsidRPr="00CA23AA">
        <w:t>Tociluzumab</w:t>
      </w:r>
      <w:proofErr w:type="spellEnd"/>
      <w:r w:rsidRPr="00CA23AA">
        <w:t xml:space="preserve"> is used for treatment and management of CRS</w:t>
      </w:r>
      <w:r w:rsidRPr="00CA23AA">
        <w:rPr>
          <w:rStyle w:val="FootnoteReference"/>
        </w:rPr>
        <w:footnoteReference w:id="17"/>
      </w:r>
      <w:r w:rsidRPr="00CA23AA">
        <w:t xml:space="preserve">. </w:t>
      </w:r>
      <w:proofErr w:type="spellStart"/>
      <w:r w:rsidRPr="00CA23AA">
        <w:t>Tociluzumab</w:t>
      </w:r>
      <w:proofErr w:type="spellEnd"/>
      <w:r w:rsidRPr="00CA23AA">
        <w:t xml:space="preserve"> usage decreased from </w:t>
      </w:r>
      <w:r w:rsidR="00982219" w:rsidRPr="00982219">
        <w:rPr>
          <w:color w:val="000000"/>
          <w:w w:val="88"/>
          <w:shd w:val="solid" w:color="000000" w:fill="000000"/>
          <w:fitText w:val="390" w:id="-1157969658"/>
          <w14:textFill>
            <w14:solidFill>
              <w14:srgbClr w14:val="000000">
                <w14:alpha w14:val="100000"/>
              </w14:srgbClr>
            </w14:solidFill>
          </w14:textFill>
        </w:rPr>
        <w:t>|||</w:t>
      </w:r>
      <w:r w:rsidR="00982219" w:rsidRPr="00982219">
        <w:rPr>
          <w:color w:val="000000"/>
          <w:spacing w:val="2"/>
          <w:w w:val="88"/>
          <w:shd w:val="solid" w:color="000000" w:fill="000000"/>
          <w:fitText w:val="390" w:id="-1157969658"/>
          <w14:textFill>
            <w14:solidFill>
              <w14:srgbClr w14:val="000000">
                <w14:alpha w14:val="100000"/>
              </w14:srgbClr>
            </w14:solidFill>
          </w14:textFill>
        </w:rPr>
        <w:t>|</w:t>
      </w:r>
      <w:r w:rsidRPr="00CA23AA">
        <w:t xml:space="preserve">% at up to 30 days of follow-up to </w:t>
      </w:r>
      <w:r w:rsidR="00982219" w:rsidRPr="00982219">
        <w:rPr>
          <w:color w:val="000000"/>
          <w:w w:val="88"/>
          <w:shd w:val="solid" w:color="000000" w:fill="000000"/>
          <w:fitText w:val="390" w:id="-1157969657"/>
          <w14:textFill>
            <w14:solidFill>
              <w14:srgbClr w14:val="000000">
                <w14:alpha w14:val="100000"/>
              </w14:srgbClr>
            </w14:solidFill>
          </w14:textFill>
        </w:rPr>
        <w:t>|||</w:t>
      </w:r>
      <w:r w:rsidR="00982219" w:rsidRPr="00982219">
        <w:rPr>
          <w:color w:val="000000"/>
          <w:spacing w:val="2"/>
          <w:w w:val="88"/>
          <w:shd w:val="solid" w:color="000000" w:fill="000000"/>
          <w:fitText w:val="390" w:id="-1157969657"/>
          <w14:textFill>
            <w14:solidFill>
              <w14:srgbClr w14:val="000000">
                <w14:alpha w14:val="100000"/>
              </w14:srgbClr>
            </w14:solidFill>
          </w14:textFill>
        </w:rPr>
        <w:t>|</w:t>
      </w:r>
      <w:r w:rsidRPr="00CA23AA">
        <w:t>% at 30-100 days of follow-up. Duration of therapy was not provided in the ADAR (</w:t>
      </w:r>
      <w:r w:rsidR="00B86049" w:rsidRPr="00CA23AA">
        <w:fldChar w:fldCharType="begin"/>
      </w:r>
      <w:r w:rsidR="00B86049" w:rsidRPr="00CA23AA">
        <w:instrText xml:space="preserve"> REF _Ref133946567 \h </w:instrText>
      </w:r>
      <w:r w:rsidR="00CA23AA">
        <w:instrText xml:space="preserve"> \* MERGEFORMAT </w:instrText>
      </w:r>
      <w:r w:rsidR="00B86049" w:rsidRPr="00CA23AA">
        <w:fldChar w:fldCharType="separate"/>
      </w:r>
      <w:r w:rsidR="00175880" w:rsidRPr="00CA23AA">
        <w:t xml:space="preserve">Table </w:t>
      </w:r>
      <w:r w:rsidR="00175880" w:rsidRPr="00CA23AA">
        <w:rPr>
          <w:noProof/>
        </w:rPr>
        <w:t>9</w:t>
      </w:r>
      <w:r w:rsidR="00B86049" w:rsidRPr="00CA23AA">
        <w:fldChar w:fldCharType="end"/>
      </w:r>
      <w:r w:rsidRPr="00CA23AA">
        <w:t>).</w:t>
      </w:r>
    </w:p>
    <w:p w14:paraId="6C2872AE" w14:textId="58DB2FF5" w:rsidR="005711F5" w:rsidRPr="00CA23AA" w:rsidRDefault="005711F5" w:rsidP="005711F5">
      <w:pPr>
        <w:rPr>
          <w:rFonts w:eastAsia="Franklin Gothic Book" w:cs="Franklin Gothic Book"/>
        </w:rPr>
      </w:pPr>
      <w:r w:rsidRPr="00CA23AA">
        <w:rPr>
          <w:rFonts w:eastAsia="Franklin Gothic Book" w:cs="Franklin Gothic Book"/>
        </w:rPr>
        <w:t>B cell aplasia (BCA) is an on-target, off-tumour toxicity associated with CAR-T treatment. While this outcome is a signal that CAR-T remains in the patient’s body, it can result in hypergammaglobulinemia and leaves the body at an increased risk of infection.</w:t>
      </w:r>
      <w:r w:rsidRPr="00CA23AA">
        <w:rPr>
          <w:rStyle w:val="FootnoteReference"/>
          <w:rFonts w:eastAsia="Franklin Gothic Book" w:cs="Franklin Gothic Book"/>
        </w:rPr>
        <w:footnoteReference w:id="18"/>
      </w:r>
      <w:r w:rsidRPr="00CA23AA">
        <w:rPr>
          <w:rFonts w:eastAsia="Franklin Gothic Book" w:cs="Franklin Gothic Book"/>
        </w:rPr>
        <w:t xml:space="preserve"> </w:t>
      </w:r>
      <w:r w:rsidR="00594907" w:rsidRPr="00982219">
        <w:rPr>
          <w:rFonts w:eastAsia="Franklin Gothic Book" w:cs="Franklin Gothic Book"/>
          <w:color w:val="000000"/>
          <w:w w:val="88"/>
          <w:shd w:val="solid" w:color="000000" w:fill="000000"/>
          <w:fitText w:val="390" w:id="-1161539832"/>
          <w14:textFill>
            <w14:solidFill>
              <w14:srgbClr w14:val="000000">
                <w14:alpha w14:val="100000"/>
              </w14:srgbClr>
            </w14:solidFill>
          </w14:textFill>
        </w:rPr>
        <w:t>|||</w:t>
      </w:r>
      <w:r w:rsidR="00594907" w:rsidRPr="00982219">
        <w:rPr>
          <w:rFonts w:eastAsia="Franklin Gothic Book" w:cs="Franklin Gothic Book"/>
          <w:color w:val="000000"/>
          <w:spacing w:val="2"/>
          <w:w w:val="88"/>
          <w:shd w:val="solid" w:color="000000" w:fill="000000"/>
          <w:fitText w:val="390" w:id="-1161539832"/>
          <w14:textFill>
            <w14:solidFill>
              <w14:srgbClr w14:val="000000">
                <w14:alpha w14:val="100000"/>
              </w14:srgbClr>
            </w14:solidFill>
          </w14:textFill>
        </w:rPr>
        <w:t>|</w:t>
      </w:r>
      <w:r w:rsidRPr="00CA23AA">
        <w:rPr>
          <w:rFonts w:eastAsia="Franklin Gothic Book" w:cs="Franklin Gothic Book"/>
        </w:rPr>
        <w:t xml:space="preserve"> The updated registry data supplied with the ADAR reported that as of December 2022, </w:t>
      </w:r>
      <w:r w:rsidR="00594907" w:rsidRPr="00982219">
        <w:rPr>
          <w:rFonts w:eastAsia="Franklin Gothic Book" w:cs="Franklin Gothic Book"/>
          <w:color w:val="000000"/>
          <w:w w:val="88"/>
          <w:shd w:val="solid" w:color="000000" w:fill="000000"/>
          <w:fitText w:val="390" w:id="-1161539831"/>
          <w14:textFill>
            <w14:solidFill>
              <w14:srgbClr w14:val="000000">
                <w14:alpha w14:val="100000"/>
              </w14:srgbClr>
            </w14:solidFill>
          </w14:textFill>
        </w:rPr>
        <w:t>|||</w:t>
      </w:r>
      <w:r w:rsidR="00594907" w:rsidRPr="00982219">
        <w:rPr>
          <w:rFonts w:eastAsia="Franklin Gothic Book" w:cs="Franklin Gothic Book"/>
          <w:color w:val="000000"/>
          <w:spacing w:val="2"/>
          <w:w w:val="88"/>
          <w:shd w:val="solid" w:color="000000" w:fill="000000"/>
          <w:fitText w:val="390" w:id="-1161539831"/>
          <w14:textFill>
            <w14:solidFill>
              <w14:srgbClr w14:val="000000">
                <w14:alpha w14:val="100000"/>
              </w14:srgbClr>
            </w14:solidFill>
          </w14:textFill>
        </w:rPr>
        <w:t>|</w:t>
      </w:r>
      <w:r w:rsidRPr="00CA23AA">
        <w:rPr>
          <w:rFonts w:eastAsia="Franklin Gothic Book" w:cs="Franklin Gothic Book"/>
        </w:rPr>
        <w:t xml:space="preserve">% of patients with follow-up of at least a year were still receiving Ig. Duration of therapy was not reported in the ADAR. </w:t>
      </w:r>
      <w:r w:rsidR="00594907" w:rsidRPr="00982219">
        <w:rPr>
          <w:rFonts w:eastAsia="Franklin Gothic Book" w:cs="Franklin Gothic Book"/>
          <w:color w:val="000000"/>
          <w:w w:val="88"/>
          <w:shd w:val="solid" w:color="000000" w:fill="000000"/>
          <w:fitText w:val="390" w:id="-1161539830"/>
          <w14:textFill>
            <w14:solidFill>
              <w14:srgbClr w14:val="000000">
                <w14:alpha w14:val="100000"/>
              </w14:srgbClr>
            </w14:solidFill>
          </w14:textFill>
        </w:rPr>
        <w:t>|||</w:t>
      </w:r>
      <w:r w:rsidR="00594907" w:rsidRPr="00982219">
        <w:rPr>
          <w:rFonts w:eastAsia="Franklin Gothic Book" w:cs="Franklin Gothic Book"/>
          <w:color w:val="000000"/>
          <w:spacing w:val="2"/>
          <w:w w:val="88"/>
          <w:shd w:val="solid" w:color="000000" w:fill="000000"/>
          <w:fitText w:val="390" w:id="-1161539830"/>
          <w14:textFill>
            <w14:solidFill>
              <w14:srgbClr w14:val="000000">
                <w14:alpha w14:val="100000"/>
              </w14:srgbClr>
            </w14:solidFill>
          </w14:textFill>
        </w:rPr>
        <w:t>|</w:t>
      </w:r>
      <w:r w:rsidRPr="00CA23AA">
        <w:rPr>
          <w:rFonts w:eastAsia="Franklin Gothic Book" w:cs="Franklin Gothic Book"/>
        </w:rPr>
        <w:t>.</w:t>
      </w:r>
    </w:p>
    <w:p w14:paraId="66C464E9" w14:textId="4600C85D" w:rsidR="005711F5" w:rsidRPr="00CA23AA" w:rsidRDefault="005711F5" w:rsidP="003944B3">
      <w:pPr>
        <w:pStyle w:val="TableHeading0"/>
        <w:keepLines/>
        <w:rPr>
          <w:rFonts w:eastAsia="Franklin Gothic Book" w:cs="Franklin Gothic Book"/>
        </w:rPr>
      </w:pPr>
      <w:bookmarkStart w:id="39" w:name="_Ref133946567"/>
      <w:r w:rsidRPr="00CA23AA">
        <w:t xml:space="preserve">Table </w:t>
      </w:r>
      <w:fldSimple w:instr=" SEQ Table \* ARABIC ">
        <w:r w:rsidR="00175880" w:rsidRPr="00CA23AA">
          <w:rPr>
            <w:noProof/>
          </w:rPr>
          <w:t>9</w:t>
        </w:r>
      </w:fldSimple>
      <w:bookmarkEnd w:id="39"/>
      <w:r w:rsidRPr="00CA23AA">
        <w:t xml:space="preserve"> High-cost medicine usage up to 12 months follow-up (ABMTRR)</w:t>
      </w:r>
    </w:p>
    <w:tbl>
      <w:tblPr>
        <w:tblStyle w:val="TableGrid"/>
        <w:tblW w:w="5000" w:type="pct"/>
        <w:jc w:val="center"/>
        <w:tblLook w:val="04A0" w:firstRow="1" w:lastRow="0" w:firstColumn="1" w:lastColumn="0" w:noHBand="0" w:noVBand="1"/>
      </w:tblPr>
      <w:tblGrid>
        <w:gridCol w:w="3341"/>
        <w:gridCol w:w="3028"/>
        <w:gridCol w:w="2637"/>
      </w:tblGrid>
      <w:tr w:rsidR="005711F5" w:rsidRPr="00CA23AA" w14:paraId="70013E93" w14:textId="77777777" w:rsidTr="00223A33">
        <w:trPr>
          <w:trHeight w:val="195"/>
          <w:tblHeader/>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602779" w14:textId="77777777" w:rsidR="005711F5" w:rsidRPr="00CA23AA" w:rsidRDefault="005711F5" w:rsidP="003944B3">
            <w:pPr>
              <w:pStyle w:val="Tabletext0"/>
              <w:keepNext/>
              <w:keepLines/>
              <w:jc w:val="left"/>
            </w:pPr>
          </w:p>
        </w:tc>
        <w:tc>
          <w:tcPr>
            <w:tcW w:w="1681"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D704DA" w14:textId="77777777" w:rsidR="005711F5" w:rsidRPr="00CA23AA" w:rsidRDefault="005711F5" w:rsidP="003944B3">
            <w:pPr>
              <w:pStyle w:val="Tabletext0"/>
              <w:keepNext/>
              <w:keepLines/>
              <w:jc w:val="center"/>
              <w:rPr>
                <w:b/>
                <w:bCs/>
              </w:rPr>
            </w:pPr>
            <w:r w:rsidRPr="00CA23AA">
              <w:rPr>
                <w:b/>
                <w:bCs/>
              </w:rPr>
              <w:t>September 2022</w:t>
            </w:r>
          </w:p>
        </w:tc>
        <w:tc>
          <w:tcPr>
            <w:tcW w:w="1464"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E20C5D" w14:textId="77777777" w:rsidR="005711F5" w:rsidRPr="00CA23AA" w:rsidRDefault="005711F5" w:rsidP="003944B3">
            <w:pPr>
              <w:pStyle w:val="Tabletext0"/>
              <w:keepNext/>
              <w:keepLines/>
              <w:jc w:val="center"/>
            </w:pPr>
            <w:r w:rsidRPr="00CA23AA">
              <w:rPr>
                <w:b/>
                <w:bCs/>
              </w:rPr>
              <w:t>January 2023</w:t>
            </w:r>
          </w:p>
        </w:tc>
      </w:tr>
      <w:tr w:rsidR="005711F5" w:rsidRPr="00CA23AA" w14:paraId="4379F52A" w14:textId="77777777" w:rsidTr="00ED2443">
        <w:trPr>
          <w:trHeight w:val="315"/>
          <w:jc w:val="center"/>
        </w:trPr>
        <w:tc>
          <w:tcPr>
            <w:tcW w:w="5000" w:type="pct"/>
            <w:gridSpan w:val="3"/>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ACA71BA" w14:textId="77777777" w:rsidR="005711F5" w:rsidRPr="00CA23AA" w:rsidRDefault="005711F5" w:rsidP="003944B3">
            <w:pPr>
              <w:pStyle w:val="Tabletext0"/>
              <w:keepNext/>
              <w:keepLines/>
              <w:jc w:val="left"/>
              <w:rPr>
                <w:b/>
              </w:rPr>
            </w:pPr>
            <w:r w:rsidRPr="00CA23AA">
              <w:rPr>
                <w:b/>
              </w:rPr>
              <w:t xml:space="preserve">Tocilizumab first 30 days </w:t>
            </w:r>
          </w:p>
        </w:tc>
      </w:tr>
      <w:tr w:rsidR="005711F5" w:rsidRPr="00CA23AA" w14:paraId="3A8CCFE1"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BF2B31" w14:textId="77777777" w:rsidR="005711F5" w:rsidRPr="00CA23AA" w:rsidRDefault="005711F5" w:rsidP="003944B3">
            <w:pPr>
              <w:pStyle w:val="Tabletext0"/>
              <w:keepNext/>
              <w:keepLines/>
              <w:jc w:val="left"/>
            </w:pPr>
            <w:r w:rsidRPr="00CA23AA">
              <w:t xml:space="preserve">Yes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18E8D5F6" w14:textId="64E0BC1D"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37650C12" w14:textId="444C0A8C"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7C09F339"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0FAD33" w14:textId="77777777" w:rsidR="005711F5" w:rsidRPr="00CA23AA" w:rsidRDefault="005711F5" w:rsidP="003944B3">
            <w:pPr>
              <w:pStyle w:val="Tabletext0"/>
              <w:keepNext/>
              <w:keepLines/>
              <w:jc w:val="left"/>
            </w:pPr>
            <w:r w:rsidRPr="00CA23AA">
              <w:t xml:space="preserve">No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3F745BCA" w14:textId="4ECEA390"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6DF21B30" w14:textId="636D1515"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2F481749" w14:textId="77777777" w:rsidTr="00ED2443">
        <w:trPr>
          <w:trHeight w:val="195"/>
          <w:jc w:val="center"/>
        </w:trPr>
        <w:tc>
          <w:tcPr>
            <w:tcW w:w="5000" w:type="pct"/>
            <w:gridSpan w:val="3"/>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4C4DC67" w14:textId="77777777" w:rsidR="005711F5" w:rsidRPr="00CA23AA" w:rsidRDefault="005711F5" w:rsidP="003944B3">
            <w:pPr>
              <w:pStyle w:val="Tabletext0"/>
              <w:keepNext/>
              <w:keepLines/>
              <w:jc w:val="left"/>
            </w:pPr>
            <w:r w:rsidRPr="00CA23AA">
              <w:rPr>
                <w:b/>
              </w:rPr>
              <w:t xml:space="preserve">Tocilizumab days 30-100 </w:t>
            </w:r>
            <w:r w:rsidRPr="00CA23AA">
              <w:t xml:space="preserve"> </w:t>
            </w:r>
          </w:p>
        </w:tc>
      </w:tr>
      <w:tr w:rsidR="005711F5" w:rsidRPr="00CA23AA" w14:paraId="65A7B3ED"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B22A60" w14:textId="77777777" w:rsidR="005711F5" w:rsidRPr="00CA23AA" w:rsidRDefault="005711F5" w:rsidP="003944B3">
            <w:pPr>
              <w:pStyle w:val="Tabletext0"/>
              <w:keepNext/>
              <w:keepLines/>
              <w:jc w:val="left"/>
            </w:pPr>
            <w:r w:rsidRPr="00CA23AA">
              <w:t xml:space="preserve">Yes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7D10A36D" w14:textId="22778E0E"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025A84DD" w14:textId="0398BFE3"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15ACBA41"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AE7A4B" w14:textId="77777777" w:rsidR="005711F5" w:rsidRPr="00CA23AA" w:rsidRDefault="005711F5" w:rsidP="003944B3">
            <w:pPr>
              <w:pStyle w:val="Tabletext0"/>
              <w:keepNext/>
              <w:keepLines/>
              <w:jc w:val="left"/>
            </w:pPr>
            <w:r w:rsidRPr="00CA23AA">
              <w:t xml:space="preserve">No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59966F01" w14:textId="5A468469"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7B2D5898" w14:textId="212BF466"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541F9DD0"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720CFB" w14:textId="77777777" w:rsidR="005711F5" w:rsidRPr="00CA23AA" w:rsidRDefault="005711F5" w:rsidP="003944B3">
            <w:pPr>
              <w:pStyle w:val="Tabletext0"/>
              <w:keepNext/>
              <w:keepLines/>
              <w:jc w:val="left"/>
            </w:pPr>
            <w:r w:rsidRPr="00CA23AA">
              <w:t xml:space="preserve">Not reported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1868C9F6" w14:textId="2941670E"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07188E81" w14:textId="5A8E4DA8"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0C8A34F4" w14:textId="77777777" w:rsidTr="00ED2443">
        <w:trPr>
          <w:trHeight w:val="195"/>
          <w:jc w:val="center"/>
        </w:trPr>
        <w:tc>
          <w:tcPr>
            <w:tcW w:w="5000" w:type="pct"/>
            <w:gridSpan w:val="3"/>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BF6222E" w14:textId="77777777" w:rsidR="005711F5" w:rsidRPr="00CA23AA" w:rsidRDefault="005711F5" w:rsidP="003944B3">
            <w:pPr>
              <w:pStyle w:val="Tabletext0"/>
              <w:keepNext/>
              <w:keepLines/>
              <w:jc w:val="left"/>
              <w:rPr>
                <w:b/>
              </w:rPr>
            </w:pPr>
            <w:r w:rsidRPr="00CA23AA">
              <w:rPr>
                <w:b/>
              </w:rPr>
              <w:t xml:space="preserve">Immunoglobulin first 30 days </w:t>
            </w:r>
          </w:p>
        </w:tc>
      </w:tr>
      <w:tr w:rsidR="005711F5" w:rsidRPr="00CA23AA" w14:paraId="4D31EDBC"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1E19E2" w14:textId="77777777" w:rsidR="005711F5" w:rsidRPr="00CA23AA" w:rsidRDefault="005711F5" w:rsidP="003944B3">
            <w:pPr>
              <w:pStyle w:val="Tabletext0"/>
              <w:keepNext/>
              <w:keepLines/>
              <w:jc w:val="left"/>
            </w:pPr>
            <w:r w:rsidRPr="00CA23AA">
              <w:t xml:space="preserve">Yes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76D3B124" w14:textId="6E8D6B7B"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323F9B34" w14:textId="4FC4F595"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09C939DA"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7A28F4" w14:textId="77777777" w:rsidR="005711F5" w:rsidRPr="00CA23AA" w:rsidRDefault="005711F5" w:rsidP="003944B3">
            <w:pPr>
              <w:pStyle w:val="Tabletext0"/>
              <w:keepNext/>
              <w:keepLines/>
              <w:jc w:val="left"/>
            </w:pPr>
            <w:r w:rsidRPr="00CA23AA">
              <w:t xml:space="preserve">No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5C81E272" w14:textId="0DD86133"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7DD90607" w14:textId="7E877280"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6762557B"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BD04B0" w14:textId="77777777" w:rsidR="005711F5" w:rsidRPr="00CA23AA" w:rsidRDefault="005711F5" w:rsidP="003944B3">
            <w:pPr>
              <w:pStyle w:val="Tabletext0"/>
              <w:keepNext/>
              <w:keepLines/>
              <w:jc w:val="left"/>
            </w:pPr>
            <w:r w:rsidRPr="00CA23AA">
              <w:t xml:space="preserve">Not reported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79699905" w14:textId="4CD5CC17"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632040C9" w14:textId="3C61631F"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4B239FD7" w14:textId="77777777" w:rsidTr="00ED2443">
        <w:trPr>
          <w:trHeight w:val="315"/>
          <w:jc w:val="center"/>
        </w:trPr>
        <w:tc>
          <w:tcPr>
            <w:tcW w:w="5000" w:type="pct"/>
            <w:gridSpan w:val="3"/>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2763031" w14:textId="77777777" w:rsidR="005711F5" w:rsidRPr="00CA23AA" w:rsidRDefault="005711F5" w:rsidP="003944B3">
            <w:pPr>
              <w:pStyle w:val="Tabletext0"/>
              <w:keepNext/>
              <w:keepLines/>
              <w:jc w:val="left"/>
              <w:rPr>
                <w:b/>
              </w:rPr>
            </w:pPr>
            <w:r w:rsidRPr="00CA23AA">
              <w:rPr>
                <w:b/>
              </w:rPr>
              <w:t xml:space="preserve">Immunoglobulin days 30-100 </w:t>
            </w:r>
          </w:p>
        </w:tc>
      </w:tr>
      <w:tr w:rsidR="005711F5" w:rsidRPr="00CA23AA" w14:paraId="15E010BC"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B7E55B" w14:textId="77777777" w:rsidR="005711F5" w:rsidRPr="00CA23AA" w:rsidRDefault="005711F5" w:rsidP="003944B3">
            <w:pPr>
              <w:pStyle w:val="Tabletext0"/>
              <w:keepNext/>
              <w:keepLines/>
              <w:jc w:val="left"/>
            </w:pPr>
            <w:r w:rsidRPr="00CA23AA">
              <w:t xml:space="preserve">Yes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19E69D44" w14:textId="45AD8FFF"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3F2BFEF0" w14:textId="42E5FBC4"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0524416C"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EEC414" w14:textId="77777777" w:rsidR="005711F5" w:rsidRPr="00CA23AA" w:rsidRDefault="005711F5" w:rsidP="003944B3">
            <w:pPr>
              <w:pStyle w:val="Tabletext0"/>
              <w:keepNext/>
              <w:keepLines/>
              <w:jc w:val="left"/>
            </w:pPr>
            <w:r w:rsidRPr="00CA23AA">
              <w:t xml:space="preserve">No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15E50D8F" w14:textId="6DB6F605"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0F45D5B5" w14:textId="3D5852F0"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1F5AC0D0"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EE7658" w14:textId="77777777" w:rsidR="005711F5" w:rsidRPr="00CA23AA" w:rsidRDefault="005711F5" w:rsidP="003944B3">
            <w:pPr>
              <w:pStyle w:val="Tabletext0"/>
              <w:keepNext/>
              <w:keepLines/>
              <w:jc w:val="left"/>
            </w:pPr>
            <w:r w:rsidRPr="00CA23AA">
              <w:t xml:space="preserve">Not reported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093EEAF5" w14:textId="6C6D7C82"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4DC87C70" w14:textId="3FA8ED08"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5BB72D31" w14:textId="77777777" w:rsidTr="00ED2443">
        <w:trPr>
          <w:trHeight w:val="195"/>
          <w:jc w:val="center"/>
        </w:trPr>
        <w:tc>
          <w:tcPr>
            <w:tcW w:w="5000" w:type="pct"/>
            <w:gridSpan w:val="3"/>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7A3A328" w14:textId="77777777" w:rsidR="005711F5" w:rsidRPr="00CA23AA" w:rsidRDefault="005711F5" w:rsidP="003944B3">
            <w:pPr>
              <w:pStyle w:val="Tabletext0"/>
              <w:keepNext/>
              <w:keepLines/>
              <w:jc w:val="left"/>
              <w:rPr>
                <w:b/>
              </w:rPr>
            </w:pPr>
            <w:r w:rsidRPr="00CA23AA">
              <w:rPr>
                <w:b/>
              </w:rPr>
              <w:t xml:space="preserve">Immunoglobulin days -1 year </w:t>
            </w:r>
          </w:p>
        </w:tc>
      </w:tr>
      <w:tr w:rsidR="005711F5" w:rsidRPr="00CA23AA" w14:paraId="7CB23951"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4D8DCA" w14:textId="77777777" w:rsidR="005711F5" w:rsidRPr="00CA23AA" w:rsidRDefault="005711F5" w:rsidP="003944B3">
            <w:pPr>
              <w:pStyle w:val="Tabletext0"/>
              <w:keepNext/>
              <w:keepLines/>
              <w:jc w:val="left"/>
            </w:pPr>
            <w:r w:rsidRPr="00CA23AA">
              <w:t xml:space="preserve">Yes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434541D2" w14:textId="249864F6"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52FADB0C" w14:textId="4450DF4D"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03EDF186"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4DD016" w14:textId="77777777" w:rsidR="005711F5" w:rsidRPr="00CA23AA" w:rsidRDefault="005711F5" w:rsidP="003944B3">
            <w:pPr>
              <w:pStyle w:val="Tabletext0"/>
              <w:keepNext/>
              <w:keepLines/>
              <w:jc w:val="left"/>
            </w:pPr>
            <w:r w:rsidRPr="00CA23AA">
              <w:t xml:space="preserve">No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3034B8FB" w14:textId="6CA49AFD"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71A9389E" w14:textId="4C7D0AA0"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r w:rsidR="005711F5" w:rsidRPr="00CA23AA" w14:paraId="1D12B0BD" w14:textId="77777777" w:rsidTr="00594907">
        <w:trPr>
          <w:trHeight w:val="195"/>
          <w:jc w:val="center"/>
        </w:trPr>
        <w:tc>
          <w:tcPr>
            <w:tcW w:w="1855"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57595A" w14:textId="77777777" w:rsidR="005711F5" w:rsidRPr="00CA23AA" w:rsidRDefault="005711F5" w:rsidP="003944B3">
            <w:pPr>
              <w:pStyle w:val="Tabletext0"/>
              <w:keepNext/>
              <w:keepLines/>
              <w:jc w:val="left"/>
            </w:pPr>
            <w:r w:rsidRPr="00CA23AA">
              <w:t xml:space="preserve">Not reported </w:t>
            </w:r>
          </w:p>
        </w:tc>
        <w:tc>
          <w:tcPr>
            <w:tcW w:w="1681"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640BA9F5" w14:textId="18EF60F1"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c>
          <w:tcPr>
            <w:tcW w:w="1464" w:type="pct"/>
            <w:tcBorders>
              <w:top w:val="single" w:sz="8" w:space="0" w:color="auto"/>
              <w:left w:val="single" w:sz="8" w:space="0" w:color="auto"/>
              <w:bottom w:val="single" w:sz="8" w:space="0" w:color="auto"/>
              <w:right w:val="single" w:sz="8" w:space="0" w:color="auto"/>
            </w:tcBorders>
            <w:shd w:val="solid" w:color="000000" w:fill="000000"/>
            <w:tcMar>
              <w:left w:w="108" w:type="dxa"/>
              <w:right w:w="108" w:type="dxa"/>
            </w:tcMar>
            <w:vAlign w:val="center"/>
          </w:tcPr>
          <w:p w14:paraId="2E841B29" w14:textId="42CE5E7D" w:rsidR="005711F5" w:rsidRPr="00CA23AA" w:rsidRDefault="00594907" w:rsidP="003944B3">
            <w:pPr>
              <w:pStyle w:val="Tabletext0"/>
              <w:keepNext/>
              <w:keepLines/>
              <w:jc w:val="center"/>
            </w:pPr>
            <w:r w:rsidRPr="00594907">
              <w:rPr>
                <w:color w:val="000000"/>
                <w14:textFill>
                  <w14:solidFill>
                    <w14:srgbClr w14:val="000000">
                      <w14:alpha w14:val="100000"/>
                    </w14:srgbClr>
                  </w14:solidFill>
                </w14:textFill>
              </w:rPr>
              <w:t>|</w:t>
            </w:r>
          </w:p>
        </w:tc>
      </w:tr>
    </w:tbl>
    <w:p w14:paraId="71130904" w14:textId="77777777" w:rsidR="005711F5" w:rsidRPr="00CA23AA" w:rsidRDefault="005711F5" w:rsidP="003944B3">
      <w:pPr>
        <w:pStyle w:val="Tablenotes0"/>
        <w:keepNext/>
        <w:keepLines/>
      </w:pPr>
      <w:r w:rsidRPr="00CA23AA">
        <w:t>Results reported as n/N, %</w:t>
      </w:r>
    </w:p>
    <w:p w14:paraId="024DCDCD" w14:textId="77777777" w:rsidR="005711F5" w:rsidRPr="00CA23AA" w:rsidRDefault="005711F5" w:rsidP="003944B3">
      <w:pPr>
        <w:pStyle w:val="Tablenotes0"/>
        <w:keepNext/>
        <w:keepLines/>
      </w:pPr>
      <w:r w:rsidRPr="00CA23AA">
        <w:t>ABMTRR = Australasian Bone Marrow Transplant Recipient Registry; n = number of patients experiencing the event; N= total number of patients; NR = Not reported</w:t>
      </w:r>
    </w:p>
    <w:p w14:paraId="7DDCE1F3" w14:textId="77777777" w:rsidR="005711F5" w:rsidRPr="00CA23AA" w:rsidRDefault="005711F5" w:rsidP="003944B3">
      <w:pPr>
        <w:pStyle w:val="Tablenotes0"/>
        <w:keepNext/>
        <w:keepLines/>
      </w:pPr>
      <w:r w:rsidRPr="00CA23AA">
        <w:t>Australian Bone Marrow Transplant Recipient Registry (ABMTRR) report version 4, and additional ABMTRR data request supplied by the Sponsor.</w:t>
      </w:r>
    </w:p>
    <w:p w14:paraId="6E46A403" w14:textId="126B5487" w:rsidR="002C727F" w:rsidRPr="00CA23AA" w:rsidRDefault="002C727F" w:rsidP="005711F5">
      <w:pPr>
        <w:rPr>
          <w:b/>
        </w:rPr>
      </w:pPr>
      <w:r w:rsidRPr="00CA23AA">
        <w:rPr>
          <w:b/>
        </w:rPr>
        <w:t>Subsequent Stem Cell Transplant (</w:t>
      </w:r>
      <w:proofErr w:type="spellStart"/>
      <w:r w:rsidRPr="00CA23AA">
        <w:rPr>
          <w:b/>
        </w:rPr>
        <w:t>aHSCT</w:t>
      </w:r>
      <w:proofErr w:type="spellEnd"/>
      <w:r w:rsidRPr="00CA23AA">
        <w:rPr>
          <w:b/>
        </w:rPr>
        <w:t>)</w:t>
      </w:r>
    </w:p>
    <w:p w14:paraId="55B57ACE" w14:textId="36D250C3" w:rsidR="00572D77" w:rsidRPr="00CA23AA" w:rsidRDefault="00572D77" w:rsidP="00223A33">
      <w:r w:rsidRPr="00CA23AA">
        <w:t xml:space="preserve">Subsequent </w:t>
      </w:r>
      <w:proofErr w:type="spellStart"/>
      <w:r w:rsidRPr="00CA23AA">
        <w:t>aHSCT</w:t>
      </w:r>
      <w:proofErr w:type="spellEnd"/>
      <w:r w:rsidRPr="00CA23AA">
        <w:t>, post-TIS may be used in different clinical contexts. It may be used if the patient is relapsed or refractory to TIS</w:t>
      </w:r>
      <w:r w:rsidR="00477793" w:rsidRPr="00CA23AA">
        <w:t xml:space="preserve"> (treatment failure)</w:t>
      </w:r>
      <w:r w:rsidRPr="00CA23AA">
        <w:t xml:space="preserve">. Additionally, </w:t>
      </w:r>
      <w:proofErr w:type="spellStart"/>
      <w:r w:rsidRPr="00CA23AA">
        <w:t>aHSCT</w:t>
      </w:r>
      <w:proofErr w:type="spellEnd"/>
      <w:r w:rsidRPr="00CA23AA">
        <w:t xml:space="preserve"> may be conducted </w:t>
      </w:r>
      <w:r w:rsidR="00477793" w:rsidRPr="00CA23AA">
        <w:t>during</w:t>
      </w:r>
      <w:r w:rsidRPr="00CA23AA">
        <w:t xml:space="preserve"> remission to increase </w:t>
      </w:r>
      <w:bookmarkStart w:id="40" w:name="_Hlk132982915"/>
      <w:r w:rsidRPr="00CA23AA">
        <w:t xml:space="preserve">the efficacy of </w:t>
      </w:r>
      <w:r w:rsidR="00477793" w:rsidRPr="00CA23AA">
        <w:t>TIS</w:t>
      </w:r>
      <w:r w:rsidRPr="00CA23AA">
        <w:t xml:space="preserve"> leading to increase relapse free survival and overall survival (consolidative </w:t>
      </w:r>
      <w:proofErr w:type="spellStart"/>
      <w:r w:rsidRPr="00CA23AA">
        <w:t>aHSCT</w:t>
      </w:r>
      <w:proofErr w:type="spellEnd"/>
      <w:r w:rsidRPr="00CA23AA">
        <w:t>)</w:t>
      </w:r>
      <w:r w:rsidR="006344A3" w:rsidRPr="00CA23AA">
        <w:rPr>
          <w:rStyle w:val="FootnoteReference"/>
        </w:rPr>
        <w:footnoteReference w:id="19"/>
      </w:r>
      <w:r w:rsidRPr="00CA23AA">
        <w:t xml:space="preserve">. </w:t>
      </w:r>
      <w:bookmarkEnd w:id="40"/>
      <w:r w:rsidRPr="00CA23AA">
        <w:t xml:space="preserve">However, in some cases, </w:t>
      </w:r>
      <w:r w:rsidR="00862613" w:rsidRPr="00CA23AA">
        <w:t>TIS</w:t>
      </w:r>
      <w:r w:rsidRPr="00CA23AA">
        <w:t xml:space="preserve"> therapy </w:t>
      </w:r>
      <w:r w:rsidR="00862613" w:rsidRPr="00CA23AA">
        <w:t>may be</w:t>
      </w:r>
      <w:r w:rsidRPr="00CA23AA">
        <w:t xml:space="preserve"> used as bridging treatment for </w:t>
      </w:r>
      <w:proofErr w:type="spellStart"/>
      <w:r w:rsidRPr="00CA23AA">
        <w:t>aHSCT</w:t>
      </w:r>
      <w:proofErr w:type="spellEnd"/>
      <w:r w:rsidRPr="00CA23AA">
        <w:rPr>
          <w:rStyle w:val="FootnoteReference"/>
        </w:rPr>
        <w:footnoteReference w:id="20"/>
      </w:r>
      <w:r w:rsidRPr="00CA23AA">
        <w:t xml:space="preserve">. At this point, it is not possible to disaggregate the benefit of </w:t>
      </w:r>
      <w:proofErr w:type="spellStart"/>
      <w:r w:rsidRPr="00CA23AA">
        <w:t>aHSCT</w:t>
      </w:r>
      <w:proofErr w:type="spellEnd"/>
      <w:r w:rsidRPr="00CA23AA">
        <w:t xml:space="preserve"> from those provided by TIS. </w:t>
      </w:r>
    </w:p>
    <w:p w14:paraId="762D5C66" w14:textId="0DBFD882" w:rsidR="005711F5" w:rsidRPr="00CA23AA" w:rsidRDefault="005711F5" w:rsidP="005711F5">
      <w:pPr>
        <w:rPr>
          <w:rFonts w:ascii="Calibri" w:eastAsia="Calibri" w:hAnsi="Calibri" w:cs="Calibri"/>
          <w:color w:val="424242"/>
        </w:rPr>
      </w:pPr>
      <w:r w:rsidRPr="00CA23AA">
        <w:t xml:space="preserve">Recent data from ABMTRR report that </w:t>
      </w:r>
      <w:r w:rsidR="00594907" w:rsidRPr="00AD4862">
        <w:rPr>
          <w:color w:val="000000"/>
          <w:w w:val="86"/>
          <w:shd w:val="solid" w:color="000000" w:fill="000000"/>
          <w:fitText w:val="380" w:id="-1161539829"/>
          <w14:textFill>
            <w14:solidFill>
              <w14:srgbClr w14:val="000000">
                <w14:alpha w14:val="100000"/>
              </w14:srgbClr>
            </w14:solidFill>
          </w14:textFill>
        </w:rPr>
        <w:t>|||</w:t>
      </w:r>
      <w:r w:rsidR="00594907" w:rsidRPr="00AD4862">
        <w:rPr>
          <w:color w:val="000000"/>
          <w:spacing w:val="1"/>
          <w:w w:val="86"/>
          <w:shd w:val="solid" w:color="000000" w:fill="000000"/>
          <w:fitText w:val="380" w:id="-1161539829"/>
          <w14:textFill>
            <w14:solidFill>
              <w14:srgbClr w14:val="000000">
                <w14:alpha w14:val="100000"/>
              </w14:srgbClr>
            </w14:solidFill>
          </w14:textFill>
        </w:rPr>
        <w:t>|</w:t>
      </w:r>
      <w:r w:rsidRPr="00CA23AA">
        <w:t xml:space="preserve"> </w:t>
      </w:r>
      <w:r w:rsidR="00E75682" w:rsidRPr="00CA23AA">
        <w:t>(</w:t>
      </w:r>
      <w:r w:rsidR="00594907" w:rsidRPr="00AD4862">
        <w:rPr>
          <w:color w:val="000000"/>
          <w:w w:val="86"/>
          <w:shd w:val="solid" w:color="000000" w:fill="000000"/>
          <w:fitText w:val="380" w:id="-1161539828"/>
          <w14:textFill>
            <w14:solidFill>
              <w14:srgbClr w14:val="000000">
                <w14:alpha w14:val="100000"/>
              </w14:srgbClr>
            </w14:solidFill>
          </w14:textFill>
        </w:rPr>
        <w:t>|||</w:t>
      </w:r>
      <w:r w:rsidR="00594907" w:rsidRPr="00AD4862">
        <w:rPr>
          <w:color w:val="000000"/>
          <w:spacing w:val="1"/>
          <w:w w:val="86"/>
          <w:shd w:val="solid" w:color="000000" w:fill="000000"/>
          <w:fitText w:val="380" w:id="-1161539828"/>
          <w14:textFill>
            <w14:solidFill>
              <w14:srgbClr w14:val="000000">
                <w14:alpha w14:val="100000"/>
              </w14:srgbClr>
            </w14:solidFill>
          </w14:textFill>
        </w:rPr>
        <w:t>|</w:t>
      </w:r>
      <w:r w:rsidR="00E75682" w:rsidRPr="00CA23AA">
        <w:t>%)</w:t>
      </w:r>
      <w:r w:rsidRPr="00CA23AA">
        <w:t xml:space="preserve"> patients underwent </w:t>
      </w:r>
      <w:proofErr w:type="spellStart"/>
      <w:r w:rsidRPr="00CA23AA">
        <w:t>aHSCT</w:t>
      </w:r>
      <w:proofErr w:type="spellEnd"/>
      <w:r w:rsidRPr="00CA23AA">
        <w:t xml:space="preserve"> post </w:t>
      </w:r>
      <w:r w:rsidR="00376722" w:rsidRPr="00CA23AA">
        <w:t>TIS</w:t>
      </w:r>
      <w:r w:rsidRPr="00CA23AA">
        <w:t xml:space="preserve"> infusion. Of those, </w:t>
      </w:r>
      <w:r w:rsidR="00594907" w:rsidRPr="00186539">
        <w:rPr>
          <w:color w:val="000000"/>
          <w:w w:val="86"/>
          <w:shd w:val="solid" w:color="000000" w:fill="000000"/>
          <w:fitText w:val="380" w:id="-1161539827"/>
          <w14:textFill>
            <w14:solidFill>
              <w14:srgbClr w14:val="000000">
                <w14:alpha w14:val="100000"/>
              </w14:srgbClr>
            </w14:solidFill>
          </w14:textFill>
        </w:rPr>
        <w:t>|||</w:t>
      </w:r>
      <w:r w:rsidR="00594907" w:rsidRPr="00186539">
        <w:rPr>
          <w:color w:val="000000"/>
          <w:spacing w:val="1"/>
          <w:w w:val="86"/>
          <w:shd w:val="solid" w:color="000000" w:fill="000000"/>
          <w:fitText w:val="380" w:id="-1161539827"/>
          <w14:textFill>
            <w14:solidFill>
              <w14:srgbClr w14:val="000000">
                <w14:alpha w14:val="100000"/>
              </w14:srgbClr>
            </w14:solidFill>
          </w14:textFill>
        </w:rPr>
        <w:t>|</w:t>
      </w:r>
      <w:r w:rsidRPr="00CA23AA">
        <w:t xml:space="preserve"> </w:t>
      </w:r>
      <w:r w:rsidR="00AF2240" w:rsidRPr="00CA23AA">
        <w:t>(</w:t>
      </w:r>
      <w:r w:rsidR="00594907" w:rsidRPr="00186539">
        <w:rPr>
          <w:color w:val="000000"/>
          <w:w w:val="88"/>
          <w:shd w:val="solid" w:color="000000" w:fill="000000"/>
          <w:fitText w:val="390" w:id="-1161539826"/>
          <w14:textFill>
            <w14:solidFill>
              <w14:srgbClr w14:val="000000">
                <w14:alpha w14:val="100000"/>
              </w14:srgbClr>
            </w14:solidFill>
          </w14:textFill>
        </w:rPr>
        <w:t>|||</w:t>
      </w:r>
      <w:r w:rsidR="00594907" w:rsidRPr="00186539">
        <w:rPr>
          <w:color w:val="000000"/>
          <w:spacing w:val="2"/>
          <w:w w:val="88"/>
          <w:shd w:val="solid" w:color="000000" w:fill="000000"/>
          <w:fitText w:val="390" w:id="-1161539826"/>
          <w14:textFill>
            <w14:solidFill>
              <w14:srgbClr w14:val="000000">
                <w14:alpha w14:val="100000"/>
              </w14:srgbClr>
            </w14:solidFill>
          </w14:textFill>
        </w:rPr>
        <w:t>|</w:t>
      </w:r>
      <w:r w:rsidR="00AF2240" w:rsidRPr="00CA23AA">
        <w:t>%)</w:t>
      </w:r>
      <w:r w:rsidRPr="00CA23AA">
        <w:t xml:space="preserve"> were planned and </w:t>
      </w:r>
      <w:r w:rsidR="00594907" w:rsidRPr="00186539">
        <w:rPr>
          <w:color w:val="000000"/>
          <w:w w:val="88"/>
          <w:shd w:val="solid" w:color="000000" w:fill="000000"/>
          <w:fitText w:val="390" w:id="-1161539825"/>
          <w14:textFill>
            <w14:solidFill>
              <w14:srgbClr w14:val="000000">
                <w14:alpha w14:val="100000"/>
              </w14:srgbClr>
            </w14:solidFill>
          </w14:textFill>
        </w:rPr>
        <w:t>|||</w:t>
      </w:r>
      <w:r w:rsidR="00594907" w:rsidRPr="00186539">
        <w:rPr>
          <w:color w:val="000000"/>
          <w:spacing w:val="2"/>
          <w:w w:val="88"/>
          <w:shd w:val="solid" w:color="000000" w:fill="000000"/>
          <w:fitText w:val="390" w:id="-1161539825"/>
          <w14:textFill>
            <w14:solidFill>
              <w14:srgbClr w14:val="000000">
                <w14:alpha w14:val="100000"/>
              </w14:srgbClr>
            </w14:solidFill>
          </w14:textFill>
        </w:rPr>
        <w:t>|</w:t>
      </w:r>
      <w:r w:rsidRPr="00CA23AA">
        <w:t xml:space="preserve"> </w:t>
      </w:r>
      <w:r w:rsidR="00A70A33" w:rsidRPr="00CA23AA">
        <w:t>(</w:t>
      </w:r>
      <w:r w:rsidR="00594907" w:rsidRPr="00186539">
        <w:rPr>
          <w:color w:val="000000"/>
          <w:w w:val="88"/>
          <w:shd w:val="solid" w:color="000000" w:fill="000000"/>
          <w:fitText w:val="390" w:id="-1161539824"/>
          <w14:textFill>
            <w14:solidFill>
              <w14:srgbClr w14:val="000000">
                <w14:alpha w14:val="100000"/>
              </w14:srgbClr>
            </w14:solidFill>
          </w14:textFill>
        </w:rPr>
        <w:t>|||</w:t>
      </w:r>
      <w:r w:rsidR="00594907" w:rsidRPr="00186539">
        <w:rPr>
          <w:color w:val="000000"/>
          <w:spacing w:val="2"/>
          <w:w w:val="88"/>
          <w:shd w:val="solid" w:color="000000" w:fill="000000"/>
          <w:fitText w:val="390" w:id="-1161539824"/>
          <w14:textFill>
            <w14:solidFill>
              <w14:srgbClr w14:val="000000">
                <w14:alpha w14:val="100000"/>
              </w14:srgbClr>
            </w14:solidFill>
          </w14:textFill>
        </w:rPr>
        <w:t>|</w:t>
      </w:r>
      <w:r w:rsidR="00A70A33" w:rsidRPr="00CA23AA">
        <w:t>%)</w:t>
      </w:r>
      <w:r w:rsidR="00AE3A8C" w:rsidRPr="00CA23AA">
        <w:t xml:space="preserve"> </w:t>
      </w:r>
      <w:r w:rsidRPr="00CA23AA">
        <w:t xml:space="preserve">were due to </w:t>
      </w:r>
      <w:r w:rsidR="00A70A33" w:rsidRPr="00CA23AA">
        <w:t xml:space="preserve">treatment </w:t>
      </w:r>
      <w:r w:rsidRPr="00CA23AA">
        <w:t xml:space="preserve">failure. These data appear substantially different </w:t>
      </w:r>
      <w:r w:rsidR="006576C7" w:rsidRPr="00CA23AA">
        <w:t>in comparison to the</w:t>
      </w:r>
      <w:r w:rsidRPr="00CA23AA">
        <w:t xml:space="preserve"> </w:t>
      </w:r>
      <w:r w:rsidR="006576C7" w:rsidRPr="00CA23AA">
        <w:t>s</w:t>
      </w:r>
      <w:r w:rsidRPr="00CA23AA">
        <w:t xml:space="preserve">tate data </w:t>
      </w:r>
      <w:r w:rsidR="006576C7" w:rsidRPr="00CA23AA">
        <w:t xml:space="preserve">provided </w:t>
      </w:r>
      <w:r w:rsidR="320DF20E" w:rsidRPr="00CA23AA">
        <w:t>for</w:t>
      </w:r>
      <w:r w:rsidR="00AE3A8C" w:rsidRPr="00CA23AA">
        <w:t xml:space="preserve"> the commentary</w:t>
      </w:r>
      <w:r w:rsidRPr="00CA23AA">
        <w:t xml:space="preserve"> (</w:t>
      </w:r>
      <w:r w:rsidR="00B336C8" w:rsidRPr="00CA23AA">
        <w:fldChar w:fldCharType="begin"/>
      </w:r>
      <w:r w:rsidR="00B336C8" w:rsidRPr="00CA23AA">
        <w:instrText xml:space="preserve"> REF _Ref133947781 \h </w:instrText>
      </w:r>
      <w:r w:rsidR="00CA23AA">
        <w:instrText xml:space="preserve"> \* MERGEFORMAT </w:instrText>
      </w:r>
      <w:r w:rsidR="00B336C8" w:rsidRPr="00CA23AA">
        <w:fldChar w:fldCharType="separate"/>
      </w:r>
      <w:r w:rsidR="00175880" w:rsidRPr="00CA23AA">
        <w:t xml:space="preserve">Table </w:t>
      </w:r>
      <w:r w:rsidR="00175880" w:rsidRPr="00CA23AA">
        <w:rPr>
          <w:noProof/>
        </w:rPr>
        <w:t>10</w:t>
      </w:r>
      <w:r w:rsidR="00B336C8" w:rsidRPr="00CA23AA">
        <w:fldChar w:fldCharType="end"/>
      </w:r>
      <w:r w:rsidRPr="00CA23AA">
        <w:t xml:space="preserve">). </w:t>
      </w:r>
    </w:p>
    <w:p w14:paraId="453EBDA6" w14:textId="2F3D083D" w:rsidR="005711F5" w:rsidRPr="00CA23AA" w:rsidRDefault="00594907" w:rsidP="005711F5">
      <w:r w:rsidRPr="00186539">
        <w:rPr>
          <w:color w:val="000000"/>
          <w:w w:val="88"/>
          <w:shd w:val="solid" w:color="000000" w:fill="000000"/>
          <w:fitText w:val="390" w:id="-1161539840"/>
          <w14:textFill>
            <w14:solidFill>
              <w14:srgbClr w14:val="000000">
                <w14:alpha w14:val="100000"/>
              </w14:srgbClr>
            </w14:solidFill>
          </w14:textFill>
        </w:rPr>
        <w:t>|||</w:t>
      </w:r>
      <w:r w:rsidRPr="00186539">
        <w:rPr>
          <w:color w:val="000000"/>
          <w:spacing w:val="2"/>
          <w:w w:val="88"/>
          <w:shd w:val="solid" w:color="000000" w:fill="000000"/>
          <w:fitText w:val="390" w:id="-1161539840"/>
          <w14:textFill>
            <w14:solidFill>
              <w14:srgbClr w14:val="000000">
                <w14:alpha w14:val="100000"/>
              </w14:srgbClr>
            </w14:solidFill>
          </w14:textFill>
        </w:rPr>
        <w:t>|</w:t>
      </w:r>
    </w:p>
    <w:p w14:paraId="12FE683E" w14:textId="51281A49" w:rsidR="005711F5" w:rsidRPr="00CA23AA" w:rsidRDefault="00767F9A" w:rsidP="005711F5">
      <w:pPr>
        <w:rPr>
          <w:rFonts w:ascii="Calibri" w:eastAsia="Calibri" w:hAnsi="Calibri" w:cs="Calibri"/>
          <w:color w:val="424242"/>
        </w:rPr>
      </w:pPr>
      <w:r w:rsidRPr="00CA23AA">
        <w:t xml:space="preserve">Fewer than 5 patients </w:t>
      </w:r>
      <w:r w:rsidR="005711F5" w:rsidRPr="00CA23AA">
        <w:t xml:space="preserve">treated in NSW received a transplant, however it is unclear if </w:t>
      </w:r>
      <w:r w:rsidRPr="00CA23AA">
        <w:t xml:space="preserve">patients were </w:t>
      </w:r>
      <w:r w:rsidR="005711F5" w:rsidRPr="00CA23AA">
        <w:t>remission at this timepoint.</w:t>
      </w:r>
      <w:bookmarkStart w:id="41" w:name="_Ref147757339"/>
      <w:r w:rsidR="00E94568" w:rsidRPr="00CA23AA">
        <w:rPr>
          <w:rStyle w:val="FootnoteReference"/>
        </w:rPr>
        <w:footnoteReference w:id="21"/>
      </w:r>
      <w:bookmarkEnd w:id="41"/>
      <w:r w:rsidR="00E94568" w:rsidRPr="00CA23AA">
        <w:t xml:space="preserve"> </w:t>
      </w:r>
    </w:p>
    <w:p w14:paraId="12583215" w14:textId="50DDC3B3" w:rsidR="009226FD" w:rsidRPr="00CA23AA" w:rsidRDefault="00767F9A" w:rsidP="009226FD">
      <w:r w:rsidRPr="00CA23AA">
        <w:t xml:space="preserve">Fewer than 5 </w:t>
      </w:r>
      <w:r w:rsidR="005711F5" w:rsidRPr="00CA23AA">
        <w:t xml:space="preserve">patients treated in Queensland received </w:t>
      </w:r>
      <w:proofErr w:type="spellStart"/>
      <w:r w:rsidR="005711F5" w:rsidRPr="00CA23AA">
        <w:t>aHSCT</w:t>
      </w:r>
      <w:proofErr w:type="spellEnd"/>
      <w:r w:rsidR="005711F5" w:rsidRPr="00CA23AA">
        <w:t xml:space="preserve">. </w:t>
      </w:r>
      <w:r w:rsidRPr="00CA23AA">
        <w:t xml:space="preserve">Reasons for </w:t>
      </w:r>
      <w:proofErr w:type="spellStart"/>
      <w:r w:rsidRPr="00CA23AA">
        <w:t>aHSCT</w:t>
      </w:r>
      <w:proofErr w:type="spellEnd"/>
      <w:r w:rsidRPr="00CA23AA">
        <w:t xml:space="preserve"> include relapse and </w:t>
      </w:r>
      <w:r w:rsidR="005711F5" w:rsidRPr="00CA23AA">
        <w:t>early loss of BCA</w:t>
      </w:r>
      <w:r w:rsidRPr="00CA23AA">
        <w:t>.</w:t>
      </w:r>
      <w:r w:rsidR="00E94568" w:rsidRPr="00CA23AA">
        <w:rPr>
          <w:vertAlign w:val="superscript"/>
        </w:rPr>
        <w:fldChar w:fldCharType="begin"/>
      </w:r>
      <w:r w:rsidR="00E94568" w:rsidRPr="00CA23AA">
        <w:rPr>
          <w:vertAlign w:val="superscript"/>
        </w:rPr>
        <w:instrText xml:space="preserve"> NOTEREF _Ref147757339 \h  \* MERGEFORMAT </w:instrText>
      </w:r>
      <w:r w:rsidR="00E94568" w:rsidRPr="00CA23AA">
        <w:rPr>
          <w:vertAlign w:val="superscript"/>
        </w:rPr>
      </w:r>
      <w:r w:rsidR="00E94568" w:rsidRPr="00CA23AA">
        <w:rPr>
          <w:vertAlign w:val="superscript"/>
        </w:rPr>
        <w:fldChar w:fldCharType="separate"/>
      </w:r>
      <w:r w:rsidR="00E94568" w:rsidRPr="00CA23AA">
        <w:rPr>
          <w:vertAlign w:val="superscript"/>
        </w:rPr>
        <w:t>20</w:t>
      </w:r>
      <w:r w:rsidR="00E94568" w:rsidRPr="00CA23AA">
        <w:rPr>
          <w:vertAlign w:val="superscript"/>
        </w:rPr>
        <w:fldChar w:fldCharType="end"/>
      </w:r>
      <w:r w:rsidR="005711F5" w:rsidRPr="00CA23AA">
        <w:t xml:space="preserve"> </w:t>
      </w:r>
    </w:p>
    <w:p w14:paraId="3FF1D4FA" w14:textId="5FF55318" w:rsidR="002D7376" w:rsidRPr="00CA23AA" w:rsidRDefault="007F7AF7" w:rsidP="005711F5">
      <w:r w:rsidRPr="00CA23AA">
        <w:t xml:space="preserve">In real world studies, the proportion of patients who received </w:t>
      </w:r>
      <w:proofErr w:type="spellStart"/>
      <w:r w:rsidRPr="00CA23AA">
        <w:t>aHSCT</w:t>
      </w:r>
      <w:proofErr w:type="spellEnd"/>
      <w:r w:rsidRPr="00CA23AA">
        <w:t xml:space="preserve"> varied widely: from 2.4% to 26.3%. The larger studies (</w:t>
      </w:r>
      <w:proofErr w:type="spellStart"/>
      <w:r w:rsidRPr="00CA23AA">
        <w:t>Pasquini</w:t>
      </w:r>
      <w:proofErr w:type="spellEnd"/>
      <w:r w:rsidRPr="00CA23AA">
        <w:t xml:space="preserve"> 2020 and PRWCC) reported higher rates of 29.3% and 26.3%, respectively</w:t>
      </w:r>
      <w:r w:rsidR="000972D1" w:rsidRPr="00CA23AA">
        <w:t xml:space="preserve"> (</w:t>
      </w:r>
      <w:r w:rsidR="004B3551" w:rsidRPr="00CA23AA">
        <w:fldChar w:fldCharType="begin"/>
      </w:r>
      <w:r w:rsidR="004B3551" w:rsidRPr="00CA23AA">
        <w:instrText xml:space="preserve"> REF _Ref133941532 \h </w:instrText>
      </w:r>
      <w:r w:rsidR="00CA23AA">
        <w:instrText xml:space="preserve"> \* MERGEFORMAT </w:instrText>
      </w:r>
      <w:r w:rsidR="004B3551" w:rsidRPr="00CA23AA">
        <w:fldChar w:fldCharType="separate"/>
      </w:r>
      <w:r w:rsidR="00175880" w:rsidRPr="00CA23AA">
        <w:t xml:space="preserve">Table </w:t>
      </w:r>
      <w:r w:rsidR="00175880" w:rsidRPr="00CA23AA">
        <w:rPr>
          <w:noProof/>
        </w:rPr>
        <w:t>11</w:t>
      </w:r>
      <w:r w:rsidR="004B3551" w:rsidRPr="00CA23AA">
        <w:fldChar w:fldCharType="end"/>
      </w:r>
      <w:r w:rsidR="004B3551" w:rsidRPr="00CA23AA">
        <w:t>)</w:t>
      </w:r>
      <w:r w:rsidRPr="00CA23AA">
        <w:t>.</w:t>
      </w:r>
    </w:p>
    <w:p w14:paraId="6DBBA7E2" w14:textId="40967D3F" w:rsidR="00782ABE" w:rsidRPr="00CA23AA" w:rsidRDefault="002C727F" w:rsidP="00782ABE">
      <w:pPr>
        <w:rPr>
          <w:b/>
        </w:rPr>
      </w:pPr>
      <w:r w:rsidRPr="00CA23AA">
        <w:rPr>
          <w:b/>
        </w:rPr>
        <w:t>Other Post-infusion treatments</w:t>
      </w:r>
    </w:p>
    <w:p w14:paraId="1A45DF54" w14:textId="6181A804" w:rsidR="005F6F14" w:rsidRPr="00CA23AA" w:rsidRDefault="005F0BE3" w:rsidP="005F6F14">
      <w:r w:rsidRPr="00CA23AA">
        <w:t>No other post-infusion treatments were reported from the ABMTRR.</w:t>
      </w:r>
      <w:r w:rsidR="004D4837" w:rsidRPr="00CA23AA">
        <w:t xml:space="preserve"> Other treatments from state reports are reported in </w:t>
      </w:r>
      <w:r w:rsidR="004D4837" w:rsidRPr="00CA23AA">
        <w:fldChar w:fldCharType="begin"/>
      </w:r>
      <w:r w:rsidR="004D4837" w:rsidRPr="00CA23AA">
        <w:instrText xml:space="preserve"> REF _Ref133947781 \h </w:instrText>
      </w:r>
      <w:r w:rsidR="00CA23AA">
        <w:instrText xml:space="preserve"> \* MERGEFORMAT </w:instrText>
      </w:r>
      <w:r w:rsidR="004D4837" w:rsidRPr="00CA23AA">
        <w:fldChar w:fldCharType="separate"/>
      </w:r>
      <w:r w:rsidR="00175880" w:rsidRPr="00CA23AA">
        <w:t xml:space="preserve">Table </w:t>
      </w:r>
      <w:r w:rsidR="00175880" w:rsidRPr="00CA23AA">
        <w:rPr>
          <w:noProof/>
        </w:rPr>
        <w:t>10</w:t>
      </w:r>
      <w:r w:rsidR="004D4837" w:rsidRPr="00CA23AA">
        <w:fldChar w:fldCharType="end"/>
      </w:r>
      <w:r w:rsidR="004D4837" w:rsidRPr="00CA23AA">
        <w:t xml:space="preserve">. </w:t>
      </w:r>
    </w:p>
    <w:p w14:paraId="33396B66" w14:textId="7A8040D7" w:rsidR="00F97AC2" w:rsidRPr="00CA23AA" w:rsidRDefault="00594907" w:rsidP="002C727F">
      <w:r w:rsidRPr="00982219">
        <w:rPr>
          <w:color w:val="000000"/>
          <w:w w:val="88"/>
          <w:shd w:val="solid" w:color="000000" w:fill="000000"/>
          <w:fitText w:val="390" w:id="-1161539839"/>
          <w14:textFill>
            <w14:solidFill>
              <w14:srgbClr w14:val="000000">
                <w14:alpha w14:val="100000"/>
              </w14:srgbClr>
            </w14:solidFill>
          </w14:textFill>
        </w:rPr>
        <w:t>|||</w:t>
      </w:r>
      <w:r w:rsidRPr="00982219">
        <w:rPr>
          <w:color w:val="000000"/>
          <w:spacing w:val="2"/>
          <w:w w:val="88"/>
          <w:shd w:val="solid" w:color="000000" w:fill="000000"/>
          <w:fitText w:val="390" w:id="-1161539839"/>
          <w14:textFill>
            <w14:solidFill>
              <w14:srgbClr w14:val="000000">
                <w14:alpha w14:val="100000"/>
              </w14:srgbClr>
            </w14:solidFill>
          </w14:textFill>
        </w:rPr>
        <w:t>|</w:t>
      </w:r>
    </w:p>
    <w:p w14:paraId="11203008" w14:textId="2A4D636A" w:rsidR="00F97AC2" w:rsidRPr="00CA23AA" w:rsidRDefault="00E94568">
      <w:r w:rsidRPr="00CA23AA">
        <w:t>P</w:t>
      </w:r>
      <w:r w:rsidR="00F97AC2" w:rsidRPr="00CA23AA">
        <w:t>atient</w:t>
      </w:r>
      <w:r w:rsidR="00072CF8" w:rsidRPr="00CA23AA">
        <w:t>s</w:t>
      </w:r>
      <w:r w:rsidR="00F97AC2" w:rsidRPr="00CA23AA">
        <w:t xml:space="preserve"> in Queensland </w:t>
      </w:r>
      <w:r w:rsidR="00072CF8" w:rsidRPr="00CA23AA">
        <w:t xml:space="preserve">(&lt;5) </w:t>
      </w:r>
      <w:r w:rsidR="00F97AC2" w:rsidRPr="00CA23AA">
        <w:t xml:space="preserve">received </w:t>
      </w:r>
      <w:r w:rsidR="00AF7881" w:rsidRPr="00CA23AA">
        <w:t>immunotherapy</w:t>
      </w:r>
      <w:r w:rsidR="00072CF8" w:rsidRPr="00CA23AA">
        <w:t xml:space="preserve">, additional </w:t>
      </w:r>
      <w:r w:rsidR="00D17481" w:rsidRPr="00CA23AA">
        <w:t>TIS infusions</w:t>
      </w:r>
      <w:r w:rsidR="00C85D4E" w:rsidRPr="00CA23AA">
        <w:t xml:space="preserve"> and </w:t>
      </w:r>
      <w:r w:rsidR="0058494D" w:rsidRPr="00CA23AA">
        <w:t>salvage chemotherapy</w:t>
      </w:r>
      <w:r w:rsidR="00072CF8" w:rsidRPr="00CA23AA">
        <w:t>.</w:t>
      </w:r>
      <w:r w:rsidR="00072CF8" w:rsidRPr="00CA23AA">
        <w:rPr>
          <w:vertAlign w:val="superscript"/>
        </w:rPr>
        <w:fldChar w:fldCharType="begin"/>
      </w:r>
      <w:r w:rsidR="00072CF8" w:rsidRPr="00CA23AA">
        <w:rPr>
          <w:vertAlign w:val="superscript"/>
        </w:rPr>
        <w:instrText xml:space="preserve"> NOTEREF _Ref147757339 \h  \* MERGEFORMAT </w:instrText>
      </w:r>
      <w:r w:rsidR="00072CF8" w:rsidRPr="00CA23AA">
        <w:rPr>
          <w:vertAlign w:val="superscript"/>
        </w:rPr>
      </w:r>
      <w:r w:rsidR="00072CF8" w:rsidRPr="00CA23AA">
        <w:rPr>
          <w:vertAlign w:val="superscript"/>
        </w:rPr>
        <w:fldChar w:fldCharType="separate"/>
      </w:r>
      <w:r w:rsidR="00072CF8" w:rsidRPr="00CA23AA">
        <w:rPr>
          <w:vertAlign w:val="superscript"/>
        </w:rPr>
        <w:t>20</w:t>
      </w:r>
      <w:r w:rsidR="00072CF8" w:rsidRPr="00CA23AA">
        <w:rPr>
          <w:vertAlign w:val="superscript"/>
        </w:rPr>
        <w:fldChar w:fldCharType="end"/>
      </w:r>
    </w:p>
    <w:p w14:paraId="0B11D67E" w14:textId="69403311" w:rsidR="005711F5" w:rsidRPr="00CA23AA" w:rsidRDefault="005711F5" w:rsidP="00814D77">
      <w:pPr>
        <w:pStyle w:val="TableHeading0"/>
      </w:pPr>
      <w:bookmarkStart w:id="42" w:name="_Ref133947781"/>
      <w:r w:rsidRPr="00CA23AA">
        <w:t xml:space="preserve">Table </w:t>
      </w:r>
      <w:fldSimple w:instr=" SEQ Table \* ARABIC ">
        <w:r w:rsidR="00175880" w:rsidRPr="00CA23AA">
          <w:rPr>
            <w:noProof/>
          </w:rPr>
          <w:t>10</w:t>
        </w:r>
      </w:fldSimple>
      <w:bookmarkEnd w:id="42"/>
      <w:r w:rsidRPr="00CA23AA">
        <w:t xml:space="preserve"> </w:t>
      </w:r>
      <w:proofErr w:type="gramStart"/>
      <w:r w:rsidRPr="00CA23AA">
        <w:t>Post-infusion</w:t>
      </w:r>
      <w:proofErr w:type="gramEnd"/>
      <w:r w:rsidRPr="00CA23AA">
        <w:t xml:space="preserve"> treatments</w:t>
      </w:r>
    </w:p>
    <w:tbl>
      <w:tblPr>
        <w:tblStyle w:val="TableGrid"/>
        <w:tblW w:w="0" w:type="auto"/>
        <w:jc w:val="center"/>
        <w:tblLook w:val="06A0" w:firstRow="1" w:lastRow="0" w:firstColumn="1" w:lastColumn="0" w:noHBand="1" w:noVBand="1"/>
      </w:tblPr>
      <w:tblGrid>
        <w:gridCol w:w="1739"/>
        <w:gridCol w:w="1739"/>
        <w:gridCol w:w="1846"/>
        <w:gridCol w:w="1846"/>
        <w:gridCol w:w="1846"/>
      </w:tblGrid>
      <w:tr w:rsidR="005711F5" w:rsidRPr="00CA23AA" w14:paraId="6F3860F2" w14:textId="77777777" w:rsidTr="00FA0FCC">
        <w:trPr>
          <w:trHeight w:val="300"/>
          <w:jc w:val="center"/>
        </w:trPr>
        <w:tc>
          <w:tcPr>
            <w:tcW w:w="1739" w:type="dxa"/>
            <w:tcBorders>
              <w:top w:val="single" w:sz="4" w:space="0" w:color="auto"/>
              <w:left w:val="single" w:sz="4" w:space="0" w:color="auto"/>
              <w:bottom w:val="single" w:sz="4" w:space="0" w:color="auto"/>
              <w:right w:val="single" w:sz="4" w:space="0" w:color="auto"/>
            </w:tcBorders>
            <w:vAlign w:val="center"/>
          </w:tcPr>
          <w:p w14:paraId="465E611C" w14:textId="77777777" w:rsidR="005711F5" w:rsidRPr="00CA23AA" w:rsidRDefault="005711F5" w:rsidP="00ED2443">
            <w:pPr>
              <w:pStyle w:val="Tabletext0"/>
              <w:jc w:val="left"/>
            </w:pPr>
          </w:p>
        </w:tc>
        <w:tc>
          <w:tcPr>
            <w:tcW w:w="1739" w:type="dxa"/>
            <w:tcBorders>
              <w:top w:val="single" w:sz="4" w:space="0" w:color="auto"/>
              <w:left w:val="single" w:sz="4" w:space="0" w:color="auto"/>
              <w:bottom w:val="single" w:sz="4" w:space="0" w:color="auto"/>
              <w:right w:val="single" w:sz="4" w:space="0" w:color="auto"/>
            </w:tcBorders>
            <w:vAlign w:val="center"/>
          </w:tcPr>
          <w:p w14:paraId="2DC057FF" w14:textId="77777777" w:rsidR="005711F5" w:rsidRPr="00CA23AA" w:rsidRDefault="005711F5" w:rsidP="00095A3C">
            <w:pPr>
              <w:pStyle w:val="Tabletext0"/>
              <w:jc w:val="center"/>
              <w:rPr>
                <w:b/>
              </w:rPr>
            </w:pPr>
            <w:r w:rsidRPr="00CA23AA">
              <w:rPr>
                <w:b/>
              </w:rPr>
              <w:t>ABMTRR</w:t>
            </w:r>
          </w:p>
        </w:tc>
        <w:tc>
          <w:tcPr>
            <w:tcW w:w="1846" w:type="dxa"/>
            <w:tcBorders>
              <w:top w:val="single" w:sz="4" w:space="0" w:color="auto"/>
              <w:left w:val="single" w:sz="4" w:space="0" w:color="auto"/>
              <w:bottom w:val="single" w:sz="4" w:space="0" w:color="auto"/>
              <w:right w:val="single" w:sz="4" w:space="0" w:color="auto"/>
            </w:tcBorders>
            <w:vAlign w:val="center"/>
          </w:tcPr>
          <w:p w14:paraId="46FCAFE5" w14:textId="77777777" w:rsidR="005711F5" w:rsidRPr="00CA23AA" w:rsidRDefault="005711F5" w:rsidP="00095A3C">
            <w:pPr>
              <w:pStyle w:val="Tabletext0"/>
              <w:jc w:val="center"/>
              <w:rPr>
                <w:b/>
              </w:rPr>
            </w:pPr>
            <w:r w:rsidRPr="00CA23AA">
              <w:rPr>
                <w:b/>
              </w:rPr>
              <w:t>Victoria</w:t>
            </w:r>
          </w:p>
        </w:tc>
        <w:tc>
          <w:tcPr>
            <w:tcW w:w="1846" w:type="dxa"/>
            <w:tcBorders>
              <w:top w:val="single" w:sz="4" w:space="0" w:color="auto"/>
              <w:left w:val="single" w:sz="4" w:space="0" w:color="auto"/>
              <w:bottom w:val="single" w:sz="4" w:space="0" w:color="auto"/>
              <w:right w:val="single" w:sz="4" w:space="0" w:color="auto"/>
            </w:tcBorders>
            <w:vAlign w:val="center"/>
          </w:tcPr>
          <w:p w14:paraId="66F4D15C" w14:textId="77777777" w:rsidR="005711F5" w:rsidRPr="00CA23AA" w:rsidRDefault="005711F5" w:rsidP="00095A3C">
            <w:pPr>
              <w:pStyle w:val="Tabletext0"/>
              <w:jc w:val="center"/>
              <w:rPr>
                <w:b/>
              </w:rPr>
            </w:pPr>
            <w:r w:rsidRPr="00CA23AA">
              <w:rPr>
                <w:b/>
              </w:rPr>
              <w:t>NSW</w:t>
            </w:r>
          </w:p>
        </w:tc>
        <w:tc>
          <w:tcPr>
            <w:tcW w:w="1846" w:type="dxa"/>
            <w:tcBorders>
              <w:top w:val="single" w:sz="4" w:space="0" w:color="auto"/>
              <w:left w:val="single" w:sz="4" w:space="0" w:color="auto"/>
              <w:bottom w:val="single" w:sz="4" w:space="0" w:color="auto"/>
              <w:right w:val="single" w:sz="4" w:space="0" w:color="auto"/>
            </w:tcBorders>
            <w:vAlign w:val="center"/>
          </w:tcPr>
          <w:p w14:paraId="5910A936" w14:textId="77777777" w:rsidR="005711F5" w:rsidRPr="00CA23AA" w:rsidRDefault="005711F5" w:rsidP="00095A3C">
            <w:pPr>
              <w:pStyle w:val="Tabletext0"/>
              <w:jc w:val="center"/>
              <w:rPr>
                <w:b/>
              </w:rPr>
            </w:pPr>
            <w:r w:rsidRPr="00CA23AA">
              <w:rPr>
                <w:b/>
              </w:rPr>
              <w:t>Queensland</w:t>
            </w:r>
          </w:p>
        </w:tc>
      </w:tr>
      <w:tr w:rsidR="005711F5" w:rsidRPr="00CA23AA" w14:paraId="51F64E08" w14:textId="77777777" w:rsidTr="00594907">
        <w:trPr>
          <w:trHeight w:val="300"/>
          <w:jc w:val="center"/>
        </w:trPr>
        <w:tc>
          <w:tcPr>
            <w:tcW w:w="1739" w:type="dxa"/>
            <w:tcBorders>
              <w:top w:val="single" w:sz="4" w:space="0" w:color="auto"/>
              <w:left w:val="single" w:sz="4" w:space="0" w:color="auto"/>
              <w:bottom w:val="single" w:sz="4" w:space="0" w:color="auto"/>
              <w:right w:val="single" w:sz="4" w:space="0" w:color="auto"/>
            </w:tcBorders>
            <w:vAlign w:val="center"/>
          </w:tcPr>
          <w:p w14:paraId="60EC0612" w14:textId="77777777" w:rsidR="005711F5" w:rsidRPr="00CA23AA" w:rsidRDefault="005711F5" w:rsidP="00ED2443">
            <w:pPr>
              <w:pStyle w:val="Tabletext0"/>
              <w:jc w:val="left"/>
            </w:pPr>
          </w:p>
        </w:tc>
        <w:tc>
          <w:tcPr>
            <w:tcW w:w="1739" w:type="dxa"/>
            <w:tcBorders>
              <w:top w:val="single" w:sz="4" w:space="0" w:color="auto"/>
              <w:left w:val="single" w:sz="4" w:space="0" w:color="auto"/>
              <w:bottom w:val="single" w:sz="4" w:space="0" w:color="auto"/>
              <w:right w:val="single" w:sz="4" w:space="0" w:color="auto"/>
            </w:tcBorders>
            <w:vAlign w:val="center"/>
          </w:tcPr>
          <w:p w14:paraId="59B1B894" w14:textId="77777777" w:rsidR="005711F5" w:rsidRPr="00CA23AA" w:rsidRDefault="005711F5" w:rsidP="00ED2443">
            <w:pPr>
              <w:pStyle w:val="Tabletext0"/>
              <w:jc w:val="center"/>
            </w:pPr>
            <w:r w:rsidRPr="00CA23AA">
              <w:t>January 2023</w:t>
            </w:r>
          </w:p>
        </w:tc>
        <w:tc>
          <w:tcPr>
            <w:tcW w:w="1846" w:type="dxa"/>
            <w:tcBorders>
              <w:top w:val="single" w:sz="4" w:space="0" w:color="auto"/>
              <w:left w:val="single" w:sz="4" w:space="0" w:color="auto"/>
              <w:bottom w:val="single" w:sz="4" w:space="0" w:color="auto"/>
              <w:right w:val="single" w:sz="4" w:space="0" w:color="auto"/>
            </w:tcBorders>
            <w:vAlign w:val="center"/>
          </w:tcPr>
          <w:p w14:paraId="1202F004" w14:textId="77777777" w:rsidR="005711F5" w:rsidRPr="00CA23AA" w:rsidRDefault="005711F5" w:rsidP="00ED2443">
            <w:pPr>
              <w:pStyle w:val="Tabletext0"/>
              <w:jc w:val="center"/>
            </w:pPr>
            <w:r w:rsidRPr="00CA23AA">
              <w:t>May 2019 to January 2023</w:t>
            </w:r>
          </w:p>
        </w:tc>
        <w:tc>
          <w:tcPr>
            <w:tcW w:w="1846" w:type="dxa"/>
            <w:tcBorders>
              <w:top w:val="single" w:sz="4" w:space="0" w:color="auto"/>
              <w:left w:val="single" w:sz="4" w:space="0" w:color="auto"/>
              <w:bottom w:val="single" w:sz="4" w:space="0" w:color="auto"/>
              <w:right w:val="single" w:sz="4" w:space="0" w:color="auto"/>
            </w:tcBorders>
            <w:vAlign w:val="center"/>
          </w:tcPr>
          <w:p w14:paraId="15BE92A9" w14:textId="77777777" w:rsidR="005711F5" w:rsidRPr="00CA23AA" w:rsidRDefault="005711F5" w:rsidP="00ED2443">
            <w:pPr>
              <w:pStyle w:val="Tabletext0"/>
              <w:jc w:val="center"/>
            </w:pPr>
            <w:r w:rsidRPr="00CA23AA">
              <w:t>2020 – 30th June 2022</w:t>
            </w:r>
          </w:p>
        </w:tc>
        <w:tc>
          <w:tcPr>
            <w:tcW w:w="1846" w:type="dxa"/>
            <w:tcBorders>
              <w:top w:val="single" w:sz="4" w:space="0" w:color="auto"/>
              <w:left w:val="single" w:sz="4" w:space="0" w:color="auto"/>
              <w:bottom w:val="single" w:sz="4" w:space="0" w:color="auto"/>
              <w:right w:val="single" w:sz="4" w:space="0" w:color="auto"/>
            </w:tcBorders>
            <w:vAlign w:val="center"/>
          </w:tcPr>
          <w:p w14:paraId="4B0D22A1" w14:textId="77777777" w:rsidR="005711F5" w:rsidRPr="00CA23AA" w:rsidRDefault="005711F5" w:rsidP="00ED2443">
            <w:pPr>
              <w:pStyle w:val="Tabletext0"/>
              <w:jc w:val="center"/>
            </w:pPr>
            <w:r w:rsidRPr="00CA23AA">
              <w:t>1st April 2019 to 28th September 2022</w:t>
            </w:r>
          </w:p>
        </w:tc>
      </w:tr>
      <w:tr w:rsidR="005711F5" w:rsidRPr="00CA23AA" w14:paraId="43B7201E" w14:textId="77777777" w:rsidTr="00594907">
        <w:trPr>
          <w:trHeight w:val="300"/>
          <w:jc w:val="center"/>
        </w:trPr>
        <w:tc>
          <w:tcPr>
            <w:tcW w:w="1739" w:type="dxa"/>
            <w:tcBorders>
              <w:top w:val="single" w:sz="4" w:space="0" w:color="auto"/>
              <w:left w:val="single" w:sz="4" w:space="0" w:color="auto"/>
              <w:bottom w:val="single" w:sz="4" w:space="0" w:color="auto"/>
              <w:right w:val="single" w:sz="4" w:space="0" w:color="auto"/>
            </w:tcBorders>
            <w:vAlign w:val="center"/>
          </w:tcPr>
          <w:p w14:paraId="1DF36E68" w14:textId="77777777" w:rsidR="005711F5" w:rsidRPr="00CA23AA" w:rsidRDefault="005711F5" w:rsidP="00ED2443">
            <w:pPr>
              <w:pStyle w:val="Tabletext0"/>
              <w:jc w:val="left"/>
            </w:pPr>
            <w:proofErr w:type="spellStart"/>
            <w:r w:rsidRPr="00CA23AA">
              <w:t>aHSCT</w:t>
            </w:r>
            <w:proofErr w:type="spellEnd"/>
          </w:p>
        </w:tc>
        <w:tc>
          <w:tcPr>
            <w:tcW w:w="1739" w:type="dxa"/>
            <w:tcBorders>
              <w:top w:val="single" w:sz="4" w:space="0" w:color="auto"/>
              <w:left w:val="single" w:sz="4" w:space="0" w:color="auto"/>
              <w:bottom w:val="single" w:sz="4" w:space="0" w:color="auto"/>
              <w:right w:val="single" w:sz="4" w:space="0" w:color="auto"/>
            </w:tcBorders>
            <w:shd w:val="solid" w:color="000000" w:fill="000000"/>
            <w:vAlign w:val="center"/>
          </w:tcPr>
          <w:p w14:paraId="1EDF4062" w14:textId="0FDB9180" w:rsidR="005711F5" w:rsidRPr="00CA23AA" w:rsidRDefault="00594907" w:rsidP="00ED2443">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vAlign w:val="center"/>
          </w:tcPr>
          <w:p w14:paraId="75B5B6B5" w14:textId="41C43A09" w:rsidR="005711F5" w:rsidRPr="00CA23AA" w:rsidRDefault="00594907" w:rsidP="00ED2443">
            <w:pPr>
              <w:pStyle w:val="Tabletext0"/>
              <w:jc w:val="center"/>
            </w:pPr>
            <w:r w:rsidRPr="00594907">
              <w:rPr>
                <w:color w:val="000000"/>
                <w:shd w:val="solid" w:color="000000" w:fill="000000"/>
                <w14:textFill>
                  <w14:solidFill>
                    <w14:srgbClr w14:val="000000">
                      <w14:alpha w14:val="100000"/>
                    </w14:srgbClr>
                  </w14:solidFill>
                </w14:textFill>
              </w:rPr>
              <w:t>|</w:t>
            </w:r>
            <w:r w:rsidR="005711F5" w:rsidRPr="00CA23AA">
              <w:rPr>
                <w:vertAlign w:val="superscript"/>
              </w:rPr>
              <w:t>2</w:t>
            </w:r>
          </w:p>
        </w:tc>
        <w:tc>
          <w:tcPr>
            <w:tcW w:w="1846" w:type="dxa"/>
            <w:tcBorders>
              <w:top w:val="single" w:sz="4" w:space="0" w:color="auto"/>
              <w:left w:val="single" w:sz="4" w:space="0" w:color="auto"/>
              <w:bottom w:val="single" w:sz="4" w:space="0" w:color="auto"/>
              <w:right w:val="single" w:sz="4" w:space="0" w:color="auto"/>
            </w:tcBorders>
            <w:vAlign w:val="center"/>
          </w:tcPr>
          <w:p w14:paraId="572F260E" w14:textId="0BE21D67" w:rsidR="005711F5" w:rsidRPr="00CA23AA" w:rsidRDefault="00072CF8" w:rsidP="00ED2443">
            <w:pPr>
              <w:pStyle w:val="Tabletext0"/>
              <w:jc w:val="center"/>
            </w:pPr>
            <w:r w:rsidRPr="00CA23AA">
              <w:t>&lt;5</w:t>
            </w:r>
          </w:p>
        </w:tc>
        <w:tc>
          <w:tcPr>
            <w:tcW w:w="1846" w:type="dxa"/>
            <w:tcBorders>
              <w:top w:val="single" w:sz="4" w:space="0" w:color="auto"/>
              <w:left w:val="single" w:sz="4" w:space="0" w:color="auto"/>
              <w:bottom w:val="single" w:sz="4" w:space="0" w:color="auto"/>
              <w:right w:val="single" w:sz="4" w:space="0" w:color="auto"/>
            </w:tcBorders>
            <w:vAlign w:val="center"/>
          </w:tcPr>
          <w:p w14:paraId="46D3BAEE" w14:textId="7C8E9F3A" w:rsidR="005711F5" w:rsidRPr="00CA23AA" w:rsidRDefault="00072CF8" w:rsidP="00ED2443">
            <w:pPr>
              <w:pStyle w:val="Tabletext0"/>
              <w:jc w:val="center"/>
            </w:pPr>
            <w:r w:rsidRPr="00CA23AA">
              <w:t>&lt;5</w:t>
            </w:r>
          </w:p>
        </w:tc>
      </w:tr>
      <w:tr w:rsidR="005711F5" w:rsidRPr="00CA23AA" w14:paraId="787219FF" w14:textId="77777777" w:rsidTr="00594907">
        <w:trPr>
          <w:trHeight w:val="300"/>
          <w:jc w:val="center"/>
        </w:trPr>
        <w:tc>
          <w:tcPr>
            <w:tcW w:w="1739" w:type="dxa"/>
            <w:tcBorders>
              <w:top w:val="single" w:sz="4" w:space="0" w:color="auto"/>
              <w:left w:val="single" w:sz="4" w:space="0" w:color="auto"/>
              <w:bottom w:val="single" w:sz="4" w:space="0" w:color="auto"/>
              <w:right w:val="single" w:sz="4" w:space="0" w:color="auto"/>
            </w:tcBorders>
            <w:vAlign w:val="center"/>
          </w:tcPr>
          <w:p w14:paraId="6357E8B3" w14:textId="77777777" w:rsidR="005711F5" w:rsidRPr="00CA23AA" w:rsidRDefault="005711F5" w:rsidP="00ED2443">
            <w:pPr>
              <w:pStyle w:val="Tabletext0"/>
              <w:jc w:val="left"/>
            </w:pPr>
            <w:r w:rsidRPr="00CA23AA">
              <w:t>Chemotherapy</w:t>
            </w:r>
          </w:p>
        </w:tc>
        <w:tc>
          <w:tcPr>
            <w:tcW w:w="1739" w:type="dxa"/>
            <w:tcBorders>
              <w:top w:val="single" w:sz="4" w:space="0" w:color="auto"/>
              <w:left w:val="single" w:sz="4" w:space="0" w:color="auto"/>
              <w:bottom w:val="single" w:sz="4" w:space="0" w:color="auto"/>
              <w:right w:val="single" w:sz="4" w:space="0" w:color="auto"/>
            </w:tcBorders>
            <w:shd w:val="solid" w:color="000000" w:fill="000000"/>
            <w:vAlign w:val="center"/>
          </w:tcPr>
          <w:p w14:paraId="3E871802" w14:textId="276B71B0" w:rsidR="005711F5" w:rsidRPr="00CA23AA" w:rsidRDefault="00594907" w:rsidP="00ED2443">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shd w:val="solid" w:color="000000" w:fill="000000"/>
            <w:vAlign w:val="center"/>
          </w:tcPr>
          <w:p w14:paraId="5FB0DDAA" w14:textId="3DC91FD2" w:rsidR="005711F5" w:rsidRPr="00CA23AA" w:rsidRDefault="00594907" w:rsidP="00ED2443">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vAlign w:val="center"/>
          </w:tcPr>
          <w:p w14:paraId="1F34B3E7" w14:textId="77777777" w:rsidR="005711F5" w:rsidRPr="00CA23AA" w:rsidRDefault="005711F5" w:rsidP="00ED2443">
            <w:pPr>
              <w:pStyle w:val="Tabletext0"/>
              <w:jc w:val="center"/>
            </w:pPr>
            <w:r w:rsidRPr="00CA23AA">
              <w:t>NR</w:t>
            </w:r>
          </w:p>
        </w:tc>
        <w:tc>
          <w:tcPr>
            <w:tcW w:w="1846" w:type="dxa"/>
            <w:tcBorders>
              <w:top w:val="single" w:sz="4" w:space="0" w:color="auto"/>
              <w:left w:val="single" w:sz="4" w:space="0" w:color="auto"/>
              <w:bottom w:val="single" w:sz="4" w:space="0" w:color="auto"/>
              <w:right w:val="single" w:sz="4" w:space="0" w:color="auto"/>
            </w:tcBorders>
            <w:vAlign w:val="center"/>
          </w:tcPr>
          <w:p w14:paraId="43E66309" w14:textId="067F77B9" w:rsidR="005711F5" w:rsidRPr="00CA23AA" w:rsidRDefault="00072CF8" w:rsidP="00ED2443">
            <w:pPr>
              <w:pStyle w:val="Tabletext0"/>
              <w:jc w:val="center"/>
            </w:pPr>
            <w:r w:rsidRPr="00CA23AA">
              <w:t>&lt;5</w:t>
            </w:r>
          </w:p>
        </w:tc>
      </w:tr>
      <w:tr w:rsidR="00072CF8" w:rsidRPr="00CA23AA" w14:paraId="17343460" w14:textId="77777777" w:rsidTr="00594907">
        <w:trPr>
          <w:trHeight w:val="300"/>
          <w:jc w:val="center"/>
        </w:trPr>
        <w:tc>
          <w:tcPr>
            <w:tcW w:w="1739" w:type="dxa"/>
            <w:tcBorders>
              <w:top w:val="single" w:sz="4" w:space="0" w:color="auto"/>
              <w:left w:val="single" w:sz="4" w:space="0" w:color="auto"/>
              <w:bottom w:val="single" w:sz="4" w:space="0" w:color="auto"/>
              <w:right w:val="single" w:sz="4" w:space="0" w:color="auto"/>
            </w:tcBorders>
            <w:vAlign w:val="center"/>
          </w:tcPr>
          <w:p w14:paraId="00FC87BA" w14:textId="4BD72175" w:rsidR="00072CF8" w:rsidRPr="00CA23AA" w:rsidRDefault="00072CF8" w:rsidP="00072CF8">
            <w:pPr>
              <w:pStyle w:val="Tabletext0"/>
              <w:jc w:val="left"/>
            </w:pPr>
            <w:r w:rsidRPr="00CA23AA">
              <w:t>Immunotherapy</w:t>
            </w:r>
          </w:p>
        </w:tc>
        <w:tc>
          <w:tcPr>
            <w:tcW w:w="1739" w:type="dxa"/>
            <w:tcBorders>
              <w:top w:val="single" w:sz="4" w:space="0" w:color="auto"/>
              <w:left w:val="single" w:sz="4" w:space="0" w:color="auto"/>
              <w:bottom w:val="single" w:sz="4" w:space="0" w:color="auto"/>
              <w:right w:val="single" w:sz="4" w:space="0" w:color="auto"/>
            </w:tcBorders>
            <w:shd w:val="solid" w:color="000000" w:fill="000000"/>
            <w:vAlign w:val="center"/>
          </w:tcPr>
          <w:p w14:paraId="72EFACA7" w14:textId="6FBD410D" w:rsidR="00072CF8" w:rsidRPr="00CA23AA" w:rsidRDefault="00594907" w:rsidP="00072CF8">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shd w:val="solid" w:color="000000" w:fill="000000"/>
            <w:vAlign w:val="center"/>
          </w:tcPr>
          <w:p w14:paraId="6FBF8AD0" w14:textId="396A7C78" w:rsidR="00072CF8" w:rsidRPr="00CA23AA" w:rsidRDefault="00594907" w:rsidP="00072CF8">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vAlign w:val="center"/>
          </w:tcPr>
          <w:p w14:paraId="223D3497" w14:textId="5A508DCE" w:rsidR="00072CF8" w:rsidRPr="00CA23AA" w:rsidRDefault="00072CF8" w:rsidP="00072CF8">
            <w:pPr>
              <w:pStyle w:val="Tabletext0"/>
              <w:jc w:val="center"/>
            </w:pPr>
            <w:r w:rsidRPr="00CA23AA">
              <w:t>NR</w:t>
            </w:r>
          </w:p>
        </w:tc>
        <w:tc>
          <w:tcPr>
            <w:tcW w:w="1846" w:type="dxa"/>
            <w:tcBorders>
              <w:top w:val="single" w:sz="4" w:space="0" w:color="auto"/>
              <w:left w:val="single" w:sz="4" w:space="0" w:color="auto"/>
              <w:bottom w:val="single" w:sz="4" w:space="0" w:color="auto"/>
              <w:right w:val="single" w:sz="4" w:space="0" w:color="auto"/>
            </w:tcBorders>
          </w:tcPr>
          <w:p w14:paraId="21175568" w14:textId="6320AD3A" w:rsidR="00072CF8" w:rsidRPr="00CA23AA" w:rsidRDefault="00072CF8" w:rsidP="00072CF8">
            <w:pPr>
              <w:pStyle w:val="Tabletext0"/>
              <w:jc w:val="center"/>
            </w:pPr>
            <w:r w:rsidRPr="00CA23AA">
              <w:t>&lt;5</w:t>
            </w:r>
          </w:p>
        </w:tc>
      </w:tr>
      <w:tr w:rsidR="00072CF8" w:rsidRPr="00CA23AA" w14:paraId="54B17448" w14:textId="77777777" w:rsidTr="00594907">
        <w:trPr>
          <w:trHeight w:val="300"/>
          <w:jc w:val="center"/>
        </w:trPr>
        <w:tc>
          <w:tcPr>
            <w:tcW w:w="1739" w:type="dxa"/>
            <w:tcBorders>
              <w:top w:val="single" w:sz="4" w:space="0" w:color="auto"/>
              <w:left w:val="single" w:sz="4" w:space="0" w:color="auto"/>
              <w:bottom w:val="single" w:sz="4" w:space="0" w:color="auto"/>
              <w:right w:val="single" w:sz="4" w:space="0" w:color="auto"/>
            </w:tcBorders>
            <w:vAlign w:val="center"/>
          </w:tcPr>
          <w:p w14:paraId="3E884E24" w14:textId="77777777" w:rsidR="00072CF8" w:rsidRPr="00CA23AA" w:rsidRDefault="00072CF8" w:rsidP="00072CF8">
            <w:pPr>
              <w:pStyle w:val="Tabletext0"/>
              <w:jc w:val="left"/>
            </w:pPr>
            <w:r w:rsidRPr="00CA23AA">
              <w:t>Monoclonal antibodies (not stated)</w:t>
            </w:r>
          </w:p>
        </w:tc>
        <w:tc>
          <w:tcPr>
            <w:tcW w:w="1739" w:type="dxa"/>
            <w:tcBorders>
              <w:top w:val="single" w:sz="4" w:space="0" w:color="auto"/>
              <w:left w:val="single" w:sz="4" w:space="0" w:color="auto"/>
              <w:bottom w:val="single" w:sz="4" w:space="0" w:color="auto"/>
              <w:right w:val="single" w:sz="4" w:space="0" w:color="auto"/>
            </w:tcBorders>
            <w:shd w:val="solid" w:color="000000" w:fill="000000"/>
            <w:vAlign w:val="center"/>
          </w:tcPr>
          <w:p w14:paraId="0E2AA1A9" w14:textId="60BD160E" w:rsidR="00072CF8" w:rsidRPr="00CA23AA" w:rsidRDefault="00594907" w:rsidP="00072CF8">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shd w:val="solid" w:color="000000" w:fill="000000"/>
            <w:vAlign w:val="center"/>
          </w:tcPr>
          <w:p w14:paraId="1488770F" w14:textId="56EB032B" w:rsidR="00072CF8" w:rsidRPr="00CA23AA" w:rsidRDefault="00594907" w:rsidP="00072CF8">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vAlign w:val="center"/>
          </w:tcPr>
          <w:p w14:paraId="524C49CC" w14:textId="77777777" w:rsidR="00072CF8" w:rsidRPr="00CA23AA" w:rsidRDefault="00072CF8" w:rsidP="00072CF8">
            <w:pPr>
              <w:pStyle w:val="Tabletext0"/>
              <w:jc w:val="center"/>
            </w:pPr>
            <w:r w:rsidRPr="00CA23AA">
              <w:t>NR</w:t>
            </w:r>
          </w:p>
        </w:tc>
        <w:tc>
          <w:tcPr>
            <w:tcW w:w="1846" w:type="dxa"/>
            <w:tcBorders>
              <w:top w:val="single" w:sz="4" w:space="0" w:color="auto"/>
              <w:left w:val="single" w:sz="4" w:space="0" w:color="auto"/>
              <w:bottom w:val="single" w:sz="4" w:space="0" w:color="auto"/>
              <w:right w:val="single" w:sz="4" w:space="0" w:color="auto"/>
            </w:tcBorders>
          </w:tcPr>
          <w:p w14:paraId="53B7FEA9" w14:textId="77A26CAC" w:rsidR="00072CF8" w:rsidRPr="00CA23AA" w:rsidRDefault="00072CF8" w:rsidP="00072CF8">
            <w:pPr>
              <w:pStyle w:val="Tabletext0"/>
              <w:jc w:val="center"/>
            </w:pPr>
            <w:r w:rsidRPr="00CA23AA">
              <w:t>&lt;5</w:t>
            </w:r>
          </w:p>
        </w:tc>
      </w:tr>
      <w:tr w:rsidR="005711F5" w:rsidRPr="00CA23AA" w14:paraId="08168B45" w14:textId="77777777" w:rsidTr="00594907">
        <w:trPr>
          <w:trHeight w:val="300"/>
          <w:jc w:val="center"/>
        </w:trPr>
        <w:tc>
          <w:tcPr>
            <w:tcW w:w="1739" w:type="dxa"/>
            <w:tcBorders>
              <w:top w:val="single" w:sz="4" w:space="0" w:color="auto"/>
              <w:left w:val="single" w:sz="4" w:space="0" w:color="auto"/>
              <w:bottom w:val="single" w:sz="4" w:space="0" w:color="auto"/>
              <w:right w:val="single" w:sz="4" w:space="0" w:color="auto"/>
            </w:tcBorders>
            <w:vAlign w:val="center"/>
          </w:tcPr>
          <w:p w14:paraId="36C6D4A9" w14:textId="77777777" w:rsidR="005711F5" w:rsidRPr="00CA23AA" w:rsidRDefault="005711F5" w:rsidP="00ED2443">
            <w:pPr>
              <w:pStyle w:val="Tabletext0"/>
              <w:jc w:val="left"/>
            </w:pPr>
            <w:r w:rsidRPr="00CA23AA">
              <w:t>Radiation</w:t>
            </w:r>
            <w:r w:rsidRPr="00CA23AA">
              <w:rPr>
                <w:vertAlign w:val="superscript"/>
              </w:rPr>
              <w:t>1</w:t>
            </w:r>
            <w:r w:rsidRPr="00CA23AA">
              <w:t xml:space="preserve"> </w:t>
            </w:r>
          </w:p>
        </w:tc>
        <w:tc>
          <w:tcPr>
            <w:tcW w:w="1739" w:type="dxa"/>
            <w:tcBorders>
              <w:top w:val="single" w:sz="4" w:space="0" w:color="auto"/>
              <w:left w:val="single" w:sz="4" w:space="0" w:color="auto"/>
              <w:bottom w:val="single" w:sz="4" w:space="0" w:color="auto"/>
              <w:right w:val="single" w:sz="4" w:space="0" w:color="auto"/>
            </w:tcBorders>
            <w:shd w:val="solid" w:color="000000" w:fill="000000"/>
            <w:vAlign w:val="center"/>
          </w:tcPr>
          <w:p w14:paraId="04D91D75" w14:textId="706F1D78" w:rsidR="005711F5" w:rsidRPr="00CA23AA" w:rsidRDefault="00594907" w:rsidP="00ED2443">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shd w:val="solid" w:color="000000" w:fill="000000"/>
            <w:vAlign w:val="center"/>
          </w:tcPr>
          <w:p w14:paraId="184BBE9D" w14:textId="21FD420D" w:rsidR="005711F5" w:rsidRPr="00CA23AA" w:rsidRDefault="00594907" w:rsidP="00ED2443">
            <w:pPr>
              <w:pStyle w:val="Tabletext0"/>
              <w:jc w:val="center"/>
            </w:pPr>
            <w:r w:rsidRPr="00594907">
              <w:rPr>
                <w:color w:val="000000"/>
                <w14:textFill>
                  <w14:solidFill>
                    <w14:srgbClr w14:val="000000">
                      <w14:alpha w14:val="100000"/>
                    </w14:srgbClr>
                  </w14:solidFill>
                </w14:textFill>
              </w:rPr>
              <w:t>|</w:t>
            </w:r>
          </w:p>
        </w:tc>
        <w:tc>
          <w:tcPr>
            <w:tcW w:w="1846" w:type="dxa"/>
            <w:tcBorders>
              <w:top w:val="single" w:sz="4" w:space="0" w:color="auto"/>
              <w:left w:val="single" w:sz="4" w:space="0" w:color="auto"/>
              <w:bottom w:val="single" w:sz="4" w:space="0" w:color="auto"/>
              <w:right w:val="single" w:sz="4" w:space="0" w:color="auto"/>
            </w:tcBorders>
            <w:vAlign w:val="center"/>
          </w:tcPr>
          <w:p w14:paraId="2CDC4DDA" w14:textId="77777777" w:rsidR="005711F5" w:rsidRPr="00CA23AA" w:rsidRDefault="005711F5" w:rsidP="00ED2443">
            <w:pPr>
              <w:pStyle w:val="Tabletext0"/>
              <w:jc w:val="center"/>
            </w:pPr>
            <w:r w:rsidRPr="00CA23AA">
              <w:t>NR</w:t>
            </w:r>
          </w:p>
        </w:tc>
        <w:tc>
          <w:tcPr>
            <w:tcW w:w="1846" w:type="dxa"/>
            <w:tcBorders>
              <w:top w:val="single" w:sz="4" w:space="0" w:color="auto"/>
              <w:left w:val="single" w:sz="4" w:space="0" w:color="auto"/>
              <w:bottom w:val="single" w:sz="4" w:space="0" w:color="auto"/>
              <w:right w:val="single" w:sz="4" w:space="0" w:color="auto"/>
            </w:tcBorders>
            <w:vAlign w:val="center"/>
          </w:tcPr>
          <w:p w14:paraId="1AA35C3F" w14:textId="77777777" w:rsidR="005711F5" w:rsidRPr="00CA23AA" w:rsidRDefault="005711F5" w:rsidP="00ED2443">
            <w:pPr>
              <w:pStyle w:val="Tabletext0"/>
              <w:jc w:val="center"/>
            </w:pPr>
            <w:r w:rsidRPr="00CA23AA">
              <w:t>NR</w:t>
            </w:r>
          </w:p>
        </w:tc>
      </w:tr>
    </w:tbl>
    <w:p w14:paraId="63E99A40" w14:textId="5162F112" w:rsidR="005711F5" w:rsidRPr="00CA23AA" w:rsidRDefault="005711F5" w:rsidP="005711F5">
      <w:pPr>
        <w:pStyle w:val="Tablenotes0"/>
        <w:spacing w:after="0"/>
      </w:pPr>
      <w:r w:rsidRPr="00CA23AA">
        <w:t xml:space="preserve">ABMTRR = Australasian Bone Marrow Transplant Recipient Registry; </w:t>
      </w:r>
      <w:proofErr w:type="spellStart"/>
      <w:r w:rsidRPr="00CA23AA">
        <w:t>aHSCT</w:t>
      </w:r>
      <w:proofErr w:type="spellEnd"/>
      <w:r w:rsidRPr="00CA23AA">
        <w:t xml:space="preserve"> = allogenic haemopoietic stem cell transplantation; NR = not reported; NSW = New South Wales</w:t>
      </w:r>
    </w:p>
    <w:p w14:paraId="13CF6E55" w14:textId="7D3688C8" w:rsidR="005711F5" w:rsidRPr="00CA23AA" w:rsidRDefault="005711F5" w:rsidP="00CC3D71">
      <w:pPr>
        <w:pStyle w:val="Tablenotes0"/>
        <w:spacing w:after="0"/>
      </w:pPr>
      <w:r w:rsidRPr="00CA23AA">
        <w:rPr>
          <w:vertAlign w:val="superscript"/>
        </w:rPr>
        <w:t>1</w:t>
      </w:r>
      <w:r w:rsidRPr="00CA23AA">
        <w:t xml:space="preserve"> </w:t>
      </w:r>
      <w:proofErr w:type="gramStart"/>
      <w:r w:rsidR="00594907" w:rsidRPr="00982219">
        <w:rPr>
          <w:color w:val="000000"/>
          <w:spacing w:val="20"/>
          <w:shd w:val="solid" w:color="000000" w:fill="000000"/>
          <w:fitText w:val="220" w:id="-1161539838"/>
          <w14:textFill>
            <w14:solidFill>
              <w14:srgbClr w14:val="000000">
                <w14:alpha w14:val="100000"/>
              </w14:srgbClr>
            </w14:solidFill>
          </w14:textFill>
        </w:rPr>
        <w:t xml:space="preserve">|  </w:t>
      </w:r>
      <w:r w:rsidR="00594907" w:rsidRPr="00982219">
        <w:rPr>
          <w:color w:val="000000"/>
          <w:spacing w:val="2"/>
          <w:shd w:val="solid" w:color="000000" w:fill="000000"/>
          <w:fitText w:val="220" w:id="-1161539838"/>
          <w14:textFill>
            <w14:solidFill>
              <w14:srgbClr w14:val="000000">
                <w14:alpha w14:val="100000"/>
              </w14:srgbClr>
            </w14:solidFill>
          </w14:textFill>
        </w:rPr>
        <w:t>|</w:t>
      </w:r>
      <w:proofErr w:type="gramEnd"/>
    </w:p>
    <w:p w14:paraId="17C867A2" w14:textId="67FF25B1" w:rsidR="005711F5" w:rsidRPr="00CA23AA" w:rsidRDefault="005711F5" w:rsidP="00D17481">
      <w:pPr>
        <w:pStyle w:val="TableFigNoteLast"/>
        <w:spacing w:before="0"/>
        <w:rPr>
          <w:rFonts w:ascii="Arial Narrow" w:hAnsi="Arial Narrow"/>
        </w:rPr>
      </w:pPr>
      <w:r w:rsidRPr="00CA23AA">
        <w:rPr>
          <w:rFonts w:ascii="Arial Narrow" w:hAnsi="Arial Narrow"/>
          <w:vertAlign w:val="superscript"/>
        </w:rPr>
        <w:t>2</w:t>
      </w:r>
      <w:r w:rsidRPr="00CA23AA">
        <w:rPr>
          <w:rFonts w:ascii="Arial Narrow" w:hAnsi="Arial Narrow"/>
        </w:rPr>
        <w:t xml:space="preserve"> </w:t>
      </w:r>
      <w:r w:rsidR="00594907" w:rsidRPr="00982219">
        <w:rPr>
          <w:rFonts w:ascii="Arial Narrow" w:hAnsi="Arial Narrow"/>
          <w:color w:val="000000"/>
          <w:spacing w:val="163"/>
          <w:shd w:val="solid" w:color="000000" w:fill="000000"/>
          <w:fitText w:val="240" w:id="-1161539837"/>
          <w14:textFill>
            <w14:solidFill>
              <w14:srgbClr w14:val="000000">
                <w14:alpha w14:val="100000"/>
              </w14:srgbClr>
            </w14:solidFill>
          </w14:textFill>
        </w:rPr>
        <w:t>|</w:t>
      </w:r>
      <w:r w:rsidR="00594907" w:rsidRPr="00982219">
        <w:rPr>
          <w:rFonts w:ascii="Arial Narrow" w:hAnsi="Arial Narrow"/>
          <w:color w:val="000000"/>
          <w:spacing w:val="1"/>
          <w:shd w:val="solid" w:color="000000" w:fill="000000"/>
          <w:fitText w:val="240" w:id="-1161539837"/>
          <w14:textFill>
            <w14:solidFill>
              <w14:srgbClr w14:val="000000">
                <w14:alpha w14:val="100000"/>
              </w14:srgbClr>
            </w14:solidFill>
          </w14:textFill>
        </w:rPr>
        <w:t>|</w:t>
      </w:r>
    </w:p>
    <w:p w14:paraId="358B613B" w14:textId="07C25208" w:rsidR="005711F5" w:rsidRPr="00CA23AA" w:rsidRDefault="005711F5" w:rsidP="00A5592E">
      <w:pPr>
        <w:pStyle w:val="TableFigNoteLast"/>
        <w:rPr>
          <w:rFonts w:ascii="Arial Narrow" w:hAnsi="Arial Narrow"/>
        </w:rPr>
      </w:pPr>
      <w:r w:rsidRPr="00CA23AA">
        <w:rPr>
          <w:rFonts w:ascii="Arial Narrow" w:hAnsi="Arial Narrow"/>
        </w:rPr>
        <w:t>Source: Australian Bone Marrow Transplant Recipient Registry (ABMTRR) report version 4, an additional ABMTRR data request supplied by the Sponsor. and the reviews submitted by state and territories Departments of Health (provided by Department of Health and Aged Care during the evaluation).</w:t>
      </w:r>
    </w:p>
    <w:p w14:paraId="71F8B45E" w14:textId="5EECE067" w:rsidR="007A65A9" w:rsidRPr="00CA23AA" w:rsidRDefault="007A65A9">
      <w:pPr>
        <w:sectPr w:rsidR="007A65A9" w:rsidRPr="00CA23AA" w:rsidSect="0088169E">
          <w:headerReference w:type="even" r:id="rId26"/>
          <w:headerReference w:type="default" r:id="rId27"/>
          <w:footerReference w:type="even" r:id="rId28"/>
          <w:pgSz w:w="11906" w:h="16838"/>
          <w:pgMar w:top="1440" w:right="1440" w:bottom="1440" w:left="1440" w:header="708" w:footer="708" w:gutter="0"/>
          <w:cols w:space="708"/>
          <w:docGrid w:linePitch="360"/>
        </w:sectPr>
      </w:pPr>
    </w:p>
    <w:p w14:paraId="74550568" w14:textId="0716DC54" w:rsidR="63CD8372" w:rsidRPr="00CA23AA" w:rsidRDefault="00015227" w:rsidP="00095A3C">
      <w:pPr>
        <w:pStyle w:val="TableHeading0"/>
      </w:pPr>
      <w:bookmarkStart w:id="43" w:name="_Ref133941532"/>
      <w:r w:rsidRPr="00CA23AA">
        <w:t xml:space="preserve">Table </w:t>
      </w:r>
      <w:fldSimple w:instr=" SEQ Table \* ARABIC ">
        <w:r w:rsidR="00175880" w:rsidRPr="00CA23AA">
          <w:rPr>
            <w:noProof/>
          </w:rPr>
          <w:t>11</w:t>
        </w:r>
      </w:fldSimple>
      <w:bookmarkEnd w:id="43"/>
      <w:r w:rsidRPr="00CA23AA">
        <w:t xml:space="preserve"> Treatments received by patients included in the sponsored and non-sponsored </w:t>
      </w:r>
      <w:proofErr w:type="gramStart"/>
      <w:r w:rsidRPr="00CA23AA">
        <w:t>studies</w:t>
      </w:r>
      <w:proofErr w:type="gramEnd"/>
    </w:p>
    <w:tbl>
      <w:tblPr>
        <w:tblStyle w:val="Summarybox1"/>
        <w:tblW w:w="5000" w:type="pct"/>
        <w:tblLayout w:type="fixed"/>
        <w:tblLook w:val="04A0" w:firstRow="1" w:lastRow="0" w:firstColumn="1" w:lastColumn="0" w:noHBand="0" w:noVBand="1"/>
      </w:tblPr>
      <w:tblGrid>
        <w:gridCol w:w="1164"/>
        <w:gridCol w:w="1164"/>
        <w:gridCol w:w="1164"/>
        <w:gridCol w:w="1163"/>
        <w:gridCol w:w="1163"/>
        <w:gridCol w:w="1163"/>
        <w:gridCol w:w="1163"/>
        <w:gridCol w:w="1163"/>
        <w:gridCol w:w="1163"/>
        <w:gridCol w:w="1163"/>
        <w:gridCol w:w="1163"/>
        <w:gridCol w:w="1152"/>
      </w:tblGrid>
      <w:tr w:rsidR="63CD8372" w:rsidRPr="00CA23AA" w14:paraId="4E09EF5E" w14:textId="77777777" w:rsidTr="00594907">
        <w:trPr>
          <w:trHeight w:val="1798"/>
          <w:tblHeader/>
        </w:trPr>
        <w:tc>
          <w:tcPr>
            <w:tcW w:w="417" w:type="pct"/>
            <w:tcMar>
              <w:top w:w="15" w:type="dxa"/>
              <w:left w:w="108" w:type="dxa"/>
              <w:bottom w:w="15" w:type="dxa"/>
              <w:right w:w="108" w:type="dxa"/>
            </w:tcMar>
            <w:vAlign w:val="center"/>
          </w:tcPr>
          <w:p w14:paraId="5E1D81CF" w14:textId="671D0AC5" w:rsidR="63CD8372" w:rsidRPr="00CA23AA" w:rsidRDefault="63CD8372"/>
        </w:tc>
        <w:tc>
          <w:tcPr>
            <w:tcW w:w="417" w:type="pct"/>
            <w:tcMar>
              <w:top w:w="15" w:type="dxa"/>
              <w:left w:w="108" w:type="dxa"/>
              <w:bottom w:w="15" w:type="dxa"/>
              <w:right w:w="108" w:type="dxa"/>
            </w:tcMar>
          </w:tcPr>
          <w:p w14:paraId="4C7B180D" w14:textId="1BED5417"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ELIANA</w:t>
            </w:r>
          </w:p>
        </w:tc>
        <w:tc>
          <w:tcPr>
            <w:tcW w:w="417" w:type="pct"/>
            <w:tcMar>
              <w:top w:w="15" w:type="dxa"/>
              <w:left w:w="108" w:type="dxa"/>
              <w:bottom w:w="15" w:type="dxa"/>
              <w:right w:w="108" w:type="dxa"/>
            </w:tcMar>
          </w:tcPr>
          <w:p w14:paraId="4D5DDDC7" w14:textId="58504818"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ENSIGN</w:t>
            </w:r>
          </w:p>
        </w:tc>
        <w:tc>
          <w:tcPr>
            <w:tcW w:w="417" w:type="pct"/>
            <w:tcMar>
              <w:top w:w="15" w:type="dxa"/>
              <w:left w:w="108" w:type="dxa"/>
              <w:bottom w:w="15" w:type="dxa"/>
              <w:right w:w="108" w:type="dxa"/>
            </w:tcMar>
          </w:tcPr>
          <w:p w14:paraId="691154CF" w14:textId="4A2AC6AB"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B2001X</w:t>
            </w:r>
          </w:p>
        </w:tc>
        <w:tc>
          <w:tcPr>
            <w:tcW w:w="417" w:type="pct"/>
            <w:tcBorders>
              <w:bottom w:val="single" w:sz="4" w:space="0" w:color="auto"/>
            </w:tcBorders>
            <w:tcMar>
              <w:top w:w="15" w:type="dxa"/>
              <w:left w:w="108" w:type="dxa"/>
              <w:bottom w:w="15" w:type="dxa"/>
              <w:right w:w="108" w:type="dxa"/>
            </w:tcMar>
          </w:tcPr>
          <w:p w14:paraId="4065D2C8" w14:textId="328FD838" w:rsidR="63CD8372" w:rsidRPr="00CA23AA" w:rsidRDefault="007F04FB"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ABMTRR</w:t>
            </w:r>
            <w:r w:rsidRPr="00CA23AA">
              <w:rPr>
                <w:rFonts w:ascii="Arial Narrow" w:eastAsia="Arial Narrow" w:hAnsi="Arial Narrow" w:cs="Arial Narrow"/>
                <w:b/>
                <w:sz w:val="20"/>
                <w:szCs w:val="20"/>
              </w:rPr>
              <w:br/>
              <w:t>(Sept 2022)</w:t>
            </w:r>
          </w:p>
        </w:tc>
        <w:tc>
          <w:tcPr>
            <w:tcW w:w="417" w:type="pct"/>
            <w:tcMar>
              <w:top w:w="15" w:type="dxa"/>
              <w:left w:w="108" w:type="dxa"/>
              <w:bottom w:w="15" w:type="dxa"/>
              <w:right w:w="108" w:type="dxa"/>
            </w:tcMar>
          </w:tcPr>
          <w:p w14:paraId="1913BDB8" w14:textId="25471DB7" w:rsidR="63CD8372" w:rsidRPr="00CA23AA" w:rsidRDefault="007F04FB" w:rsidP="00095A3C">
            <w:pPr>
              <w:spacing w:before="40" w:after="40"/>
              <w:ind w:right="-57"/>
              <w:jc w:val="center"/>
              <w:rPr>
                <w:rFonts w:ascii="Arial Narrow" w:hAnsi="Arial Narrow" w:cs="Times New Roman"/>
                <w:b/>
                <w:sz w:val="20"/>
                <w:szCs w:val="20"/>
              </w:rPr>
            </w:pPr>
            <w:r w:rsidRPr="00CA23AA">
              <w:rPr>
                <w:rFonts w:ascii="Arial Narrow" w:hAnsi="Arial Narrow" w:cs="Times New Roman"/>
                <w:b/>
                <w:sz w:val="20"/>
                <w:szCs w:val="20"/>
              </w:rPr>
              <w:t>CIBMTR</w:t>
            </w:r>
            <w:r w:rsidRPr="00CA23AA">
              <w:rPr>
                <w:rFonts w:ascii="Arial Narrow" w:hAnsi="Arial Narrow" w:cs="Times New Roman"/>
                <w:b/>
                <w:sz w:val="20"/>
                <w:szCs w:val="20"/>
              </w:rPr>
              <w:br/>
            </w:r>
            <w:proofErr w:type="spellStart"/>
            <w:r w:rsidRPr="00CA23AA">
              <w:rPr>
                <w:rFonts w:ascii="Arial Narrow" w:hAnsi="Arial Narrow" w:cs="Times New Roman"/>
                <w:b/>
                <w:sz w:val="20"/>
                <w:szCs w:val="20"/>
              </w:rPr>
              <w:t>Pasquini</w:t>
            </w:r>
            <w:proofErr w:type="spellEnd"/>
            <w:r w:rsidRPr="00CA23AA">
              <w:rPr>
                <w:rFonts w:ascii="Arial Narrow" w:hAnsi="Arial Narrow" w:cs="Times New Roman"/>
                <w:b/>
                <w:sz w:val="20"/>
                <w:szCs w:val="20"/>
              </w:rPr>
              <w:t xml:space="preserve"> et al (2020)</w:t>
            </w:r>
          </w:p>
        </w:tc>
        <w:tc>
          <w:tcPr>
            <w:tcW w:w="417" w:type="pct"/>
            <w:tcMar>
              <w:top w:w="15" w:type="dxa"/>
              <w:left w:w="108" w:type="dxa"/>
              <w:bottom w:w="15" w:type="dxa"/>
              <w:right w:w="108" w:type="dxa"/>
            </w:tcMar>
          </w:tcPr>
          <w:p w14:paraId="7FEFAEF2" w14:textId="3F677025" w:rsidR="63CD8372" w:rsidRPr="00CA23AA" w:rsidRDefault="007F04FB" w:rsidP="0017201C">
            <w:pPr>
              <w:jc w:val="center"/>
              <w:rPr>
                <w:rFonts w:ascii="Arial Narrow" w:eastAsia="Arial Narrow" w:hAnsi="Arial Narrow" w:cs="Arial Narrow"/>
                <w:b/>
                <w:sz w:val="20"/>
                <w:szCs w:val="20"/>
              </w:rPr>
            </w:pPr>
            <w:r w:rsidRPr="00CA23AA">
              <w:rPr>
                <w:rFonts w:ascii="Arial Narrow" w:hAnsi="Arial Narrow" w:cs="Times New Roman"/>
                <w:b/>
                <w:sz w:val="20"/>
                <w:szCs w:val="20"/>
              </w:rPr>
              <w:t>AP-HP Hosp.</w:t>
            </w:r>
            <w:r w:rsidR="00342BF1" w:rsidRPr="00CA23AA">
              <w:rPr>
                <w:rFonts w:ascii="Arial Narrow" w:hAnsi="Arial Narrow" w:cs="Times New Roman"/>
                <w:b/>
                <w:sz w:val="20"/>
                <w:szCs w:val="20"/>
              </w:rPr>
              <w:br/>
            </w:r>
            <w:proofErr w:type="spellStart"/>
            <w:r w:rsidRPr="00CA23AA">
              <w:rPr>
                <w:rFonts w:ascii="Arial Narrow" w:hAnsi="Arial Narrow" w:cs="Times New Roman"/>
                <w:b/>
                <w:sz w:val="20"/>
                <w:szCs w:val="20"/>
              </w:rPr>
              <w:t>Dourthe</w:t>
            </w:r>
            <w:proofErr w:type="spellEnd"/>
            <w:r w:rsidRPr="00CA23AA">
              <w:rPr>
                <w:rFonts w:ascii="Arial Narrow" w:hAnsi="Arial Narrow" w:cs="Times New Roman"/>
                <w:b/>
                <w:sz w:val="20"/>
                <w:szCs w:val="20"/>
              </w:rPr>
              <w:t xml:space="preserve"> et al (2021)</w:t>
            </w:r>
          </w:p>
        </w:tc>
        <w:tc>
          <w:tcPr>
            <w:tcW w:w="417" w:type="pct"/>
            <w:tcMar>
              <w:top w:w="15" w:type="dxa"/>
              <w:left w:w="108" w:type="dxa"/>
              <w:bottom w:w="15" w:type="dxa"/>
              <w:right w:w="108" w:type="dxa"/>
            </w:tcMar>
          </w:tcPr>
          <w:p w14:paraId="2459A204" w14:textId="3C66FD89" w:rsidR="63CD8372" w:rsidRPr="00CA23AA" w:rsidRDefault="007F04FB"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PRSZT/</w:t>
            </w:r>
            <w:r w:rsidRPr="00CA23AA">
              <w:rPr>
                <w:rFonts w:ascii="Arial Narrow" w:eastAsia="Arial Narrow" w:hAnsi="Arial Narrow" w:cs="Arial Narrow"/>
                <w:b/>
                <w:sz w:val="20"/>
                <w:szCs w:val="20"/>
              </w:rPr>
              <w:br/>
              <w:t>DRST</w:t>
            </w:r>
            <w:r w:rsidRPr="00CA23AA">
              <w:rPr>
                <w:rFonts w:ascii="Arial Narrow" w:eastAsia="Arial Narrow" w:hAnsi="Arial Narrow" w:cs="Arial Narrow"/>
                <w:b/>
                <w:sz w:val="20"/>
                <w:szCs w:val="20"/>
              </w:rPr>
              <w:br/>
              <w:t>Bader et al (2023)</w:t>
            </w:r>
          </w:p>
        </w:tc>
        <w:tc>
          <w:tcPr>
            <w:tcW w:w="417" w:type="pct"/>
            <w:tcMar>
              <w:top w:w="15" w:type="dxa"/>
              <w:left w:w="108" w:type="dxa"/>
              <w:bottom w:w="15" w:type="dxa"/>
              <w:right w:w="108" w:type="dxa"/>
            </w:tcMar>
          </w:tcPr>
          <w:p w14:paraId="7D7F6763" w14:textId="540E1C78" w:rsidR="63CD8372" w:rsidRPr="00CA23AA" w:rsidRDefault="007F04FB" w:rsidP="0017201C">
            <w:pPr>
              <w:jc w:val="center"/>
              <w:rPr>
                <w:rFonts w:ascii="Arial Narrow" w:eastAsia="Arial Narrow" w:hAnsi="Arial Narrow" w:cs="Arial Narrow"/>
                <w:b/>
                <w:sz w:val="20"/>
                <w:szCs w:val="20"/>
                <w:lang w:val="es-ES"/>
              </w:rPr>
            </w:pPr>
            <w:r w:rsidRPr="00CA23AA">
              <w:rPr>
                <w:rFonts w:ascii="Arial Narrow" w:eastAsia="Arial Narrow" w:hAnsi="Arial Narrow" w:cs="Arial Narrow"/>
                <w:b/>
                <w:sz w:val="20"/>
                <w:szCs w:val="20"/>
                <w:lang w:val="es-ES"/>
              </w:rPr>
              <w:t xml:space="preserve">15 </w:t>
            </w:r>
            <w:proofErr w:type="spellStart"/>
            <w:r w:rsidRPr="00CA23AA">
              <w:rPr>
                <w:rFonts w:ascii="Arial Narrow" w:eastAsia="Arial Narrow" w:hAnsi="Arial Narrow" w:cs="Arial Narrow"/>
                <w:b/>
                <w:sz w:val="20"/>
                <w:szCs w:val="20"/>
                <w:lang w:val="es-ES"/>
              </w:rPr>
              <w:t>European</w:t>
            </w:r>
            <w:proofErr w:type="spellEnd"/>
            <w:r w:rsidRPr="00CA23AA">
              <w:rPr>
                <w:rFonts w:ascii="Arial Narrow" w:eastAsia="Arial Narrow" w:hAnsi="Arial Narrow" w:cs="Arial Narrow"/>
                <w:b/>
                <w:sz w:val="20"/>
                <w:szCs w:val="20"/>
                <w:lang w:val="es-ES"/>
              </w:rPr>
              <w:t xml:space="preserve"> centres</w:t>
            </w:r>
            <w:r w:rsidRPr="00CA23AA">
              <w:rPr>
                <w:rFonts w:ascii="Arial Narrow" w:eastAsia="Arial Narrow" w:hAnsi="Arial Narrow" w:cs="Arial Narrow"/>
                <w:b/>
                <w:sz w:val="20"/>
                <w:szCs w:val="20"/>
                <w:lang w:val="es-ES"/>
              </w:rPr>
              <w:br/>
            </w:r>
            <w:proofErr w:type="spellStart"/>
            <w:r w:rsidRPr="00CA23AA">
              <w:rPr>
                <w:rFonts w:ascii="Arial Narrow" w:eastAsia="Arial Narrow" w:hAnsi="Arial Narrow" w:cs="Arial Narrow"/>
                <w:b/>
                <w:sz w:val="20"/>
                <w:szCs w:val="20"/>
                <w:lang w:val="es-ES"/>
              </w:rPr>
              <w:t>Ghorashian</w:t>
            </w:r>
            <w:proofErr w:type="spellEnd"/>
            <w:r w:rsidRPr="00CA23AA">
              <w:rPr>
                <w:rFonts w:ascii="Arial Narrow" w:eastAsia="Arial Narrow" w:hAnsi="Arial Narrow" w:cs="Arial Narrow"/>
                <w:b/>
                <w:sz w:val="20"/>
                <w:szCs w:val="20"/>
                <w:lang w:val="es-ES"/>
              </w:rPr>
              <w:t xml:space="preserve"> et al (2022)</w:t>
            </w:r>
          </w:p>
        </w:tc>
        <w:tc>
          <w:tcPr>
            <w:tcW w:w="417" w:type="pct"/>
            <w:tcMar>
              <w:top w:w="15" w:type="dxa"/>
              <w:left w:w="108" w:type="dxa"/>
              <w:bottom w:w="15" w:type="dxa"/>
              <w:right w:w="108" w:type="dxa"/>
            </w:tcMar>
          </w:tcPr>
          <w:p w14:paraId="57F903FE" w14:textId="42A950E7" w:rsidR="63CD8372" w:rsidRPr="00CA23AA" w:rsidRDefault="007F04FB" w:rsidP="0017201C">
            <w:pPr>
              <w:jc w:val="center"/>
              <w:rPr>
                <w:rFonts w:ascii="Arial Narrow" w:eastAsia="Arial Narrow" w:hAnsi="Arial Narrow" w:cs="Arial Narrow"/>
                <w:b/>
                <w:sz w:val="20"/>
                <w:szCs w:val="20"/>
              </w:rPr>
            </w:pPr>
            <w:r w:rsidRPr="00CA23AA">
              <w:rPr>
                <w:rFonts w:ascii="Arial Narrow" w:hAnsi="Arial Narrow" w:cs="Times New Roman"/>
                <w:b/>
                <w:sz w:val="20"/>
                <w:szCs w:val="20"/>
              </w:rPr>
              <w:t>PRWCC</w:t>
            </w:r>
            <w:r w:rsidR="00342BF1" w:rsidRPr="00CA23AA">
              <w:rPr>
                <w:rFonts w:ascii="Arial Narrow" w:hAnsi="Arial Narrow" w:cs="Times New Roman"/>
                <w:b/>
                <w:sz w:val="20"/>
                <w:szCs w:val="20"/>
              </w:rPr>
              <w:br/>
            </w:r>
            <w:r w:rsidRPr="00CA23AA">
              <w:rPr>
                <w:rFonts w:ascii="Arial Narrow" w:hAnsi="Arial Narrow" w:cs="Times New Roman"/>
                <w:b/>
                <w:sz w:val="20"/>
                <w:szCs w:val="20"/>
              </w:rPr>
              <w:t xml:space="preserve">Fabrizio </w:t>
            </w:r>
            <w:r w:rsidR="00670244" w:rsidRPr="00CA23AA">
              <w:rPr>
                <w:rFonts w:ascii="Arial Narrow" w:hAnsi="Arial Narrow" w:cs="Times New Roman"/>
                <w:b/>
                <w:sz w:val="20"/>
                <w:szCs w:val="20"/>
              </w:rPr>
              <w:t>et al (2022)</w:t>
            </w:r>
            <w:r w:rsidRPr="00CA23AA">
              <w:rPr>
                <w:rFonts w:ascii="Arial Narrow" w:hAnsi="Arial Narrow" w:cs="Times New Roman"/>
                <w:b/>
                <w:sz w:val="20"/>
                <w:szCs w:val="20"/>
              </w:rPr>
              <w:t xml:space="preserve"> Shultz </w:t>
            </w:r>
            <w:r w:rsidR="00087B7F" w:rsidRPr="00CA23AA">
              <w:rPr>
                <w:rFonts w:ascii="Arial Narrow" w:hAnsi="Arial Narrow" w:cs="Times New Roman"/>
                <w:b/>
                <w:sz w:val="20"/>
                <w:szCs w:val="20"/>
              </w:rPr>
              <w:t xml:space="preserve">et al </w:t>
            </w:r>
            <w:r w:rsidRPr="00CA23AA">
              <w:rPr>
                <w:rFonts w:ascii="Arial Narrow" w:hAnsi="Arial Narrow" w:cs="Times New Roman"/>
                <w:b/>
                <w:sz w:val="20"/>
                <w:szCs w:val="20"/>
              </w:rPr>
              <w:t xml:space="preserve">(2022), and </w:t>
            </w:r>
            <w:proofErr w:type="spellStart"/>
            <w:r w:rsidR="00632A13" w:rsidRPr="00CA23AA">
              <w:rPr>
                <w:rFonts w:ascii="Arial Narrow" w:hAnsi="Arial Narrow" w:cs="Times New Roman"/>
                <w:b/>
                <w:sz w:val="20"/>
                <w:szCs w:val="20"/>
              </w:rPr>
              <w:t>Rossoff</w:t>
            </w:r>
            <w:proofErr w:type="spellEnd"/>
            <w:r w:rsidRPr="00CA23AA">
              <w:rPr>
                <w:rFonts w:ascii="Arial Narrow" w:hAnsi="Arial Narrow" w:cs="Times New Roman"/>
                <w:b/>
                <w:sz w:val="20"/>
                <w:szCs w:val="20"/>
              </w:rPr>
              <w:t xml:space="preserve"> (2021)</w:t>
            </w:r>
          </w:p>
        </w:tc>
        <w:tc>
          <w:tcPr>
            <w:tcW w:w="417" w:type="pct"/>
            <w:tcMar>
              <w:top w:w="15" w:type="dxa"/>
              <w:left w:w="108" w:type="dxa"/>
              <w:bottom w:w="15" w:type="dxa"/>
              <w:right w:w="108" w:type="dxa"/>
            </w:tcMar>
          </w:tcPr>
          <w:p w14:paraId="70127646" w14:textId="1E4287C8" w:rsidR="63CD8372" w:rsidRPr="00CA23AA" w:rsidRDefault="007F04FB" w:rsidP="0017201C">
            <w:pPr>
              <w:jc w:val="center"/>
              <w:rPr>
                <w:rFonts w:ascii="Arial Narrow" w:eastAsia="Arial Narrow" w:hAnsi="Arial Narrow" w:cs="Arial Narrow"/>
                <w:b/>
                <w:sz w:val="20"/>
                <w:szCs w:val="20"/>
              </w:rPr>
            </w:pPr>
            <w:r w:rsidRPr="00CA23AA">
              <w:rPr>
                <w:rFonts w:ascii="Arial Narrow" w:hAnsi="Arial Narrow" w:cs="Times New Roman"/>
                <w:b/>
                <w:sz w:val="20"/>
                <w:szCs w:val="20"/>
              </w:rPr>
              <w:t>PRWCC</w:t>
            </w:r>
            <w:r w:rsidR="00342BF1" w:rsidRPr="00CA23AA">
              <w:rPr>
                <w:rFonts w:ascii="Arial Narrow" w:hAnsi="Arial Narrow" w:cs="Times New Roman"/>
                <w:b/>
                <w:sz w:val="20"/>
                <w:szCs w:val="20"/>
              </w:rPr>
              <w:br/>
            </w:r>
            <w:proofErr w:type="spellStart"/>
            <w:r w:rsidRPr="00CA23AA">
              <w:rPr>
                <w:rFonts w:ascii="Arial Narrow" w:hAnsi="Arial Narrow" w:cs="Times New Roman"/>
                <w:b/>
                <w:sz w:val="20"/>
                <w:szCs w:val="20"/>
              </w:rPr>
              <w:t>Moskop</w:t>
            </w:r>
            <w:proofErr w:type="spellEnd"/>
            <w:r w:rsidRPr="00CA23AA">
              <w:rPr>
                <w:rFonts w:ascii="Arial Narrow" w:hAnsi="Arial Narrow" w:cs="Times New Roman"/>
                <w:b/>
                <w:sz w:val="20"/>
                <w:szCs w:val="20"/>
              </w:rPr>
              <w:t xml:space="preserve"> et al (2022)</w:t>
            </w:r>
          </w:p>
        </w:tc>
        <w:tc>
          <w:tcPr>
            <w:tcW w:w="413" w:type="pct"/>
            <w:tcMar>
              <w:top w:w="15" w:type="dxa"/>
              <w:left w:w="108" w:type="dxa"/>
              <w:bottom w:w="15" w:type="dxa"/>
              <w:right w:w="108" w:type="dxa"/>
            </w:tcMar>
          </w:tcPr>
          <w:p w14:paraId="483A5B3C" w14:textId="70A14D6A" w:rsidR="63CD8372" w:rsidRPr="00CA23AA" w:rsidRDefault="007F04FB" w:rsidP="000E62D7">
            <w:pPr>
              <w:spacing w:before="40" w:after="40"/>
              <w:ind w:left="-57" w:right="-57"/>
              <w:jc w:val="center"/>
              <w:rPr>
                <w:rFonts w:ascii="Arial Narrow" w:hAnsi="Arial Narrow" w:cs="Times New Roman"/>
                <w:b/>
                <w:sz w:val="20"/>
                <w:szCs w:val="20"/>
              </w:rPr>
            </w:pPr>
            <w:r w:rsidRPr="00CA23AA">
              <w:rPr>
                <w:rFonts w:ascii="Arial Narrow" w:hAnsi="Arial Narrow" w:cs="Times New Roman"/>
                <w:b/>
                <w:sz w:val="20"/>
                <w:szCs w:val="20"/>
              </w:rPr>
              <w:t>JH &amp; SJ Hosp</w:t>
            </w:r>
            <w:r w:rsidRPr="00CA23AA">
              <w:rPr>
                <w:rFonts w:ascii="Arial Narrow" w:hAnsi="Arial Narrow" w:cs="Times New Roman"/>
                <w:b/>
                <w:sz w:val="20"/>
                <w:szCs w:val="20"/>
              </w:rPr>
              <w:br/>
            </w:r>
            <w:proofErr w:type="spellStart"/>
            <w:r w:rsidR="003307B4" w:rsidRPr="00CA23AA">
              <w:rPr>
                <w:rFonts w:ascii="Arial Narrow" w:hAnsi="Arial Narrow" w:cs="Times New Roman"/>
                <w:b/>
                <w:sz w:val="20"/>
                <w:szCs w:val="20"/>
              </w:rPr>
              <w:t>Ravich</w:t>
            </w:r>
            <w:proofErr w:type="spellEnd"/>
            <w:r w:rsidRPr="00CA23AA">
              <w:rPr>
                <w:rFonts w:ascii="Arial Narrow" w:hAnsi="Arial Narrow" w:cs="Times New Roman"/>
                <w:b/>
                <w:sz w:val="20"/>
                <w:szCs w:val="20"/>
              </w:rPr>
              <w:t xml:space="preserve"> et al (2022)</w:t>
            </w:r>
          </w:p>
        </w:tc>
      </w:tr>
      <w:tr w:rsidR="63CD8372" w:rsidRPr="00CA23AA" w14:paraId="380329C3" w14:textId="77777777" w:rsidTr="00594907">
        <w:trPr>
          <w:trHeight w:val="300"/>
          <w:tblHeader/>
        </w:trPr>
        <w:tc>
          <w:tcPr>
            <w:tcW w:w="417" w:type="pct"/>
            <w:tcMar>
              <w:top w:w="15" w:type="dxa"/>
              <w:left w:w="108" w:type="dxa"/>
              <w:bottom w:w="15" w:type="dxa"/>
              <w:right w:w="108" w:type="dxa"/>
            </w:tcMar>
            <w:vAlign w:val="center"/>
          </w:tcPr>
          <w:p w14:paraId="59E33D89" w14:textId="641D8E36" w:rsidR="63CD8372" w:rsidRPr="00CA23AA" w:rsidRDefault="00CD002C" w:rsidP="00095A3C">
            <w:pPr>
              <w:rPr>
                <w:rFonts w:ascii="Arial Narrow" w:eastAsia="Arial Narrow" w:hAnsi="Arial Narrow" w:cs="Arial Narrow"/>
                <w:b/>
                <w:sz w:val="20"/>
                <w:szCs w:val="20"/>
              </w:rPr>
            </w:pPr>
            <w:r w:rsidRPr="00CA23AA">
              <w:rPr>
                <w:rFonts w:ascii="Arial Narrow" w:eastAsia="Arial Narrow" w:hAnsi="Arial Narrow" w:cs="Arial Narrow"/>
                <w:b/>
                <w:sz w:val="20"/>
                <w:szCs w:val="20"/>
              </w:rPr>
              <w:t>N infused</w:t>
            </w:r>
          </w:p>
        </w:tc>
        <w:tc>
          <w:tcPr>
            <w:tcW w:w="417" w:type="pct"/>
            <w:tcMar>
              <w:top w:w="15" w:type="dxa"/>
              <w:left w:w="108" w:type="dxa"/>
              <w:bottom w:w="15" w:type="dxa"/>
              <w:right w:w="108" w:type="dxa"/>
            </w:tcMar>
            <w:vAlign w:val="center"/>
          </w:tcPr>
          <w:p w14:paraId="6E1A4155" w14:textId="1729D8F7"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79</w:t>
            </w:r>
          </w:p>
        </w:tc>
        <w:tc>
          <w:tcPr>
            <w:tcW w:w="417" w:type="pct"/>
            <w:tcMar>
              <w:top w:w="15" w:type="dxa"/>
              <w:left w:w="108" w:type="dxa"/>
              <w:bottom w:w="15" w:type="dxa"/>
              <w:right w:w="108" w:type="dxa"/>
            </w:tcMar>
            <w:vAlign w:val="center"/>
          </w:tcPr>
          <w:p w14:paraId="74CB5FC5" w14:textId="56B22CD1"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64</w:t>
            </w:r>
          </w:p>
        </w:tc>
        <w:tc>
          <w:tcPr>
            <w:tcW w:w="417" w:type="pct"/>
            <w:tcMar>
              <w:top w:w="15" w:type="dxa"/>
              <w:left w:w="108" w:type="dxa"/>
              <w:bottom w:w="15" w:type="dxa"/>
              <w:right w:w="108" w:type="dxa"/>
            </w:tcMar>
            <w:vAlign w:val="center"/>
          </w:tcPr>
          <w:p w14:paraId="7A7CACFF" w14:textId="7822F0EA"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69</w:t>
            </w:r>
          </w:p>
        </w:tc>
        <w:tc>
          <w:tcPr>
            <w:tcW w:w="417" w:type="pct"/>
            <w:shd w:val="solid" w:color="000000" w:fill="000000"/>
            <w:tcMar>
              <w:top w:w="15" w:type="dxa"/>
              <w:left w:w="108" w:type="dxa"/>
              <w:bottom w:w="15" w:type="dxa"/>
              <w:right w:w="108" w:type="dxa"/>
            </w:tcMar>
            <w:vAlign w:val="center"/>
          </w:tcPr>
          <w:p w14:paraId="22EF0BD0" w14:textId="4BB45F4F" w:rsidR="63CD8372" w:rsidRPr="00CA23AA" w:rsidRDefault="00594907" w:rsidP="0017201C">
            <w:pPr>
              <w:jc w:val="center"/>
              <w:rPr>
                <w:rFonts w:ascii="Arial Narrow" w:eastAsia="Arial Narrow" w:hAnsi="Arial Narrow" w:cs="Arial Narrow"/>
                <w:b/>
                <w:sz w:val="20"/>
                <w:szCs w:val="20"/>
              </w:rPr>
            </w:pPr>
            <w:r w:rsidRPr="00594907">
              <w:rPr>
                <w:rFonts w:ascii="Arial Narrow" w:eastAsia="Arial Narrow" w:hAnsi="Arial Narrow" w:cs="Arial Narrow"/>
                <w:b/>
                <w:color w:val="000000"/>
                <w:sz w:val="20"/>
                <w:szCs w:val="20"/>
                <w14:textFill>
                  <w14:solidFill>
                    <w14:srgbClr w14:val="000000">
                      <w14:alpha w14:val="100000"/>
                    </w14:srgbClr>
                  </w14:solidFill>
                </w14:textFill>
              </w:rPr>
              <w:t>|</w:t>
            </w:r>
          </w:p>
        </w:tc>
        <w:tc>
          <w:tcPr>
            <w:tcW w:w="417" w:type="pct"/>
            <w:tcMar>
              <w:top w:w="15" w:type="dxa"/>
              <w:left w:w="108" w:type="dxa"/>
              <w:bottom w:w="15" w:type="dxa"/>
              <w:right w:w="108" w:type="dxa"/>
            </w:tcMar>
            <w:vAlign w:val="center"/>
          </w:tcPr>
          <w:p w14:paraId="1652491D" w14:textId="6DC9ACFA"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255</w:t>
            </w:r>
          </w:p>
        </w:tc>
        <w:tc>
          <w:tcPr>
            <w:tcW w:w="417" w:type="pct"/>
            <w:tcMar>
              <w:top w:w="15" w:type="dxa"/>
              <w:left w:w="108" w:type="dxa"/>
              <w:bottom w:w="15" w:type="dxa"/>
              <w:right w:w="108" w:type="dxa"/>
            </w:tcMar>
            <w:vAlign w:val="center"/>
          </w:tcPr>
          <w:p w14:paraId="3182F3A5" w14:textId="54AB14C2"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51</w:t>
            </w:r>
          </w:p>
        </w:tc>
        <w:tc>
          <w:tcPr>
            <w:tcW w:w="417" w:type="pct"/>
            <w:tcMar>
              <w:top w:w="15" w:type="dxa"/>
              <w:left w:w="108" w:type="dxa"/>
              <w:bottom w:w="15" w:type="dxa"/>
              <w:right w:w="108" w:type="dxa"/>
            </w:tcMar>
            <w:vAlign w:val="center"/>
          </w:tcPr>
          <w:p w14:paraId="60844116" w14:textId="16A64446"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81</w:t>
            </w:r>
          </w:p>
        </w:tc>
        <w:tc>
          <w:tcPr>
            <w:tcW w:w="417" w:type="pct"/>
            <w:tcMar>
              <w:top w:w="15" w:type="dxa"/>
              <w:left w:w="108" w:type="dxa"/>
              <w:bottom w:w="15" w:type="dxa"/>
              <w:right w:w="108" w:type="dxa"/>
            </w:tcMar>
            <w:vAlign w:val="center"/>
          </w:tcPr>
          <w:p w14:paraId="052EA98A" w14:textId="1A69E6DC"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35</w:t>
            </w:r>
          </w:p>
        </w:tc>
        <w:tc>
          <w:tcPr>
            <w:tcW w:w="417" w:type="pct"/>
            <w:tcMar>
              <w:top w:w="15" w:type="dxa"/>
              <w:left w:w="108" w:type="dxa"/>
              <w:bottom w:w="15" w:type="dxa"/>
              <w:right w:w="108" w:type="dxa"/>
            </w:tcMar>
            <w:vAlign w:val="center"/>
          </w:tcPr>
          <w:p w14:paraId="0C4AD363" w14:textId="752497B1"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185</w:t>
            </w:r>
          </w:p>
        </w:tc>
        <w:tc>
          <w:tcPr>
            <w:tcW w:w="417" w:type="pct"/>
            <w:tcMar>
              <w:top w:w="15" w:type="dxa"/>
              <w:left w:w="108" w:type="dxa"/>
              <w:bottom w:w="15" w:type="dxa"/>
              <w:right w:w="108" w:type="dxa"/>
            </w:tcMar>
            <w:vAlign w:val="center"/>
          </w:tcPr>
          <w:p w14:paraId="3A67E678" w14:textId="125C6B58"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14</w:t>
            </w:r>
          </w:p>
        </w:tc>
        <w:tc>
          <w:tcPr>
            <w:tcW w:w="413" w:type="pct"/>
            <w:tcMar>
              <w:top w:w="15" w:type="dxa"/>
              <w:left w:w="108" w:type="dxa"/>
              <w:bottom w:w="15" w:type="dxa"/>
              <w:right w:w="108" w:type="dxa"/>
            </w:tcMar>
            <w:vAlign w:val="center"/>
          </w:tcPr>
          <w:p w14:paraId="322CC18E" w14:textId="620AB0E5" w:rsidR="63CD8372" w:rsidRPr="00CA23AA" w:rsidRDefault="63CD8372" w:rsidP="0017201C">
            <w:pPr>
              <w:jc w:val="center"/>
              <w:rPr>
                <w:rFonts w:ascii="Arial Narrow" w:eastAsia="Arial Narrow" w:hAnsi="Arial Narrow" w:cs="Arial Narrow"/>
                <w:b/>
                <w:sz w:val="20"/>
                <w:szCs w:val="20"/>
              </w:rPr>
            </w:pPr>
            <w:r w:rsidRPr="00CA23AA">
              <w:rPr>
                <w:rFonts w:ascii="Arial Narrow" w:eastAsia="Arial Narrow" w:hAnsi="Arial Narrow" w:cs="Arial Narrow"/>
                <w:b/>
                <w:sz w:val="20"/>
                <w:szCs w:val="20"/>
              </w:rPr>
              <w:t>31</w:t>
            </w:r>
          </w:p>
        </w:tc>
      </w:tr>
      <w:tr w:rsidR="63CD8372" w:rsidRPr="00CA23AA" w14:paraId="145EDCC5" w14:textId="77777777" w:rsidTr="00233C18">
        <w:trPr>
          <w:trHeight w:val="300"/>
        </w:trPr>
        <w:tc>
          <w:tcPr>
            <w:tcW w:w="5000" w:type="pct"/>
            <w:gridSpan w:val="12"/>
            <w:tcMar>
              <w:top w:w="15" w:type="dxa"/>
              <w:left w:w="108" w:type="dxa"/>
              <w:bottom w:w="15" w:type="dxa"/>
              <w:right w:w="108" w:type="dxa"/>
            </w:tcMar>
            <w:vAlign w:val="center"/>
          </w:tcPr>
          <w:p w14:paraId="7B36FD32" w14:textId="7E30C45C" w:rsidR="63CD8372" w:rsidRPr="00CA23AA" w:rsidRDefault="63CD8372">
            <w:r w:rsidRPr="00CA23AA">
              <w:rPr>
                <w:rFonts w:ascii="Arial Narrow" w:eastAsia="Arial Narrow" w:hAnsi="Arial Narrow" w:cs="Arial Narrow"/>
                <w:b/>
                <w:sz w:val="20"/>
                <w:szCs w:val="20"/>
              </w:rPr>
              <w:t>TIS-infusion</w:t>
            </w:r>
          </w:p>
        </w:tc>
      </w:tr>
      <w:tr w:rsidR="63CD8372" w:rsidRPr="00CA23AA" w14:paraId="35CD3433" w14:textId="77777777" w:rsidTr="00594907">
        <w:trPr>
          <w:trHeight w:val="300"/>
        </w:trPr>
        <w:tc>
          <w:tcPr>
            <w:tcW w:w="417" w:type="pct"/>
            <w:tcMar>
              <w:top w:w="15" w:type="dxa"/>
              <w:left w:w="108" w:type="dxa"/>
              <w:bottom w:w="15" w:type="dxa"/>
              <w:right w:w="108" w:type="dxa"/>
            </w:tcMar>
            <w:vAlign w:val="center"/>
          </w:tcPr>
          <w:p w14:paraId="19282A43" w14:textId="2AD132D2" w:rsidR="63CD8372" w:rsidRPr="00CA23AA" w:rsidRDefault="63CD8372" w:rsidP="00095A3C">
            <w:pP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Number of ALL patients infused with </w:t>
            </w:r>
            <w:r w:rsidR="0031E6EE" w:rsidRPr="00CA23AA">
              <w:rPr>
                <w:rFonts w:ascii="Arial Narrow" w:eastAsia="Arial Narrow" w:hAnsi="Arial Narrow" w:cs="Arial Narrow"/>
                <w:sz w:val="20"/>
                <w:szCs w:val="20"/>
              </w:rPr>
              <w:t>TIS</w:t>
            </w:r>
          </w:p>
        </w:tc>
        <w:tc>
          <w:tcPr>
            <w:tcW w:w="417" w:type="pct"/>
            <w:tcMar>
              <w:top w:w="15" w:type="dxa"/>
              <w:left w:w="108" w:type="dxa"/>
              <w:bottom w:w="15" w:type="dxa"/>
              <w:right w:w="108" w:type="dxa"/>
            </w:tcMar>
            <w:vAlign w:val="center"/>
          </w:tcPr>
          <w:p w14:paraId="2A3FD6F6" w14:textId="22FC1EEA"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81.4%</w:t>
            </w:r>
          </w:p>
        </w:tc>
        <w:tc>
          <w:tcPr>
            <w:tcW w:w="417" w:type="pct"/>
            <w:tcMar>
              <w:top w:w="15" w:type="dxa"/>
              <w:left w:w="108" w:type="dxa"/>
              <w:bottom w:w="15" w:type="dxa"/>
              <w:right w:w="108" w:type="dxa"/>
            </w:tcMar>
            <w:vAlign w:val="center"/>
          </w:tcPr>
          <w:p w14:paraId="29AD456C" w14:textId="0F9BAF6B"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85.3%</w:t>
            </w:r>
          </w:p>
        </w:tc>
        <w:tc>
          <w:tcPr>
            <w:tcW w:w="417" w:type="pct"/>
            <w:tcMar>
              <w:top w:w="15" w:type="dxa"/>
              <w:left w:w="108" w:type="dxa"/>
              <w:bottom w:w="15" w:type="dxa"/>
              <w:right w:w="108" w:type="dxa"/>
            </w:tcMar>
            <w:vAlign w:val="center"/>
          </w:tcPr>
          <w:p w14:paraId="0AB0DCE8" w14:textId="36EDF685"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93.2%</w:t>
            </w:r>
          </w:p>
        </w:tc>
        <w:tc>
          <w:tcPr>
            <w:tcW w:w="417" w:type="pct"/>
            <w:tcBorders>
              <w:bottom w:val="single" w:sz="4" w:space="0" w:color="auto"/>
            </w:tcBorders>
            <w:shd w:val="solid" w:color="000000" w:fill="000000"/>
            <w:tcMar>
              <w:top w:w="15" w:type="dxa"/>
              <w:left w:w="108" w:type="dxa"/>
              <w:bottom w:w="15" w:type="dxa"/>
              <w:right w:w="108" w:type="dxa"/>
            </w:tcMar>
            <w:vAlign w:val="center"/>
          </w:tcPr>
          <w:p w14:paraId="44401C84" w14:textId="750E5DEB" w:rsidR="63CD8372" w:rsidRPr="00CA23AA" w:rsidRDefault="00594907" w:rsidP="0017201C">
            <w:pPr>
              <w:jc w:val="center"/>
              <w:rPr>
                <w:rFonts w:ascii="Arial Narrow" w:eastAsia="Arial Narrow" w:hAnsi="Arial Narrow" w:cs="Arial Narrow"/>
                <w:sz w:val="20"/>
                <w:szCs w:val="20"/>
              </w:rPr>
            </w:pPr>
            <w:r w:rsidRPr="00594907">
              <w:rPr>
                <w:rFonts w:ascii="Arial Narrow" w:eastAsia="Arial Narrow" w:hAnsi="Arial Narrow" w:cs="Arial Narrow"/>
                <w:color w:val="000000"/>
                <w:sz w:val="20"/>
                <w:szCs w:val="20"/>
                <w14:textFill>
                  <w14:solidFill>
                    <w14:srgbClr w14:val="000000">
                      <w14:alpha w14:val="100000"/>
                    </w14:srgbClr>
                  </w14:solidFill>
                </w14:textFill>
              </w:rPr>
              <w:t>|</w:t>
            </w:r>
          </w:p>
        </w:tc>
        <w:tc>
          <w:tcPr>
            <w:tcW w:w="417" w:type="pct"/>
            <w:tcMar>
              <w:top w:w="15" w:type="dxa"/>
              <w:left w:w="108" w:type="dxa"/>
              <w:bottom w:w="15" w:type="dxa"/>
              <w:right w:w="108" w:type="dxa"/>
            </w:tcMar>
            <w:vAlign w:val="center"/>
          </w:tcPr>
          <w:p w14:paraId="1BC35AD0" w14:textId="194132B4"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100.0%</w:t>
            </w:r>
          </w:p>
        </w:tc>
        <w:tc>
          <w:tcPr>
            <w:tcW w:w="417" w:type="pct"/>
            <w:tcMar>
              <w:top w:w="15" w:type="dxa"/>
              <w:left w:w="108" w:type="dxa"/>
              <w:bottom w:w="15" w:type="dxa"/>
              <w:right w:w="108" w:type="dxa"/>
            </w:tcMar>
            <w:vAlign w:val="center"/>
          </w:tcPr>
          <w:p w14:paraId="36900A00" w14:textId="3E205396"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100.0%</w:t>
            </w:r>
          </w:p>
        </w:tc>
        <w:tc>
          <w:tcPr>
            <w:tcW w:w="417" w:type="pct"/>
            <w:tcMar>
              <w:top w:w="15" w:type="dxa"/>
              <w:left w:w="108" w:type="dxa"/>
              <w:bottom w:w="15" w:type="dxa"/>
              <w:right w:w="108" w:type="dxa"/>
            </w:tcMar>
            <w:vAlign w:val="center"/>
          </w:tcPr>
          <w:p w14:paraId="3E086304" w14:textId="67198F0E"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100%</w:t>
            </w:r>
          </w:p>
        </w:tc>
        <w:tc>
          <w:tcPr>
            <w:tcW w:w="417" w:type="pct"/>
            <w:tcMar>
              <w:top w:w="15" w:type="dxa"/>
              <w:left w:w="108" w:type="dxa"/>
              <w:bottom w:w="15" w:type="dxa"/>
              <w:right w:w="108" w:type="dxa"/>
            </w:tcMar>
            <w:vAlign w:val="center"/>
          </w:tcPr>
          <w:p w14:paraId="4C746D30" w14:textId="7126D4D2"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92.1%</w:t>
            </w:r>
          </w:p>
        </w:tc>
        <w:tc>
          <w:tcPr>
            <w:tcW w:w="417" w:type="pct"/>
            <w:tcMar>
              <w:top w:w="15" w:type="dxa"/>
              <w:left w:w="108" w:type="dxa"/>
              <w:bottom w:w="15" w:type="dxa"/>
              <w:right w:w="108" w:type="dxa"/>
            </w:tcMar>
            <w:vAlign w:val="center"/>
          </w:tcPr>
          <w:p w14:paraId="00A417F5" w14:textId="6D6111AC"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92.5%</w:t>
            </w:r>
          </w:p>
        </w:tc>
        <w:tc>
          <w:tcPr>
            <w:tcW w:w="417" w:type="pct"/>
            <w:tcMar>
              <w:top w:w="15" w:type="dxa"/>
              <w:left w:w="108" w:type="dxa"/>
              <w:bottom w:w="15" w:type="dxa"/>
              <w:right w:w="108" w:type="dxa"/>
            </w:tcMar>
            <w:vAlign w:val="center"/>
          </w:tcPr>
          <w:p w14:paraId="0EDA2F45" w14:textId="3988F732"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87.5%</w:t>
            </w:r>
          </w:p>
        </w:tc>
        <w:tc>
          <w:tcPr>
            <w:tcW w:w="413" w:type="pct"/>
            <w:tcMar>
              <w:top w:w="15" w:type="dxa"/>
              <w:left w:w="108" w:type="dxa"/>
              <w:bottom w:w="15" w:type="dxa"/>
              <w:right w:w="108" w:type="dxa"/>
            </w:tcMar>
            <w:vAlign w:val="center"/>
          </w:tcPr>
          <w:p w14:paraId="34BF554A" w14:textId="4A664E7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93.9%</w:t>
            </w:r>
          </w:p>
        </w:tc>
      </w:tr>
      <w:tr w:rsidR="63CD8372" w:rsidRPr="00CA23AA" w14:paraId="3CDDE43B" w14:textId="77777777" w:rsidTr="00594907">
        <w:trPr>
          <w:trHeight w:val="300"/>
        </w:trPr>
        <w:tc>
          <w:tcPr>
            <w:tcW w:w="417" w:type="pct"/>
            <w:tcMar>
              <w:top w:w="15" w:type="dxa"/>
              <w:left w:w="108" w:type="dxa"/>
              <w:bottom w:w="15" w:type="dxa"/>
              <w:right w:w="108" w:type="dxa"/>
            </w:tcMar>
            <w:vAlign w:val="center"/>
          </w:tcPr>
          <w:p w14:paraId="6C94464A" w14:textId="6C16CA03" w:rsidR="63CD8372" w:rsidRPr="00CA23AA" w:rsidRDefault="63CD8372" w:rsidP="00342BF1">
            <w:pPr>
              <w:rPr>
                <w:rFonts w:ascii="Arial Narrow" w:eastAsia="Arial Narrow" w:hAnsi="Arial Narrow" w:cs="Arial Narrow"/>
                <w:sz w:val="20"/>
                <w:szCs w:val="20"/>
              </w:rPr>
            </w:pPr>
            <w:r w:rsidRPr="00CA23AA">
              <w:rPr>
                <w:rFonts w:ascii="Arial Narrow" w:eastAsia="Arial Narrow" w:hAnsi="Arial Narrow" w:cs="Arial Narrow"/>
                <w:sz w:val="20"/>
                <w:szCs w:val="20"/>
              </w:rPr>
              <w:t>Dose infused- total cells x10</w:t>
            </w:r>
            <w:r w:rsidRPr="00CA23AA">
              <w:rPr>
                <w:rFonts w:ascii="Arial Narrow" w:eastAsia="Arial Narrow" w:hAnsi="Arial Narrow" w:cs="Arial Narrow"/>
                <w:sz w:val="20"/>
                <w:szCs w:val="20"/>
                <w:vertAlign w:val="superscript"/>
              </w:rPr>
              <w:t>8</w:t>
            </w:r>
            <w:r w:rsidRPr="00CA23AA">
              <w:rPr>
                <w:rFonts w:ascii="Arial Narrow" w:eastAsia="Arial Narrow" w:hAnsi="Arial Narrow" w:cs="Arial Narrow"/>
                <w:sz w:val="20"/>
                <w:szCs w:val="20"/>
              </w:rPr>
              <w:t xml:space="preserve"> (median, range)</w:t>
            </w:r>
          </w:p>
        </w:tc>
        <w:tc>
          <w:tcPr>
            <w:tcW w:w="417" w:type="pct"/>
            <w:tcMar>
              <w:top w:w="15" w:type="dxa"/>
              <w:left w:w="108" w:type="dxa"/>
              <w:bottom w:w="15" w:type="dxa"/>
              <w:right w:w="108" w:type="dxa"/>
            </w:tcMar>
            <w:vAlign w:val="center"/>
          </w:tcPr>
          <w:p w14:paraId="3940382B" w14:textId="1C57644E"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4.5 (0.2–20.0)</w:t>
            </w:r>
          </w:p>
        </w:tc>
        <w:tc>
          <w:tcPr>
            <w:tcW w:w="417" w:type="pct"/>
            <w:tcMar>
              <w:top w:w="15" w:type="dxa"/>
              <w:left w:w="108" w:type="dxa"/>
              <w:bottom w:w="15" w:type="dxa"/>
              <w:right w:w="108" w:type="dxa"/>
            </w:tcMar>
            <w:vAlign w:val="center"/>
          </w:tcPr>
          <w:p w14:paraId="74D2866F" w14:textId="418F39BB"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Not identified</w:t>
            </w:r>
          </w:p>
        </w:tc>
        <w:tc>
          <w:tcPr>
            <w:tcW w:w="417" w:type="pct"/>
            <w:tcMar>
              <w:top w:w="15" w:type="dxa"/>
              <w:left w:w="108" w:type="dxa"/>
              <w:bottom w:w="15" w:type="dxa"/>
              <w:right w:w="108" w:type="dxa"/>
            </w:tcMar>
            <w:vAlign w:val="center"/>
          </w:tcPr>
          <w:p w14:paraId="5ABD4DC5" w14:textId="32888E87"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3 </w:t>
            </w:r>
            <w:r w:rsidRPr="00CA23AA">
              <w:br/>
            </w:r>
            <w:r w:rsidRPr="00CA23AA">
              <w:rPr>
                <w:rFonts w:ascii="Arial Narrow" w:eastAsia="Arial Narrow" w:hAnsi="Arial Narrow" w:cs="Arial Narrow"/>
                <w:sz w:val="20"/>
                <w:szCs w:val="20"/>
              </w:rPr>
              <w:t>(0.0–10.0)</w:t>
            </w:r>
          </w:p>
        </w:tc>
        <w:tc>
          <w:tcPr>
            <w:tcW w:w="417" w:type="pct"/>
            <w:tcBorders>
              <w:bottom w:val="single" w:sz="4" w:space="0" w:color="auto"/>
            </w:tcBorders>
            <w:shd w:val="solid" w:color="000000" w:fill="000000"/>
            <w:tcMar>
              <w:top w:w="15" w:type="dxa"/>
              <w:left w:w="108" w:type="dxa"/>
              <w:bottom w:w="15" w:type="dxa"/>
              <w:right w:w="108" w:type="dxa"/>
            </w:tcMar>
            <w:vAlign w:val="center"/>
          </w:tcPr>
          <w:p w14:paraId="669A36E0" w14:textId="6DD9AEE3" w:rsidR="63CD8372" w:rsidRPr="00CA23AA" w:rsidRDefault="00594907" w:rsidP="0017201C">
            <w:pPr>
              <w:jc w:val="center"/>
              <w:rPr>
                <w:rFonts w:ascii="Arial Narrow" w:eastAsia="Arial Narrow" w:hAnsi="Arial Narrow" w:cs="Arial Narrow"/>
                <w:sz w:val="20"/>
                <w:szCs w:val="20"/>
              </w:rPr>
            </w:pPr>
            <w:r w:rsidRPr="00594907">
              <w:rPr>
                <w:rFonts w:ascii="Arial Narrow" w:eastAsia="Arial Narrow" w:hAnsi="Arial Narrow" w:cs="Arial Narrow"/>
                <w:color w:val="000000"/>
                <w:sz w:val="20"/>
                <w:szCs w:val="20"/>
                <w14:textFill>
                  <w14:solidFill>
                    <w14:srgbClr w14:val="000000">
                      <w14:alpha w14:val="100000"/>
                    </w14:srgbClr>
                  </w14:solidFill>
                </w14:textFill>
              </w:rPr>
              <w:t>|</w:t>
            </w:r>
          </w:p>
        </w:tc>
        <w:tc>
          <w:tcPr>
            <w:tcW w:w="417" w:type="pct"/>
            <w:tcMar>
              <w:top w:w="15" w:type="dxa"/>
              <w:left w:w="108" w:type="dxa"/>
              <w:bottom w:w="15" w:type="dxa"/>
              <w:right w:w="108" w:type="dxa"/>
            </w:tcMar>
            <w:vAlign w:val="center"/>
          </w:tcPr>
          <w:p w14:paraId="0909ACE1" w14:textId="62C0530D"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0697CC26" w14:textId="60D999D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5D6984FA" w14:textId="2003C2C2"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590590D7" w14:textId="227A2BD4"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2.3x10</w:t>
            </w:r>
            <w:r w:rsidRPr="00CA23AA">
              <w:rPr>
                <w:rFonts w:ascii="Arial Narrow" w:eastAsia="Arial Narrow" w:hAnsi="Arial Narrow" w:cs="Arial Narrow"/>
                <w:sz w:val="20"/>
                <w:szCs w:val="20"/>
                <w:vertAlign w:val="superscript"/>
              </w:rPr>
              <w:t>6</w:t>
            </w:r>
            <w:r w:rsidRPr="00CA23AA">
              <w:rPr>
                <w:rFonts w:ascii="Arial Narrow" w:eastAsia="Arial Narrow" w:hAnsi="Arial Narrow" w:cs="Arial Narrow"/>
                <w:sz w:val="20"/>
                <w:szCs w:val="20"/>
              </w:rPr>
              <w:t xml:space="preserve"> cells/kg </w:t>
            </w:r>
            <w:r w:rsidR="00CD002C"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(IQR 2.0-4.4)</w:t>
            </w:r>
          </w:p>
        </w:tc>
        <w:tc>
          <w:tcPr>
            <w:tcW w:w="417" w:type="pct"/>
            <w:tcMar>
              <w:top w:w="15" w:type="dxa"/>
              <w:left w:w="108" w:type="dxa"/>
              <w:bottom w:w="15" w:type="dxa"/>
              <w:right w:w="108" w:type="dxa"/>
            </w:tcMar>
            <w:vAlign w:val="center"/>
          </w:tcPr>
          <w:p w14:paraId="60C98598" w14:textId="5CE59DC9"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1.7 10</w:t>
            </w:r>
            <w:r w:rsidRPr="00CA23AA">
              <w:rPr>
                <w:rFonts w:ascii="Arial Narrow" w:eastAsia="Arial Narrow" w:hAnsi="Arial Narrow" w:cs="Arial Narrow"/>
                <w:sz w:val="20"/>
                <w:szCs w:val="20"/>
                <w:vertAlign w:val="superscript"/>
              </w:rPr>
              <w:t>6</w:t>
            </w:r>
            <w:r w:rsidRPr="00CA23AA">
              <w:rPr>
                <w:rFonts w:ascii="Arial Narrow" w:eastAsia="Arial Narrow" w:hAnsi="Arial Narrow" w:cs="Arial Narrow"/>
                <w:sz w:val="20"/>
                <w:szCs w:val="20"/>
              </w:rPr>
              <w:t xml:space="preserve"> cells/kg</w:t>
            </w:r>
            <w:r w:rsidR="000961D0"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(0.134–7.49)</w:t>
            </w:r>
          </w:p>
        </w:tc>
        <w:tc>
          <w:tcPr>
            <w:tcW w:w="417" w:type="pct"/>
            <w:tcMar>
              <w:top w:w="15" w:type="dxa"/>
              <w:left w:w="108" w:type="dxa"/>
              <w:bottom w:w="15" w:type="dxa"/>
              <w:right w:w="108" w:type="dxa"/>
            </w:tcMar>
            <w:vAlign w:val="center"/>
          </w:tcPr>
          <w:p w14:paraId="4CBF52CD" w14:textId="41E944ED"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3" w:type="pct"/>
            <w:tcMar>
              <w:top w:w="15" w:type="dxa"/>
              <w:left w:w="108" w:type="dxa"/>
              <w:bottom w:w="15" w:type="dxa"/>
              <w:right w:w="108" w:type="dxa"/>
            </w:tcMar>
            <w:vAlign w:val="center"/>
          </w:tcPr>
          <w:p w14:paraId="2AFC4FD0" w14:textId="5227107B"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r>
      <w:tr w:rsidR="63CD8372" w:rsidRPr="00CA23AA" w14:paraId="5A7DC0A7" w14:textId="77777777" w:rsidTr="00594907">
        <w:trPr>
          <w:trHeight w:val="300"/>
        </w:trPr>
        <w:tc>
          <w:tcPr>
            <w:tcW w:w="417" w:type="pct"/>
            <w:tcMar>
              <w:top w:w="15" w:type="dxa"/>
              <w:left w:w="108" w:type="dxa"/>
              <w:bottom w:w="15" w:type="dxa"/>
              <w:right w:w="108" w:type="dxa"/>
            </w:tcMar>
            <w:vAlign w:val="center"/>
          </w:tcPr>
          <w:p w14:paraId="3B880D2C" w14:textId="454E348B" w:rsidR="63CD8372" w:rsidRPr="00CA23AA" w:rsidRDefault="63CD8372" w:rsidP="00342BF1">
            <w:pPr>
              <w:rPr>
                <w:rFonts w:ascii="Arial Narrow" w:eastAsia="Arial Narrow" w:hAnsi="Arial Narrow" w:cs="Arial Narrow"/>
                <w:sz w:val="20"/>
                <w:szCs w:val="20"/>
              </w:rPr>
            </w:pPr>
            <w:r w:rsidRPr="00CA23AA">
              <w:rPr>
                <w:rFonts w:ascii="Arial Narrow" w:eastAsia="Arial Narrow" w:hAnsi="Arial Narrow" w:cs="Arial Narrow"/>
                <w:sz w:val="20"/>
                <w:szCs w:val="20"/>
              </w:rPr>
              <w:t>Out of specification product infused (n, %)</w:t>
            </w:r>
          </w:p>
        </w:tc>
        <w:tc>
          <w:tcPr>
            <w:tcW w:w="417" w:type="pct"/>
            <w:tcMar>
              <w:top w:w="15" w:type="dxa"/>
              <w:left w:w="108" w:type="dxa"/>
              <w:bottom w:w="15" w:type="dxa"/>
              <w:right w:w="108" w:type="dxa"/>
            </w:tcMar>
            <w:vAlign w:val="center"/>
          </w:tcPr>
          <w:p w14:paraId="0A96873C" w14:textId="59146417"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Not identified</w:t>
            </w:r>
          </w:p>
        </w:tc>
        <w:tc>
          <w:tcPr>
            <w:tcW w:w="417" w:type="pct"/>
            <w:tcMar>
              <w:top w:w="15" w:type="dxa"/>
              <w:left w:w="108" w:type="dxa"/>
              <w:bottom w:w="15" w:type="dxa"/>
              <w:right w:w="108" w:type="dxa"/>
            </w:tcMar>
            <w:vAlign w:val="center"/>
          </w:tcPr>
          <w:p w14:paraId="160C1604" w14:textId="23EE64CF"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18.8%</w:t>
            </w:r>
          </w:p>
        </w:tc>
        <w:tc>
          <w:tcPr>
            <w:tcW w:w="417" w:type="pct"/>
            <w:tcMar>
              <w:top w:w="15" w:type="dxa"/>
              <w:left w:w="108" w:type="dxa"/>
              <w:bottom w:w="15" w:type="dxa"/>
              <w:right w:w="108" w:type="dxa"/>
            </w:tcMar>
            <w:vAlign w:val="center"/>
          </w:tcPr>
          <w:p w14:paraId="50073AEA" w14:textId="31E92179"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11.6%</w:t>
            </w:r>
          </w:p>
        </w:tc>
        <w:tc>
          <w:tcPr>
            <w:tcW w:w="417" w:type="pct"/>
            <w:tcBorders>
              <w:bottom w:val="single" w:sz="4" w:space="0" w:color="auto"/>
            </w:tcBorders>
            <w:shd w:val="solid" w:color="000000" w:fill="000000"/>
            <w:tcMar>
              <w:top w:w="15" w:type="dxa"/>
              <w:left w:w="108" w:type="dxa"/>
              <w:bottom w:w="15" w:type="dxa"/>
              <w:right w:w="108" w:type="dxa"/>
            </w:tcMar>
            <w:vAlign w:val="center"/>
          </w:tcPr>
          <w:p w14:paraId="46AB03AA" w14:textId="292153FD" w:rsidR="63CD8372" w:rsidRPr="00CA23AA" w:rsidRDefault="00594907" w:rsidP="0017201C">
            <w:pPr>
              <w:jc w:val="center"/>
              <w:rPr>
                <w:rFonts w:ascii="Arial Narrow" w:eastAsia="Arial Narrow" w:hAnsi="Arial Narrow" w:cs="Arial Narrow"/>
                <w:sz w:val="20"/>
                <w:szCs w:val="20"/>
              </w:rPr>
            </w:pPr>
            <w:r w:rsidRPr="00594907">
              <w:rPr>
                <w:rFonts w:ascii="Arial Narrow" w:eastAsia="Arial Narrow" w:hAnsi="Arial Narrow" w:cs="Arial Narrow"/>
                <w:color w:val="000000"/>
                <w:sz w:val="20"/>
                <w:szCs w:val="20"/>
                <w14:textFill>
                  <w14:solidFill>
                    <w14:srgbClr w14:val="000000">
                      <w14:alpha w14:val="100000"/>
                    </w14:srgbClr>
                  </w14:solidFill>
                </w14:textFill>
              </w:rPr>
              <w:t>|</w:t>
            </w:r>
          </w:p>
        </w:tc>
        <w:tc>
          <w:tcPr>
            <w:tcW w:w="417" w:type="pct"/>
            <w:tcMar>
              <w:top w:w="15" w:type="dxa"/>
              <w:left w:w="108" w:type="dxa"/>
              <w:bottom w:w="15" w:type="dxa"/>
              <w:right w:w="108" w:type="dxa"/>
            </w:tcMar>
            <w:vAlign w:val="center"/>
          </w:tcPr>
          <w:p w14:paraId="65066715" w14:textId="0A7493D0"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2FB5F5E5" w14:textId="29922D46"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25486936" w14:textId="67697B8F"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59E3EAEC" w14:textId="4F13960E"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5D079905" w14:textId="4855685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13.0%</w:t>
            </w:r>
          </w:p>
        </w:tc>
        <w:tc>
          <w:tcPr>
            <w:tcW w:w="417" w:type="pct"/>
            <w:tcMar>
              <w:top w:w="15" w:type="dxa"/>
              <w:left w:w="108" w:type="dxa"/>
              <w:bottom w:w="15" w:type="dxa"/>
              <w:right w:w="108" w:type="dxa"/>
            </w:tcMar>
            <w:vAlign w:val="center"/>
          </w:tcPr>
          <w:p w14:paraId="78DE9F36" w14:textId="2C9F52D8"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3" w:type="pct"/>
            <w:tcMar>
              <w:top w:w="15" w:type="dxa"/>
              <w:left w:w="108" w:type="dxa"/>
              <w:bottom w:w="15" w:type="dxa"/>
              <w:right w:w="108" w:type="dxa"/>
            </w:tcMar>
            <w:vAlign w:val="center"/>
          </w:tcPr>
          <w:p w14:paraId="546069ED" w14:textId="0A2FDCE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r>
      <w:tr w:rsidR="63CD8372" w:rsidRPr="00CA23AA" w14:paraId="4B25515B" w14:textId="77777777" w:rsidTr="00594907">
        <w:trPr>
          <w:trHeight w:val="300"/>
        </w:trPr>
        <w:tc>
          <w:tcPr>
            <w:tcW w:w="417" w:type="pct"/>
            <w:tcMar>
              <w:top w:w="15" w:type="dxa"/>
              <w:left w:w="108" w:type="dxa"/>
              <w:bottom w:w="15" w:type="dxa"/>
              <w:right w:w="108" w:type="dxa"/>
            </w:tcMar>
            <w:vAlign w:val="center"/>
          </w:tcPr>
          <w:p w14:paraId="1733299E" w14:textId="28A53167" w:rsidR="63CD8372" w:rsidRPr="00CA23AA" w:rsidRDefault="63CD8372" w:rsidP="00007333">
            <w:pP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Reinfusion with </w:t>
            </w:r>
            <w:r w:rsidR="2F121F45" w:rsidRPr="00CA23AA">
              <w:rPr>
                <w:rFonts w:ascii="Arial Narrow" w:eastAsia="Arial Narrow" w:hAnsi="Arial Narrow" w:cs="Arial Narrow"/>
                <w:sz w:val="20"/>
                <w:szCs w:val="20"/>
              </w:rPr>
              <w:t>TIS</w:t>
            </w:r>
            <w:r w:rsidRPr="00CA23AA">
              <w:br/>
            </w:r>
            <w:r w:rsidRPr="00CA23AA">
              <w:rPr>
                <w:rFonts w:ascii="Arial Narrow" w:eastAsia="Arial Narrow" w:hAnsi="Arial Narrow" w:cs="Arial Narrow"/>
                <w:sz w:val="20"/>
                <w:szCs w:val="20"/>
              </w:rPr>
              <w:t>(n, %)</w:t>
            </w:r>
          </w:p>
        </w:tc>
        <w:tc>
          <w:tcPr>
            <w:tcW w:w="417" w:type="pct"/>
            <w:tcMar>
              <w:top w:w="15" w:type="dxa"/>
              <w:left w:w="108" w:type="dxa"/>
              <w:bottom w:w="15" w:type="dxa"/>
              <w:right w:w="108" w:type="dxa"/>
            </w:tcMar>
            <w:vAlign w:val="center"/>
          </w:tcPr>
          <w:p w14:paraId="00049652" w14:textId="346701A4"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Not identified</w:t>
            </w:r>
          </w:p>
        </w:tc>
        <w:tc>
          <w:tcPr>
            <w:tcW w:w="417" w:type="pct"/>
            <w:tcMar>
              <w:top w:w="15" w:type="dxa"/>
              <w:left w:w="108" w:type="dxa"/>
              <w:bottom w:w="15" w:type="dxa"/>
              <w:right w:w="108" w:type="dxa"/>
            </w:tcMar>
            <w:vAlign w:val="center"/>
          </w:tcPr>
          <w:p w14:paraId="01D63F7D" w14:textId="4C0F03BC"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3.1%</w:t>
            </w:r>
          </w:p>
        </w:tc>
        <w:tc>
          <w:tcPr>
            <w:tcW w:w="417" w:type="pct"/>
            <w:tcMar>
              <w:top w:w="15" w:type="dxa"/>
              <w:left w:w="108" w:type="dxa"/>
              <w:bottom w:w="15" w:type="dxa"/>
              <w:right w:w="108" w:type="dxa"/>
            </w:tcMar>
            <w:vAlign w:val="center"/>
          </w:tcPr>
          <w:p w14:paraId="6F606500" w14:textId="0883C12D"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Not identified</w:t>
            </w:r>
          </w:p>
        </w:tc>
        <w:tc>
          <w:tcPr>
            <w:tcW w:w="417" w:type="pct"/>
            <w:shd w:val="solid" w:color="000000" w:fill="000000"/>
            <w:tcMar>
              <w:top w:w="15" w:type="dxa"/>
              <w:left w:w="108" w:type="dxa"/>
              <w:bottom w:w="15" w:type="dxa"/>
              <w:right w:w="108" w:type="dxa"/>
            </w:tcMar>
            <w:vAlign w:val="center"/>
          </w:tcPr>
          <w:p w14:paraId="04F39B6F" w14:textId="6D22EA53" w:rsidR="63CD8372" w:rsidRPr="00CA23AA" w:rsidRDefault="00594907" w:rsidP="0017201C">
            <w:pPr>
              <w:jc w:val="center"/>
              <w:rPr>
                <w:rFonts w:ascii="Arial Narrow" w:eastAsia="Arial Narrow" w:hAnsi="Arial Narrow" w:cs="Arial Narrow"/>
                <w:sz w:val="20"/>
                <w:szCs w:val="20"/>
              </w:rPr>
            </w:pPr>
            <w:r w:rsidRPr="00594907">
              <w:rPr>
                <w:rFonts w:ascii="Arial Narrow" w:eastAsia="Arial Narrow" w:hAnsi="Arial Narrow" w:cs="Arial Narrow"/>
                <w:color w:val="000000"/>
                <w:sz w:val="20"/>
                <w:szCs w:val="20"/>
                <w14:textFill>
                  <w14:solidFill>
                    <w14:srgbClr w14:val="000000">
                      <w14:alpha w14:val="100000"/>
                    </w14:srgbClr>
                  </w14:solidFill>
                </w14:textFill>
              </w:rPr>
              <w:t>|</w:t>
            </w:r>
          </w:p>
        </w:tc>
        <w:tc>
          <w:tcPr>
            <w:tcW w:w="417" w:type="pct"/>
            <w:tcMar>
              <w:top w:w="15" w:type="dxa"/>
              <w:left w:w="108" w:type="dxa"/>
              <w:bottom w:w="15" w:type="dxa"/>
              <w:right w:w="108" w:type="dxa"/>
            </w:tcMar>
            <w:vAlign w:val="center"/>
          </w:tcPr>
          <w:p w14:paraId="38CF6BA5" w14:textId="6CCC4E02"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34C46AEB" w14:textId="5D99D57C"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3.9%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(2/51)</w:t>
            </w:r>
          </w:p>
        </w:tc>
        <w:tc>
          <w:tcPr>
            <w:tcW w:w="417" w:type="pct"/>
            <w:tcMar>
              <w:top w:w="15" w:type="dxa"/>
              <w:left w:w="108" w:type="dxa"/>
              <w:bottom w:w="15" w:type="dxa"/>
              <w:right w:w="108" w:type="dxa"/>
            </w:tcMar>
            <w:vAlign w:val="center"/>
          </w:tcPr>
          <w:p w14:paraId="1D656BFB" w14:textId="10D897BB"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6CB7AB02" w14:textId="16ECE054"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79DA5551" w14:textId="14FE436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7" w:type="pct"/>
            <w:tcMar>
              <w:top w:w="15" w:type="dxa"/>
              <w:left w:w="108" w:type="dxa"/>
              <w:bottom w:w="15" w:type="dxa"/>
              <w:right w:w="108" w:type="dxa"/>
            </w:tcMar>
            <w:vAlign w:val="center"/>
          </w:tcPr>
          <w:p w14:paraId="65B9D5C3" w14:textId="157BB66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NR</w:t>
            </w:r>
          </w:p>
        </w:tc>
        <w:tc>
          <w:tcPr>
            <w:tcW w:w="413" w:type="pct"/>
            <w:tcMar>
              <w:top w:w="15" w:type="dxa"/>
              <w:left w:w="108" w:type="dxa"/>
              <w:bottom w:w="15" w:type="dxa"/>
              <w:right w:w="108" w:type="dxa"/>
            </w:tcMar>
            <w:vAlign w:val="center"/>
          </w:tcPr>
          <w:p w14:paraId="28863CDC" w14:textId="6FE2FEA2"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12.9%</w:t>
            </w:r>
          </w:p>
        </w:tc>
      </w:tr>
      <w:tr w:rsidR="63CD8372" w:rsidRPr="00CA23AA" w14:paraId="1B19D115" w14:textId="77777777" w:rsidTr="00233C18">
        <w:trPr>
          <w:trHeight w:val="300"/>
        </w:trPr>
        <w:tc>
          <w:tcPr>
            <w:tcW w:w="5000" w:type="pct"/>
            <w:gridSpan w:val="12"/>
            <w:tcMar>
              <w:top w:w="15" w:type="dxa"/>
              <w:left w:w="108" w:type="dxa"/>
              <w:bottom w:w="15" w:type="dxa"/>
              <w:right w:w="108" w:type="dxa"/>
            </w:tcMar>
            <w:vAlign w:val="center"/>
          </w:tcPr>
          <w:p w14:paraId="41FF460F" w14:textId="1CF75E4D" w:rsidR="63CD8372" w:rsidRPr="00CA23AA" w:rsidRDefault="63CD8372">
            <w:r w:rsidRPr="00CA23AA">
              <w:rPr>
                <w:rFonts w:ascii="Arial Narrow" w:eastAsia="Arial Narrow" w:hAnsi="Arial Narrow" w:cs="Arial Narrow"/>
                <w:b/>
                <w:sz w:val="20"/>
                <w:szCs w:val="20"/>
              </w:rPr>
              <w:t xml:space="preserve">Subsequent </w:t>
            </w:r>
            <w:proofErr w:type="spellStart"/>
            <w:r w:rsidRPr="00CA23AA">
              <w:rPr>
                <w:rFonts w:ascii="Arial Narrow" w:eastAsia="Arial Narrow" w:hAnsi="Arial Narrow" w:cs="Arial Narrow"/>
                <w:b/>
                <w:sz w:val="20"/>
                <w:szCs w:val="20"/>
              </w:rPr>
              <w:t>aHSCT</w:t>
            </w:r>
            <w:proofErr w:type="spellEnd"/>
            <w:r w:rsidRPr="00CA23AA">
              <w:rPr>
                <w:rFonts w:ascii="Arial Narrow" w:eastAsia="Arial Narrow" w:hAnsi="Arial Narrow" w:cs="Arial Narrow"/>
                <w:b/>
                <w:sz w:val="20"/>
                <w:szCs w:val="20"/>
              </w:rPr>
              <w:t xml:space="preserve"> post-infusion for all patients who reached CR</w:t>
            </w:r>
          </w:p>
        </w:tc>
      </w:tr>
      <w:tr w:rsidR="63CD8372" w:rsidRPr="00CA23AA" w14:paraId="62B60965" w14:textId="77777777" w:rsidTr="00594907">
        <w:trPr>
          <w:trHeight w:val="300"/>
        </w:trPr>
        <w:tc>
          <w:tcPr>
            <w:tcW w:w="417" w:type="pct"/>
            <w:tcMar>
              <w:top w:w="15" w:type="dxa"/>
              <w:left w:w="108" w:type="dxa"/>
              <w:bottom w:w="15" w:type="dxa"/>
              <w:right w:w="108" w:type="dxa"/>
            </w:tcMar>
            <w:vAlign w:val="center"/>
          </w:tcPr>
          <w:p w14:paraId="1E31FF9B" w14:textId="77937349" w:rsidR="63CD8372" w:rsidRPr="00CA23AA" w:rsidRDefault="63CD8372" w:rsidP="00007333">
            <w:pPr>
              <w:rPr>
                <w:rFonts w:ascii="Arial Narrow" w:eastAsia="Arial Narrow" w:hAnsi="Arial Narrow" w:cs="Arial Narrow"/>
                <w:sz w:val="20"/>
                <w:szCs w:val="20"/>
              </w:rPr>
            </w:pPr>
            <w:r w:rsidRPr="00CA23AA">
              <w:rPr>
                <w:rFonts w:ascii="Arial Narrow" w:eastAsia="Arial Narrow" w:hAnsi="Arial Narrow" w:cs="Arial Narrow"/>
                <w:sz w:val="20"/>
                <w:szCs w:val="20"/>
              </w:rPr>
              <w:t>During remission</w:t>
            </w:r>
          </w:p>
        </w:tc>
        <w:tc>
          <w:tcPr>
            <w:tcW w:w="417" w:type="pct"/>
            <w:tcMar>
              <w:top w:w="15" w:type="dxa"/>
              <w:left w:w="108" w:type="dxa"/>
              <w:bottom w:w="15" w:type="dxa"/>
              <w:right w:w="108" w:type="dxa"/>
            </w:tcMar>
            <w:vAlign w:val="center"/>
          </w:tcPr>
          <w:p w14:paraId="479205A1" w14:textId="54C2EBC6"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11.4%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(8/70)</w:t>
            </w:r>
          </w:p>
        </w:tc>
        <w:tc>
          <w:tcPr>
            <w:tcW w:w="417" w:type="pct"/>
            <w:tcMar>
              <w:top w:w="15" w:type="dxa"/>
              <w:left w:w="108" w:type="dxa"/>
              <w:bottom w:w="15" w:type="dxa"/>
              <w:right w:w="108" w:type="dxa"/>
            </w:tcMar>
            <w:vAlign w:val="center"/>
          </w:tcPr>
          <w:p w14:paraId="506548B7" w14:textId="393C7426"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7.9% (5/45)</w:t>
            </w:r>
          </w:p>
        </w:tc>
        <w:tc>
          <w:tcPr>
            <w:tcW w:w="417" w:type="pct"/>
            <w:tcMar>
              <w:top w:w="15" w:type="dxa"/>
              <w:left w:w="108" w:type="dxa"/>
              <w:bottom w:w="15" w:type="dxa"/>
              <w:right w:w="108" w:type="dxa"/>
            </w:tcMar>
            <w:vAlign w:val="center"/>
          </w:tcPr>
          <w:p w14:paraId="4FEA9A82" w14:textId="3B9DDCDF"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1.8%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(1/69)</w:t>
            </w:r>
          </w:p>
        </w:tc>
        <w:tc>
          <w:tcPr>
            <w:tcW w:w="417" w:type="pct"/>
            <w:tcBorders>
              <w:bottom w:val="single" w:sz="4" w:space="0" w:color="auto"/>
            </w:tcBorders>
            <w:shd w:val="solid" w:color="000000" w:fill="000000"/>
            <w:tcMar>
              <w:top w:w="15" w:type="dxa"/>
              <w:left w:w="108" w:type="dxa"/>
              <w:bottom w:w="15" w:type="dxa"/>
              <w:right w:w="108" w:type="dxa"/>
            </w:tcMar>
            <w:vAlign w:val="center"/>
          </w:tcPr>
          <w:p w14:paraId="67FE376B" w14:textId="1AB0BDC5" w:rsidR="63CD8372" w:rsidRPr="00CA23AA" w:rsidRDefault="00594907" w:rsidP="0017201C">
            <w:pPr>
              <w:jc w:val="center"/>
              <w:rPr>
                <w:rFonts w:ascii="Arial Narrow" w:eastAsia="Arial Narrow" w:hAnsi="Arial Narrow" w:cs="Arial Narrow"/>
                <w:sz w:val="20"/>
                <w:szCs w:val="20"/>
              </w:rPr>
            </w:pPr>
            <w:r w:rsidRPr="00594907">
              <w:rPr>
                <w:rFonts w:ascii="Arial Narrow" w:eastAsia="Arial Narrow" w:hAnsi="Arial Narrow" w:cs="Arial Narrow"/>
                <w:color w:val="000000"/>
                <w:sz w:val="20"/>
                <w:szCs w:val="20"/>
                <w14:textFill>
                  <w14:solidFill>
                    <w14:srgbClr w14:val="000000">
                      <w14:alpha w14:val="100000"/>
                    </w14:srgbClr>
                  </w14:solidFill>
                </w14:textFill>
              </w:rPr>
              <w:t>|</w:t>
            </w:r>
          </w:p>
        </w:tc>
        <w:tc>
          <w:tcPr>
            <w:tcW w:w="417" w:type="pct"/>
            <w:tcMar>
              <w:top w:w="15" w:type="dxa"/>
              <w:left w:w="108" w:type="dxa"/>
              <w:bottom w:w="15" w:type="dxa"/>
              <w:right w:w="108" w:type="dxa"/>
            </w:tcMar>
            <w:vAlign w:val="center"/>
          </w:tcPr>
          <w:p w14:paraId="1077F2A7" w14:textId="28DB2CE7"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29.3% (34/116)</w:t>
            </w:r>
          </w:p>
        </w:tc>
        <w:tc>
          <w:tcPr>
            <w:tcW w:w="417" w:type="pct"/>
            <w:tcMar>
              <w:top w:w="15" w:type="dxa"/>
              <w:left w:w="108" w:type="dxa"/>
              <w:bottom w:w="15" w:type="dxa"/>
              <w:right w:w="108" w:type="dxa"/>
            </w:tcMar>
            <w:vAlign w:val="center"/>
          </w:tcPr>
          <w:p w14:paraId="51D82DD6" w14:textId="16B29F66"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4.1%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(2/49)</w:t>
            </w:r>
          </w:p>
        </w:tc>
        <w:tc>
          <w:tcPr>
            <w:tcW w:w="417" w:type="pct"/>
            <w:tcMar>
              <w:top w:w="15" w:type="dxa"/>
              <w:left w:w="108" w:type="dxa"/>
              <w:bottom w:w="15" w:type="dxa"/>
              <w:right w:w="108" w:type="dxa"/>
            </w:tcMar>
            <w:vAlign w:val="center"/>
          </w:tcPr>
          <w:p w14:paraId="3BDE563E" w14:textId="1EBE6B27"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2.4%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(1/42)</w:t>
            </w:r>
          </w:p>
        </w:tc>
        <w:tc>
          <w:tcPr>
            <w:tcW w:w="417" w:type="pct"/>
            <w:tcMar>
              <w:top w:w="15" w:type="dxa"/>
              <w:left w:w="108" w:type="dxa"/>
              <w:bottom w:w="15" w:type="dxa"/>
              <w:right w:w="108" w:type="dxa"/>
            </w:tcMar>
            <w:vAlign w:val="center"/>
          </w:tcPr>
          <w:p w14:paraId="1B7C4087" w14:textId="0A2178BC"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12.9%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(4/31)</w:t>
            </w:r>
          </w:p>
        </w:tc>
        <w:tc>
          <w:tcPr>
            <w:tcW w:w="417" w:type="pct"/>
            <w:tcMar>
              <w:top w:w="15" w:type="dxa"/>
              <w:left w:w="108" w:type="dxa"/>
              <w:bottom w:w="15" w:type="dxa"/>
              <w:right w:w="108" w:type="dxa"/>
            </w:tcMar>
            <w:vAlign w:val="center"/>
          </w:tcPr>
          <w:p w14:paraId="5787F9AF" w14:textId="724F8C27" w:rsidR="63CD8372" w:rsidRPr="00CA23AA" w:rsidRDefault="63CD8372" w:rsidP="0017201C">
            <w:pPr>
              <w:jc w:val="center"/>
              <w:rPr>
                <w:rFonts w:ascii="Arial Narrow" w:eastAsia="Arial Narrow" w:hAnsi="Arial Narrow" w:cs="Arial Narrow"/>
                <w:sz w:val="19"/>
                <w:szCs w:val="19"/>
              </w:rPr>
            </w:pPr>
            <w:r w:rsidRPr="00CA23AA">
              <w:rPr>
                <w:rFonts w:ascii="Arial Narrow" w:eastAsia="Arial Narrow" w:hAnsi="Arial Narrow" w:cs="Arial Narrow"/>
                <w:sz w:val="19"/>
                <w:szCs w:val="19"/>
              </w:rPr>
              <w:t xml:space="preserve">26.3% </w:t>
            </w:r>
            <w:r w:rsidRPr="00CA23AA">
              <w:br/>
            </w:r>
            <w:r w:rsidRPr="00CA23AA">
              <w:rPr>
                <w:rFonts w:ascii="Arial Narrow" w:eastAsia="Arial Narrow" w:hAnsi="Arial Narrow" w:cs="Arial Narrow"/>
                <w:sz w:val="19"/>
                <w:szCs w:val="19"/>
              </w:rPr>
              <w:t>(41</w:t>
            </w:r>
            <w:r w:rsidR="004F461A" w:rsidRPr="00CA23AA">
              <w:rPr>
                <w:rFonts w:ascii="Arial Narrow" w:eastAsia="Arial Narrow" w:hAnsi="Arial Narrow" w:cs="Arial Narrow"/>
                <w:sz w:val="19"/>
                <w:szCs w:val="19"/>
              </w:rPr>
              <w:t>/</w:t>
            </w:r>
            <w:r w:rsidRPr="00CA23AA">
              <w:rPr>
                <w:rFonts w:ascii="Arial Narrow" w:eastAsia="Arial Narrow" w:hAnsi="Arial Narrow" w:cs="Arial Narrow"/>
                <w:sz w:val="19"/>
                <w:szCs w:val="19"/>
              </w:rPr>
              <w:t>156)</w:t>
            </w:r>
          </w:p>
        </w:tc>
        <w:tc>
          <w:tcPr>
            <w:tcW w:w="417" w:type="pct"/>
            <w:tcMar>
              <w:top w:w="15" w:type="dxa"/>
              <w:left w:w="108" w:type="dxa"/>
              <w:bottom w:w="15" w:type="dxa"/>
              <w:right w:w="108" w:type="dxa"/>
            </w:tcMar>
            <w:vAlign w:val="center"/>
          </w:tcPr>
          <w:p w14:paraId="574770D8" w14:textId="39F1208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11.1%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(1/9)</w:t>
            </w:r>
          </w:p>
        </w:tc>
        <w:tc>
          <w:tcPr>
            <w:tcW w:w="413" w:type="pct"/>
            <w:tcMar>
              <w:top w:w="15" w:type="dxa"/>
              <w:left w:w="108" w:type="dxa"/>
              <w:bottom w:w="15" w:type="dxa"/>
              <w:right w:w="108" w:type="dxa"/>
            </w:tcMar>
            <w:vAlign w:val="center"/>
          </w:tcPr>
          <w:p w14:paraId="1353F433" w14:textId="1CF68FA3"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19%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(4/21)</w:t>
            </w:r>
          </w:p>
        </w:tc>
      </w:tr>
      <w:tr w:rsidR="63CD8372" w:rsidRPr="00CA23AA" w14:paraId="5B772345" w14:textId="77777777" w:rsidTr="00594907">
        <w:trPr>
          <w:trHeight w:val="300"/>
        </w:trPr>
        <w:tc>
          <w:tcPr>
            <w:tcW w:w="417" w:type="pct"/>
            <w:tcMar>
              <w:top w:w="15" w:type="dxa"/>
              <w:left w:w="108" w:type="dxa"/>
              <w:bottom w:w="15" w:type="dxa"/>
              <w:right w:w="108" w:type="dxa"/>
            </w:tcMar>
            <w:vAlign w:val="center"/>
          </w:tcPr>
          <w:p w14:paraId="34A33994" w14:textId="1CB7F7B8" w:rsidR="63CD8372" w:rsidRPr="00CA23AA" w:rsidRDefault="63CD8372" w:rsidP="00007333">
            <w:pPr>
              <w:rPr>
                <w:rFonts w:ascii="Arial Narrow" w:eastAsia="Arial Narrow" w:hAnsi="Arial Narrow" w:cs="Arial Narrow"/>
                <w:sz w:val="20"/>
                <w:szCs w:val="20"/>
              </w:rPr>
            </w:pPr>
            <w:r w:rsidRPr="00CA23AA">
              <w:rPr>
                <w:rFonts w:ascii="Arial Narrow" w:eastAsia="Arial Narrow" w:hAnsi="Arial Narrow" w:cs="Arial Narrow"/>
                <w:sz w:val="20"/>
                <w:szCs w:val="20"/>
              </w:rPr>
              <w:t>During relapse</w:t>
            </w:r>
          </w:p>
        </w:tc>
        <w:tc>
          <w:tcPr>
            <w:tcW w:w="417" w:type="pct"/>
            <w:tcMar>
              <w:top w:w="15" w:type="dxa"/>
              <w:left w:w="108" w:type="dxa"/>
              <w:bottom w:w="15" w:type="dxa"/>
              <w:right w:w="108" w:type="dxa"/>
            </w:tcMar>
            <w:vAlign w:val="center"/>
          </w:tcPr>
          <w:p w14:paraId="2121E9B9" w14:textId="12D1A4B1"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Could not be located</w:t>
            </w:r>
          </w:p>
        </w:tc>
        <w:tc>
          <w:tcPr>
            <w:tcW w:w="417" w:type="pct"/>
            <w:tcMar>
              <w:top w:w="15" w:type="dxa"/>
              <w:left w:w="108" w:type="dxa"/>
              <w:bottom w:w="15" w:type="dxa"/>
              <w:right w:w="108" w:type="dxa"/>
            </w:tcMar>
            <w:vAlign w:val="center"/>
          </w:tcPr>
          <w:p w14:paraId="471EC63B" w14:textId="3FE320DB"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Could not be located</w:t>
            </w:r>
          </w:p>
        </w:tc>
        <w:tc>
          <w:tcPr>
            <w:tcW w:w="417" w:type="pct"/>
            <w:tcMar>
              <w:top w:w="15" w:type="dxa"/>
              <w:left w:w="108" w:type="dxa"/>
              <w:bottom w:w="15" w:type="dxa"/>
              <w:right w:w="108" w:type="dxa"/>
            </w:tcMar>
            <w:vAlign w:val="center"/>
          </w:tcPr>
          <w:p w14:paraId="57CABE44" w14:textId="322F1EF2"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1.8%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(1/69)</w:t>
            </w:r>
          </w:p>
        </w:tc>
        <w:tc>
          <w:tcPr>
            <w:tcW w:w="417" w:type="pct"/>
            <w:shd w:val="solid" w:color="000000" w:fill="000000"/>
            <w:tcMar>
              <w:top w:w="15" w:type="dxa"/>
              <w:left w:w="108" w:type="dxa"/>
              <w:bottom w:w="15" w:type="dxa"/>
              <w:right w:w="108" w:type="dxa"/>
            </w:tcMar>
            <w:vAlign w:val="center"/>
          </w:tcPr>
          <w:p w14:paraId="49433D03" w14:textId="6B92AA09" w:rsidR="63CD8372" w:rsidRPr="00CA23AA" w:rsidRDefault="00594907" w:rsidP="0017201C">
            <w:pPr>
              <w:jc w:val="center"/>
              <w:rPr>
                <w:rFonts w:ascii="Arial Narrow" w:eastAsia="Arial Narrow" w:hAnsi="Arial Narrow" w:cs="Arial Narrow"/>
                <w:sz w:val="20"/>
                <w:szCs w:val="20"/>
              </w:rPr>
            </w:pPr>
            <w:r w:rsidRPr="00594907">
              <w:rPr>
                <w:rFonts w:ascii="Arial Narrow" w:eastAsia="Arial Narrow" w:hAnsi="Arial Narrow" w:cs="Arial Narrow"/>
                <w:color w:val="000000"/>
                <w:sz w:val="20"/>
                <w:szCs w:val="20"/>
                <w14:textFill>
                  <w14:solidFill>
                    <w14:srgbClr w14:val="000000">
                      <w14:alpha w14:val="100000"/>
                    </w14:srgbClr>
                  </w14:solidFill>
                </w14:textFill>
              </w:rPr>
              <w:t>|</w:t>
            </w:r>
          </w:p>
        </w:tc>
        <w:tc>
          <w:tcPr>
            <w:tcW w:w="417" w:type="pct"/>
            <w:tcMar>
              <w:top w:w="15" w:type="dxa"/>
              <w:left w:w="108" w:type="dxa"/>
              <w:bottom w:w="15" w:type="dxa"/>
              <w:right w:w="108" w:type="dxa"/>
            </w:tcMar>
            <w:vAlign w:val="center"/>
          </w:tcPr>
          <w:p w14:paraId="6773D645" w14:textId="44F4C6CF"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18.1% (21/116)</w:t>
            </w:r>
          </w:p>
        </w:tc>
        <w:tc>
          <w:tcPr>
            <w:tcW w:w="417" w:type="pct"/>
            <w:tcMar>
              <w:top w:w="15" w:type="dxa"/>
              <w:left w:w="108" w:type="dxa"/>
              <w:bottom w:w="15" w:type="dxa"/>
              <w:right w:w="108" w:type="dxa"/>
            </w:tcMar>
            <w:vAlign w:val="center"/>
          </w:tcPr>
          <w:p w14:paraId="734834C0" w14:textId="5D1FD15D"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Not reported</w:t>
            </w:r>
          </w:p>
        </w:tc>
        <w:tc>
          <w:tcPr>
            <w:tcW w:w="417" w:type="pct"/>
            <w:tcMar>
              <w:top w:w="15" w:type="dxa"/>
              <w:left w:w="108" w:type="dxa"/>
              <w:bottom w:w="15" w:type="dxa"/>
              <w:right w:w="108" w:type="dxa"/>
            </w:tcMar>
            <w:vAlign w:val="center"/>
          </w:tcPr>
          <w:p w14:paraId="284D1B2F" w14:textId="590328B2"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Not reported</w:t>
            </w:r>
          </w:p>
        </w:tc>
        <w:tc>
          <w:tcPr>
            <w:tcW w:w="417" w:type="pct"/>
            <w:tcMar>
              <w:top w:w="15" w:type="dxa"/>
              <w:left w:w="108" w:type="dxa"/>
              <w:bottom w:w="15" w:type="dxa"/>
              <w:right w:w="108" w:type="dxa"/>
            </w:tcMar>
            <w:vAlign w:val="center"/>
          </w:tcPr>
          <w:p w14:paraId="0393ACF5" w14:textId="4121754D"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6.5%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(2/31)</w:t>
            </w:r>
          </w:p>
        </w:tc>
        <w:tc>
          <w:tcPr>
            <w:tcW w:w="417" w:type="pct"/>
            <w:tcMar>
              <w:top w:w="15" w:type="dxa"/>
              <w:left w:w="108" w:type="dxa"/>
              <w:bottom w:w="15" w:type="dxa"/>
              <w:right w:w="108" w:type="dxa"/>
            </w:tcMar>
            <w:vAlign w:val="center"/>
          </w:tcPr>
          <w:p w14:paraId="77B597C3" w14:textId="16865EE4" w:rsidR="63CD8372" w:rsidRPr="00CA23AA" w:rsidRDefault="63CD8372" w:rsidP="0017201C">
            <w:pPr>
              <w:jc w:val="center"/>
              <w:rPr>
                <w:rFonts w:ascii="Arial Narrow" w:eastAsia="Arial Narrow" w:hAnsi="Arial Narrow" w:cs="Arial Narrow"/>
                <w:sz w:val="19"/>
                <w:szCs w:val="19"/>
              </w:rPr>
            </w:pPr>
            <w:r w:rsidRPr="00CA23AA">
              <w:rPr>
                <w:rFonts w:ascii="Arial Narrow" w:eastAsia="Arial Narrow" w:hAnsi="Arial Narrow" w:cs="Arial Narrow"/>
                <w:sz w:val="19"/>
                <w:szCs w:val="19"/>
              </w:rPr>
              <w:t>12.2%</w:t>
            </w:r>
            <w:r w:rsidRPr="00CA23AA">
              <w:br/>
            </w:r>
            <w:r w:rsidRPr="00CA23AA">
              <w:rPr>
                <w:rFonts w:ascii="Arial Narrow" w:eastAsia="Arial Narrow" w:hAnsi="Arial Narrow" w:cs="Arial Narrow"/>
                <w:sz w:val="19"/>
                <w:szCs w:val="19"/>
              </w:rPr>
              <w:t xml:space="preserve"> (19/156)</w:t>
            </w:r>
          </w:p>
        </w:tc>
        <w:tc>
          <w:tcPr>
            <w:tcW w:w="417" w:type="pct"/>
            <w:tcMar>
              <w:top w:w="15" w:type="dxa"/>
              <w:left w:w="108" w:type="dxa"/>
              <w:bottom w:w="15" w:type="dxa"/>
              <w:right w:w="108" w:type="dxa"/>
            </w:tcMar>
            <w:vAlign w:val="center"/>
          </w:tcPr>
          <w:p w14:paraId="3EEA572E" w14:textId="7278C8DB"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 xml:space="preserve">11.1% </w:t>
            </w:r>
            <w:r w:rsidR="004F461A" w:rsidRPr="00CA23AA">
              <w:rPr>
                <w:rFonts w:ascii="Arial Narrow" w:eastAsia="Arial Narrow" w:hAnsi="Arial Narrow" w:cs="Arial Narrow"/>
                <w:sz w:val="20"/>
                <w:szCs w:val="20"/>
              </w:rPr>
              <w:br/>
            </w:r>
            <w:r w:rsidRPr="00CA23AA">
              <w:rPr>
                <w:rFonts w:ascii="Arial Narrow" w:eastAsia="Arial Narrow" w:hAnsi="Arial Narrow" w:cs="Arial Narrow"/>
                <w:sz w:val="20"/>
                <w:szCs w:val="20"/>
              </w:rPr>
              <w:t>(1/9)</w:t>
            </w:r>
          </w:p>
        </w:tc>
        <w:tc>
          <w:tcPr>
            <w:tcW w:w="413" w:type="pct"/>
            <w:tcMar>
              <w:top w:w="15" w:type="dxa"/>
              <w:left w:w="108" w:type="dxa"/>
              <w:bottom w:w="15" w:type="dxa"/>
              <w:right w:w="108" w:type="dxa"/>
            </w:tcMar>
            <w:vAlign w:val="center"/>
          </w:tcPr>
          <w:p w14:paraId="00CACEE0" w14:textId="242BE1D8" w:rsidR="63CD8372" w:rsidRPr="00CA23AA" w:rsidRDefault="63CD8372" w:rsidP="0017201C">
            <w:pPr>
              <w:jc w:val="center"/>
              <w:rPr>
                <w:rFonts w:ascii="Arial Narrow" w:eastAsia="Arial Narrow" w:hAnsi="Arial Narrow" w:cs="Arial Narrow"/>
                <w:sz w:val="20"/>
                <w:szCs w:val="20"/>
              </w:rPr>
            </w:pPr>
            <w:r w:rsidRPr="00CA23AA">
              <w:rPr>
                <w:rFonts w:ascii="Arial Narrow" w:eastAsia="Arial Narrow" w:hAnsi="Arial Narrow" w:cs="Arial Narrow"/>
                <w:sz w:val="20"/>
                <w:szCs w:val="20"/>
              </w:rPr>
              <w:t>42.9% (9/21)</w:t>
            </w:r>
          </w:p>
        </w:tc>
      </w:tr>
    </w:tbl>
    <w:p w14:paraId="76B820A3" w14:textId="29958C20" w:rsidR="7E9212E8" w:rsidRPr="00CA23AA" w:rsidRDefault="000961D0" w:rsidP="00625EEB">
      <w:pPr>
        <w:pStyle w:val="TableFooter"/>
      </w:pPr>
      <w:r w:rsidRPr="00CA23AA">
        <w:t xml:space="preserve">ABMTRR = Australasian Bone Marrow Transplant Recipient Registry; </w:t>
      </w:r>
      <w:proofErr w:type="spellStart"/>
      <w:r w:rsidR="7E9212E8" w:rsidRPr="00CA23AA">
        <w:rPr>
          <w:rFonts w:eastAsia="Arial Narrow" w:cs="Arial Narrow"/>
          <w:i/>
        </w:rPr>
        <w:t>aHSCT</w:t>
      </w:r>
      <w:proofErr w:type="spellEnd"/>
      <w:r w:rsidR="7E9212E8" w:rsidRPr="00CA23AA">
        <w:rPr>
          <w:rFonts w:eastAsia="Arial Narrow" w:cs="Arial Narrow"/>
          <w:i/>
        </w:rPr>
        <w:t xml:space="preserve"> = allogenic haematopoietic stem cell transplantation; NR = not reported; PRWCC = </w:t>
      </w:r>
      <w:proofErr w:type="spellStart"/>
      <w:r w:rsidR="7E9212E8" w:rsidRPr="00CA23AA">
        <w:rPr>
          <w:rFonts w:eastAsia="Arial Narrow" w:cs="Arial Narrow"/>
          <w:i/>
        </w:rPr>
        <w:t>Pediatric</w:t>
      </w:r>
      <w:proofErr w:type="spellEnd"/>
      <w:r w:rsidR="7E9212E8" w:rsidRPr="00CA23AA">
        <w:rPr>
          <w:rFonts w:eastAsia="Arial Narrow" w:cs="Arial Narrow"/>
          <w:i/>
        </w:rPr>
        <w:t xml:space="preserve"> Real World CAR Consortium </w:t>
      </w:r>
      <w:r w:rsidR="00974EBB" w:rsidRPr="00CA23AA">
        <w:rPr>
          <w:rFonts w:eastAsia="Arial Narrow" w:cs="Arial Narrow"/>
          <w:i/>
        </w:rPr>
        <w:t>(</w:t>
      </w:r>
      <w:r w:rsidR="7E9212E8" w:rsidRPr="00CA23AA">
        <w:rPr>
          <w:rFonts w:eastAsia="Arial Narrow" w:cs="Arial Narrow"/>
          <w:i/>
        </w:rPr>
        <w:t xml:space="preserve">Fabrizio et al </w:t>
      </w:r>
      <w:r w:rsidR="00F0618C" w:rsidRPr="00CA23AA">
        <w:rPr>
          <w:rFonts w:eastAsia="Arial Narrow" w:cs="Arial Narrow"/>
          <w:i/>
        </w:rPr>
        <w:t>(</w:t>
      </w:r>
      <w:r w:rsidR="7E9212E8" w:rsidRPr="00CA23AA">
        <w:rPr>
          <w:rFonts w:eastAsia="Arial Narrow" w:cs="Arial Narrow"/>
          <w:i/>
        </w:rPr>
        <w:t>2022</w:t>
      </w:r>
      <w:r w:rsidR="00F0618C" w:rsidRPr="00CA23AA">
        <w:rPr>
          <w:rFonts w:eastAsia="Arial Narrow" w:cs="Arial Narrow"/>
          <w:i/>
        </w:rPr>
        <w:t>)</w:t>
      </w:r>
      <w:r w:rsidR="7E9212E8" w:rsidRPr="00CA23AA">
        <w:rPr>
          <w:rFonts w:eastAsia="Arial Narrow" w:cs="Arial Narrow"/>
          <w:i/>
        </w:rPr>
        <w:t xml:space="preserve">, Schultz et al </w:t>
      </w:r>
      <w:r w:rsidR="00F0618C" w:rsidRPr="00CA23AA">
        <w:rPr>
          <w:rFonts w:eastAsia="Arial Narrow" w:cs="Arial Narrow"/>
          <w:i/>
        </w:rPr>
        <w:t>(</w:t>
      </w:r>
      <w:r w:rsidR="7E9212E8" w:rsidRPr="00CA23AA">
        <w:rPr>
          <w:rFonts w:eastAsia="Arial Narrow" w:cs="Arial Narrow"/>
          <w:i/>
        </w:rPr>
        <w:t>2022</w:t>
      </w:r>
      <w:r w:rsidR="00F0618C" w:rsidRPr="00CA23AA">
        <w:rPr>
          <w:rFonts w:eastAsia="Arial Narrow" w:cs="Arial Narrow"/>
          <w:i/>
        </w:rPr>
        <w:t>)</w:t>
      </w:r>
      <w:r w:rsidR="7E9212E8" w:rsidRPr="00CA23AA">
        <w:rPr>
          <w:rFonts w:eastAsia="Arial Narrow" w:cs="Arial Narrow"/>
          <w:i/>
        </w:rPr>
        <w:t xml:space="preserve">, and </w:t>
      </w:r>
      <w:proofErr w:type="spellStart"/>
      <w:r w:rsidR="00632A13" w:rsidRPr="00CA23AA">
        <w:rPr>
          <w:rFonts w:eastAsia="Arial Narrow" w:cs="Arial Narrow"/>
          <w:i/>
          <w:iCs/>
        </w:rPr>
        <w:t>Rossoff</w:t>
      </w:r>
      <w:proofErr w:type="spellEnd"/>
      <w:r w:rsidR="7E9212E8" w:rsidRPr="00CA23AA">
        <w:rPr>
          <w:rFonts w:eastAsia="Arial Narrow" w:cs="Arial Narrow"/>
          <w:i/>
        </w:rPr>
        <w:t xml:space="preserve"> et al </w:t>
      </w:r>
      <w:r w:rsidR="00F0618C" w:rsidRPr="00CA23AA">
        <w:rPr>
          <w:rFonts w:eastAsia="Arial Narrow" w:cs="Arial Narrow"/>
          <w:i/>
        </w:rPr>
        <w:t>(</w:t>
      </w:r>
      <w:r w:rsidR="7E9212E8" w:rsidRPr="00CA23AA">
        <w:rPr>
          <w:rFonts w:eastAsia="Arial Narrow" w:cs="Arial Narrow"/>
          <w:i/>
        </w:rPr>
        <w:t>2021)</w:t>
      </w:r>
      <w:r w:rsidR="00D1276F" w:rsidRPr="00CA23AA">
        <w:rPr>
          <w:rFonts w:eastAsia="Arial Narrow" w:cs="Arial Narrow"/>
          <w:i/>
        </w:rPr>
        <w:t xml:space="preserve">; PRSZT/DRST = </w:t>
      </w:r>
      <w:proofErr w:type="spellStart"/>
      <w:r w:rsidR="00D1276F" w:rsidRPr="00CA23AA">
        <w:rPr>
          <w:rFonts w:eastAsia="Arial Narrow" w:cs="Arial Narrow"/>
          <w:i/>
        </w:rPr>
        <w:t>Pediatric</w:t>
      </w:r>
      <w:proofErr w:type="spellEnd"/>
      <w:r w:rsidR="00D1276F" w:rsidRPr="00CA23AA">
        <w:rPr>
          <w:rFonts w:eastAsia="Arial Narrow" w:cs="Arial Narrow"/>
          <w:i/>
        </w:rPr>
        <w:t xml:space="preserve"> Registry for Stem Cell Transplantation and Cell Therapy/German Registry for Stem Cell Transplantation</w:t>
      </w:r>
    </w:p>
    <w:p w14:paraId="14D18FD8" w14:textId="57E930B7" w:rsidR="7E9212E8" w:rsidRPr="00CA23AA" w:rsidRDefault="7E9212E8" w:rsidP="00625EEB">
      <w:pPr>
        <w:pStyle w:val="TableFooter"/>
      </w:pPr>
      <w:r w:rsidRPr="00CA23AA">
        <w:t xml:space="preserve">Source: </w:t>
      </w:r>
      <w:r w:rsidR="007E4415" w:rsidRPr="00CA23AA">
        <w:t xml:space="preserve">Commentary Table 16, </w:t>
      </w:r>
      <w:r w:rsidR="00A205FA" w:rsidRPr="00CA23AA">
        <w:t xml:space="preserve">MSAC 1748 </w:t>
      </w:r>
      <w:r w:rsidR="007E4415" w:rsidRPr="00CA23AA">
        <w:t>ADAR</w:t>
      </w:r>
      <w:r w:rsidR="00DC4B49" w:rsidRPr="00CA23AA">
        <w:t xml:space="preserve"> + inline commentary</w:t>
      </w:r>
    </w:p>
    <w:p w14:paraId="4FC9D55A" w14:textId="77777777" w:rsidR="007A65A9" w:rsidRPr="00CA23AA" w:rsidRDefault="007A65A9" w:rsidP="63CD8372">
      <w:pPr>
        <w:pStyle w:val="Guidelinescross-ref"/>
        <w:keepNext/>
        <w:rPr>
          <w:b w:val="0"/>
          <w:color w:val="auto"/>
          <w:sz w:val="22"/>
        </w:rPr>
        <w:sectPr w:rsidR="007A65A9" w:rsidRPr="00CA23AA" w:rsidSect="00A10CCE">
          <w:pgSz w:w="16838" w:h="11906" w:orient="landscape"/>
          <w:pgMar w:top="1440" w:right="1440" w:bottom="1440" w:left="1440" w:header="708" w:footer="708" w:gutter="0"/>
          <w:cols w:space="708"/>
          <w:docGrid w:linePitch="360"/>
        </w:sectPr>
      </w:pPr>
    </w:p>
    <w:p w14:paraId="5E9AD77D" w14:textId="51575FF2" w:rsidR="44F0E3C7" w:rsidRPr="00CA23AA" w:rsidRDefault="44F0E3C7" w:rsidP="2C81CD61">
      <w:pPr>
        <w:spacing w:after="360" w:line="240" w:lineRule="auto"/>
      </w:pPr>
      <w:r w:rsidRPr="00CA23AA">
        <w:t>TIS compared with BLN</w:t>
      </w:r>
      <w:r w:rsidR="00DE595D" w:rsidRPr="00CA23AA">
        <w:t xml:space="preserve">. </w:t>
      </w:r>
      <w:r w:rsidRPr="00CA23AA">
        <w:t xml:space="preserve">The ADAR identified two studies that update the indirect comparison of the effectiveness of TIS and blinatumomab in paediatric r/r ALL previously presented to MSAC. The updated data were not presented in the ADAR review. </w:t>
      </w:r>
    </w:p>
    <w:p w14:paraId="6AE7F351" w14:textId="46179BA9" w:rsidR="44F0E3C7" w:rsidRPr="00CA23AA" w:rsidRDefault="44F0E3C7">
      <w:r w:rsidRPr="00CA23AA">
        <w:t xml:space="preserve">Review by the commentary found that </w:t>
      </w:r>
      <w:proofErr w:type="spellStart"/>
      <w:r w:rsidRPr="00CA23AA">
        <w:t>Verneris</w:t>
      </w:r>
      <w:proofErr w:type="spellEnd"/>
      <w:r w:rsidRPr="00CA23AA">
        <w:t xml:space="preserve"> et al. (2021) presented the results of a matched adjusted indirect comparison (MAIC) of TIS (ELIANA) and BLN (NCT01471782). The MAIC analysis found that the both the ELIANA TIS-infused and ITT cohorts exhibited a higher likelihood of C</w:t>
      </w:r>
      <w:r w:rsidR="00E17915" w:rsidRPr="00CA23AA">
        <w:t>R</w:t>
      </w:r>
      <w:r w:rsidRPr="00CA23AA">
        <w:t xml:space="preserve"> within 3 months and a lower hazard of death over 18 months than the BLN cohort in both univariate and multivariate analyses</w:t>
      </w:r>
      <w:r w:rsidR="00BB45E6" w:rsidRPr="00CA23AA">
        <w:t xml:space="preserve"> (</w:t>
      </w:r>
      <w:r w:rsidR="005C3211" w:rsidRPr="00CA23AA">
        <w:fldChar w:fldCharType="begin"/>
      </w:r>
      <w:r w:rsidR="005C3211" w:rsidRPr="00CA23AA">
        <w:instrText xml:space="preserve"> REF _Ref134021556 \h </w:instrText>
      </w:r>
      <w:r w:rsidR="00CA23AA">
        <w:instrText xml:space="preserve"> \* MERGEFORMAT </w:instrText>
      </w:r>
      <w:r w:rsidR="005C3211" w:rsidRPr="00CA23AA">
        <w:fldChar w:fldCharType="separate"/>
      </w:r>
      <w:r w:rsidR="00175880" w:rsidRPr="00CA23AA">
        <w:t xml:space="preserve">Table </w:t>
      </w:r>
      <w:r w:rsidR="00175880" w:rsidRPr="00CA23AA">
        <w:rPr>
          <w:noProof/>
        </w:rPr>
        <w:t>12</w:t>
      </w:r>
      <w:r w:rsidR="005C3211" w:rsidRPr="00CA23AA">
        <w:fldChar w:fldCharType="end"/>
      </w:r>
      <w:r w:rsidR="005C3211" w:rsidRPr="00CA23AA">
        <w:t>)</w:t>
      </w:r>
      <w:r w:rsidRPr="00CA23AA">
        <w:t>.</w:t>
      </w:r>
    </w:p>
    <w:p w14:paraId="7EB9CA8B" w14:textId="12BB860D" w:rsidR="002B1B8A" w:rsidRPr="00CA23AA" w:rsidRDefault="44F0E3C7" w:rsidP="002B1B8A">
      <w:r w:rsidRPr="00CA23AA">
        <w:t xml:space="preserve">The Kaplan-Meier curves comparing the OS of the ELIANA TIS-treated cohort and the ELIANA ITT cohort with the BLN cohort are shown in </w:t>
      </w:r>
      <w:r w:rsidR="000150D9" w:rsidRPr="00CA23AA">
        <w:fldChar w:fldCharType="begin"/>
      </w:r>
      <w:r w:rsidR="000150D9" w:rsidRPr="00CA23AA">
        <w:instrText xml:space="preserve"> REF _Ref134020282 \h </w:instrText>
      </w:r>
      <w:r w:rsidR="00CA23AA">
        <w:instrText xml:space="preserve"> \* MERGEFORMAT </w:instrText>
      </w:r>
      <w:r w:rsidR="000150D9" w:rsidRPr="00CA23AA">
        <w:fldChar w:fldCharType="separate"/>
      </w:r>
      <w:r w:rsidR="00175880" w:rsidRPr="00CA23AA">
        <w:t xml:space="preserve">Figure </w:t>
      </w:r>
      <w:r w:rsidR="00175880" w:rsidRPr="00CA23AA">
        <w:rPr>
          <w:noProof/>
        </w:rPr>
        <w:t>4</w:t>
      </w:r>
      <w:r w:rsidR="000150D9" w:rsidRPr="00CA23AA">
        <w:fldChar w:fldCharType="end"/>
      </w:r>
      <w:r w:rsidRPr="00CA23AA">
        <w:t>.</w:t>
      </w:r>
    </w:p>
    <w:p w14:paraId="34B7EFD4" w14:textId="311C314C" w:rsidR="001D4AE1" w:rsidRPr="00CA23AA" w:rsidRDefault="00BB45E6" w:rsidP="00BD6393">
      <w:pPr>
        <w:pStyle w:val="TableHeading0"/>
      </w:pPr>
      <w:bookmarkStart w:id="44" w:name="_Ref134021556"/>
      <w:r w:rsidRPr="00CA23AA">
        <w:t xml:space="preserve">Table </w:t>
      </w:r>
      <w:fldSimple w:instr=" SEQ Table \* ARABIC ">
        <w:r w:rsidR="00175880" w:rsidRPr="00CA23AA">
          <w:rPr>
            <w:noProof/>
          </w:rPr>
          <w:t>12</w:t>
        </w:r>
      </w:fldSimple>
      <w:bookmarkEnd w:id="44"/>
      <w:r w:rsidRPr="00CA23AA">
        <w:tab/>
      </w:r>
      <w:r w:rsidR="00BD6393" w:rsidRPr="00CA23AA">
        <w:t>MAIC results for CR and OS</w:t>
      </w:r>
    </w:p>
    <w:tbl>
      <w:tblPr>
        <w:tblStyle w:val="Summarybox1"/>
        <w:tblW w:w="901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0"/>
        <w:gridCol w:w="1900"/>
        <w:gridCol w:w="1900"/>
        <w:gridCol w:w="1900"/>
        <w:gridCol w:w="1900"/>
      </w:tblGrid>
      <w:tr w:rsidR="001D4AE1" w:rsidRPr="00CA23AA" w14:paraId="20937E84" w14:textId="77777777" w:rsidTr="006B60D3">
        <w:trPr>
          <w:trHeight w:val="300"/>
        </w:trPr>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95FF07" w14:textId="77777777" w:rsidR="001D4AE1" w:rsidRPr="00CA23AA" w:rsidRDefault="001D4AE1" w:rsidP="001D4AE1">
            <w:pPr>
              <w:spacing w:before="0"/>
              <w:textAlignment w:val="baseline"/>
              <w:rPr>
                <w:rFonts w:ascii="Arial Narrow" w:eastAsia="Times New Roman" w:hAnsi="Arial Narrow" w:cs="Times New Roman"/>
                <w:sz w:val="24"/>
                <w:szCs w:val="24"/>
              </w:rPr>
            </w:pPr>
            <w:r w:rsidRPr="00CA23AA">
              <w:rPr>
                <w:rFonts w:ascii="Arial Narrow" w:eastAsia="Times New Roman" w:hAnsi="Arial Narrow" w:cs="Times New Roman"/>
                <w:b/>
                <w:bCs/>
                <w:iCs/>
                <w:sz w:val="20"/>
                <w:szCs w:val="20"/>
              </w:rPr>
              <w:t>Outcome</w:t>
            </w:r>
            <w:r w:rsidRPr="00CA23AA">
              <w:rPr>
                <w:rFonts w:ascii="Arial Narrow" w:eastAsia="Times New Roman" w:hAnsi="Arial Narrow" w:cs="Times New Roman"/>
                <w:sz w:val="20"/>
                <w:szCs w:val="20"/>
              </w:rPr>
              <w:t> </w:t>
            </w:r>
          </w:p>
        </w:tc>
        <w:tc>
          <w:tcPr>
            <w:tcW w:w="38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E48256" w14:textId="3DAEA725" w:rsidR="001D4AE1" w:rsidRPr="00CA23AA" w:rsidRDefault="00AF173F"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b/>
                <w:bCs/>
                <w:iCs/>
                <w:sz w:val="20"/>
                <w:szCs w:val="20"/>
              </w:rPr>
              <w:t>Univariate</w:t>
            </w:r>
            <w:r w:rsidRPr="00CA23AA">
              <w:rPr>
                <w:rFonts w:ascii="Arial Narrow" w:eastAsia="Times New Roman" w:hAnsi="Arial Narrow" w:cs="Times New Roman"/>
                <w:sz w:val="20"/>
                <w:szCs w:val="20"/>
              </w:rPr>
              <w:t> </w:t>
            </w:r>
          </w:p>
        </w:tc>
        <w:tc>
          <w:tcPr>
            <w:tcW w:w="38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69028B" w14:textId="62DC7298" w:rsidR="001D4AE1" w:rsidRPr="00CA23AA" w:rsidRDefault="009B0E0E"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b/>
                <w:bCs/>
                <w:iCs/>
                <w:sz w:val="20"/>
                <w:szCs w:val="20"/>
              </w:rPr>
              <w:t>Multivariate*</w:t>
            </w:r>
            <w:r w:rsidRPr="00CA23AA">
              <w:rPr>
                <w:rFonts w:ascii="Arial Narrow" w:eastAsia="Times New Roman" w:hAnsi="Arial Narrow" w:cs="Times New Roman"/>
                <w:sz w:val="20"/>
                <w:szCs w:val="20"/>
              </w:rPr>
              <w:t> </w:t>
            </w:r>
          </w:p>
        </w:tc>
      </w:tr>
      <w:tr w:rsidR="00AF173F" w:rsidRPr="00CA23AA" w14:paraId="2BAD264F" w14:textId="77777777" w:rsidTr="006B60D3">
        <w:trPr>
          <w:trHeight w:val="300"/>
        </w:trPr>
        <w:tc>
          <w:tcPr>
            <w:tcW w:w="1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6956A2" w14:textId="77777777" w:rsidR="00AF173F" w:rsidRPr="00CA23AA" w:rsidRDefault="00AF173F" w:rsidP="00AF173F">
            <w:pPr>
              <w:spacing w:before="0"/>
              <w:rPr>
                <w:rFonts w:ascii="Arial Narrow" w:eastAsia="Times New Roman" w:hAnsi="Arial Narrow" w:cs="Times New Roman"/>
                <w:sz w:val="24"/>
                <w:szCs w:val="24"/>
              </w:rPr>
            </w:pP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2D6609" w14:textId="11E1CE8A" w:rsidR="00AF173F" w:rsidRPr="00CA23AA" w:rsidRDefault="007E640F" w:rsidP="00744382">
            <w:pPr>
              <w:spacing w:before="0"/>
              <w:jc w:val="center"/>
              <w:rPr>
                <w:rFonts w:ascii="Arial Narrow" w:eastAsia="Times New Roman" w:hAnsi="Arial Narrow" w:cs="Times New Roman"/>
                <w:b/>
                <w:sz w:val="24"/>
                <w:szCs w:val="24"/>
              </w:rPr>
            </w:pPr>
            <w:r w:rsidRPr="00CA23AA">
              <w:rPr>
                <w:rFonts w:ascii="Arial Narrow" w:eastAsia="Times New Roman" w:hAnsi="Arial Narrow" w:cs="Times New Roman"/>
                <w:b/>
                <w:bCs/>
                <w:iCs/>
                <w:sz w:val="20"/>
                <w:szCs w:val="20"/>
              </w:rPr>
              <w:t>TIS-infused</w:t>
            </w:r>
            <w:r w:rsidR="00AF173F" w:rsidRPr="00CA23AA">
              <w:rPr>
                <w:rFonts w:ascii="Arial Narrow" w:eastAsia="Times New Roman" w:hAnsi="Arial Narrow" w:cs="Times New Roman"/>
                <w:b/>
                <w:bCs/>
                <w:iCs/>
                <w:sz w:val="20"/>
                <w:szCs w:val="20"/>
              </w:rPr>
              <w:t xml:space="preserve"> (n=79)</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0314C" w14:textId="068185C7" w:rsidR="00AF173F" w:rsidRPr="00CA23AA" w:rsidRDefault="000C02A2" w:rsidP="00744382">
            <w:pPr>
              <w:spacing w:before="0"/>
              <w:jc w:val="center"/>
              <w:rPr>
                <w:rFonts w:ascii="Arial Narrow" w:eastAsia="Times New Roman" w:hAnsi="Arial Narrow" w:cs="Times New Roman"/>
                <w:b/>
                <w:sz w:val="20"/>
                <w:szCs w:val="24"/>
              </w:rPr>
            </w:pPr>
            <w:r w:rsidRPr="00CA23AA">
              <w:rPr>
                <w:rFonts w:ascii="Arial Narrow" w:eastAsia="Times New Roman" w:hAnsi="Arial Narrow" w:cs="Times New Roman"/>
                <w:b/>
                <w:sz w:val="20"/>
                <w:szCs w:val="24"/>
              </w:rPr>
              <w:t>ITT (n=</w:t>
            </w:r>
            <w:r w:rsidR="00744382" w:rsidRPr="00CA23AA">
              <w:rPr>
                <w:rFonts w:ascii="Arial Narrow" w:eastAsia="Times New Roman" w:hAnsi="Arial Narrow" w:cs="Times New Roman"/>
                <w:b/>
                <w:sz w:val="20"/>
                <w:szCs w:val="24"/>
              </w:rPr>
              <w:t>97</w:t>
            </w:r>
            <w:r w:rsidR="00D4549F" w:rsidRPr="00CA23AA">
              <w:rPr>
                <w:rFonts w:ascii="Arial Narrow" w:eastAsia="Times New Roman" w:hAnsi="Arial Narrow" w:cs="Times New Roman"/>
                <w:b/>
                <w:sz w:val="20"/>
                <w:szCs w:val="24"/>
              </w:rPr>
              <w:t>)</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01C21" w14:textId="35209B42" w:rsidR="00AF173F" w:rsidRPr="00CA23AA" w:rsidRDefault="00744382" w:rsidP="00AF173F">
            <w:pPr>
              <w:spacing w:before="0"/>
              <w:jc w:val="center"/>
              <w:textAlignment w:val="baseline"/>
              <w:rPr>
                <w:rFonts w:ascii="Arial Narrow" w:eastAsia="Times New Roman" w:hAnsi="Arial Narrow" w:cs="Times New Roman"/>
                <w:b/>
                <w:sz w:val="24"/>
                <w:szCs w:val="24"/>
              </w:rPr>
            </w:pPr>
            <w:r w:rsidRPr="00CA23AA">
              <w:rPr>
                <w:rFonts w:ascii="Arial Narrow" w:eastAsia="Times New Roman" w:hAnsi="Arial Narrow" w:cs="Times New Roman"/>
                <w:b/>
                <w:bCs/>
                <w:iCs/>
                <w:sz w:val="20"/>
                <w:szCs w:val="20"/>
              </w:rPr>
              <w:t>TIS-infused (n=79)</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3D241101" w14:textId="3EF10C84" w:rsidR="00AF173F" w:rsidRPr="00CA23AA" w:rsidRDefault="00744382" w:rsidP="00AF173F">
            <w:pPr>
              <w:spacing w:before="0"/>
              <w:jc w:val="center"/>
              <w:textAlignment w:val="baseline"/>
              <w:rPr>
                <w:rFonts w:ascii="Arial Narrow" w:eastAsia="Times New Roman" w:hAnsi="Arial Narrow" w:cs="Times New Roman"/>
                <w:b/>
                <w:sz w:val="24"/>
                <w:szCs w:val="24"/>
              </w:rPr>
            </w:pPr>
            <w:r w:rsidRPr="00CA23AA">
              <w:rPr>
                <w:rFonts w:ascii="Arial Narrow" w:eastAsia="Times New Roman" w:hAnsi="Arial Narrow" w:cs="Times New Roman"/>
                <w:b/>
                <w:sz w:val="20"/>
                <w:szCs w:val="24"/>
              </w:rPr>
              <w:t>ITT (n=97)</w:t>
            </w:r>
          </w:p>
        </w:tc>
      </w:tr>
      <w:tr w:rsidR="001D4AE1" w:rsidRPr="00CA23AA" w14:paraId="18A67ED6" w14:textId="77777777" w:rsidTr="006B60D3">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A38176" w14:textId="4B85D705" w:rsidR="001D4AE1" w:rsidRPr="00CA23AA" w:rsidRDefault="001D4AE1" w:rsidP="001D4AE1">
            <w:pPr>
              <w:spacing w:before="0"/>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CR</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17AA60C4" w14:textId="2886BC7D" w:rsidR="001D4AE1" w:rsidRPr="00CA23AA" w:rsidRDefault="00744382"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OR = 8.09</w:t>
            </w:r>
            <w:r w:rsidRPr="00CA23AA">
              <w:rPr>
                <w:rFonts w:ascii="Arial Narrow" w:eastAsia="Times New Roman" w:hAnsi="Arial Narrow" w:cs="Times New Roman"/>
                <w:sz w:val="20"/>
                <w:szCs w:val="20"/>
              </w:rPr>
              <w:t> </w:t>
            </w:r>
            <w:r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3.76, 17.38)</w:t>
            </w:r>
            <w:r w:rsidRPr="00CA23AA">
              <w:rPr>
                <w:rFonts w:ascii="Arial Narrow" w:eastAsia="Times New Roman" w:hAnsi="Arial Narrow" w:cs="Times New Roman"/>
                <w:sz w:val="20"/>
                <w:szCs w:val="20"/>
              </w:rPr>
              <w:t> </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7E4EEAF5" w14:textId="0363FADF" w:rsidR="001D4AE1" w:rsidRPr="00CA23AA" w:rsidRDefault="00744382"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OR = 3.39</w:t>
            </w:r>
            <w:r w:rsidRPr="00CA23AA">
              <w:rPr>
                <w:rFonts w:ascii="Arial Narrow" w:eastAsia="Times New Roman" w:hAnsi="Arial Narrow" w:cs="Times New Roman"/>
                <w:sz w:val="20"/>
                <w:szCs w:val="20"/>
              </w:rPr>
              <w:t> </w:t>
            </w:r>
            <w:r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1.78, 6.45)</w:t>
            </w:r>
            <w:r w:rsidRPr="00CA23AA">
              <w:rPr>
                <w:rFonts w:ascii="Arial Narrow" w:eastAsia="Times New Roman" w:hAnsi="Arial Narrow" w:cs="Times New Roman"/>
                <w:sz w:val="20"/>
                <w:szCs w:val="20"/>
              </w:rPr>
              <w:t> </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550883FC" w14:textId="18878765" w:rsidR="001D4AE1" w:rsidRPr="00CA23AA" w:rsidRDefault="00641BD7"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OR = 9.76</w:t>
            </w:r>
            <w:r w:rsidRPr="00CA23AA">
              <w:rPr>
                <w:rFonts w:ascii="Arial Narrow" w:eastAsia="Times New Roman" w:hAnsi="Arial Narrow" w:cs="Times New Roman"/>
                <w:sz w:val="20"/>
                <w:szCs w:val="20"/>
              </w:rPr>
              <w:t> </w:t>
            </w:r>
            <w:r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4.09, 23.28)</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5D657781" w14:textId="79FE7352" w:rsidR="001D4AE1" w:rsidRPr="00CA23AA" w:rsidRDefault="001D4AE1"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OR = 3.83</w:t>
            </w:r>
            <w:r w:rsidRPr="00CA23AA">
              <w:rPr>
                <w:rFonts w:ascii="Arial Narrow" w:eastAsia="Times New Roman" w:hAnsi="Arial Narrow" w:cs="Times New Roman"/>
                <w:sz w:val="20"/>
                <w:szCs w:val="20"/>
              </w:rPr>
              <w:t> </w:t>
            </w:r>
            <w:r w:rsidR="006B60D3"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1.88, 7.79)</w:t>
            </w:r>
            <w:r w:rsidRPr="00CA23AA">
              <w:rPr>
                <w:rFonts w:ascii="Arial Narrow" w:eastAsia="Times New Roman" w:hAnsi="Arial Narrow" w:cs="Times New Roman"/>
                <w:sz w:val="20"/>
                <w:szCs w:val="20"/>
              </w:rPr>
              <w:t> </w:t>
            </w:r>
          </w:p>
        </w:tc>
      </w:tr>
      <w:tr w:rsidR="001D4AE1" w:rsidRPr="00CA23AA" w14:paraId="46B09807" w14:textId="77777777" w:rsidTr="006B60D3">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26544B4" w14:textId="7E264A49" w:rsidR="001D4AE1" w:rsidRPr="00CA23AA" w:rsidRDefault="001D4AE1" w:rsidP="000C02A2">
            <w:pPr>
              <w:spacing w:before="0"/>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OS</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39CC419E" w14:textId="561DD726" w:rsidR="001D4AE1" w:rsidRPr="00CA23AA" w:rsidRDefault="00641BD7"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HR = 0.26</w:t>
            </w:r>
            <w:r w:rsidRPr="00CA23AA">
              <w:rPr>
                <w:rFonts w:ascii="Arial Narrow" w:eastAsia="Times New Roman" w:hAnsi="Arial Narrow" w:cs="Times New Roman"/>
                <w:sz w:val="20"/>
                <w:szCs w:val="20"/>
              </w:rPr>
              <w:t> </w:t>
            </w:r>
            <w:r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0.16, 0.43)</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2DC350E7" w14:textId="4024AB50" w:rsidR="001D4AE1" w:rsidRPr="00CA23AA" w:rsidRDefault="00641BD7"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HR = 0.39</w:t>
            </w:r>
            <w:r w:rsidRPr="00CA23AA">
              <w:rPr>
                <w:rFonts w:ascii="Arial Narrow" w:eastAsia="Times New Roman" w:hAnsi="Arial Narrow" w:cs="Times New Roman"/>
                <w:sz w:val="20"/>
                <w:szCs w:val="20"/>
              </w:rPr>
              <w:t> </w:t>
            </w:r>
            <w:r w:rsidR="006B60D3"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0.26, 0.60)</w:t>
            </w:r>
            <w:r w:rsidRPr="00CA23AA">
              <w:rPr>
                <w:rFonts w:ascii="Arial Narrow" w:eastAsia="Times New Roman" w:hAnsi="Arial Narrow" w:cs="Times New Roman"/>
                <w:sz w:val="20"/>
                <w:szCs w:val="20"/>
              </w:rPr>
              <w:t> </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2D077A77" w14:textId="355E1BA5" w:rsidR="001D4AE1" w:rsidRPr="00CA23AA" w:rsidRDefault="00641BD7"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HR = 0.26</w:t>
            </w:r>
            <w:r w:rsidRPr="00CA23AA">
              <w:rPr>
                <w:rFonts w:ascii="Arial Narrow" w:eastAsia="Times New Roman" w:hAnsi="Arial Narrow" w:cs="Times New Roman"/>
                <w:sz w:val="20"/>
                <w:szCs w:val="20"/>
              </w:rPr>
              <w:t> </w:t>
            </w:r>
            <w:r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0.16, 0.45)</w:t>
            </w:r>
            <w:r w:rsidRPr="00CA23AA">
              <w:rPr>
                <w:rFonts w:ascii="Arial Narrow" w:eastAsia="Times New Roman" w:hAnsi="Arial Narrow" w:cs="Times New Roman"/>
                <w:sz w:val="20"/>
                <w:szCs w:val="20"/>
              </w:rPr>
              <w:t> </w:t>
            </w:r>
          </w:p>
        </w:tc>
        <w:tc>
          <w:tcPr>
            <w:tcW w:w="1900" w:type="dxa"/>
            <w:tcBorders>
              <w:top w:val="single" w:sz="6" w:space="0" w:color="auto"/>
              <w:left w:val="single" w:sz="6" w:space="0" w:color="auto"/>
              <w:bottom w:val="single" w:sz="6" w:space="0" w:color="auto"/>
              <w:right w:val="single" w:sz="6" w:space="0" w:color="auto"/>
            </w:tcBorders>
            <w:shd w:val="clear" w:color="auto" w:fill="auto"/>
            <w:hideMark/>
          </w:tcPr>
          <w:p w14:paraId="7E7E19CC" w14:textId="586A3353" w:rsidR="001D4AE1" w:rsidRPr="00CA23AA" w:rsidRDefault="001D4AE1" w:rsidP="001D4AE1">
            <w:pPr>
              <w:spacing w:before="0"/>
              <w:jc w:val="center"/>
              <w:textAlignment w:val="baseline"/>
              <w:rPr>
                <w:rFonts w:ascii="Arial Narrow" w:eastAsia="Times New Roman" w:hAnsi="Arial Narrow" w:cs="Times New Roman"/>
                <w:sz w:val="24"/>
                <w:szCs w:val="24"/>
              </w:rPr>
            </w:pPr>
            <w:r w:rsidRPr="00CA23AA">
              <w:rPr>
                <w:rFonts w:ascii="Arial Narrow" w:eastAsia="Times New Roman" w:hAnsi="Arial Narrow" w:cs="Times New Roman"/>
                <w:iCs/>
                <w:sz w:val="20"/>
                <w:szCs w:val="20"/>
              </w:rPr>
              <w:t>HR = 0.40</w:t>
            </w:r>
            <w:r w:rsidRPr="00CA23AA">
              <w:rPr>
                <w:rFonts w:ascii="Arial Narrow" w:eastAsia="Times New Roman" w:hAnsi="Arial Narrow" w:cs="Times New Roman"/>
                <w:sz w:val="20"/>
                <w:szCs w:val="20"/>
              </w:rPr>
              <w:t> </w:t>
            </w:r>
            <w:r w:rsidR="006B60D3" w:rsidRPr="00CA23AA">
              <w:rPr>
                <w:rFonts w:ascii="Arial Narrow" w:eastAsia="Times New Roman" w:hAnsi="Arial Narrow" w:cs="Times New Roman"/>
                <w:sz w:val="20"/>
                <w:szCs w:val="20"/>
              </w:rPr>
              <w:br/>
            </w:r>
            <w:r w:rsidRPr="00CA23AA">
              <w:rPr>
                <w:rFonts w:ascii="Arial Narrow" w:eastAsia="Times New Roman" w:hAnsi="Arial Narrow" w:cs="Times New Roman"/>
                <w:iCs/>
                <w:sz w:val="20"/>
                <w:szCs w:val="20"/>
              </w:rPr>
              <w:t>(95% CI 0.26, 0.63)</w:t>
            </w:r>
            <w:r w:rsidRPr="00CA23AA">
              <w:rPr>
                <w:rFonts w:ascii="Arial Narrow" w:eastAsia="Times New Roman" w:hAnsi="Arial Narrow" w:cs="Times New Roman"/>
                <w:sz w:val="20"/>
                <w:szCs w:val="20"/>
              </w:rPr>
              <w:t> </w:t>
            </w:r>
          </w:p>
        </w:tc>
      </w:tr>
    </w:tbl>
    <w:p w14:paraId="7FC51430" w14:textId="04E755C7" w:rsidR="001D4AE1" w:rsidRPr="00CA23AA" w:rsidRDefault="001D4AE1" w:rsidP="002C18EA">
      <w:pPr>
        <w:pStyle w:val="Tablenotes0"/>
        <w:rPr>
          <w:rFonts w:ascii="Segoe UI" w:hAnsi="Segoe UI"/>
          <w:szCs w:val="18"/>
          <w:lang w:eastAsia="en-AU"/>
        </w:rPr>
      </w:pPr>
      <w:r w:rsidRPr="00CA23AA">
        <w:rPr>
          <w:lang w:eastAsia="en-AU"/>
        </w:rPr>
        <w:t>CR = complete remission; HR = hazard ratio; OR = odds ratio; OS = overall survival </w:t>
      </w:r>
    </w:p>
    <w:p w14:paraId="46A478DD" w14:textId="77777777" w:rsidR="001D4AE1" w:rsidRPr="00CA23AA" w:rsidRDefault="001D4AE1" w:rsidP="002C18EA">
      <w:pPr>
        <w:pStyle w:val="Tablenotes0"/>
        <w:rPr>
          <w:rFonts w:ascii="Segoe UI" w:hAnsi="Segoe UI"/>
          <w:szCs w:val="18"/>
          <w:lang w:eastAsia="en-AU"/>
        </w:rPr>
      </w:pPr>
      <w:r w:rsidRPr="00CA23AA">
        <w:rPr>
          <w:lang w:eastAsia="en-AU"/>
        </w:rPr>
        <w:t>* Adjusted for prognostic factors (differences in patient characteristics) </w:t>
      </w:r>
    </w:p>
    <w:p w14:paraId="16D21CFB" w14:textId="472558EB" w:rsidR="001D4AE1" w:rsidRPr="00CA23AA" w:rsidRDefault="001D4AE1" w:rsidP="00DE159A">
      <w:pPr>
        <w:pStyle w:val="Tablenotes0"/>
        <w:rPr>
          <w:rFonts w:ascii="Segoe UI" w:hAnsi="Segoe UI"/>
          <w:szCs w:val="18"/>
          <w:lang w:eastAsia="en-AU"/>
        </w:rPr>
      </w:pPr>
      <w:r w:rsidRPr="00CA23AA">
        <w:rPr>
          <w:lang w:eastAsia="en-AU"/>
        </w:rPr>
        <w:t xml:space="preserve">Source: </w:t>
      </w:r>
      <w:bookmarkStart w:id="45" w:name="_Hlk134021431"/>
      <w:r w:rsidR="00374E09" w:rsidRPr="00CA23AA">
        <w:rPr>
          <w:iCs/>
          <w:lang w:eastAsia="en-AU"/>
        </w:rPr>
        <w:t>Commentary Table 3 in the MSAC 1748 ADAR + inline commentary</w:t>
      </w:r>
      <w:bookmarkEnd w:id="45"/>
    </w:p>
    <w:p w14:paraId="3BB989E5" w14:textId="2F62EDD4" w:rsidR="44F0E3C7" w:rsidRPr="00CA23AA" w:rsidRDefault="44F0E3C7" w:rsidP="1508A520">
      <w:pPr>
        <w:spacing w:before="0" w:after="120" w:line="240" w:lineRule="auto"/>
        <w:rPr>
          <w:rFonts w:ascii="Times New Roman" w:eastAsia="MS Gothic" w:hAnsi="Times New Roman" w:cs="Times New Roman"/>
          <w:i/>
          <w:iCs/>
          <w:color w:val="0070C0"/>
          <w:sz w:val="24"/>
          <w:szCs w:val="24"/>
          <w:lang w:bidi="en-US"/>
        </w:rPr>
      </w:pPr>
      <w:r w:rsidRPr="00CA23AA">
        <w:rPr>
          <w:noProof/>
        </w:rPr>
        <w:drawing>
          <wp:inline distT="0" distB="0" distL="0" distR="0" wp14:anchorId="5BC04079" wp14:editId="239BE11E">
            <wp:extent cx="5724525" cy="1982963"/>
            <wp:effectExtent l="0" t="0" r="1270" b="2540"/>
            <wp:docPr id="1372157100" name="Picture 1372157100" descr="The Kaplan-Meir curves showing Overall Survival after treatment with TIS compared with BLN for the ELIANA TIS-infused cohort (A, left) and the ELIANA ITT cohort (B,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24525" cy="1982963"/>
                    </a:xfrm>
                    <a:prstGeom prst="rect">
                      <a:avLst/>
                    </a:prstGeom>
                  </pic:spPr>
                </pic:pic>
              </a:graphicData>
            </a:graphic>
          </wp:inline>
        </w:drawing>
      </w:r>
    </w:p>
    <w:p w14:paraId="699106CF" w14:textId="72B13BC8" w:rsidR="44F0E3C7" w:rsidRPr="00CA23AA" w:rsidRDefault="44F0E3C7" w:rsidP="1508A520">
      <w:pPr>
        <w:pStyle w:val="TableHeading0"/>
        <w:rPr>
          <w:lang w:bidi="en-US"/>
        </w:rPr>
      </w:pPr>
      <w:bookmarkStart w:id="46" w:name="_Ref134020282"/>
      <w:r w:rsidRPr="00CA23AA">
        <w:t xml:space="preserve">Figure </w:t>
      </w:r>
      <w:r w:rsidRPr="00CA23AA">
        <w:fldChar w:fldCharType="begin"/>
      </w:r>
      <w:r w:rsidRPr="00CA23AA">
        <w:instrText>SEQ Figure \* ARABIC</w:instrText>
      </w:r>
      <w:r w:rsidRPr="00CA23AA">
        <w:fldChar w:fldCharType="separate"/>
      </w:r>
      <w:r w:rsidR="00175880" w:rsidRPr="00CA23AA">
        <w:rPr>
          <w:noProof/>
        </w:rPr>
        <w:t>4</w:t>
      </w:r>
      <w:r w:rsidRPr="00CA23AA">
        <w:fldChar w:fldCharType="end"/>
      </w:r>
      <w:bookmarkEnd w:id="46"/>
      <w:r w:rsidRPr="00CA23AA">
        <w:tab/>
      </w:r>
      <w:r w:rsidRPr="00CA23AA">
        <w:rPr>
          <w:lang w:bidi="en-US"/>
        </w:rPr>
        <w:t xml:space="preserve">Kaplan-Meier curves of OS after treatment with TIS compared with </w:t>
      </w:r>
      <w:proofErr w:type="gramStart"/>
      <w:r w:rsidRPr="00CA23AA">
        <w:rPr>
          <w:lang w:bidi="en-US"/>
        </w:rPr>
        <w:t>BLN</w:t>
      </w:r>
      <w:proofErr w:type="gramEnd"/>
    </w:p>
    <w:p w14:paraId="6D909604" w14:textId="1E2A2F6D" w:rsidR="00B63946" w:rsidRPr="00CA23AA" w:rsidRDefault="44F0E3C7" w:rsidP="00B63946">
      <w:pPr>
        <w:pStyle w:val="TableFooter"/>
      </w:pPr>
      <w:r w:rsidRPr="00CA23AA">
        <w:t>The Kaplan-Meir curves showing the observed OS for the ELIANA TIS-infused cohort (A) and the ELIANA ITT cohort (B) compared with the BLN NCT01471782 cohort.</w:t>
      </w:r>
    </w:p>
    <w:p w14:paraId="4F0619DE" w14:textId="570CE4FF" w:rsidR="002742BE" w:rsidRPr="00CA23AA" w:rsidRDefault="002742BE" w:rsidP="1508A520">
      <w:pPr>
        <w:pStyle w:val="TableFooter"/>
      </w:pPr>
      <w:r w:rsidRPr="00CA23AA">
        <w:t xml:space="preserve">Source: </w:t>
      </w:r>
      <w:r w:rsidR="003D3F7B" w:rsidRPr="00CA23AA">
        <w:t xml:space="preserve">Commentary </w:t>
      </w:r>
      <w:r w:rsidR="00BB45E6" w:rsidRPr="00CA23AA">
        <w:t>F</w:t>
      </w:r>
      <w:r w:rsidR="003D3F7B" w:rsidRPr="00CA23AA">
        <w:t xml:space="preserve">igure </w:t>
      </w:r>
      <w:r w:rsidR="00BB45E6" w:rsidRPr="00CA23AA">
        <w:t>1</w:t>
      </w:r>
      <w:r w:rsidR="003D3F7B" w:rsidRPr="00CA23AA">
        <w:t xml:space="preserve"> in the MSAC 1748 ADAR + inline commentary</w:t>
      </w:r>
    </w:p>
    <w:p w14:paraId="1E1CC96C" w14:textId="77777777" w:rsidR="00772829" w:rsidRPr="00CA23AA" w:rsidRDefault="005E504C" w:rsidP="00956420">
      <w:pPr>
        <w:pStyle w:val="Heading3"/>
        <w:rPr>
          <w:rFonts w:ascii="Arial Narrow" w:hAnsi="Arial Narrow"/>
        </w:rPr>
      </w:pPr>
      <w:r w:rsidRPr="00CA23AA">
        <w:t>C</w:t>
      </w:r>
      <w:r w:rsidR="363701E2" w:rsidRPr="00CA23AA">
        <w:t xml:space="preserve">linical </w:t>
      </w:r>
      <w:r w:rsidR="2163CF57" w:rsidRPr="00CA23AA">
        <w:t>conclusion</w:t>
      </w:r>
    </w:p>
    <w:p w14:paraId="4DD75879" w14:textId="7A0669F4" w:rsidR="0059538D" w:rsidRPr="00CA23AA" w:rsidRDefault="0059538D" w:rsidP="0059538D">
      <w:r w:rsidRPr="00CA23AA">
        <w:t xml:space="preserve">The </w:t>
      </w:r>
      <w:r w:rsidR="004338CD" w:rsidRPr="00CA23AA">
        <w:t xml:space="preserve">ADAR </w:t>
      </w:r>
      <w:r w:rsidRPr="00CA23AA">
        <w:t>concluded that TIS continues to provide substantial clinical benefit to children and young adults with ALL, where alternative treatments may only extend survival outcomes for weeks to months.</w:t>
      </w:r>
      <w:r w:rsidR="00A56AD9" w:rsidRPr="00CA23AA">
        <w:t xml:space="preserve"> They also concluded that there were no new safety signals with longer-term follow-up.</w:t>
      </w:r>
    </w:p>
    <w:p w14:paraId="739AF881" w14:textId="09084589" w:rsidR="00477CE9" w:rsidRPr="00CA23AA" w:rsidRDefault="152965BF" w:rsidP="0059538D">
      <w:r w:rsidRPr="00CA23AA">
        <w:t xml:space="preserve">The </w:t>
      </w:r>
      <w:r w:rsidR="007A39D6" w:rsidRPr="00CA23AA">
        <w:t>commentary</w:t>
      </w:r>
      <w:r w:rsidRPr="00CA23AA">
        <w:t xml:space="preserve"> agree</w:t>
      </w:r>
      <w:r w:rsidR="009F5921" w:rsidRPr="00CA23AA">
        <w:t>d</w:t>
      </w:r>
      <w:r w:rsidRPr="00CA23AA">
        <w:t xml:space="preserve"> that </w:t>
      </w:r>
      <w:r w:rsidR="00A60876" w:rsidRPr="00CA23AA">
        <w:t xml:space="preserve">the evidence indicates </w:t>
      </w:r>
      <w:r w:rsidR="48A52F57" w:rsidRPr="00CA23AA">
        <w:t>TIS</w:t>
      </w:r>
      <w:r w:rsidRPr="00CA23AA">
        <w:t xml:space="preserve"> </w:t>
      </w:r>
      <w:r w:rsidR="0C56B193" w:rsidRPr="00CA23AA">
        <w:t>provide</w:t>
      </w:r>
      <w:r w:rsidR="06403311" w:rsidRPr="00CA23AA">
        <w:t>s</w:t>
      </w:r>
      <w:r w:rsidR="0C56B193" w:rsidRPr="00CA23AA">
        <w:t xml:space="preserve"> </w:t>
      </w:r>
      <w:r w:rsidR="00A60876" w:rsidRPr="00CA23AA">
        <w:t xml:space="preserve">a </w:t>
      </w:r>
      <w:r w:rsidR="0C56B193" w:rsidRPr="00CA23AA">
        <w:t xml:space="preserve">clinical benefit to paediatric and young adult patients with ALL. </w:t>
      </w:r>
      <w:r w:rsidR="002B52CF" w:rsidRPr="00CA23AA">
        <w:t>However, t</w:t>
      </w:r>
      <w:r w:rsidR="0C56B193" w:rsidRPr="00CA23AA">
        <w:t>his conclusion</w:t>
      </w:r>
      <w:r w:rsidR="002B52CF" w:rsidRPr="00CA23AA">
        <w:t xml:space="preserve"> should</w:t>
      </w:r>
      <w:r w:rsidR="0C56B193" w:rsidRPr="00CA23AA">
        <w:t xml:space="preserve"> be interpreted with caution</w:t>
      </w:r>
      <w:r w:rsidR="00477CE9" w:rsidRPr="00CA23AA">
        <w:t>.</w:t>
      </w:r>
      <w:r w:rsidR="0C56B193" w:rsidRPr="00CA23AA">
        <w:t xml:space="preserve"> </w:t>
      </w:r>
    </w:p>
    <w:p w14:paraId="74F3686E" w14:textId="670E4C56" w:rsidR="00271F5B" w:rsidRPr="00CA23AA" w:rsidRDefault="00477CE9" w:rsidP="0059538D">
      <w:r w:rsidRPr="00CA23AA">
        <w:t>T</w:t>
      </w:r>
      <w:r w:rsidR="0C56B193" w:rsidRPr="00CA23AA">
        <w:t xml:space="preserve">he </w:t>
      </w:r>
      <w:r w:rsidR="00422C0C" w:rsidRPr="00CA23AA">
        <w:t>ADAR</w:t>
      </w:r>
      <w:r w:rsidR="0C56B193" w:rsidRPr="00CA23AA">
        <w:t xml:space="preserve"> did not provide </w:t>
      </w:r>
      <w:r w:rsidR="001F7A86" w:rsidRPr="00CA23AA">
        <w:t>an updated analysis</w:t>
      </w:r>
      <w:r w:rsidR="0C56B193" w:rsidRPr="00CA23AA">
        <w:t xml:space="preserve"> </w:t>
      </w:r>
      <w:r w:rsidR="001F7A86" w:rsidRPr="00CA23AA">
        <w:t>of TIS a</w:t>
      </w:r>
      <w:r w:rsidR="00B8068C" w:rsidRPr="00CA23AA">
        <w:t>nd the comparator</w:t>
      </w:r>
      <w:r w:rsidR="0C56B193" w:rsidRPr="00CA23AA">
        <w:t xml:space="preserve">. </w:t>
      </w:r>
      <w:r w:rsidR="00271F5B" w:rsidRPr="00CA23AA">
        <w:t xml:space="preserve">The commentary noted that Blinatumomab </w:t>
      </w:r>
      <w:r w:rsidR="00D57ED5" w:rsidRPr="00CA23AA">
        <w:t xml:space="preserve">(BLN) </w:t>
      </w:r>
      <w:r w:rsidR="00271F5B" w:rsidRPr="00CA23AA">
        <w:t xml:space="preserve">remains </w:t>
      </w:r>
      <w:r w:rsidR="00931E84" w:rsidRPr="00CA23AA">
        <w:t xml:space="preserve">an appropriate comparator. </w:t>
      </w:r>
      <w:r w:rsidR="00695B0F" w:rsidRPr="00CA23AA">
        <w:t>A matc</w:t>
      </w:r>
      <w:r w:rsidR="00A51BA6" w:rsidRPr="00CA23AA">
        <w:t xml:space="preserve">hed indirect comparison of the ELIANA trial showed that </w:t>
      </w:r>
      <w:r w:rsidR="00985FBD" w:rsidRPr="00CA23AA">
        <w:t xml:space="preserve">patients </w:t>
      </w:r>
      <w:r w:rsidR="00620CE3" w:rsidRPr="00CA23AA">
        <w:t>were more likely to have a Complete response a</w:t>
      </w:r>
      <w:r w:rsidRPr="00CA23AA">
        <w:t xml:space="preserve">t 3 months and a lower risk of death </w:t>
      </w:r>
      <w:r w:rsidR="00E221E9" w:rsidRPr="00CA23AA">
        <w:t xml:space="preserve">at 18 months of follow up. </w:t>
      </w:r>
      <w:r w:rsidR="007A3E97" w:rsidRPr="00CA23AA">
        <w:t>It is uncertain how representative this comparison is of the bodies of evidence for TIS and BLN</w:t>
      </w:r>
      <w:r w:rsidR="00D57ED5" w:rsidRPr="00CA23AA">
        <w:t>.</w:t>
      </w:r>
      <w:r w:rsidR="009235FD" w:rsidRPr="00CA23AA">
        <w:t xml:space="preserve"> </w:t>
      </w:r>
    </w:p>
    <w:p w14:paraId="7BA51041" w14:textId="44027D1C" w:rsidR="008E1D90" w:rsidRPr="00CA23AA" w:rsidRDefault="004C2B92" w:rsidP="0059538D">
      <w:r w:rsidRPr="00CA23AA">
        <w:t>The commentary noted that</w:t>
      </w:r>
      <w:r w:rsidR="005A1C6E" w:rsidRPr="00CA23AA">
        <w:t xml:space="preserve"> there were conditions</w:t>
      </w:r>
      <w:r w:rsidR="006A399D" w:rsidRPr="00CA23AA">
        <w:t xml:space="preserve"> </w:t>
      </w:r>
      <w:r w:rsidR="00B94FB1" w:rsidRPr="00CA23AA">
        <w:t>where t</w:t>
      </w:r>
      <w:r w:rsidR="0052126D" w:rsidRPr="00CA23AA">
        <w:t>he magnitude of clinical</w:t>
      </w:r>
      <w:r w:rsidR="00B94FB1" w:rsidRPr="00CA23AA">
        <w:t xml:space="preserve"> benefit of TIS c</w:t>
      </w:r>
      <w:r w:rsidR="005A1C6E" w:rsidRPr="00CA23AA">
        <w:t>ould not</w:t>
      </w:r>
      <w:r w:rsidR="00B94FB1" w:rsidRPr="00CA23AA">
        <w:t xml:space="preserve"> be disaggregated</w:t>
      </w:r>
      <w:r w:rsidR="005A1C6E" w:rsidRPr="00CA23AA">
        <w:t>.</w:t>
      </w:r>
      <w:r w:rsidR="00B94FB1" w:rsidRPr="00CA23AA">
        <w:t xml:space="preserve"> </w:t>
      </w:r>
      <w:r w:rsidR="00EC7107" w:rsidRPr="00CA23AA">
        <w:t xml:space="preserve">The first </w:t>
      </w:r>
      <w:r w:rsidR="003B0F94" w:rsidRPr="00CA23AA">
        <w:t>i</w:t>
      </w:r>
      <w:r w:rsidR="0052126D" w:rsidRPr="00CA23AA">
        <w:t>s</w:t>
      </w:r>
      <w:r w:rsidR="00EC7107" w:rsidRPr="00CA23AA">
        <w:t xml:space="preserve"> in patients who are in remission </w:t>
      </w:r>
      <w:r w:rsidR="00B540A0" w:rsidRPr="00CA23AA">
        <w:t>at the point of TIS-infusion</w:t>
      </w:r>
      <w:r w:rsidR="00594B76" w:rsidRPr="00CA23AA">
        <w:t xml:space="preserve">. </w:t>
      </w:r>
      <w:r w:rsidR="0051529F" w:rsidRPr="00CA23AA">
        <w:t xml:space="preserve">In these cases, remission </w:t>
      </w:r>
      <w:r w:rsidR="00647F23" w:rsidRPr="00CA23AA">
        <w:t xml:space="preserve">was achieved by bridging therapy. </w:t>
      </w:r>
      <w:r w:rsidR="008A369C" w:rsidRPr="00CA23AA">
        <w:t xml:space="preserve">Approximately </w:t>
      </w:r>
      <w:r w:rsidR="00594907" w:rsidRPr="00594907">
        <w:rPr>
          <w:color w:val="000000"/>
          <w:w w:val="88"/>
          <w:shd w:val="solid" w:color="000000" w:fill="000000"/>
          <w:fitText w:val="390" w:id="-1161539836"/>
          <w14:textFill>
            <w14:solidFill>
              <w14:srgbClr w14:val="000000">
                <w14:alpha w14:val="100000"/>
              </w14:srgbClr>
            </w14:solidFill>
          </w14:textFill>
        </w:rPr>
        <w:t>|||</w:t>
      </w:r>
      <w:r w:rsidR="00594907" w:rsidRPr="00594907">
        <w:rPr>
          <w:color w:val="000000"/>
          <w:spacing w:val="2"/>
          <w:w w:val="88"/>
          <w:shd w:val="solid" w:color="000000" w:fill="000000"/>
          <w:fitText w:val="390" w:id="-1161539836"/>
          <w14:textFill>
            <w14:solidFill>
              <w14:srgbClr w14:val="000000">
                <w14:alpha w14:val="100000"/>
              </w14:srgbClr>
            </w14:solidFill>
          </w14:textFill>
        </w:rPr>
        <w:t>|</w:t>
      </w:r>
      <w:r w:rsidR="00F35530" w:rsidRPr="00CA23AA">
        <w:t xml:space="preserve">% of patients from the ABMTRR were </w:t>
      </w:r>
      <w:r w:rsidR="009F30BE" w:rsidRPr="00CA23AA">
        <w:t>in remission at TIS-infusion</w:t>
      </w:r>
      <w:r w:rsidR="000C7414" w:rsidRPr="00CA23AA">
        <w:t>, however clinical outcomes of t</w:t>
      </w:r>
      <w:r w:rsidR="00035BBC" w:rsidRPr="00CA23AA">
        <w:t>h</w:t>
      </w:r>
      <w:r w:rsidR="000C7414" w:rsidRPr="00CA23AA">
        <w:t xml:space="preserve">is subgroup </w:t>
      </w:r>
      <w:proofErr w:type="gramStart"/>
      <w:r w:rsidR="000C7414" w:rsidRPr="00CA23AA">
        <w:t>was</w:t>
      </w:r>
      <w:proofErr w:type="gramEnd"/>
      <w:r w:rsidR="000C7414" w:rsidRPr="00CA23AA">
        <w:t xml:space="preserve"> not provided</w:t>
      </w:r>
      <w:r w:rsidR="009F30BE" w:rsidRPr="00CA23AA">
        <w:t xml:space="preserve">. It </w:t>
      </w:r>
      <w:r w:rsidR="00647F23" w:rsidRPr="00CA23AA">
        <w:t>is unclear what e</w:t>
      </w:r>
      <w:r w:rsidR="00FB5F3B" w:rsidRPr="00CA23AA">
        <w:t>xtra benefit TIS provided these patients</w:t>
      </w:r>
      <w:r w:rsidR="00AB75E8" w:rsidRPr="00CA23AA">
        <w:t xml:space="preserve"> over their bridging therapy</w:t>
      </w:r>
      <w:r w:rsidR="00216E06" w:rsidRPr="00CA23AA">
        <w:t>.</w:t>
      </w:r>
    </w:p>
    <w:p w14:paraId="0056FB91" w14:textId="72235357" w:rsidR="0059538D" w:rsidRPr="00CA23AA" w:rsidRDefault="001978FA" w:rsidP="0059538D">
      <w:r w:rsidRPr="00CA23AA">
        <w:t>The second is in</w:t>
      </w:r>
      <w:r w:rsidR="0C56B193" w:rsidRPr="00CA23AA">
        <w:t xml:space="preserve"> </w:t>
      </w:r>
      <w:r w:rsidR="633CCFFD" w:rsidRPr="00CA23AA">
        <w:t xml:space="preserve">patients </w:t>
      </w:r>
      <w:r w:rsidRPr="00CA23AA">
        <w:t xml:space="preserve">who are </w:t>
      </w:r>
      <w:r w:rsidR="633CCFFD" w:rsidRPr="00CA23AA">
        <w:t xml:space="preserve">in remission </w:t>
      </w:r>
      <w:r w:rsidRPr="00CA23AA">
        <w:t xml:space="preserve">when they </w:t>
      </w:r>
      <w:r w:rsidR="633CCFFD" w:rsidRPr="00CA23AA">
        <w:t xml:space="preserve">receive </w:t>
      </w:r>
      <w:proofErr w:type="spellStart"/>
      <w:r w:rsidR="633CCFFD" w:rsidRPr="00CA23AA">
        <w:t>aHSCT</w:t>
      </w:r>
      <w:proofErr w:type="spellEnd"/>
      <w:r w:rsidRPr="00CA23AA">
        <w:t xml:space="preserve">. This may be </w:t>
      </w:r>
      <w:r w:rsidR="00347DFD" w:rsidRPr="00CA23AA">
        <w:t>done</w:t>
      </w:r>
      <w:r w:rsidR="633CCFFD" w:rsidRPr="00CA23AA">
        <w:t xml:space="preserve"> </w:t>
      </w:r>
      <w:r w:rsidR="000A1EAA" w:rsidRPr="00CA23AA">
        <w:t xml:space="preserve">to increase the efficacy of TIS leading to increase relapse free survival and overall survival (consolidative </w:t>
      </w:r>
      <w:proofErr w:type="spellStart"/>
      <w:r w:rsidR="000A1EAA" w:rsidRPr="00CA23AA">
        <w:t>aHSCT</w:t>
      </w:r>
      <w:proofErr w:type="spellEnd"/>
      <w:r w:rsidR="000A1EAA" w:rsidRPr="00CA23AA">
        <w:t>).</w:t>
      </w:r>
      <w:r w:rsidR="409C7B52" w:rsidRPr="00CA23AA">
        <w:t xml:space="preserve"> </w:t>
      </w:r>
      <w:r w:rsidR="00D1684C" w:rsidRPr="00CA23AA">
        <w:t>Overall, it is unclear how many patients in the ABMTRR went onto</w:t>
      </w:r>
      <w:r w:rsidR="409C7B52" w:rsidRPr="00CA23AA">
        <w:t xml:space="preserve"> </w:t>
      </w:r>
      <w:r w:rsidR="000571BF" w:rsidRPr="00CA23AA">
        <w:t>receive</w:t>
      </w:r>
      <w:r w:rsidR="006A2EFE" w:rsidRPr="00CA23AA">
        <w:t xml:space="preserve"> consolidative </w:t>
      </w:r>
      <w:proofErr w:type="spellStart"/>
      <w:r w:rsidR="006A2EFE" w:rsidRPr="00CA23AA">
        <w:t>aHSCT</w:t>
      </w:r>
      <w:proofErr w:type="spellEnd"/>
      <w:r w:rsidR="006A2EFE" w:rsidRPr="00CA23AA">
        <w:t>.</w:t>
      </w:r>
      <w:r w:rsidR="000571BF" w:rsidRPr="00CA23AA">
        <w:t xml:space="preserve"> </w:t>
      </w:r>
      <w:r w:rsidR="409C7B52" w:rsidRPr="00CA23AA">
        <w:t xml:space="preserve">Patients who experience loss of </w:t>
      </w:r>
      <w:r w:rsidR="00AF61AA" w:rsidRPr="00CA23AA">
        <w:t>B-cell aplasia (</w:t>
      </w:r>
      <w:r w:rsidR="409C7B52" w:rsidRPr="00CA23AA">
        <w:t>BCA</w:t>
      </w:r>
      <w:r w:rsidR="00AF61AA" w:rsidRPr="00CA23AA">
        <w:t>)</w:t>
      </w:r>
      <w:r w:rsidR="409C7B52" w:rsidRPr="00CA23AA">
        <w:t xml:space="preserve"> or changes in MRD are more likely to be recommended for consolidative </w:t>
      </w:r>
      <w:proofErr w:type="spellStart"/>
      <w:r w:rsidR="409C7B52" w:rsidRPr="00CA23AA">
        <w:t>aHSCT</w:t>
      </w:r>
      <w:proofErr w:type="spellEnd"/>
      <w:r w:rsidR="409C7B52" w:rsidRPr="00CA23AA">
        <w:t>, however uptake of the procedure is dependent on patient preference.</w:t>
      </w:r>
      <w:r w:rsidR="00901300" w:rsidRPr="00CA23AA">
        <w:t xml:space="preserve"> </w:t>
      </w:r>
      <w:r w:rsidR="008B2968" w:rsidRPr="00CA23AA">
        <w:t xml:space="preserve">Additionally, there is a growing body of evidence of the use of TIS as a bridging treatment to </w:t>
      </w:r>
      <w:proofErr w:type="spellStart"/>
      <w:r w:rsidR="008B2968" w:rsidRPr="00CA23AA">
        <w:t>aHSCT</w:t>
      </w:r>
      <w:proofErr w:type="spellEnd"/>
      <w:r w:rsidR="008B2968" w:rsidRPr="00CA23AA">
        <w:t>.</w:t>
      </w:r>
    </w:p>
    <w:p w14:paraId="68B5444A" w14:textId="751CF9AE" w:rsidR="00772829" w:rsidRPr="00CA23AA" w:rsidRDefault="00A56AD9" w:rsidP="0059538D">
      <w:r w:rsidRPr="00CA23AA">
        <w:t xml:space="preserve">The </w:t>
      </w:r>
      <w:r w:rsidR="002938D1" w:rsidRPr="00CA23AA">
        <w:t xml:space="preserve">commentary agreed with the ADAR </w:t>
      </w:r>
      <w:r w:rsidRPr="00CA23AA">
        <w:t>that no new safety signals were identified in either the longer-term follow-up of the sponsored trials or from the available registry data.</w:t>
      </w:r>
      <w:r w:rsidR="00E524C5" w:rsidRPr="00CA23AA">
        <w:t xml:space="preserve"> However, the commentary considered that due to the death of one patient treated with TIS in the real-world setting from </w:t>
      </w:r>
      <w:proofErr w:type="spellStart"/>
      <w:r w:rsidR="00E524C5" w:rsidRPr="00CA23AA">
        <w:t>haemophagocytic</w:t>
      </w:r>
      <w:proofErr w:type="spellEnd"/>
      <w:r w:rsidR="00E524C5" w:rsidRPr="00CA23AA">
        <w:t xml:space="preserve"> </w:t>
      </w:r>
      <w:proofErr w:type="spellStart"/>
      <w:r w:rsidR="00E524C5" w:rsidRPr="00CA23AA">
        <w:t>lymphohistiocytosis</w:t>
      </w:r>
      <w:proofErr w:type="spellEnd"/>
      <w:r w:rsidR="00E524C5" w:rsidRPr="00CA23AA">
        <w:t>, which was only identified in the sponsored trials as a contributing factor, this should be monitored by registries to ensure it is not a cause for concern. Additionally, the long-term safety (</w:t>
      </w:r>
      <w:proofErr w:type="gramStart"/>
      <w:r w:rsidR="00E524C5" w:rsidRPr="00CA23AA">
        <w:t>i.e.</w:t>
      </w:r>
      <w:proofErr w:type="gramEnd"/>
      <w:r w:rsidR="00E524C5" w:rsidRPr="00CA23AA">
        <w:t xml:space="preserve"> post 3 years) for adverse events such as secondary malignancies has not yet been established and should also continue to be monitored, along with other adverse events of special interest.</w:t>
      </w:r>
    </w:p>
    <w:p w14:paraId="0D09C9E4" w14:textId="32196849" w:rsidR="00772829" w:rsidRPr="00CA23AA" w:rsidRDefault="00C36633" w:rsidP="002A18BE">
      <w:pPr>
        <w:pStyle w:val="Heading2"/>
        <w:numPr>
          <w:ilvl w:val="0"/>
          <w:numId w:val="0"/>
        </w:numPr>
      </w:pPr>
      <w:bookmarkStart w:id="47" w:name="_Toc69491425"/>
      <w:r w:rsidRPr="00CA23AA">
        <w:t>1</w:t>
      </w:r>
      <w:r w:rsidR="00DE159A" w:rsidRPr="00CA23AA">
        <w:t>3</w:t>
      </w:r>
      <w:r w:rsidRPr="00CA23AA">
        <w:t>.</w:t>
      </w:r>
      <w:r w:rsidRPr="00CA23AA">
        <w:tab/>
      </w:r>
      <w:r w:rsidR="00772829" w:rsidRPr="00CA23AA">
        <w:t>Economic evaluation</w:t>
      </w:r>
      <w:bookmarkEnd w:id="47"/>
    </w:p>
    <w:p w14:paraId="790FD6EE" w14:textId="1F615D68" w:rsidR="00D42355" w:rsidRPr="00CA23AA" w:rsidRDefault="00C07E24" w:rsidP="00D42355">
      <w:r w:rsidRPr="00CA23AA">
        <w:t xml:space="preserve">The </w:t>
      </w:r>
      <w:r w:rsidR="00D42355" w:rsidRPr="00CA23AA">
        <w:t xml:space="preserve">ADAR presented a cost-utility model in a stepwise manner, building on the original model that was the basis of MSAC’s recommendation in April 2019. Prior to </w:t>
      </w:r>
      <w:r w:rsidR="00177F5B" w:rsidRPr="00CA23AA">
        <w:t xml:space="preserve">MSAC supporting public funding </w:t>
      </w:r>
      <w:r w:rsidR="00D42355" w:rsidRPr="00CA23AA">
        <w:t>in April 2019, the economic model had been through several iterations of critiques and revisions, with significant changes made at each stage in response to the concerns raised by the MSAC.</w:t>
      </w:r>
    </w:p>
    <w:p w14:paraId="6FB57386" w14:textId="3BFBDB57" w:rsidR="00D42355" w:rsidRPr="00CA23AA" w:rsidRDefault="00D42355" w:rsidP="008C66F4">
      <w:pPr>
        <w:pStyle w:val="ListParagraph"/>
        <w:numPr>
          <w:ilvl w:val="0"/>
          <w:numId w:val="13"/>
        </w:numPr>
      </w:pPr>
      <w:r w:rsidRPr="00CA23AA">
        <w:t xml:space="preserve">Step 1 (Base case): Base case model recommended by MSAC in April 2019, </w:t>
      </w:r>
      <w:r w:rsidR="00594907" w:rsidRPr="00594907">
        <w:rPr>
          <w:color w:val="000000"/>
          <w:shd w:val="solid" w:color="000000" w:fill="000000"/>
          <w14:textFill>
            <w14:solidFill>
              <w14:srgbClr w14:val="000000">
                <w14:alpha w14:val="100000"/>
              </w14:srgbClr>
            </w14:solidFill>
          </w14:textFill>
        </w:rPr>
        <w:t>|</w:t>
      </w:r>
      <w:r w:rsidRPr="00CA23AA">
        <w:t>and a single relevant comparator (BLN)</w:t>
      </w:r>
    </w:p>
    <w:p w14:paraId="1F1DE0AE" w14:textId="77777777" w:rsidR="00D42355" w:rsidRPr="00CA23AA" w:rsidRDefault="00D42355" w:rsidP="008C66F4">
      <w:pPr>
        <w:pStyle w:val="ListParagraph"/>
        <w:numPr>
          <w:ilvl w:val="0"/>
          <w:numId w:val="13"/>
        </w:numPr>
      </w:pPr>
      <w:r w:rsidRPr="00CA23AA">
        <w:t xml:space="preserve">Step 2 (Trial update): Update to Step 1, incorporating the most recent pooled results of ELIANA and ENSIGN studies, as specified in the </w:t>
      </w:r>
      <w:proofErr w:type="gramStart"/>
      <w:r w:rsidRPr="00CA23AA">
        <w:t>Deed</w:t>
      </w:r>
      <w:proofErr w:type="gramEnd"/>
    </w:p>
    <w:p w14:paraId="58413692" w14:textId="77777777" w:rsidR="00D42355" w:rsidRPr="00CA23AA" w:rsidRDefault="00D42355" w:rsidP="008C66F4">
      <w:pPr>
        <w:pStyle w:val="ListParagraph"/>
        <w:numPr>
          <w:ilvl w:val="0"/>
          <w:numId w:val="13"/>
        </w:numPr>
      </w:pPr>
      <w:r w:rsidRPr="00CA23AA">
        <w:t>Step 3 (Comprehensive update): Update to Step 2, using data from the ABMTRR to estimate healthcare resource utilisation and inform the actual costs of TIS in practice. All costs were also updated to reflect 2022 list prices for services and medical products.</w:t>
      </w:r>
    </w:p>
    <w:p w14:paraId="5F0C1FAE" w14:textId="1556EABB" w:rsidR="007D3D3D" w:rsidRPr="00CA23AA" w:rsidRDefault="00D42355" w:rsidP="00D42355">
      <w:r w:rsidRPr="00CA23AA">
        <w:t xml:space="preserve">A lifetime horizon (88 years) is applied, with future costs and benefits discounted at a uniform annual rate of 5% per year. </w:t>
      </w:r>
      <w:r w:rsidR="00125F40" w:rsidRPr="00CA23AA">
        <w:t xml:space="preserve">The computational method was unchanged from the MSAC ADAR 1519. Briefly, the ADAR 1748 </w:t>
      </w:r>
      <w:r w:rsidR="00F102FE" w:rsidRPr="00CA23AA">
        <w:t xml:space="preserve">model was implemented in Excel and </w:t>
      </w:r>
      <w:r w:rsidR="00125F40" w:rsidRPr="00CA23AA">
        <w:t>used a cohort analysis of state partitioned survival, where the total time spent in each health state of the model was calculated from the area under</w:t>
      </w:r>
      <w:r w:rsidR="00B0154B" w:rsidRPr="00CA23AA">
        <w:t>/between</w:t>
      </w:r>
      <w:r w:rsidR="00125F40" w:rsidRPr="00CA23AA">
        <w:t xml:space="preserve"> event free survival (EFS); and/or overall (OS) curves</w:t>
      </w:r>
      <w:r w:rsidR="009D580D" w:rsidRPr="00CA23AA">
        <w:t xml:space="preserve"> with </w:t>
      </w:r>
      <w:r w:rsidR="00EA0F28" w:rsidRPr="00CA23AA">
        <w:t>health states includ</w:t>
      </w:r>
      <w:r w:rsidR="009D580D" w:rsidRPr="00CA23AA">
        <w:t xml:space="preserve">ing </w:t>
      </w:r>
      <w:r w:rsidR="00E374C9" w:rsidRPr="00CA23AA">
        <w:t>EFS, Progressive disease (PD) and Dead</w:t>
      </w:r>
      <w:r w:rsidRPr="00CA23AA">
        <w:t>.</w:t>
      </w:r>
    </w:p>
    <w:p w14:paraId="3D0D957F" w14:textId="4D17001E" w:rsidR="00B2529D" w:rsidRPr="00CA23AA" w:rsidRDefault="00C01D66" w:rsidP="00B2529D">
      <w:r w:rsidRPr="00CA23AA">
        <w:t>The model employ</w:t>
      </w:r>
      <w:r w:rsidR="00EE15DF" w:rsidRPr="00CA23AA">
        <w:t>s</w:t>
      </w:r>
      <w:r w:rsidRPr="00CA23AA">
        <w:t xml:space="preserve"> time varying transition probabilities (derived from a series of observed and parametric survival functions</w:t>
      </w:r>
      <w:r w:rsidR="00EE15DF" w:rsidRPr="00CA23AA">
        <w:t xml:space="preserve"> and external mortality data</w:t>
      </w:r>
      <w:r w:rsidRPr="00CA23AA">
        <w:t>), reflective of data from the clinical trials</w:t>
      </w:r>
      <w:r w:rsidR="00EF6B5F" w:rsidRPr="00CA23AA">
        <w:t xml:space="preserve"> of </w:t>
      </w:r>
      <w:r w:rsidR="003C3486" w:rsidRPr="00CA23AA">
        <w:t>and blinatumomab (BLN)</w:t>
      </w:r>
      <w:r w:rsidRPr="00CA23AA">
        <w:t xml:space="preserve"> and established characteristics of the respective diseases and treatments considered. </w:t>
      </w:r>
      <w:r w:rsidR="00585F7D" w:rsidRPr="00CA23AA">
        <w:t>Kaplan-Meier estimates of EFS and OS by month, from the update of ELIANA and ENSIGN</w:t>
      </w:r>
      <w:r w:rsidR="000444B9" w:rsidRPr="00CA23AA">
        <w:t xml:space="preserve"> were obtained and used as observed survival times in the economic model. </w:t>
      </w:r>
      <w:r w:rsidR="007036F5" w:rsidRPr="00CA23AA">
        <w:t>Parametric survival models (lognormal used for both TIS and BLN) were then fitted to the observed data to extrapolate EFS and OS</w:t>
      </w:r>
      <w:r w:rsidR="00B2529D" w:rsidRPr="00CA23AA">
        <w:t xml:space="preserve"> beyond the trial period.</w:t>
      </w:r>
    </w:p>
    <w:p w14:paraId="3B0147AF" w14:textId="77777777" w:rsidR="00052229" w:rsidRPr="00CA23AA" w:rsidRDefault="00052229" w:rsidP="00052229">
      <w:bookmarkStart w:id="48" w:name="_Hlk134049741"/>
      <w:r w:rsidRPr="00CA23AA">
        <w:t>To represent a cure the submission base case stopped the parametric extrapolation in the overall survival curve of both intervention and comparator arms at 5 years, and thereafter applied only all-cause mortality, based on age and gender specific mortality rates reported in Australian Life Tables with application of a standardised mortality rate (SMR) of 9.05 (sourced from published literature) to account for the elsewhere observed increase in all-cause mortality associated with survivors of childhood and adolescent cancer.</w:t>
      </w:r>
    </w:p>
    <w:p w14:paraId="795ADAE0" w14:textId="3F126A87" w:rsidR="003A1317" w:rsidRPr="00CA23AA" w:rsidRDefault="00052229" w:rsidP="00F0105D">
      <w:r w:rsidRPr="00CA23AA">
        <w:t>The application of the cure to the overall survival curve is problematic because it does not stop the ongoing transitions of patients from EFS to progressive disease over the next few decades in the model, which by definition, does not represent cure and results in (1) an over estimation of patient time in the progressive disease health state, and (2) an underestimation of patient time in the EFS health state as shown in</w:t>
      </w:r>
      <w:bookmarkEnd w:id="48"/>
      <w:r w:rsidR="0068432C" w:rsidRPr="00CA23AA">
        <w:t xml:space="preserve"> </w:t>
      </w:r>
      <w:r w:rsidR="0068432C" w:rsidRPr="00CA23AA">
        <w:fldChar w:fldCharType="begin"/>
      </w:r>
      <w:r w:rsidR="0068432C" w:rsidRPr="00CA23AA">
        <w:instrText xml:space="preserve"> REF _Ref134058609 \h </w:instrText>
      </w:r>
      <w:r w:rsidR="00CA23AA">
        <w:instrText xml:space="preserve"> \* MERGEFORMAT </w:instrText>
      </w:r>
      <w:r w:rsidR="0068432C" w:rsidRPr="00CA23AA">
        <w:fldChar w:fldCharType="separate"/>
      </w:r>
      <w:r w:rsidR="00175880" w:rsidRPr="00CA23AA">
        <w:t xml:space="preserve">Figure </w:t>
      </w:r>
      <w:r w:rsidR="00175880" w:rsidRPr="00CA23AA">
        <w:rPr>
          <w:noProof/>
        </w:rPr>
        <w:t>5</w:t>
      </w:r>
      <w:r w:rsidR="0068432C" w:rsidRPr="00CA23AA">
        <w:fldChar w:fldCharType="end"/>
      </w:r>
      <w:r w:rsidR="00DB69E6" w:rsidRPr="00CA23AA">
        <w:t xml:space="preserve">. </w:t>
      </w:r>
    </w:p>
    <w:p w14:paraId="0F80BD8D" w14:textId="739D80EC" w:rsidR="00087EC5" w:rsidRPr="00CA23AA" w:rsidRDefault="00087EC5" w:rsidP="003F31D2">
      <w:pPr>
        <w:keepNext/>
        <w:spacing w:after="0"/>
      </w:pPr>
      <w:r w:rsidRPr="00CA23AA">
        <w:rPr>
          <w:noProof/>
        </w:rPr>
        <w:drawing>
          <wp:inline distT="0" distB="0" distL="0" distR="0" wp14:anchorId="473A7537" wp14:editId="28AF996C">
            <wp:extent cx="5562600" cy="3114076"/>
            <wp:effectExtent l="0" t="0" r="0" b="0"/>
            <wp:docPr id="12" name="Picture 12" descr="Modelled health states (step 3) in the economic evaluation with the application of cure function applied to the OS health state after 5 years  (as per AD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74516" cy="3120747"/>
                    </a:xfrm>
                    <a:prstGeom prst="rect">
                      <a:avLst/>
                    </a:prstGeom>
                    <a:noFill/>
                  </pic:spPr>
                </pic:pic>
              </a:graphicData>
            </a:graphic>
          </wp:inline>
        </w:drawing>
      </w:r>
    </w:p>
    <w:p w14:paraId="2804D8EE" w14:textId="77777777" w:rsidR="00087EC5" w:rsidRPr="00CA23AA" w:rsidRDefault="00087EC5" w:rsidP="003F31D2">
      <w:pPr>
        <w:keepNext/>
        <w:spacing w:before="0"/>
      </w:pPr>
      <w:r w:rsidRPr="00CA23AA">
        <w:rPr>
          <w:noProof/>
        </w:rPr>
        <w:drawing>
          <wp:inline distT="0" distB="0" distL="0" distR="0" wp14:anchorId="1F261567" wp14:editId="130FDEB9">
            <wp:extent cx="5590824" cy="3133725"/>
            <wp:effectExtent l="0" t="0" r="0" b="0"/>
            <wp:docPr id="13" name="Picture 13" descr="Modelled health states (step 3) in the economic evaluation with the application of cure function applied to the OS health state after 5 years  (as per AD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03543" cy="3140854"/>
                    </a:xfrm>
                    <a:prstGeom prst="rect">
                      <a:avLst/>
                    </a:prstGeom>
                    <a:noFill/>
                  </pic:spPr>
                </pic:pic>
              </a:graphicData>
            </a:graphic>
          </wp:inline>
        </w:drawing>
      </w:r>
    </w:p>
    <w:p w14:paraId="7C67E2E1" w14:textId="1435069B" w:rsidR="00087EC5" w:rsidRPr="00CA23AA" w:rsidRDefault="00087EC5" w:rsidP="003F31D2">
      <w:pPr>
        <w:pStyle w:val="TableHeading0"/>
      </w:pPr>
      <w:bookmarkStart w:id="49" w:name="_Ref134058609"/>
      <w:r w:rsidRPr="00CA23AA">
        <w:t xml:space="preserve">Figure </w:t>
      </w:r>
      <w:fldSimple w:instr=" SEQ Figure \* ARABIC ">
        <w:r w:rsidR="00175880" w:rsidRPr="00CA23AA">
          <w:rPr>
            <w:noProof/>
          </w:rPr>
          <w:t>5</w:t>
        </w:r>
      </w:fldSimple>
      <w:bookmarkEnd w:id="49"/>
      <w:r w:rsidRPr="00CA23AA">
        <w:tab/>
        <w:t>Modelled health states (step 3) in the economic evaluation with the cure function applied to the OS health state after 5 years (as per ADAR).</w:t>
      </w:r>
    </w:p>
    <w:p w14:paraId="2EAF858F" w14:textId="73F5FB74" w:rsidR="00CD43D0" w:rsidRPr="00CA23AA" w:rsidRDefault="00CD43D0" w:rsidP="00406DFE">
      <w:pPr>
        <w:pStyle w:val="Tablenotes0"/>
      </w:pPr>
      <w:r w:rsidRPr="00CA23AA">
        <w:t>BLN = blinatumomab; TIS = tisagenlecleucel</w:t>
      </w:r>
    </w:p>
    <w:p w14:paraId="1D5555C8" w14:textId="0E748576" w:rsidR="005030BC" w:rsidRPr="00CA23AA" w:rsidRDefault="00406DFE" w:rsidP="000A5974">
      <w:pPr>
        <w:pStyle w:val="Tablenotes0"/>
      </w:pPr>
      <w:r w:rsidRPr="00CA23AA">
        <w:t xml:space="preserve">Source: Area graphs generated using modelled traces for three health states in the partitioned survival model </w:t>
      </w:r>
      <w:r w:rsidR="00111D58" w:rsidRPr="00CA23AA">
        <w:t xml:space="preserve">provided in </w:t>
      </w:r>
      <w:r w:rsidR="00CD43D0" w:rsidRPr="00CA23AA">
        <w:t xml:space="preserve">“TIS </w:t>
      </w:r>
      <w:proofErr w:type="spellStart"/>
      <w:r w:rsidR="00CD43D0" w:rsidRPr="00CA23AA">
        <w:t>pALL</w:t>
      </w:r>
      <w:proofErr w:type="spellEnd"/>
      <w:r w:rsidR="00CD43D0" w:rsidRPr="00CA23AA">
        <w:t xml:space="preserve"> CEA (Step 3).xlsx”</w:t>
      </w:r>
      <w:r w:rsidRPr="00CA23AA">
        <w:t xml:space="preserve"> </w:t>
      </w:r>
    </w:p>
    <w:p w14:paraId="58934C1A" w14:textId="76925382" w:rsidR="005C3125" w:rsidRPr="00CA23AA" w:rsidRDefault="005062DD" w:rsidP="0077490D">
      <w:bookmarkStart w:id="50" w:name="_Hlk134050057"/>
      <w:bookmarkStart w:id="51" w:name="_Hlk133995535"/>
      <w:r w:rsidRPr="00CA23AA">
        <w:rPr>
          <w:rStyle w:val="ui-provider"/>
        </w:rPr>
        <w:t>Where</w:t>
      </w:r>
      <w:r w:rsidR="00FB3DF2" w:rsidRPr="00CA23AA">
        <w:rPr>
          <w:rStyle w:val="ui-provider"/>
        </w:rPr>
        <w:t xml:space="preserve"> </w:t>
      </w:r>
      <w:r w:rsidR="000550B7" w:rsidRPr="00CA23AA">
        <w:rPr>
          <w:rStyle w:val="ui-provider"/>
        </w:rPr>
        <w:t>a</w:t>
      </w:r>
      <w:r w:rsidR="00435BD9" w:rsidRPr="00CA23AA">
        <w:rPr>
          <w:rStyle w:val="ui-provider"/>
        </w:rPr>
        <w:t xml:space="preserve"> </w:t>
      </w:r>
      <w:r w:rsidR="000550B7" w:rsidRPr="00CA23AA">
        <w:rPr>
          <w:rStyle w:val="ui-provider"/>
        </w:rPr>
        <w:t>‘</w:t>
      </w:r>
      <w:r w:rsidR="00435BD9" w:rsidRPr="00CA23AA">
        <w:rPr>
          <w:rStyle w:val="ui-provider"/>
        </w:rPr>
        <w:t>cure</w:t>
      </w:r>
      <w:r w:rsidR="000550B7" w:rsidRPr="00CA23AA">
        <w:rPr>
          <w:rStyle w:val="ui-provider"/>
        </w:rPr>
        <w:t>’</w:t>
      </w:r>
      <w:r w:rsidR="00435BD9" w:rsidRPr="00CA23AA">
        <w:rPr>
          <w:rStyle w:val="ui-provider"/>
        </w:rPr>
        <w:t xml:space="preserve"> assumption is </w:t>
      </w:r>
      <w:r w:rsidR="00A37BFF" w:rsidRPr="00CA23AA">
        <w:rPr>
          <w:rStyle w:val="ui-provider"/>
        </w:rPr>
        <w:t>reasonable</w:t>
      </w:r>
      <w:r w:rsidR="00435BD9" w:rsidRPr="00CA23AA">
        <w:rPr>
          <w:rStyle w:val="ui-provider"/>
        </w:rPr>
        <w:t xml:space="preserve">, </w:t>
      </w:r>
      <w:r w:rsidR="00A37BFF" w:rsidRPr="00CA23AA">
        <w:rPr>
          <w:rStyle w:val="ui-provider"/>
        </w:rPr>
        <w:t>a</w:t>
      </w:r>
      <w:r w:rsidR="005C3125" w:rsidRPr="00CA23AA">
        <w:rPr>
          <w:rStyle w:val="ui-provider"/>
        </w:rPr>
        <w:t xml:space="preserve"> more structurally sound approach is to apply </w:t>
      </w:r>
      <w:r w:rsidR="0051611D" w:rsidRPr="00CA23AA">
        <w:rPr>
          <w:rStyle w:val="ui-provider"/>
        </w:rPr>
        <w:t>it</w:t>
      </w:r>
      <w:r w:rsidR="005C3125" w:rsidRPr="00CA23AA">
        <w:rPr>
          <w:rStyle w:val="ui-provider"/>
        </w:rPr>
        <w:t xml:space="preserve"> to the EFS curve, because it is </w:t>
      </w:r>
      <w:r w:rsidR="0051611D" w:rsidRPr="00CA23AA">
        <w:rPr>
          <w:rStyle w:val="ui-provider"/>
        </w:rPr>
        <w:t xml:space="preserve">only </w:t>
      </w:r>
      <w:r w:rsidR="005C3125" w:rsidRPr="00CA23AA">
        <w:rPr>
          <w:rStyle w:val="ui-provider"/>
        </w:rPr>
        <w:t xml:space="preserve">these patients </w:t>
      </w:r>
      <w:r w:rsidR="00FB3DF2" w:rsidRPr="00CA23AA">
        <w:rPr>
          <w:rStyle w:val="ui-provider"/>
        </w:rPr>
        <w:t>that will</w:t>
      </w:r>
      <w:r w:rsidR="005C3125" w:rsidRPr="00CA23AA">
        <w:rPr>
          <w:rStyle w:val="ui-provider"/>
        </w:rPr>
        <w:t xml:space="preserve"> be cured. </w:t>
      </w:r>
      <w:r w:rsidR="005C3125" w:rsidRPr="00CA23AA">
        <w:t>T</w:t>
      </w:r>
      <w:r w:rsidR="0052487C" w:rsidRPr="00CA23AA">
        <w:t xml:space="preserve">his rectifies the problems identified above and </w:t>
      </w:r>
      <w:r w:rsidR="006C66CC" w:rsidRPr="00CA23AA">
        <w:t>improve</w:t>
      </w:r>
      <w:r w:rsidR="006617B3" w:rsidRPr="00CA23AA">
        <w:t>s the</w:t>
      </w:r>
      <w:r w:rsidR="006C66CC" w:rsidRPr="00CA23AA">
        <w:t xml:space="preserve"> operational validity </w:t>
      </w:r>
      <w:r w:rsidR="005C3125" w:rsidRPr="00CA23AA">
        <w:t>o</w:t>
      </w:r>
      <w:r w:rsidR="006617B3" w:rsidRPr="00CA23AA">
        <w:t xml:space="preserve">f the model. </w:t>
      </w:r>
      <w:bookmarkEnd w:id="50"/>
    </w:p>
    <w:p w14:paraId="6C4DAB44" w14:textId="1122206E" w:rsidR="00594DBD" w:rsidRPr="00CA23AA" w:rsidRDefault="00DE2A13" w:rsidP="00035BBC">
      <w:pPr>
        <w:keepNext/>
        <w:keepLines/>
      </w:pPr>
      <w:bookmarkStart w:id="52" w:name="_Hlk134050132"/>
      <w:r w:rsidRPr="00CA23AA">
        <w:t xml:space="preserve">The evaluation performed </w:t>
      </w:r>
      <w:proofErr w:type="gramStart"/>
      <w:r w:rsidRPr="00CA23AA">
        <w:t>a number of</w:t>
      </w:r>
      <w:proofErr w:type="gramEnd"/>
      <w:r w:rsidRPr="00CA23AA">
        <w:t xml:space="preserve"> r</w:t>
      </w:r>
      <w:r w:rsidR="004F795F" w:rsidRPr="00CA23AA">
        <w:t>evisions</w:t>
      </w:r>
      <w:r w:rsidR="00554EDC" w:rsidRPr="00CA23AA">
        <w:t xml:space="preserve"> </w:t>
      </w:r>
      <w:r w:rsidR="004F795F" w:rsidRPr="00CA23AA">
        <w:t xml:space="preserve">to the Step 3 model to </w:t>
      </w:r>
      <w:r w:rsidRPr="00CA23AA">
        <w:t>enact</w:t>
      </w:r>
      <w:r w:rsidR="00554EDC" w:rsidRPr="00CA23AA">
        <w:t xml:space="preserve"> th</w:t>
      </w:r>
      <w:r w:rsidR="0007776F" w:rsidRPr="00CA23AA">
        <w:t xml:space="preserve">e </w:t>
      </w:r>
      <w:r w:rsidR="00B53B54" w:rsidRPr="00CA23AA">
        <w:t xml:space="preserve">aforementioned </w:t>
      </w:r>
      <w:r w:rsidR="00437B70" w:rsidRPr="00CA23AA">
        <w:t xml:space="preserve">adjustment </w:t>
      </w:r>
      <w:r w:rsidR="008F7BE3" w:rsidRPr="00CA23AA">
        <w:t xml:space="preserve">and </w:t>
      </w:r>
      <w:r w:rsidR="000669EB" w:rsidRPr="00CA23AA">
        <w:t xml:space="preserve">address </w:t>
      </w:r>
      <w:r w:rsidR="008F7BE3" w:rsidRPr="00CA23AA">
        <w:t xml:space="preserve">some other minor </w:t>
      </w:r>
      <w:r w:rsidR="004F795F" w:rsidRPr="00CA23AA">
        <w:t>issues in the model</w:t>
      </w:r>
      <w:r w:rsidR="00594DBD" w:rsidRPr="00CA23AA">
        <w:t>. These revisions include:</w:t>
      </w:r>
    </w:p>
    <w:p w14:paraId="54F6F711" w14:textId="77777777" w:rsidR="00594DBD" w:rsidRPr="00CA23AA" w:rsidRDefault="00594DBD" w:rsidP="00035BBC">
      <w:pPr>
        <w:pStyle w:val="ListParagraph"/>
        <w:keepNext/>
        <w:keepLines/>
        <w:numPr>
          <w:ilvl w:val="0"/>
          <w:numId w:val="21"/>
        </w:numPr>
      </w:pPr>
      <w:r w:rsidRPr="00CA23AA">
        <w:t>Correcting</w:t>
      </w:r>
      <w:r w:rsidR="00554EDC" w:rsidRPr="00CA23AA">
        <w:t xml:space="preserve"> formulas in the cost calculations for proportion of patients </w:t>
      </w:r>
      <w:proofErr w:type="gramStart"/>
      <w:r w:rsidR="00554EDC" w:rsidRPr="00CA23AA">
        <w:t>infused</w:t>
      </w:r>
      <w:r w:rsidRPr="00CA23AA">
        <w:t>;</w:t>
      </w:r>
      <w:proofErr w:type="gramEnd"/>
    </w:p>
    <w:p w14:paraId="41E799B0" w14:textId="7F3ACD53" w:rsidR="0094714C" w:rsidRPr="00CA23AA" w:rsidRDefault="0053335D" w:rsidP="00035BBC">
      <w:pPr>
        <w:pStyle w:val="ListParagraph"/>
        <w:keepNext/>
        <w:keepLines/>
        <w:numPr>
          <w:ilvl w:val="0"/>
          <w:numId w:val="21"/>
        </w:numPr>
      </w:pPr>
      <w:r w:rsidRPr="00CA23AA">
        <w:t>Adjustment to the EFS and OS estimates to reflect reassignment of the cure function</w:t>
      </w:r>
      <w:r w:rsidR="00D07933" w:rsidRPr="00CA23AA">
        <w:t xml:space="preserve"> to the EFS </w:t>
      </w:r>
      <w:r w:rsidR="008F4DC1" w:rsidRPr="00CA23AA">
        <w:t>health state</w:t>
      </w:r>
      <w:r w:rsidR="006E5034" w:rsidRPr="00CA23AA">
        <w:t>; requiring</w:t>
      </w:r>
      <w:r w:rsidR="0094714C" w:rsidRPr="00CA23AA">
        <w:t xml:space="preserve"> conversion of the </w:t>
      </w:r>
      <w:r w:rsidR="00921796" w:rsidRPr="00CA23AA">
        <w:t>‘</w:t>
      </w:r>
      <w:proofErr w:type="gramStart"/>
      <w:r w:rsidR="00554EDC" w:rsidRPr="00CA23AA">
        <w:t>hard</w:t>
      </w:r>
      <w:r w:rsidR="00921796" w:rsidRPr="00CA23AA">
        <w:t>-</w:t>
      </w:r>
      <w:r w:rsidR="00554EDC" w:rsidRPr="00CA23AA">
        <w:t>entered</w:t>
      </w:r>
      <w:proofErr w:type="gramEnd"/>
      <w:r w:rsidR="00921796" w:rsidRPr="00CA23AA">
        <w:t>’</w:t>
      </w:r>
      <w:r w:rsidR="00554EDC" w:rsidRPr="00CA23AA">
        <w:t xml:space="preserve"> EFS estimates to be informed by live calculations</w:t>
      </w:r>
      <w:r w:rsidR="00F27D60" w:rsidRPr="00CA23AA">
        <w:t xml:space="preserve"> reflecting</w:t>
      </w:r>
      <w:r w:rsidR="0094714C" w:rsidRPr="00CA23AA">
        <w:t>;</w:t>
      </w:r>
    </w:p>
    <w:p w14:paraId="12E1F1BD" w14:textId="39B55650" w:rsidR="00DD2536" w:rsidRPr="00CA23AA" w:rsidRDefault="00B07F1F" w:rsidP="008C66F4">
      <w:pPr>
        <w:pStyle w:val="ListParagraph"/>
        <w:numPr>
          <w:ilvl w:val="1"/>
          <w:numId w:val="21"/>
        </w:numPr>
      </w:pPr>
      <w:r w:rsidRPr="00CA23AA">
        <w:t>stop</w:t>
      </w:r>
      <w:r w:rsidR="00F27D60" w:rsidRPr="00CA23AA">
        <w:t>ped</w:t>
      </w:r>
      <w:r w:rsidRPr="00CA23AA">
        <w:t xml:space="preserve"> </w:t>
      </w:r>
      <w:r w:rsidR="00B41A8D" w:rsidRPr="00CA23AA">
        <w:t>transition</w:t>
      </w:r>
      <w:r w:rsidR="00DD2536" w:rsidRPr="00CA23AA">
        <w:t>s</w:t>
      </w:r>
      <w:r w:rsidR="00B41A8D" w:rsidRPr="00CA23AA">
        <w:t xml:space="preserve"> to </w:t>
      </w:r>
      <w:r w:rsidRPr="00CA23AA">
        <w:t xml:space="preserve">progression </w:t>
      </w:r>
      <w:r w:rsidR="00DD2536" w:rsidRPr="00CA23AA">
        <w:t>at five years</w:t>
      </w:r>
      <w:r w:rsidR="001D6B70" w:rsidRPr="00CA23AA">
        <w:t xml:space="preserve">; </w:t>
      </w:r>
      <w:proofErr w:type="gramStart"/>
      <w:r w:rsidR="001D6B70" w:rsidRPr="00CA23AA">
        <w:t>then</w:t>
      </w:r>
      <w:proofErr w:type="gramEnd"/>
    </w:p>
    <w:p w14:paraId="0E6DCCB6" w14:textId="43550BCB" w:rsidR="00594DBD" w:rsidRPr="00CA23AA" w:rsidRDefault="00D312D6" w:rsidP="008C66F4">
      <w:pPr>
        <w:pStyle w:val="ListParagraph"/>
        <w:numPr>
          <w:ilvl w:val="1"/>
          <w:numId w:val="21"/>
        </w:numPr>
      </w:pPr>
      <w:r w:rsidRPr="00CA23AA">
        <w:t xml:space="preserve">once </w:t>
      </w:r>
      <w:r w:rsidR="00E359A7" w:rsidRPr="00CA23AA">
        <w:t>OS drop</w:t>
      </w:r>
      <w:r w:rsidR="002410FA" w:rsidRPr="00CA23AA">
        <w:t>s</w:t>
      </w:r>
      <w:r w:rsidR="00E359A7" w:rsidRPr="00CA23AA">
        <w:t xml:space="preserve"> below </w:t>
      </w:r>
      <w:r w:rsidR="002410FA" w:rsidRPr="00CA23AA">
        <w:t xml:space="preserve">EFS, </w:t>
      </w:r>
      <w:r w:rsidR="001D6B70" w:rsidRPr="00CA23AA">
        <w:t xml:space="preserve">ensuring </w:t>
      </w:r>
      <w:r w:rsidR="000B1885" w:rsidRPr="00CA23AA">
        <w:t>both</w:t>
      </w:r>
      <w:r w:rsidR="00B52CBD" w:rsidRPr="00CA23AA">
        <w:t xml:space="preserve"> curve</w:t>
      </w:r>
      <w:r w:rsidR="000B1885" w:rsidRPr="00CA23AA">
        <w:t>s</w:t>
      </w:r>
      <w:r w:rsidR="00B52CBD" w:rsidRPr="00CA23AA">
        <w:t xml:space="preserve"> </w:t>
      </w:r>
      <w:r w:rsidR="000B1885" w:rsidRPr="00CA23AA">
        <w:t>are</w:t>
      </w:r>
      <w:r w:rsidR="00EF5646" w:rsidRPr="00CA23AA">
        <w:t xml:space="preserve"> </w:t>
      </w:r>
      <w:r w:rsidR="00385AC9" w:rsidRPr="00CA23AA">
        <w:t xml:space="preserve">effectively </w:t>
      </w:r>
      <w:r w:rsidR="00EF5646" w:rsidRPr="00CA23AA">
        <w:t xml:space="preserve">replaced by </w:t>
      </w:r>
      <w:r w:rsidR="002731F4" w:rsidRPr="00CA23AA">
        <w:t>an</w:t>
      </w:r>
      <w:r w:rsidR="00EF5646" w:rsidRPr="00CA23AA">
        <w:t xml:space="preserve"> </w:t>
      </w:r>
      <w:r w:rsidR="00385AC9" w:rsidRPr="00CA23AA">
        <w:t>OS</w:t>
      </w:r>
      <w:r w:rsidR="00F17F20" w:rsidRPr="00CA23AA">
        <w:t xml:space="preserve"> </w:t>
      </w:r>
      <w:r w:rsidR="00385AC9" w:rsidRPr="00CA23AA">
        <w:t xml:space="preserve">curve </w:t>
      </w:r>
      <w:r w:rsidR="002731F4" w:rsidRPr="00CA23AA">
        <w:t>informed by adjusted background mortality</w:t>
      </w:r>
      <w:r w:rsidR="00385AC9" w:rsidRPr="00CA23AA">
        <w:t xml:space="preserve"> </w:t>
      </w:r>
      <w:r w:rsidR="003E767C" w:rsidRPr="00CA23AA">
        <w:t xml:space="preserve">rates </w:t>
      </w:r>
      <w:r w:rsidR="00F17F20" w:rsidRPr="00CA23AA">
        <w:t>(</w:t>
      </w:r>
      <w:proofErr w:type="gramStart"/>
      <w:r w:rsidR="009D0886" w:rsidRPr="00CA23AA">
        <w:t>i.e.</w:t>
      </w:r>
      <w:proofErr w:type="gramEnd"/>
      <w:r w:rsidR="009D0886" w:rsidRPr="00CA23AA">
        <w:t xml:space="preserve"> </w:t>
      </w:r>
      <w:r w:rsidR="00F17F20" w:rsidRPr="00CA23AA">
        <w:t xml:space="preserve">all-cause death </w:t>
      </w:r>
      <w:r w:rsidR="009D0886" w:rsidRPr="00CA23AA">
        <w:t>being</w:t>
      </w:r>
      <w:r w:rsidR="00F17F20" w:rsidRPr="00CA23AA">
        <w:t xml:space="preserve"> the </w:t>
      </w:r>
      <w:r w:rsidR="00BD0CF2" w:rsidRPr="00CA23AA">
        <w:t xml:space="preserve">appropriate and </w:t>
      </w:r>
      <w:r w:rsidR="00F17F20" w:rsidRPr="00CA23AA">
        <w:t xml:space="preserve">only exit </w:t>
      </w:r>
      <w:r w:rsidR="00BD0CF2" w:rsidRPr="00CA23AA">
        <w:t>from</w:t>
      </w:r>
      <w:r w:rsidR="00F17F20" w:rsidRPr="00CA23AA">
        <w:t xml:space="preserve"> the EFS state</w:t>
      </w:r>
      <w:r w:rsidR="00352D61" w:rsidRPr="00CA23AA">
        <w:t>).</w:t>
      </w:r>
      <w:r w:rsidR="00F17F20" w:rsidRPr="00CA23AA">
        <w:t xml:space="preserve"> </w:t>
      </w:r>
    </w:p>
    <w:bookmarkEnd w:id="51"/>
    <w:p w14:paraId="5F61FE1F" w14:textId="3629399C" w:rsidR="00FC2F24" w:rsidRPr="00CA23AA" w:rsidRDefault="00783070" w:rsidP="00740BBF">
      <w:pPr>
        <w:rPr>
          <w:rStyle w:val="ui-provider"/>
        </w:rPr>
      </w:pPr>
      <w:r w:rsidRPr="00CA23AA">
        <w:rPr>
          <w:rStyle w:val="ui-provider"/>
        </w:rPr>
        <w:t xml:space="preserve">If the cure function were applied to both the EFS and OS curves, the curves would run parallel and result in an implausible proportion of patients in the progressive disease state until all patients had died. </w:t>
      </w:r>
    </w:p>
    <w:p w14:paraId="17A84079" w14:textId="0FCEFF38" w:rsidR="00740BBF" w:rsidRPr="00CA23AA" w:rsidRDefault="00783070" w:rsidP="00740BBF">
      <w:pPr>
        <w:rPr>
          <w:rStyle w:val="ui-provider"/>
        </w:rPr>
      </w:pPr>
      <w:bookmarkStart w:id="53" w:name="_Hlk134050311"/>
      <w:bookmarkEnd w:id="52"/>
      <w:r w:rsidRPr="00CA23AA">
        <w:rPr>
          <w:rStyle w:val="ui-provider"/>
        </w:rPr>
        <w:t xml:space="preserve">These adjustments result in </w:t>
      </w:r>
      <w:r w:rsidR="00457567" w:rsidRPr="00CA23AA">
        <w:rPr>
          <w:rStyle w:val="ui-provider"/>
        </w:rPr>
        <w:t xml:space="preserve">operationally valid </w:t>
      </w:r>
      <w:r w:rsidRPr="00CA23AA">
        <w:rPr>
          <w:rStyle w:val="ui-provider"/>
        </w:rPr>
        <w:t>survival curves</w:t>
      </w:r>
      <w:r w:rsidR="006C3E19" w:rsidRPr="00CA23AA">
        <w:rPr>
          <w:rStyle w:val="ui-provider"/>
        </w:rPr>
        <w:t xml:space="preserve"> </w:t>
      </w:r>
      <w:r w:rsidR="00D40A3D" w:rsidRPr="00CA23AA">
        <w:rPr>
          <w:rStyle w:val="ui-provider"/>
        </w:rPr>
        <w:t>and patterns of health state membership</w:t>
      </w:r>
      <w:r w:rsidR="006C3E19" w:rsidRPr="00CA23AA">
        <w:rPr>
          <w:rStyle w:val="ui-provider"/>
        </w:rPr>
        <w:t xml:space="preserve"> (</w:t>
      </w:r>
      <w:bookmarkEnd w:id="53"/>
      <w:r w:rsidR="00052229" w:rsidRPr="00CA23AA">
        <w:rPr>
          <w:rStyle w:val="ui-provider"/>
        </w:rPr>
        <w:fldChar w:fldCharType="begin"/>
      </w:r>
      <w:r w:rsidR="00052229" w:rsidRPr="00CA23AA">
        <w:rPr>
          <w:rStyle w:val="ui-provider"/>
        </w:rPr>
        <w:instrText xml:space="preserve"> REF _Ref134058375 \h  \* MERGEFORMAT </w:instrText>
      </w:r>
      <w:r w:rsidR="00052229" w:rsidRPr="00CA23AA">
        <w:rPr>
          <w:rStyle w:val="ui-provider"/>
        </w:rPr>
      </w:r>
      <w:r w:rsidR="00052229" w:rsidRPr="00CA23AA">
        <w:rPr>
          <w:rStyle w:val="ui-provider"/>
        </w:rPr>
        <w:fldChar w:fldCharType="separate"/>
      </w:r>
      <w:r w:rsidR="00175880" w:rsidRPr="00CA23AA">
        <w:rPr>
          <w:rStyle w:val="ui-provider"/>
        </w:rPr>
        <w:t>Figure 6</w:t>
      </w:r>
      <w:r w:rsidR="00052229" w:rsidRPr="00CA23AA">
        <w:rPr>
          <w:rStyle w:val="ui-provider"/>
        </w:rPr>
        <w:fldChar w:fldCharType="end"/>
      </w:r>
      <w:r w:rsidR="00052229" w:rsidRPr="00CA23AA">
        <w:rPr>
          <w:rStyle w:val="ui-provider"/>
        </w:rPr>
        <w:t>)</w:t>
      </w:r>
      <w:r w:rsidRPr="00CA23AA">
        <w:rPr>
          <w:rStyle w:val="ui-provider"/>
        </w:rPr>
        <w:t xml:space="preserve">. </w:t>
      </w:r>
      <w:bookmarkStart w:id="54" w:name="_Hlk134050335"/>
      <w:r w:rsidRPr="00CA23AA">
        <w:rPr>
          <w:rStyle w:val="ui-provider"/>
        </w:rPr>
        <w:t xml:space="preserve">Whether the timing of the cure function </w:t>
      </w:r>
      <w:r w:rsidR="008A1E81" w:rsidRPr="00CA23AA">
        <w:rPr>
          <w:rStyle w:val="ui-provider"/>
        </w:rPr>
        <w:t>at five years</w:t>
      </w:r>
      <w:r w:rsidRPr="00CA23AA">
        <w:rPr>
          <w:rStyle w:val="ui-provider"/>
        </w:rPr>
        <w:t xml:space="preserve"> is </w:t>
      </w:r>
      <w:r w:rsidR="000177E0" w:rsidRPr="00CA23AA">
        <w:rPr>
          <w:rStyle w:val="ui-provider"/>
        </w:rPr>
        <w:t xml:space="preserve">the most </w:t>
      </w:r>
      <w:r w:rsidRPr="00CA23AA">
        <w:rPr>
          <w:rStyle w:val="ui-provider"/>
        </w:rPr>
        <w:t xml:space="preserve">clinically plausible </w:t>
      </w:r>
      <w:r w:rsidR="0089415A" w:rsidRPr="00CA23AA">
        <w:rPr>
          <w:rStyle w:val="ui-provider"/>
        </w:rPr>
        <w:t>approach</w:t>
      </w:r>
      <w:r w:rsidRPr="00CA23AA">
        <w:rPr>
          <w:rStyle w:val="ui-provider"/>
        </w:rPr>
        <w:t xml:space="preserve"> is uncertain</w:t>
      </w:r>
      <w:r w:rsidR="000E13FF" w:rsidRPr="00CA23AA">
        <w:rPr>
          <w:rStyle w:val="ui-provider"/>
        </w:rPr>
        <w:t xml:space="preserve"> (alternatives are presented in the sensitivity analyses)</w:t>
      </w:r>
      <w:r w:rsidRPr="00CA23AA">
        <w:rPr>
          <w:rStyle w:val="ui-provider"/>
        </w:rPr>
        <w:t xml:space="preserve">. </w:t>
      </w:r>
      <w:r w:rsidR="003314D6" w:rsidRPr="00CA23AA">
        <w:rPr>
          <w:rStyle w:val="ui-provider"/>
        </w:rPr>
        <w:t xml:space="preserve">This revised </w:t>
      </w:r>
      <w:r w:rsidRPr="00CA23AA">
        <w:rPr>
          <w:rStyle w:val="ui-provider"/>
        </w:rPr>
        <w:t xml:space="preserve">Model with Step 3 inputs was used as </w:t>
      </w:r>
      <w:r w:rsidR="0048653F" w:rsidRPr="00CA23AA">
        <w:rPr>
          <w:rStyle w:val="ui-provider"/>
        </w:rPr>
        <w:t xml:space="preserve">a respecified </w:t>
      </w:r>
      <w:r w:rsidRPr="00CA23AA">
        <w:rPr>
          <w:rStyle w:val="ui-provider"/>
        </w:rPr>
        <w:t>base case for commentary evaluations. </w:t>
      </w:r>
      <w:bookmarkEnd w:id="54"/>
    </w:p>
    <w:p w14:paraId="3F5C5C02" w14:textId="77777777" w:rsidR="00052229" w:rsidRPr="00CA23AA" w:rsidRDefault="00052229" w:rsidP="00E10634">
      <w:pPr>
        <w:keepNext/>
      </w:pPr>
      <w:r w:rsidRPr="00CA23AA">
        <w:rPr>
          <w:noProof/>
        </w:rPr>
        <w:drawing>
          <wp:inline distT="0" distB="0" distL="0" distR="0" wp14:anchorId="7FBF16C2" wp14:editId="60D90CC8">
            <wp:extent cx="5580685" cy="3124200"/>
            <wp:effectExtent l="0" t="0" r="1270" b="0"/>
            <wp:docPr id="18" name="Picture 18" descr="Modelled health states (step 3) in the economic evaluation with the cure function applied to the EFS health state after 5 years (as revised during the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94151" cy="3131738"/>
                    </a:xfrm>
                    <a:prstGeom prst="rect">
                      <a:avLst/>
                    </a:prstGeom>
                    <a:noFill/>
                  </pic:spPr>
                </pic:pic>
              </a:graphicData>
            </a:graphic>
          </wp:inline>
        </w:drawing>
      </w:r>
      <w:r w:rsidRPr="00CA23AA">
        <w:rPr>
          <w:noProof/>
        </w:rPr>
        <w:drawing>
          <wp:inline distT="0" distB="0" distL="0" distR="0" wp14:anchorId="76736DDE" wp14:editId="454AE7AB">
            <wp:extent cx="5573831" cy="3124200"/>
            <wp:effectExtent l="0" t="0" r="8255" b="0"/>
            <wp:docPr id="19" name="Picture 19" descr="Modelled health states (step 3) in the economic evaluation with the cure function applied to the EFS health state after 5 years (as revised during the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80835" cy="3128126"/>
                    </a:xfrm>
                    <a:prstGeom prst="rect">
                      <a:avLst/>
                    </a:prstGeom>
                    <a:noFill/>
                  </pic:spPr>
                </pic:pic>
              </a:graphicData>
            </a:graphic>
          </wp:inline>
        </w:drawing>
      </w:r>
    </w:p>
    <w:p w14:paraId="6F74A1F6" w14:textId="667B9206" w:rsidR="00052229" w:rsidRPr="00CA23AA" w:rsidRDefault="00052229" w:rsidP="00E10634">
      <w:pPr>
        <w:pStyle w:val="TableHeading0"/>
      </w:pPr>
      <w:bookmarkStart w:id="55" w:name="_Ref134058375"/>
      <w:r w:rsidRPr="00CA23AA">
        <w:t xml:space="preserve">Figure </w:t>
      </w:r>
      <w:fldSimple w:instr=" SEQ Figure \* ARABIC ">
        <w:r w:rsidR="00175880" w:rsidRPr="00CA23AA">
          <w:rPr>
            <w:noProof/>
          </w:rPr>
          <w:t>6</w:t>
        </w:r>
      </w:fldSimple>
      <w:bookmarkEnd w:id="55"/>
      <w:r w:rsidRPr="00CA23AA">
        <w:tab/>
        <w:t>Modelled health states (step 3) in the economic evaluation with the cure function applied to the EFS health state after 5 years (as revised during the evaluation</w:t>
      </w:r>
    </w:p>
    <w:p w14:paraId="6171C329" w14:textId="146BE296" w:rsidR="00C77847" w:rsidRPr="00CA23AA" w:rsidRDefault="00C77847" w:rsidP="00C77847">
      <w:pPr>
        <w:pStyle w:val="Tablenotes0"/>
      </w:pPr>
      <w:r w:rsidRPr="00CA23AA">
        <w:t xml:space="preserve">BLN = blinatumomab; </w:t>
      </w:r>
      <w:r w:rsidR="00D11D9E" w:rsidRPr="00CA23AA">
        <w:t xml:space="preserve">EFS = </w:t>
      </w:r>
      <w:r w:rsidR="006143D3" w:rsidRPr="00CA23AA">
        <w:t xml:space="preserve">event free </w:t>
      </w:r>
      <w:proofErr w:type="spellStart"/>
      <w:proofErr w:type="gramStart"/>
      <w:r w:rsidR="006143D3" w:rsidRPr="00CA23AA">
        <w:t>survival;</w:t>
      </w:r>
      <w:r w:rsidRPr="00CA23AA">
        <w:t>TIS</w:t>
      </w:r>
      <w:proofErr w:type="spellEnd"/>
      <w:proofErr w:type="gramEnd"/>
      <w:r w:rsidRPr="00CA23AA">
        <w:t xml:space="preserve"> = tisagenlecleucel</w:t>
      </w:r>
    </w:p>
    <w:p w14:paraId="6458F31B" w14:textId="75C17049" w:rsidR="00C77847" w:rsidRPr="00CA23AA" w:rsidRDefault="00C77847" w:rsidP="00C77847">
      <w:pPr>
        <w:pStyle w:val="Tablenotes0"/>
      </w:pPr>
      <w:r w:rsidRPr="00CA23AA">
        <w:t xml:space="preserve">Source: Area graphs generated using modelled traces for three health states in the partitioned survival model provided in </w:t>
      </w:r>
      <w:bookmarkStart w:id="56" w:name="_Hlk134023288"/>
      <w:r w:rsidRPr="00CA23AA">
        <w:t xml:space="preserve">“TIS </w:t>
      </w:r>
      <w:proofErr w:type="spellStart"/>
      <w:r w:rsidRPr="00CA23AA">
        <w:t>pALL</w:t>
      </w:r>
      <w:proofErr w:type="spellEnd"/>
      <w:r w:rsidRPr="00CA23AA">
        <w:t xml:space="preserve"> CEA (Step 3</w:t>
      </w:r>
      <w:r w:rsidR="00673ADC" w:rsidRPr="00CA23AA">
        <w:t>)- Critique May 2023 -ADAR base case with Technical corrections.</w:t>
      </w:r>
      <w:r w:rsidRPr="00CA23AA">
        <w:t xml:space="preserve">xlsx” </w:t>
      </w:r>
      <w:bookmarkEnd w:id="56"/>
    </w:p>
    <w:p w14:paraId="5B591D4C" w14:textId="408D93A9" w:rsidR="00FD1289" w:rsidRPr="00CA23AA" w:rsidRDefault="00D42355" w:rsidP="00FD1289">
      <w:r w:rsidRPr="00CA23AA">
        <w:t xml:space="preserve">The key elements of the economic evaluation are summarised in </w:t>
      </w:r>
      <w:r w:rsidRPr="00CA23AA">
        <w:fldChar w:fldCharType="begin"/>
      </w:r>
      <w:r w:rsidRPr="00CA23AA">
        <w:instrText xml:space="preserve"> REF _Ref131278357 \h </w:instrText>
      </w:r>
      <w:r w:rsidR="00CA23AA">
        <w:instrText xml:space="preserve"> \* MERGEFORMAT </w:instrText>
      </w:r>
      <w:r w:rsidRPr="00CA23AA">
        <w:fldChar w:fldCharType="separate"/>
      </w:r>
      <w:r w:rsidR="00175880" w:rsidRPr="00CA23AA">
        <w:t xml:space="preserve">Table </w:t>
      </w:r>
      <w:r w:rsidR="00175880" w:rsidRPr="00CA23AA">
        <w:rPr>
          <w:noProof/>
        </w:rPr>
        <w:t>13</w:t>
      </w:r>
      <w:r w:rsidRPr="00CA23AA">
        <w:fldChar w:fldCharType="end"/>
      </w:r>
      <w:r w:rsidRPr="00CA23AA">
        <w:t>.</w:t>
      </w:r>
      <w:bookmarkStart w:id="57" w:name="_Ref131278357"/>
      <w:r w:rsidR="00FD1289" w:rsidRPr="00CA23AA">
        <w:br w:type="page"/>
      </w:r>
    </w:p>
    <w:p w14:paraId="5A2B8DE1" w14:textId="39505EFF" w:rsidR="00D42355" w:rsidRPr="00CA23AA" w:rsidRDefault="00D42355" w:rsidP="00353663">
      <w:pPr>
        <w:pStyle w:val="TableHeading0"/>
      </w:pPr>
      <w:r w:rsidRPr="00CA23AA">
        <w:t xml:space="preserve">Table </w:t>
      </w:r>
      <w:r w:rsidRPr="00CA23AA">
        <w:fldChar w:fldCharType="begin"/>
      </w:r>
      <w:r w:rsidRPr="00CA23AA">
        <w:instrText>SEQ Table \* ARABIC</w:instrText>
      </w:r>
      <w:r w:rsidRPr="00CA23AA">
        <w:fldChar w:fldCharType="separate"/>
      </w:r>
      <w:r w:rsidR="00175880" w:rsidRPr="00CA23AA">
        <w:rPr>
          <w:noProof/>
        </w:rPr>
        <w:t>13</w:t>
      </w:r>
      <w:r w:rsidRPr="00CA23AA">
        <w:fldChar w:fldCharType="end"/>
      </w:r>
      <w:bookmarkEnd w:id="57"/>
      <w:r w:rsidRPr="00CA23AA">
        <w:tab/>
        <w:t>Summary of the economic evaluation</w:t>
      </w:r>
    </w:p>
    <w:tbl>
      <w:tblPr>
        <w:tblStyle w:val="Summarybox1"/>
        <w:tblW w:w="0" w:type="auto"/>
        <w:tblLook w:val="04A0" w:firstRow="1" w:lastRow="0" w:firstColumn="1" w:lastColumn="0" w:noHBand="0" w:noVBand="1"/>
        <w:tblCaption w:val="Summary of the economic evaluation"/>
        <w:tblDescription w:val="Summary of the economic evaluation"/>
      </w:tblPr>
      <w:tblGrid>
        <w:gridCol w:w="1732"/>
        <w:gridCol w:w="3586"/>
        <w:gridCol w:w="3698"/>
      </w:tblGrid>
      <w:tr w:rsidR="00D42355" w:rsidRPr="00CA23AA" w14:paraId="003DF02F" w14:textId="77777777" w:rsidTr="002802E9">
        <w:trPr>
          <w:tblHeader/>
        </w:trPr>
        <w:tc>
          <w:tcPr>
            <w:tcW w:w="1732" w:type="dxa"/>
          </w:tcPr>
          <w:p w14:paraId="53EEE806" w14:textId="77777777" w:rsidR="00D42355" w:rsidRPr="00CA23AA" w:rsidRDefault="00D42355" w:rsidP="006F4F82">
            <w:pPr>
              <w:pStyle w:val="Tabletext0"/>
              <w:rPr>
                <w:rStyle w:val="SmallBold"/>
                <w:rFonts w:ascii="Arial Narrow" w:hAnsi="Arial Narrow"/>
              </w:rPr>
            </w:pPr>
            <w:r w:rsidRPr="00CA23AA">
              <w:rPr>
                <w:rStyle w:val="SmallBold"/>
                <w:rFonts w:ascii="Arial Narrow" w:hAnsi="Arial Narrow"/>
              </w:rPr>
              <w:t>Component</w:t>
            </w:r>
          </w:p>
        </w:tc>
        <w:tc>
          <w:tcPr>
            <w:tcW w:w="3586" w:type="dxa"/>
          </w:tcPr>
          <w:p w14:paraId="0F480E9E" w14:textId="77777777" w:rsidR="00D42355" w:rsidRPr="00CA23AA" w:rsidRDefault="00D42355" w:rsidP="006F4F82">
            <w:pPr>
              <w:pStyle w:val="Tabletext0"/>
              <w:rPr>
                <w:rStyle w:val="SmallBold"/>
                <w:rFonts w:ascii="Arial Narrow" w:hAnsi="Arial Narrow"/>
              </w:rPr>
            </w:pPr>
            <w:r w:rsidRPr="00CA23AA">
              <w:rPr>
                <w:rStyle w:val="SmallBold"/>
                <w:rFonts w:ascii="Arial Narrow" w:hAnsi="Arial Narrow"/>
              </w:rPr>
              <w:t>Description</w:t>
            </w:r>
          </w:p>
        </w:tc>
        <w:tc>
          <w:tcPr>
            <w:tcW w:w="3698" w:type="dxa"/>
          </w:tcPr>
          <w:p w14:paraId="5A656E1B" w14:textId="5AC39B88" w:rsidR="00D42355" w:rsidRPr="00CA23AA" w:rsidRDefault="00D42355" w:rsidP="006F4F82">
            <w:pPr>
              <w:pStyle w:val="Tabletext0"/>
              <w:rPr>
                <w:rStyle w:val="SmallBold"/>
                <w:rFonts w:ascii="Arial Narrow" w:hAnsi="Arial Narrow"/>
                <w:b w:val="0"/>
                <w:iCs/>
              </w:rPr>
            </w:pPr>
            <w:r w:rsidRPr="00CA23AA">
              <w:rPr>
                <w:rStyle w:val="SmallBold"/>
                <w:rFonts w:ascii="Arial Narrow" w:hAnsi="Arial Narrow"/>
                <w:iCs/>
              </w:rPr>
              <w:t>Comment</w:t>
            </w:r>
            <w:r w:rsidR="001500AE" w:rsidRPr="00CA23AA">
              <w:rPr>
                <w:rStyle w:val="SmallBold"/>
                <w:rFonts w:ascii="Arial Narrow" w:hAnsi="Arial Narrow"/>
                <w:iCs/>
              </w:rPr>
              <w:t>ary</w:t>
            </w:r>
          </w:p>
        </w:tc>
      </w:tr>
      <w:tr w:rsidR="00D42355" w:rsidRPr="00CA23AA" w14:paraId="2842D57F" w14:textId="77777777" w:rsidTr="006F4F82">
        <w:tc>
          <w:tcPr>
            <w:tcW w:w="1732" w:type="dxa"/>
          </w:tcPr>
          <w:p w14:paraId="6333DD8A" w14:textId="77777777" w:rsidR="00D42355" w:rsidRPr="00CA23AA" w:rsidRDefault="00D42355" w:rsidP="006F4F82">
            <w:pPr>
              <w:pStyle w:val="Tabletext0"/>
            </w:pPr>
            <w:r w:rsidRPr="00CA23AA">
              <w:t>Intervention</w:t>
            </w:r>
          </w:p>
        </w:tc>
        <w:tc>
          <w:tcPr>
            <w:tcW w:w="3586" w:type="dxa"/>
          </w:tcPr>
          <w:p w14:paraId="57C6E640" w14:textId="77777777" w:rsidR="00D42355" w:rsidRPr="00CA23AA" w:rsidRDefault="00D42355" w:rsidP="006F4F82">
            <w:pPr>
              <w:pStyle w:val="Tabletext0"/>
            </w:pPr>
            <w:r w:rsidRPr="00CA23AA">
              <w:t>Single episode of TIS treatment with curative intent</w:t>
            </w:r>
          </w:p>
        </w:tc>
        <w:tc>
          <w:tcPr>
            <w:tcW w:w="3698" w:type="dxa"/>
          </w:tcPr>
          <w:p w14:paraId="047C1BCA" w14:textId="54FC2382" w:rsidR="00D42355" w:rsidRPr="00CA23AA" w:rsidRDefault="00D42355" w:rsidP="006F4F82">
            <w:pPr>
              <w:pStyle w:val="Tabletext0"/>
              <w:rPr>
                <w:iCs/>
              </w:rPr>
            </w:pPr>
            <w:r w:rsidRPr="00CA23AA">
              <w:rPr>
                <w:iCs/>
              </w:rPr>
              <w:t xml:space="preserve">According to ABMTRR report, </w:t>
            </w:r>
            <w:proofErr w:type="gramStart"/>
            <w:r w:rsidR="00594907" w:rsidRPr="00594907">
              <w:rPr>
                <w:iCs/>
                <w:color w:val="000000"/>
                <w:spacing w:val="24"/>
                <w:shd w:val="solid" w:color="000000" w:fill="000000"/>
                <w:fitText w:val="250" w:id="-1161539835"/>
                <w14:textFill>
                  <w14:solidFill>
                    <w14:srgbClr w14:val="000000">
                      <w14:alpha w14:val="100000"/>
                    </w14:srgbClr>
                  </w14:solidFill>
                </w14:textFill>
              </w:rPr>
              <w:t xml:space="preserve">|  </w:t>
            </w:r>
            <w:r w:rsidR="00594907" w:rsidRPr="00594907">
              <w:rPr>
                <w:iCs/>
                <w:color w:val="000000"/>
                <w:spacing w:val="2"/>
                <w:shd w:val="solid" w:color="000000" w:fill="000000"/>
                <w:fitText w:val="250" w:id="-1161539835"/>
                <w14:textFill>
                  <w14:solidFill>
                    <w14:srgbClr w14:val="000000">
                      <w14:alpha w14:val="100000"/>
                    </w14:srgbClr>
                  </w14:solidFill>
                </w14:textFill>
              </w:rPr>
              <w:t>|</w:t>
            </w:r>
            <w:proofErr w:type="gramEnd"/>
            <w:r w:rsidRPr="00CA23AA">
              <w:rPr>
                <w:iCs/>
              </w:rPr>
              <w:t xml:space="preserve">% of the patients had more than one infusion for TIS. </w:t>
            </w:r>
            <w:r w:rsidR="0094589D" w:rsidRPr="00CA23AA">
              <w:rPr>
                <w:iCs/>
              </w:rPr>
              <w:t>It is unclear whether the effectiveness d</w:t>
            </w:r>
            <w:r w:rsidRPr="00CA23AA">
              <w:rPr>
                <w:iCs/>
              </w:rPr>
              <w:t>ata for these patients were excluded from the analysis</w:t>
            </w:r>
            <w:r w:rsidR="0018676E" w:rsidRPr="00CA23AA">
              <w:rPr>
                <w:iCs/>
              </w:rPr>
              <w:t xml:space="preserve"> or not</w:t>
            </w:r>
            <w:r w:rsidRPr="00CA23AA">
              <w:rPr>
                <w:iCs/>
              </w:rPr>
              <w:t xml:space="preserve">. </w:t>
            </w:r>
          </w:p>
        </w:tc>
      </w:tr>
      <w:tr w:rsidR="00D42355" w:rsidRPr="00CA23AA" w14:paraId="1D1C1A78" w14:textId="77777777" w:rsidTr="006F4F82">
        <w:tc>
          <w:tcPr>
            <w:tcW w:w="1732" w:type="dxa"/>
          </w:tcPr>
          <w:p w14:paraId="27053D0F" w14:textId="77777777" w:rsidR="00D42355" w:rsidRPr="00CA23AA" w:rsidRDefault="00D42355" w:rsidP="006F4F82">
            <w:pPr>
              <w:pStyle w:val="Tabletext0"/>
            </w:pPr>
            <w:r w:rsidRPr="00CA23AA">
              <w:t>Comparator</w:t>
            </w:r>
          </w:p>
        </w:tc>
        <w:tc>
          <w:tcPr>
            <w:tcW w:w="3586" w:type="dxa"/>
          </w:tcPr>
          <w:p w14:paraId="0F042CB6" w14:textId="77777777" w:rsidR="00D42355" w:rsidRPr="00CA23AA" w:rsidRDefault="00D42355" w:rsidP="006F4F82">
            <w:pPr>
              <w:pStyle w:val="Tabletext0"/>
            </w:pPr>
            <w:r w:rsidRPr="00CA23AA">
              <w:t xml:space="preserve">BLN +/- SCT;  </w:t>
            </w:r>
          </w:p>
        </w:tc>
        <w:tc>
          <w:tcPr>
            <w:tcW w:w="3698" w:type="dxa"/>
          </w:tcPr>
          <w:p w14:paraId="2E3407CD" w14:textId="121AE253" w:rsidR="00D42355" w:rsidRPr="00CA23AA" w:rsidRDefault="00D42355" w:rsidP="006F4F82">
            <w:pPr>
              <w:pStyle w:val="Tabletext0"/>
              <w:rPr>
                <w:iCs/>
              </w:rPr>
            </w:pPr>
            <w:r w:rsidRPr="00CA23AA">
              <w:rPr>
                <w:iCs/>
              </w:rPr>
              <w:t xml:space="preserve">This was accepted as a valid comparator in the </w:t>
            </w:r>
            <w:r w:rsidR="00EA664B" w:rsidRPr="00CA23AA">
              <w:rPr>
                <w:iCs/>
              </w:rPr>
              <w:t>MSAC ADAR 1519</w:t>
            </w:r>
            <w:r w:rsidR="00046AC6" w:rsidRPr="00CA23AA">
              <w:rPr>
                <w:iCs/>
              </w:rPr>
              <w:t xml:space="preserve"> and remains a relevant comparator in the current context.</w:t>
            </w:r>
          </w:p>
        </w:tc>
      </w:tr>
      <w:tr w:rsidR="00D42355" w:rsidRPr="00CA23AA" w14:paraId="0A3374FF" w14:textId="77777777" w:rsidTr="006F4F82">
        <w:tc>
          <w:tcPr>
            <w:tcW w:w="1732" w:type="dxa"/>
          </w:tcPr>
          <w:p w14:paraId="5A301CA6" w14:textId="77777777" w:rsidR="00D42355" w:rsidRPr="00CA23AA" w:rsidRDefault="00D42355" w:rsidP="006F4F82">
            <w:pPr>
              <w:pStyle w:val="Tabletext0"/>
            </w:pPr>
            <w:r w:rsidRPr="00CA23AA">
              <w:t>Perspective</w:t>
            </w:r>
          </w:p>
        </w:tc>
        <w:tc>
          <w:tcPr>
            <w:tcW w:w="3586" w:type="dxa"/>
          </w:tcPr>
          <w:p w14:paraId="02C7E8D8" w14:textId="77777777" w:rsidR="00D42355" w:rsidRPr="00CA23AA" w:rsidRDefault="00D42355" w:rsidP="006F4F82">
            <w:pPr>
              <w:pStyle w:val="Tabletext0"/>
            </w:pPr>
            <w:r w:rsidRPr="00CA23AA">
              <w:t>Australian</w:t>
            </w:r>
            <w:r w:rsidRPr="00CA23AA">
              <w:rPr>
                <w:i/>
              </w:rPr>
              <w:t xml:space="preserve"> </w:t>
            </w:r>
            <w:r w:rsidRPr="00CA23AA">
              <w:t>healthcare system</w:t>
            </w:r>
          </w:p>
        </w:tc>
        <w:tc>
          <w:tcPr>
            <w:tcW w:w="3698" w:type="dxa"/>
          </w:tcPr>
          <w:p w14:paraId="4A3C6675" w14:textId="77777777" w:rsidR="00D42355" w:rsidRPr="00CA23AA" w:rsidRDefault="00D42355" w:rsidP="006F4F82">
            <w:pPr>
              <w:pStyle w:val="Tabletext0"/>
              <w:rPr>
                <w:iCs/>
              </w:rPr>
            </w:pPr>
            <w:r w:rsidRPr="00CA23AA">
              <w:rPr>
                <w:iCs/>
              </w:rPr>
              <w:t>As per the guidelines</w:t>
            </w:r>
          </w:p>
        </w:tc>
      </w:tr>
      <w:tr w:rsidR="00D42355" w:rsidRPr="00CA23AA" w14:paraId="2D048569" w14:textId="77777777" w:rsidTr="006F4F82">
        <w:tc>
          <w:tcPr>
            <w:tcW w:w="1732" w:type="dxa"/>
          </w:tcPr>
          <w:p w14:paraId="731C009F" w14:textId="77777777" w:rsidR="00D42355" w:rsidRPr="00CA23AA" w:rsidRDefault="00D42355" w:rsidP="006F4F82">
            <w:pPr>
              <w:pStyle w:val="Tabletext0"/>
            </w:pPr>
            <w:r w:rsidRPr="00CA23AA">
              <w:t>Type of evaluation</w:t>
            </w:r>
          </w:p>
        </w:tc>
        <w:tc>
          <w:tcPr>
            <w:tcW w:w="3586" w:type="dxa"/>
          </w:tcPr>
          <w:p w14:paraId="1450D77D" w14:textId="77777777" w:rsidR="00D42355" w:rsidRPr="00CA23AA" w:rsidRDefault="00D42355" w:rsidP="006F4F82">
            <w:pPr>
              <w:pStyle w:val="Tabletext0"/>
            </w:pPr>
            <w:r w:rsidRPr="00CA23AA">
              <w:t>Cost utility analysis</w:t>
            </w:r>
          </w:p>
        </w:tc>
        <w:tc>
          <w:tcPr>
            <w:tcW w:w="3698" w:type="dxa"/>
          </w:tcPr>
          <w:p w14:paraId="7C679678" w14:textId="77777777" w:rsidR="00D42355" w:rsidRPr="00CA23AA" w:rsidRDefault="00D42355" w:rsidP="006F4F82">
            <w:pPr>
              <w:pStyle w:val="Tabletext0"/>
              <w:rPr>
                <w:iCs/>
              </w:rPr>
            </w:pPr>
            <w:r w:rsidRPr="00CA23AA">
              <w:rPr>
                <w:iCs/>
              </w:rPr>
              <w:t>Appropriate</w:t>
            </w:r>
          </w:p>
        </w:tc>
      </w:tr>
      <w:tr w:rsidR="00D42355" w:rsidRPr="00CA23AA" w14:paraId="7777D8D7" w14:textId="77777777" w:rsidTr="006F4F82">
        <w:tc>
          <w:tcPr>
            <w:tcW w:w="1732" w:type="dxa"/>
          </w:tcPr>
          <w:p w14:paraId="217EE4E3" w14:textId="77777777" w:rsidR="00D42355" w:rsidRPr="00CA23AA" w:rsidRDefault="00D42355" w:rsidP="006F4F82">
            <w:pPr>
              <w:pStyle w:val="Tabletext0"/>
            </w:pPr>
            <w:r w:rsidRPr="00CA23AA">
              <w:t>Sources of evidence</w:t>
            </w:r>
          </w:p>
        </w:tc>
        <w:tc>
          <w:tcPr>
            <w:tcW w:w="3586" w:type="dxa"/>
          </w:tcPr>
          <w:p w14:paraId="1C1FA6D8" w14:textId="77777777" w:rsidR="00D42355" w:rsidRPr="00CA23AA" w:rsidRDefault="00D42355" w:rsidP="006F4F82">
            <w:pPr>
              <w:pStyle w:val="Tabletext0"/>
            </w:pPr>
            <w:r w:rsidRPr="00CA23AA">
              <w:t xml:space="preserve">Naïve indirect comparison from single arm trials </w:t>
            </w:r>
          </w:p>
        </w:tc>
        <w:tc>
          <w:tcPr>
            <w:tcW w:w="3698" w:type="dxa"/>
          </w:tcPr>
          <w:p w14:paraId="05505FCC" w14:textId="175DC728" w:rsidR="00D42355" w:rsidRPr="00CA23AA" w:rsidRDefault="00D42355" w:rsidP="006F4F82">
            <w:pPr>
              <w:pStyle w:val="Tabletext0"/>
              <w:rPr>
                <w:iCs/>
              </w:rPr>
            </w:pPr>
            <w:r w:rsidRPr="00CA23AA">
              <w:rPr>
                <w:iCs/>
              </w:rPr>
              <w:t xml:space="preserve">The base case (step 1) </w:t>
            </w:r>
            <w:r w:rsidR="0018676E" w:rsidRPr="00CA23AA">
              <w:rPr>
                <w:iCs/>
              </w:rPr>
              <w:t>continues</w:t>
            </w:r>
            <w:r w:rsidRPr="00CA23AA">
              <w:rPr>
                <w:iCs/>
              </w:rPr>
              <w:t xml:space="preserve"> to be informed by a naïve indirect comparison of results from the pooled ELIANA and ENSIGN trials with those of the </w:t>
            </w:r>
            <w:r w:rsidR="0023583D" w:rsidRPr="00CA23AA">
              <w:rPr>
                <w:iCs/>
              </w:rPr>
              <w:t>v</w:t>
            </w:r>
            <w:r w:rsidRPr="00CA23AA">
              <w:rPr>
                <w:iCs/>
              </w:rPr>
              <w:t xml:space="preserve">on Stackelberg </w:t>
            </w:r>
            <w:r w:rsidR="0023583D" w:rsidRPr="00CA23AA">
              <w:rPr>
                <w:iCs/>
              </w:rPr>
              <w:t>(2016)</w:t>
            </w:r>
            <w:r w:rsidR="0023583D" w:rsidRPr="00CA23AA">
              <w:rPr>
                <w:rStyle w:val="FootnoteReference"/>
                <w:iCs/>
              </w:rPr>
              <w:footnoteReference w:id="22"/>
            </w:r>
            <w:r w:rsidRPr="00CA23AA">
              <w:rPr>
                <w:iCs/>
              </w:rPr>
              <w:t xml:space="preserve"> study of BLN. Step 2 incorporates the most recent pooled results of ELIANA (September 2021) and ENSIGN (May 2019) studies. Step 3 substitute</w:t>
            </w:r>
            <w:r w:rsidR="0070361D" w:rsidRPr="00CA23AA">
              <w:rPr>
                <w:iCs/>
              </w:rPr>
              <w:t>s</w:t>
            </w:r>
            <w:r w:rsidRPr="00CA23AA">
              <w:rPr>
                <w:iCs/>
              </w:rPr>
              <w:t xml:space="preserve"> some of the inputs with ABMTRR data.</w:t>
            </w:r>
          </w:p>
        </w:tc>
      </w:tr>
      <w:tr w:rsidR="00D42355" w:rsidRPr="00CA23AA" w14:paraId="5530641F" w14:textId="77777777" w:rsidTr="006F4F82">
        <w:tc>
          <w:tcPr>
            <w:tcW w:w="1732" w:type="dxa"/>
          </w:tcPr>
          <w:p w14:paraId="4BC6B81A" w14:textId="77777777" w:rsidR="00D42355" w:rsidRPr="00CA23AA" w:rsidRDefault="00D42355" w:rsidP="006F4F82">
            <w:pPr>
              <w:pStyle w:val="Tabletext0"/>
            </w:pPr>
            <w:r w:rsidRPr="00CA23AA">
              <w:t>Methods used</w:t>
            </w:r>
          </w:p>
        </w:tc>
        <w:tc>
          <w:tcPr>
            <w:tcW w:w="3586" w:type="dxa"/>
          </w:tcPr>
          <w:p w14:paraId="21918B00" w14:textId="77777777" w:rsidR="00D42355" w:rsidRPr="00CA23AA" w:rsidRDefault="00D42355" w:rsidP="006F4F82">
            <w:pPr>
              <w:pStyle w:val="Tabletext0"/>
            </w:pPr>
            <w:r w:rsidRPr="00CA23AA">
              <w:t>Three-state partitioned survival analysis</w:t>
            </w:r>
          </w:p>
        </w:tc>
        <w:tc>
          <w:tcPr>
            <w:tcW w:w="3698" w:type="dxa"/>
          </w:tcPr>
          <w:p w14:paraId="678E3266" w14:textId="2C695502" w:rsidR="00D42355" w:rsidRPr="00CA23AA" w:rsidRDefault="00D42355" w:rsidP="006F4F82">
            <w:pPr>
              <w:pStyle w:val="Tabletext0"/>
              <w:rPr>
                <w:iCs/>
              </w:rPr>
            </w:pPr>
            <w:r w:rsidRPr="00CA23AA">
              <w:rPr>
                <w:iCs/>
              </w:rPr>
              <w:t xml:space="preserve">Unchanged from the </w:t>
            </w:r>
            <w:r w:rsidR="00EA664B" w:rsidRPr="00CA23AA">
              <w:rPr>
                <w:iCs/>
              </w:rPr>
              <w:t>MSAC ADAR 1519</w:t>
            </w:r>
          </w:p>
        </w:tc>
      </w:tr>
      <w:tr w:rsidR="00D42355" w:rsidRPr="00CA23AA" w14:paraId="2998050C" w14:textId="77777777" w:rsidTr="006F4F82">
        <w:tc>
          <w:tcPr>
            <w:tcW w:w="1732" w:type="dxa"/>
          </w:tcPr>
          <w:p w14:paraId="3C7DD6C6" w14:textId="77777777" w:rsidR="00D42355" w:rsidRPr="00CA23AA" w:rsidRDefault="00D42355" w:rsidP="006F4F82">
            <w:pPr>
              <w:pStyle w:val="Tabletext0"/>
            </w:pPr>
            <w:r w:rsidRPr="00CA23AA">
              <w:t>Health states</w:t>
            </w:r>
          </w:p>
        </w:tc>
        <w:tc>
          <w:tcPr>
            <w:tcW w:w="3586" w:type="dxa"/>
          </w:tcPr>
          <w:p w14:paraId="42A537C8" w14:textId="03F653A0" w:rsidR="00D42355" w:rsidRPr="00CA23AA" w:rsidRDefault="00D42355" w:rsidP="006F4F82">
            <w:pPr>
              <w:pStyle w:val="Tabletext0"/>
            </w:pPr>
            <w:r w:rsidRPr="00CA23AA">
              <w:t>Event Free Survival; Progressive Disease; Dead</w:t>
            </w:r>
          </w:p>
        </w:tc>
        <w:tc>
          <w:tcPr>
            <w:tcW w:w="3586" w:type="dxa"/>
          </w:tcPr>
          <w:p w14:paraId="063E9668" w14:textId="5FEEF2CF" w:rsidR="00D42355" w:rsidRPr="00CA23AA" w:rsidRDefault="00D42355" w:rsidP="006F4F82">
            <w:pPr>
              <w:pStyle w:val="Tabletext0"/>
              <w:rPr>
                <w:iCs/>
              </w:rPr>
            </w:pPr>
            <w:r w:rsidRPr="00CA23AA">
              <w:rPr>
                <w:iCs/>
              </w:rPr>
              <w:t xml:space="preserve">Unchanged from the </w:t>
            </w:r>
            <w:r w:rsidR="00B522BF" w:rsidRPr="00CA23AA">
              <w:rPr>
                <w:iCs/>
              </w:rPr>
              <w:t>MSAC ADAR 1519</w:t>
            </w:r>
          </w:p>
          <w:p w14:paraId="76C6D179" w14:textId="69A0961B" w:rsidR="001E05F8" w:rsidRPr="00CA23AA" w:rsidRDefault="001E05F8" w:rsidP="006F4F82">
            <w:pPr>
              <w:pStyle w:val="Tabletext0"/>
              <w:rPr>
                <w:iCs/>
              </w:rPr>
            </w:pPr>
            <w:r w:rsidRPr="00CA23AA">
              <w:rPr>
                <w:iCs/>
              </w:rPr>
              <w:t>Primary analyses of EFS</w:t>
            </w:r>
            <w:r w:rsidR="00350C80" w:rsidRPr="00CA23AA">
              <w:rPr>
                <w:iCs/>
              </w:rPr>
              <w:t xml:space="preserve"> were censored for </w:t>
            </w:r>
            <w:proofErr w:type="spellStart"/>
            <w:r w:rsidR="00350C80" w:rsidRPr="00CA23AA">
              <w:rPr>
                <w:iCs/>
              </w:rPr>
              <w:t>aHSCT</w:t>
            </w:r>
            <w:proofErr w:type="spellEnd"/>
            <w:r w:rsidR="000669FE" w:rsidRPr="00CA23AA">
              <w:rPr>
                <w:iCs/>
              </w:rPr>
              <w:t xml:space="preserve"> or new treatment, however</w:t>
            </w:r>
            <w:r w:rsidR="00B24CB8" w:rsidRPr="00CA23AA">
              <w:rPr>
                <w:iCs/>
              </w:rPr>
              <w:t xml:space="preserve"> it is unclear</w:t>
            </w:r>
            <w:r w:rsidR="00D12276" w:rsidRPr="00CA23AA">
              <w:rPr>
                <w:iCs/>
              </w:rPr>
              <w:t xml:space="preserve"> </w:t>
            </w:r>
            <w:r w:rsidR="00F15416" w:rsidRPr="00CA23AA">
              <w:rPr>
                <w:iCs/>
              </w:rPr>
              <w:t>whether</w:t>
            </w:r>
            <w:r w:rsidR="00B24CB8" w:rsidRPr="00CA23AA">
              <w:rPr>
                <w:iCs/>
              </w:rPr>
              <w:t xml:space="preserve"> the </w:t>
            </w:r>
            <w:r w:rsidR="00B63CE3" w:rsidRPr="00CA23AA">
              <w:rPr>
                <w:iCs/>
              </w:rPr>
              <w:t xml:space="preserve">subsequent </w:t>
            </w:r>
            <w:r w:rsidR="00D12276" w:rsidRPr="00CA23AA">
              <w:rPr>
                <w:iCs/>
              </w:rPr>
              <w:t xml:space="preserve">dose of </w:t>
            </w:r>
            <w:r w:rsidR="00B24CB8" w:rsidRPr="00CA23AA">
              <w:rPr>
                <w:iCs/>
              </w:rPr>
              <w:t xml:space="preserve">TIS </w:t>
            </w:r>
            <w:r w:rsidR="00D12276" w:rsidRPr="00CA23AA">
              <w:rPr>
                <w:iCs/>
              </w:rPr>
              <w:t xml:space="preserve">(TIS </w:t>
            </w:r>
            <w:r w:rsidR="00B24CB8" w:rsidRPr="00CA23AA">
              <w:rPr>
                <w:iCs/>
              </w:rPr>
              <w:t>reinfusion</w:t>
            </w:r>
            <w:r w:rsidR="00D12276" w:rsidRPr="00CA23AA">
              <w:rPr>
                <w:iCs/>
              </w:rPr>
              <w:t>)</w:t>
            </w:r>
            <w:r w:rsidR="00B24CB8" w:rsidRPr="00CA23AA">
              <w:rPr>
                <w:iCs/>
              </w:rPr>
              <w:t xml:space="preserve"> was con</w:t>
            </w:r>
            <w:r w:rsidR="00B63CE3" w:rsidRPr="00CA23AA">
              <w:rPr>
                <w:iCs/>
              </w:rPr>
              <w:t>sidered as an event or censoring point</w:t>
            </w:r>
            <w:r w:rsidR="00F15416" w:rsidRPr="00CA23AA">
              <w:rPr>
                <w:iCs/>
              </w:rPr>
              <w:t xml:space="preserve"> or not</w:t>
            </w:r>
            <w:r w:rsidR="00B63CE3" w:rsidRPr="00CA23AA">
              <w:rPr>
                <w:iCs/>
              </w:rPr>
              <w:t>.</w:t>
            </w:r>
            <w:r w:rsidR="000669FE" w:rsidRPr="00CA23AA">
              <w:rPr>
                <w:iCs/>
              </w:rPr>
              <w:t xml:space="preserve"> OS w</w:t>
            </w:r>
            <w:r w:rsidR="00B63CE3" w:rsidRPr="00CA23AA">
              <w:rPr>
                <w:iCs/>
              </w:rPr>
              <w:t>as</w:t>
            </w:r>
            <w:r w:rsidR="000669FE" w:rsidRPr="00CA23AA">
              <w:rPr>
                <w:iCs/>
              </w:rPr>
              <w:t xml:space="preserve"> not censored for </w:t>
            </w:r>
            <w:proofErr w:type="spellStart"/>
            <w:r w:rsidR="000669FE" w:rsidRPr="00CA23AA">
              <w:rPr>
                <w:iCs/>
              </w:rPr>
              <w:t>aHSCT</w:t>
            </w:r>
            <w:proofErr w:type="spellEnd"/>
            <w:r w:rsidR="001944C8" w:rsidRPr="00CA23AA">
              <w:rPr>
                <w:iCs/>
              </w:rPr>
              <w:t xml:space="preserve"> or new treatment</w:t>
            </w:r>
            <w:r w:rsidR="00EE0BEC" w:rsidRPr="00CA23AA">
              <w:rPr>
                <w:iCs/>
              </w:rPr>
              <w:t>.</w:t>
            </w:r>
            <w:r w:rsidR="00302F6A" w:rsidRPr="00CA23AA">
              <w:rPr>
                <w:iCs/>
              </w:rPr>
              <w:t xml:space="preserve"> </w:t>
            </w:r>
          </w:p>
          <w:p w14:paraId="66F54126" w14:textId="77777777" w:rsidR="00B86B52" w:rsidRPr="00CA23AA" w:rsidRDefault="00024293" w:rsidP="006F4F82">
            <w:pPr>
              <w:pStyle w:val="Tabletext0"/>
              <w:rPr>
                <w:iCs/>
              </w:rPr>
            </w:pPr>
            <w:r w:rsidRPr="00CA23AA">
              <w:rPr>
                <w:iCs/>
              </w:rPr>
              <w:t xml:space="preserve">The </w:t>
            </w:r>
            <w:r w:rsidR="002F3D73" w:rsidRPr="00CA23AA">
              <w:rPr>
                <w:iCs/>
              </w:rPr>
              <w:t xml:space="preserve">submission applied a cure assumption to the OS curve (effectively </w:t>
            </w:r>
            <w:r w:rsidR="00C6735D" w:rsidRPr="00CA23AA">
              <w:rPr>
                <w:iCs/>
              </w:rPr>
              <w:t xml:space="preserve">distributing the cure between EFS and PD health states) which is not </w:t>
            </w:r>
            <w:r w:rsidR="006E03BB" w:rsidRPr="00CA23AA">
              <w:rPr>
                <w:iCs/>
              </w:rPr>
              <w:t xml:space="preserve">appropriate, therefore the </w:t>
            </w:r>
            <w:r w:rsidR="000B2113" w:rsidRPr="00CA23AA">
              <w:rPr>
                <w:iCs/>
              </w:rPr>
              <w:t>revisions conducted during evaluation adjust</w:t>
            </w:r>
            <w:r w:rsidR="00B86B52" w:rsidRPr="00CA23AA">
              <w:rPr>
                <w:iCs/>
              </w:rPr>
              <w:t xml:space="preserve"> the model to apply cure at 5 years to the EFS health state only.</w:t>
            </w:r>
          </w:p>
          <w:p w14:paraId="2C865EB3" w14:textId="6CE5DB2B" w:rsidR="00D42355" w:rsidRPr="00CA23AA" w:rsidRDefault="00B86B52" w:rsidP="006F4F82">
            <w:pPr>
              <w:pStyle w:val="Tabletext0"/>
              <w:rPr>
                <w:iCs/>
              </w:rPr>
            </w:pPr>
            <w:r w:rsidRPr="00CA23AA">
              <w:rPr>
                <w:iCs/>
              </w:rPr>
              <w:t xml:space="preserve">Further detail </w:t>
            </w:r>
            <w:r w:rsidR="00024293" w:rsidRPr="00CA23AA">
              <w:rPr>
                <w:iCs/>
              </w:rPr>
              <w:t xml:space="preserve">described in ‘Transition </w:t>
            </w:r>
            <w:proofErr w:type="gramStart"/>
            <w:r w:rsidR="00024293" w:rsidRPr="00CA23AA">
              <w:rPr>
                <w:iCs/>
              </w:rPr>
              <w:t>probabilities’</w:t>
            </w:r>
            <w:proofErr w:type="gramEnd"/>
            <w:r w:rsidR="003C3FE7" w:rsidRPr="00CA23AA">
              <w:rPr>
                <w:iCs/>
              </w:rPr>
              <w:t>.</w:t>
            </w:r>
          </w:p>
        </w:tc>
      </w:tr>
      <w:tr w:rsidR="00D42355" w:rsidRPr="00CA23AA" w14:paraId="39679DC5" w14:textId="77777777" w:rsidTr="006F4F82">
        <w:tc>
          <w:tcPr>
            <w:tcW w:w="1732" w:type="dxa"/>
          </w:tcPr>
          <w:p w14:paraId="48065601" w14:textId="77777777" w:rsidR="00D42355" w:rsidRPr="00CA23AA" w:rsidRDefault="00D42355" w:rsidP="006F4F82">
            <w:pPr>
              <w:pStyle w:val="Tabletext0"/>
            </w:pPr>
            <w:r w:rsidRPr="00CA23AA">
              <w:t>Time horizon</w:t>
            </w:r>
          </w:p>
        </w:tc>
        <w:tc>
          <w:tcPr>
            <w:tcW w:w="3586" w:type="dxa"/>
          </w:tcPr>
          <w:p w14:paraId="361E4A7E" w14:textId="77777777" w:rsidR="00D42355" w:rsidRPr="00CA23AA" w:rsidRDefault="00D42355" w:rsidP="006F4F82">
            <w:pPr>
              <w:pStyle w:val="Tabletext0"/>
            </w:pPr>
            <w:r w:rsidRPr="00CA23AA">
              <w:t>Lifetime: 88 years</w:t>
            </w:r>
          </w:p>
        </w:tc>
        <w:tc>
          <w:tcPr>
            <w:tcW w:w="3698" w:type="dxa"/>
          </w:tcPr>
          <w:p w14:paraId="431C8D5A" w14:textId="6738F40B" w:rsidR="00D42355" w:rsidRPr="00CA23AA" w:rsidRDefault="00D42355" w:rsidP="006F4F82">
            <w:pPr>
              <w:pStyle w:val="Tabletext0"/>
              <w:rPr>
                <w:iCs/>
              </w:rPr>
            </w:pPr>
            <w:r w:rsidRPr="00CA23AA">
              <w:rPr>
                <w:iCs/>
              </w:rPr>
              <w:t xml:space="preserve">Although theoretically the lifetime time horizon is reasonable, the </w:t>
            </w:r>
            <w:r w:rsidR="007D30A9" w:rsidRPr="00CA23AA">
              <w:rPr>
                <w:iCs/>
              </w:rPr>
              <w:t>actual</w:t>
            </w:r>
            <w:r w:rsidRPr="00CA23AA">
              <w:rPr>
                <w:iCs/>
              </w:rPr>
              <w:t xml:space="preserve"> </w:t>
            </w:r>
            <w:r w:rsidR="003D3693" w:rsidRPr="00CA23AA">
              <w:rPr>
                <w:iCs/>
              </w:rPr>
              <w:t>duration</w:t>
            </w:r>
            <w:r w:rsidRPr="00CA23AA">
              <w:rPr>
                <w:iCs/>
              </w:rPr>
              <w:t xml:space="preserve"> of the lifetime depends on the extrapolat</w:t>
            </w:r>
            <w:r w:rsidR="003D3693" w:rsidRPr="00CA23AA">
              <w:rPr>
                <w:iCs/>
              </w:rPr>
              <w:t>ion</w:t>
            </w:r>
            <w:r w:rsidR="000D3954" w:rsidRPr="00CA23AA">
              <w:rPr>
                <w:iCs/>
              </w:rPr>
              <w:t xml:space="preserve"> methods</w:t>
            </w:r>
            <w:r w:rsidRPr="00CA23AA">
              <w:rPr>
                <w:iCs/>
              </w:rPr>
              <w:t xml:space="preserve">. Due to immaturity of survival data from the TIS trials and ABMTRR report, there is considerable uncertainty around whether the extrapolation is accurate and the uncertainty and implications </w:t>
            </w:r>
            <w:r w:rsidR="00CE027B" w:rsidRPr="00CA23AA">
              <w:rPr>
                <w:iCs/>
              </w:rPr>
              <w:t>of this</w:t>
            </w:r>
            <w:r w:rsidRPr="00CA23AA">
              <w:rPr>
                <w:iCs/>
              </w:rPr>
              <w:t xml:space="preserve"> increase as the modelled time horizon is increased.</w:t>
            </w:r>
          </w:p>
        </w:tc>
      </w:tr>
      <w:tr w:rsidR="00D42355" w:rsidRPr="00CA23AA" w14:paraId="21A074CF" w14:textId="77777777" w:rsidTr="006F4F82">
        <w:tc>
          <w:tcPr>
            <w:tcW w:w="1732" w:type="dxa"/>
          </w:tcPr>
          <w:p w14:paraId="571C73DE" w14:textId="77777777" w:rsidR="00D42355" w:rsidRPr="00CA23AA" w:rsidRDefault="00D42355" w:rsidP="006F4F82">
            <w:pPr>
              <w:pStyle w:val="Tabletext0"/>
            </w:pPr>
            <w:r w:rsidRPr="00CA23AA">
              <w:t>Cycle length</w:t>
            </w:r>
          </w:p>
        </w:tc>
        <w:tc>
          <w:tcPr>
            <w:tcW w:w="3586" w:type="dxa"/>
          </w:tcPr>
          <w:p w14:paraId="7995FBAA" w14:textId="77777777" w:rsidR="00D42355" w:rsidRPr="00CA23AA" w:rsidRDefault="00D42355" w:rsidP="006F4F82">
            <w:pPr>
              <w:pStyle w:val="Tabletext0"/>
            </w:pPr>
            <w:r w:rsidRPr="00CA23AA">
              <w:t>One month (30.44 days)</w:t>
            </w:r>
          </w:p>
        </w:tc>
        <w:tc>
          <w:tcPr>
            <w:tcW w:w="3698" w:type="dxa"/>
          </w:tcPr>
          <w:p w14:paraId="09E497CE" w14:textId="4915F702" w:rsidR="00D42355" w:rsidRPr="00CA23AA" w:rsidRDefault="00D42355" w:rsidP="006F4F82">
            <w:pPr>
              <w:pStyle w:val="Tabletext0"/>
              <w:rPr>
                <w:iCs/>
              </w:rPr>
            </w:pPr>
            <w:r w:rsidRPr="00CA23AA">
              <w:rPr>
                <w:iCs/>
              </w:rPr>
              <w:t xml:space="preserve">Unchanged from the </w:t>
            </w:r>
            <w:r w:rsidR="00EA664B" w:rsidRPr="00CA23AA">
              <w:rPr>
                <w:iCs/>
              </w:rPr>
              <w:t xml:space="preserve">MSAC ADAR 1519 </w:t>
            </w:r>
            <w:r w:rsidRPr="00CA23AA">
              <w:rPr>
                <w:iCs/>
              </w:rPr>
              <w:t>and reasonable</w:t>
            </w:r>
          </w:p>
        </w:tc>
      </w:tr>
      <w:tr w:rsidR="00D42355" w:rsidRPr="00CA23AA" w14:paraId="091CDDEA" w14:textId="77777777" w:rsidTr="006F4F82">
        <w:tc>
          <w:tcPr>
            <w:tcW w:w="1732" w:type="dxa"/>
          </w:tcPr>
          <w:p w14:paraId="23ADDACE" w14:textId="77777777" w:rsidR="00D42355" w:rsidRPr="00CA23AA" w:rsidRDefault="00D42355" w:rsidP="006F4F82">
            <w:pPr>
              <w:pStyle w:val="Tabletext0"/>
            </w:pPr>
            <w:r w:rsidRPr="00CA23AA">
              <w:t>Discount rate</w:t>
            </w:r>
          </w:p>
        </w:tc>
        <w:tc>
          <w:tcPr>
            <w:tcW w:w="3586" w:type="dxa"/>
          </w:tcPr>
          <w:p w14:paraId="5FAFCDC0" w14:textId="77777777" w:rsidR="00D42355" w:rsidRPr="00CA23AA" w:rsidRDefault="00D42355" w:rsidP="006F4F82">
            <w:pPr>
              <w:pStyle w:val="Tabletext0"/>
            </w:pPr>
            <w:r w:rsidRPr="00CA23AA">
              <w:t>5% annual for costs and outcomes</w:t>
            </w:r>
          </w:p>
        </w:tc>
        <w:tc>
          <w:tcPr>
            <w:tcW w:w="3698" w:type="dxa"/>
          </w:tcPr>
          <w:p w14:paraId="76753270" w14:textId="7F87345A" w:rsidR="00D42355" w:rsidRPr="00CA23AA" w:rsidRDefault="0023583D" w:rsidP="006F4F82">
            <w:pPr>
              <w:pStyle w:val="Tabletext0"/>
              <w:rPr>
                <w:iCs/>
              </w:rPr>
            </w:pPr>
            <w:r w:rsidRPr="00CA23AA">
              <w:rPr>
                <w:iCs/>
              </w:rPr>
              <w:t>(</w:t>
            </w:r>
            <w:r w:rsidR="00D42355" w:rsidRPr="00CA23AA">
              <w:rPr>
                <w:iCs/>
              </w:rPr>
              <w:t>Appropriate as per the guidelines</w:t>
            </w:r>
            <w:r w:rsidRPr="00CA23AA">
              <w:rPr>
                <w:iCs/>
              </w:rPr>
              <w:t>)</w:t>
            </w:r>
          </w:p>
        </w:tc>
      </w:tr>
      <w:tr w:rsidR="00D42355" w:rsidRPr="00CA23AA" w14:paraId="289117CD" w14:textId="77777777" w:rsidTr="006F4F82">
        <w:tc>
          <w:tcPr>
            <w:tcW w:w="1732" w:type="dxa"/>
          </w:tcPr>
          <w:p w14:paraId="337A0ACA" w14:textId="77777777" w:rsidR="00D42355" w:rsidRPr="00CA23AA" w:rsidRDefault="00D42355" w:rsidP="006F4F82">
            <w:pPr>
              <w:pStyle w:val="Tabletext0"/>
            </w:pPr>
            <w:r w:rsidRPr="00CA23AA">
              <w:t>Transition probabilities</w:t>
            </w:r>
          </w:p>
        </w:tc>
        <w:tc>
          <w:tcPr>
            <w:tcW w:w="3586" w:type="dxa"/>
          </w:tcPr>
          <w:p w14:paraId="6BFCA45F" w14:textId="77777777" w:rsidR="00D42355" w:rsidRPr="00CA23AA" w:rsidRDefault="00D42355" w:rsidP="006F4F82">
            <w:pPr>
              <w:pStyle w:val="Tabletext0"/>
            </w:pPr>
            <w:r w:rsidRPr="00CA23AA">
              <w:t>Implicit based on analyses of EFS and OS</w:t>
            </w:r>
          </w:p>
        </w:tc>
        <w:tc>
          <w:tcPr>
            <w:tcW w:w="3698" w:type="dxa"/>
          </w:tcPr>
          <w:p w14:paraId="3DE72775" w14:textId="77777777" w:rsidR="001612D8" w:rsidRPr="00CA23AA" w:rsidRDefault="00D42355" w:rsidP="006F4F82">
            <w:pPr>
              <w:pStyle w:val="Tabletext0"/>
              <w:rPr>
                <w:iCs/>
              </w:rPr>
            </w:pPr>
            <w:r w:rsidRPr="00CA23AA">
              <w:rPr>
                <w:iCs/>
              </w:rPr>
              <w:t>Step 2 and Step 3 use updated pooled results from ELIANA and ENSIGN. Step 3 did not update EFS and OS as observed in ABMTRR may be due to small number of patients and limited follow-up compared with trial results.</w:t>
            </w:r>
          </w:p>
          <w:p w14:paraId="10180117" w14:textId="6AB1E143" w:rsidR="00D42355" w:rsidRPr="00CA23AA" w:rsidRDefault="001612D8" w:rsidP="006F4F82">
            <w:pPr>
              <w:pStyle w:val="Tabletext0"/>
              <w:rPr>
                <w:iCs/>
              </w:rPr>
            </w:pPr>
            <w:r w:rsidRPr="00CA23AA">
              <w:rPr>
                <w:iCs/>
              </w:rPr>
              <w:t xml:space="preserve">Estimated EFS and OS are slightly higher with the updated pooled results of ELIANA and ENSIGN compared with the </w:t>
            </w:r>
            <w:r w:rsidR="008D78D0" w:rsidRPr="00CA23AA">
              <w:rPr>
                <w:iCs/>
              </w:rPr>
              <w:t xml:space="preserve">previous </w:t>
            </w:r>
            <w:r w:rsidRPr="00CA23AA">
              <w:rPr>
                <w:iCs/>
              </w:rPr>
              <w:t xml:space="preserve">model </w:t>
            </w:r>
            <w:r w:rsidR="008D78D0" w:rsidRPr="00CA23AA">
              <w:rPr>
                <w:iCs/>
              </w:rPr>
              <w:t>in MSAC ADAR 1519.</w:t>
            </w:r>
          </w:p>
          <w:p w14:paraId="75019716" w14:textId="561C0D28" w:rsidR="003C3FE7" w:rsidRPr="00CA23AA" w:rsidRDefault="003622CF" w:rsidP="006F4F82">
            <w:pPr>
              <w:pStyle w:val="Tabletext0"/>
              <w:rPr>
                <w:iCs/>
              </w:rPr>
            </w:pPr>
            <w:r w:rsidRPr="00CA23AA">
              <w:rPr>
                <w:iCs/>
              </w:rPr>
              <w:t xml:space="preserve">The </w:t>
            </w:r>
            <w:r w:rsidR="004D5C74" w:rsidRPr="00CA23AA">
              <w:rPr>
                <w:iCs/>
              </w:rPr>
              <w:t>ADAR e</w:t>
            </w:r>
            <w:r w:rsidR="003B700B" w:rsidRPr="00CA23AA">
              <w:rPr>
                <w:iCs/>
              </w:rPr>
              <w:t xml:space="preserve">xtrapolates ongoing </w:t>
            </w:r>
            <w:r w:rsidR="007E6C2D" w:rsidRPr="00CA23AA">
              <w:rPr>
                <w:iCs/>
              </w:rPr>
              <w:t>t</w:t>
            </w:r>
            <w:r w:rsidR="00ED6F0B" w:rsidRPr="00CA23AA">
              <w:rPr>
                <w:iCs/>
              </w:rPr>
              <w:t>ransitions from EFS to PD</w:t>
            </w:r>
            <w:r w:rsidR="003B700B" w:rsidRPr="00CA23AA">
              <w:rPr>
                <w:iCs/>
              </w:rPr>
              <w:t xml:space="preserve"> throughout the model, despite </w:t>
            </w:r>
            <w:r w:rsidR="00A07F5E" w:rsidRPr="00CA23AA">
              <w:rPr>
                <w:iCs/>
              </w:rPr>
              <w:t>the intention to invoke an assumption of ‘cure’ at five years</w:t>
            </w:r>
            <w:r w:rsidR="009D1179" w:rsidRPr="00CA23AA">
              <w:rPr>
                <w:iCs/>
              </w:rPr>
              <w:t xml:space="preserve">. </w:t>
            </w:r>
            <w:r w:rsidR="00E96D95" w:rsidRPr="00CA23AA">
              <w:rPr>
                <w:iCs/>
              </w:rPr>
              <w:t>The A</w:t>
            </w:r>
            <w:r w:rsidR="004A2241" w:rsidRPr="00CA23AA">
              <w:rPr>
                <w:iCs/>
              </w:rPr>
              <w:t>DAR applie</w:t>
            </w:r>
            <w:r w:rsidR="00E96D95" w:rsidRPr="00CA23AA">
              <w:rPr>
                <w:iCs/>
              </w:rPr>
              <w:t xml:space="preserve">s the ‘cure’ </w:t>
            </w:r>
            <w:r w:rsidR="004A2241" w:rsidRPr="00CA23AA">
              <w:rPr>
                <w:iCs/>
              </w:rPr>
              <w:t xml:space="preserve">to the OS transitions – reverting them to an adjusted background mortality rather than an extrapolated </w:t>
            </w:r>
            <w:r w:rsidR="00523303" w:rsidRPr="00CA23AA">
              <w:rPr>
                <w:iCs/>
              </w:rPr>
              <w:t>curve</w:t>
            </w:r>
            <w:r w:rsidR="00E96D95" w:rsidRPr="00CA23AA">
              <w:rPr>
                <w:iCs/>
              </w:rPr>
              <w:t xml:space="preserve"> at five years</w:t>
            </w:r>
            <w:r w:rsidR="00523303" w:rsidRPr="00CA23AA">
              <w:rPr>
                <w:iCs/>
              </w:rPr>
              <w:t xml:space="preserve">. </w:t>
            </w:r>
            <w:r w:rsidR="009D1179" w:rsidRPr="00CA23AA">
              <w:rPr>
                <w:iCs/>
              </w:rPr>
              <w:t xml:space="preserve">The commentary </w:t>
            </w:r>
            <w:r w:rsidR="00E96D95" w:rsidRPr="00CA23AA">
              <w:rPr>
                <w:iCs/>
              </w:rPr>
              <w:t xml:space="preserve">revisions </w:t>
            </w:r>
            <w:r w:rsidR="00206D6F" w:rsidRPr="00CA23AA">
              <w:rPr>
                <w:iCs/>
              </w:rPr>
              <w:t xml:space="preserve">include </w:t>
            </w:r>
            <w:r w:rsidR="007E6C2D" w:rsidRPr="00CA23AA">
              <w:rPr>
                <w:iCs/>
              </w:rPr>
              <w:t xml:space="preserve">stopping </w:t>
            </w:r>
            <w:r w:rsidR="00206D6F" w:rsidRPr="00CA23AA">
              <w:rPr>
                <w:iCs/>
              </w:rPr>
              <w:t xml:space="preserve">the EFS to PD transitions at </w:t>
            </w:r>
            <w:r w:rsidR="00ED6F0B" w:rsidRPr="00CA23AA">
              <w:rPr>
                <w:iCs/>
              </w:rPr>
              <w:t xml:space="preserve">5 years to </w:t>
            </w:r>
            <w:r w:rsidR="007E6C2D" w:rsidRPr="00CA23AA">
              <w:rPr>
                <w:iCs/>
              </w:rPr>
              <w:t>reflect the</w:t>
            </w:r>
            <w:r w:rsidR="008074AD" w:rsidRPr="00CA23AA">
              <w:rPr>
                <w:iCs/>
              </w:rPr>
              <w:t xml:space="preserve"> </w:t>
            </w:r>
            <w:r w:rsidR="00ED6F0B" w:rsidRPr="00CA23AA">
              <w:rPr>
                <w:iCs/>
              </w:rPr>
              <w:t>cure assumption</w:t>
            </w:r>
            <w:r w:rsidR="005E3E69" w:rsidRPr="00CA23AA">
              <w:rPr>
                <w:iCs/>
              </w:rPr>
              <w:t>, and</w:t>
            </w:r>
            <w:r w:rsidR="00983A64" w:rsidRPr="00CA23AA">
              <w:rPr>
                <w:iCs/>
              </w:rPr>
              <w:t xml:space="preserve"> then from where the EFS and OS curves intersect appl</w:t>
            </w:r>
            <w:r w:rsidR="00B62765" w:rsidRPr="00CA23AA">
              <w:rPr>
                <w:iCs/>
              </w:rPr>
              <w:t>ying a single OS curve with transitions based on adjusted background mortality</w:t>
            </w:r>
            <w:r w:rsidR="003C3FE7" w:rsidRPr="00CA23AA">
              <w:rPr>
                <w:iCs/>
              </w:rPr>
              <w:t>.</w:t>
            </w:r>
          </w:p>
          <w:p w14:paraId="563ACB2B" w14:textId="28DF0D8F" w:rsidR="003C3FE7" w:rsidRPr="00CA23AA" w:rsidRDefault="003C3FE7" w:rsidP="006F4F82">
            <w:pPr>
              <w:pStyle w:val="Tabletext0"/>
              <w:rPr>
                <w:iCs/>
              </w:rPr>
            </w:pPr>
          </w:p>
        </w:tc>
      </w:tr>
      <w:tr w:rsidR="00D42355" w:rsidRPr="00CA23AA" w14:paraId="41F6AF66" w14:textId="77777777" w:rsidTr="006F4F82">
        <w:tc>
          <w:tcPr>
            <w:tcW w:w="1732" w:type="dxa"/>
          </w:tcPr>
          <w:p w14:paraId="614ACB84" w14:textId="77777777" w:rsidR="00D42355" w:rsidRPr="00CA23AA" w:rsidRDefault="00D42355" w:rsidP="006F4F82">
            <w:pPr>
              <w:pStyle w:val="Tabletext0"/>
              <w:rPr>
                <w:iCs/>
              </w:rPr>
            </w:pPr>
            <w:r w:rsidRPr="00CA23AA">
              <w:rPr>
                <w:iCs/>
              </w:rPr>
              <w:t>Resource use and Cost</w:t>
            </w:r>
          </w:p>
        </w:tc>
        <w:tc>
          <w:tcPr>
            <w:tcW w:w="3586" w:type="dxa"/>
          </w:tcPr>
          <w:p w14:paraId="0D6E8210" w14:textId="45938440" w:rsidR="00D42355" w:rsidRPr="00CA23AA" w:rsidRDefault="00D42355" w:rsidP="006F4F82">
            <w:pPr>
              <w:pStyle w:val="Tabletext0"/>
              <w:rPr>
                <w:iCs/>
              </w:rPr>
            </w:pPr>
            <w:r w:rsidRPr="00CA23AA">
              <w:rPr>
                <w:iCs/>
              </w:rPr>
              <w:t>Step 1 and Step 2 model informed by resource usage in trial</w:t>
            </w:r>
            <w:r w:rsidR="00D516E0" w:rsidRPr="00CA23AA">
              <w:rPr>
                <w:iCs/>
              </w:rPr>
              <w:t xml:space="preserve"> and c</w:t>
            </w:r>
            <w:r w:rsidRPr="00CA23AA">
              <w:rPr>
                <w:iCs/>
              </w:rPr>
              <w:t>osts sourced from Australian public hospital reports and literature</w:t>
            </w:r>
            <w:r w:rsidR="0099420E" w:rsidRPr="00CA23AA">
              <w:rPr>
                <w:iCs/>
              </w:rPr>
              <w:t>.</w:t>
            </w:r>
          </w:p>
          <w:p w14:paraId="638063FF" w14:textId="77777777" w:rsidR="00D42355" w:rsidRPr="00CA23AA" w:rsidRDefault="00D42355" w:rsidP="006F4F82">
            <w:pPr>
              <w:pStyle w:val="Tabletext0"/>
              <w:rPr>
                <w:iCs/>
              </w:rPr>
            </w:pPr>
            <w:r w:rsidRPr="00CA23AA">
              <w:rPr>
                <w:iCs/>
              </w:rPr>
              <w:t>Step 3 model updates some resource use as interpreted from ABMTRR data and costs are updated to 2022 AUD</w:t>
            </w:r>
          </w:p>
        </w:tc>
        <w:tc>
          <w:tcPr>
            <w:tcW w:w="3698" w:type="dxa"/>
          </w:tcPr>
          <w:p w14:paraId="4F8912B7" w14:textId="14787F5F" w:rsidR="00D42355" w:rsidRPr="00CA23AA" w:rsidRDefault="00D42355" w:rsidP="006F4F82">
            <w:pPr>
              <w:pStyle w:val="Tabletext0"/>
              <w:rPr>
                <w:iCs/>
              </w:rPr>
            </w:pPr>
            <w:r w:rsidRPr="00CA23AA">
              <w:rPr>
                <w:iCs/>
              </w:rPr>
              <w:t>Resource use</w:t>
            </w:r>
            <w:r w:rsidR="0014055B" w:rsidRPr="00CA23AA">
              <w:rPr>
                <w:iCs/>
              </w:rPr>
              <w:t>d</w:t>
            </w:r>
            <w:r w:rsidRPr="00CA23AA">
              <w:rPr>
                <w:iCs/>
              </w:rPr>
              <w:t xml:space="preserve"> is </w:t>
            </w:r>
            <w:r w:rsidR="0023583D" w:rsidRPr="00CA23AA">
              <w:rPr>
                <w:iCs/>
              </w:rPr>
              <w:t>considerably lower than</w:t>
            </w:r>
            <w:r w:rsidRPr="00CA23AA">
              <w:rPr>
                <w:iCs/>
              </w:rPr>
              <w:t xml:space="preserve"> ABMTRR data </w:t>
            </w:r>
            <w:r w:rsidR="0023583D" w:rsidRPr="00CA23AA">
              <w:rPr>
                <w:iCs/>
              </w:rPr>
              <w:t>reports</w:t>
            </w:r>
            <w:r w:rsidRPr="00CA23AA">
              <w:rPr>
                <w:iCs/>
              </w:rPr>
              <w:t xml:space="preserve"> in Step 3, due to in</w:t>
            </w:r>
            <w:r w:rsidR="0050200B" w:rsidRPr="00CA23AA">
              <w:rPr>
                <w:iCs/>
              </w:rPr>
              <w:t>complete reporting</w:t>
            </w:r>
            <w:r w:rsidRPr="00CA23AA">
              <w:rPr>
                <w:iCs/>
              </w:rPr>
              <w:t xml:space="preserve"> </w:t>
            </w:r>
            <w:r w:rsidR="0050200B" w:rsidRPr="00CA23AA">
              <w:rPr>
                <w:iCs/>
              </w:rPr>
              <w:t xml:space="preserve">of </w:t>
            </w:r>
            <w:r w:rsidR="000E5DA5" w:rsidRPr="00CA23AA">
              <w:rPr>
                <w:iCs/>
              </w:rPr>
              <w:t>clinical management,</w:t>
            </w:r>
            <w:r w:rsidRPr="00CA23AA">
              <w:rPr>
                <w:iCs/>
              </w:rPr>
              <w:t xml:space="preserve"> related hospital admissions and other downstream treatments. </w:t>
            </w:r>
          </w:p>
          <w:p w14:paraId="06388944" w14:textId="77E5F072" w:rsidR="00D42355" w:rsidRPr="00CA23AA" w:rsidRDefault="000D5EBE" w:rsidP="006F4F82">
            <w:pPr>
              <w:pStyle w:val="Tabletext0"/>
              <w:rPr>
                <w:iCs/>
              </w:rPr>
            </w:pPr>
            <w:r w:rsidRPr="00CA23AA">
              <w:rPr>
                <w:iCs/>
              </w:rPr>
              <w:t>Total r</w:t>
            </w:r>
            <w:r w:rsidR="00D42355" w:rsidRPr="00CA23AA">
              <w:rPr>
                <w:iCs/>
              </w:rPr>
              <w:t xml:space="preserve">esource use </w:t>
            </w:r>
            <w:r w:rsidR="00F703A1" w:rsidRPr="00CA23AA">
              <w:rPr>
                <w:iCs/>
              </w:rPr>
              <w:t>or</w:t>
            </w:r>
            <w:r w:rsidR="00D42355" w:rsidRPr="00CA23AA">
              <w:rPr>
                <w:iCs/>
              </w:rPr>
              <w:t xml:space="preserve"> costs </w:t>
            </w:r>
            <w:r w:rsidR="00F703A1" w:rsidRPr="00CA23AA">
              <w:rPr>
                <w:iCs/>
              </w:rPr>
              <w:t>following</w:t>
            </w:r>
            <w:r w:rsidR="00D42355" w:rsidRPr="00CA23AA">
              <w:rPr>
                <w:iCs/>
              </w:rPr>
              <w:t xml:space="preserve"> TIS infusion (excluding cost of TIS) are </w:t>
            </w:r>
            <w:r w:rsidRPr="00CA23AA">
              <w:rPr>
                <w:iCs/>
              </w:rPr>
              <w:t>substantially</w:t>
            </w:r>
            <w:r w:rsidR="00D42355" w:rsidRPr="00CA23AA">
              <w:rPr>
                <w:iCs/>
              </w:rPr>
              <w:t xml:space="preserve"> </w:t>
            </w:r>
            <w:r w:rsidR="00F703A1" w:rsidRPr="00CA23AA">
              <w:rPr>
                <w:iCs/>
              </w:rPr>
              <w:t>lower</w:t>
            </w:r>
            <w:r w:rsidR="00D42355" w:rsidRPr="00CA23AA">
              <w:rPr>
                <w:iCs/>
              </w:rPr>
              <w:t xml:space="preserve"> in the model</w:t>
            </w:r>
            <w:r w:rsidR="00F703A1" w:rsidRPr="00CA23AA">
              <w:rPr>
                <w:iCs/>
              </w:rPr>
              <w:t xml:space="preserve"> than costs</w:t>
            </w:r>
            <w:r w:rsidR="00D42355" w:rsidRPr="00CA23AA">
              <w:rPr>
                <w:iCs/>
              </w:rPr>
              <w:t xml:space="preserve"> realised in the Australian clinical practice.</w:t>
            </w:r>
          </w:p>
        </w:tc>
      </w:tr>
      <w:tr w:rsidR="00D42355" w:rsidRPr="00CA23AA" w14:paraId="6BABC2E0" w14:textId="77777777" w:rsidTr="006F4F82">
        <w:tc>
          <w:tcPr>
            <w:tcW w:w="1732" w:type="dxa"/>
          </w:tcPr>
          <w:p w14:paraId="2FB3B0A6" w14:textId="77777777" w:rsidR="00D42355" w:rsidRPr="00CA23AA" w:rsidRDefault="00D42355" w:rsidP="006F4F82">
            <w:pPr>
              <w:pStyle w:val="Tabletext0"/>
            </w:pPr>
            <w:r w:rsidRPr="00CA23AA">
              <w:t>Software</w:t>
            </w:r>
          </w:p>
        </w:tc>
        <w:tc>
          <w:tcPr>
            <w:tcW w:w="3586" w:type="dxa"/>
          </w:tcPr>
          <w:p w14:paraId="1B8CACEB" w14:textId="77777777" w:rsidR="00D42355" w:rsidRPr="00CA23AA" w:rsidRDefault="00D42355" w:rsidP="006F4F82">
            <w:pPr>
              <w:pStyle w:val="Tabletext0"/>
            </w:pPr>
            <w:r w:rsidRPr="00CA23AA">
              <w:t>Microsoft Excel</w:t>
            </w:r>
          </w:p>
        </w:tc>
        <w:tc>
          <w:tcPr>
            <w:tcW w:w="3698" w:type="dxa"/>
          </w:tcPr>
          <w:p w14:paraId="7ED27A53" w14:textId="77777777" w:rsidR="00D42355" w:rsidRPr="00CA23AA" w:rsidRDefault="00D42355" w:rsidP="006F4F82">
            <w:pPr>
              <w:pStyle w:val="Tabletext0"/>
              <w:rPr>
                <w:iCs/>
              </w:rPr>
            </w:pPr>
            <w:r w:rsidRPr="00CA23AA">
              <w:rPr>
                <w:iCs/>
              </w:rPr>
              <w:t>Unchanged</w:t>
            </w:r>
          </w:p>
        </w:tc>
      </w:tr>
    </w:tbl>
    <w:p w14:paraId="37600DFA" w14:textId="6B2303EE" w:rsidR="00D42355" w:rsidRPr="00CA23AA" w:rsidRDefault="00D42355" w:rsidP="00D42355">
      <w:pPr>
        <w:pStyle w:val="Tablenotes0"/>
      </w:pPr>
      <w:r w:rsidRPr="00CA23AA">
        <w:t xml:space="preserve">ABMTRR = Australian Bone Marrow Transplant Recipient Registry; </w:t>
      </w:r>
      <w:r w:rsidR="006B6D15" w:rsidRPr="00CA23AA">
        <w:t xml:space="preserve">ADAR = Applicant Developed Assessment Report; </w:t>
      </w:r>
      <w:r w:rsidRPr="00CA23AA">
        <w:t xml:space="preserve">AUD = Australian dollar; BLN = </w:t>
      </w:r>
      <w:r w:rsidR="008A38FE" w:rsidRPr="00CA23AA">
        <w:t>blinatumomab</w:t>
      </w:r>
      <w:r w:rsidRPr="00CA23AA">
        <w:t xml:space="preserve">; </w:t>
      </w:r>
      <w:bookmarkStart w:id="58" w:name="_Hlk131580728"/>
      <w:r w:rsidRPr="00CA23AA">
        <w:t xml:space="preserve">EFS = event free survival; </w:t>
      </w:r>
      <w:r w:rsidR="006C611E" w:rsidRPr="00CA23AA">
        <w:t xml:space="preserve">MSAC = Medical Services Advisory Committee; </w:t>
      </w:r>
      <w:r w:rsidR="0099420E" w:rsidRPr="00CA23AA">
        <w:t xml:space="preserve">NHCDC = National Health Cost Data Collection; </w:t>
      </w:r>
      <w:r w:rsidRPr="00CA23AA">
        <w:t xml:space="preserve">OS = overall survival; </w:t>
      </w:r>
      <w:bookmarkEnd w:id="58"/>
      <w:r w:rsidRPr="00CA23AA">
        <w:t xml:space="preserve">TIS = </w:t>
      </w:r>
      <w:r w:rsidR="008A38FE" w:rsidRPr="00CA23AA">
        <w:t>tisagenlecleucel</w:t>
      </w:r>
    </w:p>
    <w:p w14:paraId="2958CCFB" w14:textId="7DA797F7" w:rsidR="00A8516D" w:rsidRPr="00CA23AA" w:rsidRDefault="008B0231" w:rsidP="00D42355">
      <w:pPr>
        <w:pStyle w:val="Tablenotes0"/>
        <w:contextualSpacing w:val="0"/>
      </w:pPr>
      <w:r w:rsidRPr="00CA23AA">
        <w:t>Source:</w:t>
      </w:r>
      <w:r w:rsidR="00154A60" w:rsidRPr="00CA23AA">
        <w:t xml:space="preserve"> Table 3.1-1, </w:t>
      </w:r>
      <w:proofErr w:type="spellStart"/>
      <w:r w:rsidR="00154A60" w:rsidRPr="00CA23AA">
        <w:t>pg</w:t>
      </w:r>
      <w:proofErr w:type="spellEnd"/>
      <w:r w:rsidR="00154A60" w:rsidRPr="00CA23AA">
        <w:t xml:space="preserve"> 165 of MSAC 1748 </w:t>
      </w:r>
      <w:proofErr w:type="spellStart"/>
      <w:r w:rsidR="00154A60" w:rsidRPr="00CA23AA">
        <w:t>ADAR+inline</w:t>
      </w:r>
      <w:proofErr w:type="spellEnd"/>
      <w:r w:rsidR="00154A60" w:rsidRPr="00CA23AA">
        <w:t xml:space="preserve"> commentary</w:t>
      </w:r>
    </w:p>
    <w:p w14:paraId="0AF93BEC" w14:textId="4B696B5F" w:rsidR="009035D7" w:rsidRPr="00CA23AA" w:rsidRDefault="00636A3C" w:rsidP="00DE159A">
      <w:pPr>
        <w:pStyle w:val="Tablenotes0"/>
        <w:spacing w:before="240"/>
        <w:contextualSpacing w:val="0"/>
        <w:rPr>
          <w:rFonts w:ascii="Franklin Gothic Book" w:hAnsi="Franklin Gothic Book" w:cstheme="minorBidi"/>
          <w:sz w:val="22"/>
        </w:rPr>
      </w:pPr>
      <w:r w:rsidRPr="00CA23AA">
        <w:rPr>
          <w:rFonts w:ascii="Franklin Gothic Book" w:hAnsi="Franklin Gothic Book" w:cstheme="minorBidi"/>
          <w:sz w:val="22"/>
        </w:rPr>
        <w:t>EFS</w:t>
      </w:r>
      <w:r w:rsidR="00C330C6" w:rsidRPr="00CA23AA">
        <w:rPr>
          <w:rFonts w:ascii="Franklin Gothic Book" w:hAnsi="Franklin Gothic Book" w:cstheme="minorBidi"/>
          <w:sz w:val="22"/>
        </w:rPr>
        <w:t xml:space="preserve"> </w:t>
      </w:r>
      <w:r w:rsidR="006461D2" w:rsidRPr="00CA23AA">
        <w:rPr>
          <w:rFonts w:ascii="Franklin Gothic Book" w:hAnsi="Franklin Gothic Book" w:cstheme="minorBidi"/>
          <w:sz w:val="22"/>
        </w:rPr>
        <w:t>analyses were censored</w:t>
      </w:r>
      <w:r w:rsidRPr="00CA23AA">
        <w:rPr>
          <w:rFonts w:ascii="Franklin Gothic Book" w:hAnsi="Franklin Gothic Book" w:cstheme="minorBidi"/>
          <w:sz w:val="22"/>
        </w:rPr>
        <w:t xml:space="preserve"> in ELIANA and ENSIGN studies</w:t>
      </w:r>
      <w:r w:rsidR="006461D2" w:rsidRPr="00CA23AA">
        <w:rPr>
          <w:rFonts w:ascii="Franklin Gothic Book" w:hAnsi="Franklin Gothic Book" w:cstheme="minorBidi"/>
          <w:sz w:val="22"/>
        </w:rPr>
        <w:t xml:space="preserve"> at the time that another anticancer therapy commenced, usually </w:t>
      </w:r>
      <w:proofErr w:type="spellStart"/>
      <w:r w:rsidR="006461D2" w:rsidRPr="00CA23AA">
        <w:rPr>
          <w:rFonts w:ascii="Franklin Gothic Book" w:hAnsi="Franklin Gothic Book" w:cstheme="minorBidi"/>
          <w:sz w:val="22"/>
        </w:rPr>
        <w:t>aHSCT</w:t>
      </w:r>
      <w:proofErr w:type="spellEnd"/>
      <w:r w:rsidR="006461D2" w:rsidRPr="00CA23AA">
        <w:rPr>
          <w:rFonts w:ascii="Franklin Gothic Book" w:hAnsi="Franklin Gothic Book" w:cstheme="minorBidi"/>
          <w:sz w:val="22"/>
        </w:rPr>
        <w:t>.</w:t>
      </w:r>
      <w:r w:rsidR="00061954" w:rsidRPr="00CA23AA">
        <w:rPr>
          <w:rFonts w:ascii="Franklin Gothic Book" w:hAnsi="Franklin Gothic Book" w:cstheme="minorBidi"/>
          <w:sz w:val="22"/>
        </w:rPr>
        <w:t xml:space="preserve"> </w:t>
      </w:r>
      <w:r w:rsidR="00D241D3" w:rsidRPr="00CA23AA">
        <w:rPr>
          <w:rFonts w:ascii="Franklin Gothic Book" w:hAnsi="Franklin Gothic Book" w:cstheme="minorBidi"/>
          <w:sz w:val="22"/>
        </w:rPr>
        <w:t>It is unclear</w:t>
      </w:r>
      <w:r w:rsidR="009438E3" w:rsidRPr="00CA23AA">
        <w:rPr>
          <w:rFonts w:ascii="Franklin Gothic Book" w:hAnsi="Franklin Gothic Book" w:cstheme="minorBidi"/>
          <w:sz w:val="22"/>
        </w:rPr>
        <w:t xml:space="preserve"> how EFS analysis incorporated </w:t>
      </w:r>
      <w:r w:rsidR="008C4A86" w:rsidRPr="00CA23AA">
        <w:rPr>
          <w:rFonts w:ascii="Franklin Gothic Book" w:hAnsi="Franklin Gothic Book" w:cstheme="minorBidi"/>
          <w:sz w:val="22"/>
        </w:rPr>
        <w:t>subsequent TIS re-infusion</w:t>
      </w:r>
      <w:r w:rsidR="008F3C45" w:rsidRPr="00CA23AA">
        <w:rPr>
          <w:rFonts w:ascii="Franklin Gothic Book" w:hAnsi="Franklin Gothic Book" w:cstheme="minorBidi"/>
          <w:sz w:val="22"/>
        </w:rPr>
        <w:t xml:space="preserve">, whether it was considered as an event or censoring point or not </w:t>
      </w:r>
      <w:r w:rsidR="00BD21AF" w:rsidRPr="00CA23AA">
        <w:rPr>
          <w:rFonts w:ascii="Franklin Gothic Book" w:hAnsi="Franklin Gothic Book" w:cstheme="minorBidi"/>
          <w:sz w:val="22"/>
        </w:rPr>
        <w:t>analysed.</w:t>
      </w:r>
      <w:r w:rsidR="00F15416" w:rsidRPr="00CA23AA">
        <w:rPr>
          <w:rFonts w:ascii="Franklin Gothic Book" w:hAnsi="Franklin Gothic Book" w:cstheme="minorBidi"/>
          <w:sz w:val="22"/>
        </w:rPr>
        <w:t xml:space="preserve"> </w:t>
      </w:r>
      <w:r w:rsidR="006461D2" w:rsidRPr="00CA23AA">
        <w:rPr>
          <w:rFonts w:ascii="Franklin Gothic Book" w:hAnsi="Franklin Gothic Book" w:cstheme="minorBidi"/>
          <w:sz w:val="22"/>
        </w:rPr>
        <w:t>The ABMTRR report</w:t>
      </w:r>
      <w:r w:rsidR="00484B05" w:rsidRPr="00CA23AA">
        <w:rPr>
          <w:rFonts w:ascii="Franklin Gothic Book" w:hAnsi="Franklin Gothic Book" w:cstheme="minorBidi"/>
          <w:sz w:val="22"/>
        </w:rPr>
        <w:t xml:space="preserve"> (Sept</w:t>
      </w:r>
      <w:r w:rsidR="00FB09B1" w:rsidRPr="00CA23AA">
        <w:rPr>
          <w:rFonts w:ascii="Franklin Gothic Book" w:hAnsi="Franklin Gothic Book" w:cstheme="minorBidi"/>
          <w:sz w:val="22"/>
        </w:rPr>
        <w:t>e</w:t>
      </w:r>
      <w:r w:rsidR="00484B05" w:rsidRPr="00CA23AA">
        <w:rPr>
          <w:rFonts w:ascii="Franklin Gothic Book" w:hAnsi="Franklin Gothic Book" w:cstheme="minorBidi"/>
          <w:sz w:val="22"/>
        </w:rPr>
        <w:t>mber 2022)</w:t>
      </w:r>
      <w:r w:rsidR="006461D2" w:rsidRPr="00CA23AA">
        <w:rPr>
          <w:rFonts w:ascii="Franklin Gothic Book" w:hAnsi="Franklin Gothic Book" w:cstheme="minorBidi"/>
          <w:sz w:val="22"/>
        </w:rPr>
        <w:t xml:space="preserve"> did not specify how patients were censored</w:t>
      </w:r>
      <w:r w:rsidR="00FD37D7" w:rsidRPr="00CA23AA">
        <w:rPr>
          <w:rFonts w:ascii="Franklin Gothic Book" w:hAnsi="Franklin Gothic Book" w:cstheme="minorBidi"/>
          <w:sz w:val="22"/>
        </w:rPr>
        <w:t xml:space="preserve"> for the estimation of EFS and OS</w:t>
      </w:r>
      <w:r w:rsidR="006461D2" w:rsidRPr="00CA23AA">
        <w:rPr>
          <w:rFonts w:ascii="Franklin Gothic Book" w:hAnsi="Franklin Gothic Book" w:cstheme="minorBidi"/>
          <w:sz w:val="22"/>
        </w:rPr>
        <w:t xml:space="preserve">. </w:t>
      </w:r>
      <w:r w:rsidR="006C611E" w:rsidRPr="00CA23AA">
        <w:rPr>
          <w:rFonts w:ascii="Franklin Gothic Book" w:hAnsi="Franklin Gothic Book" w:cstheme="minorBidi"/>
          <w:sz w:val="22"/>
        </w:rPr>
        <w:t>Step 2 and Step 3 of the economic model use updated pooled results from ELIANA and ENSIGN. Step 3 did not update EFS and OS as observed in ABMTRR may be due to small number of patients and limited follow-up compared with trial results.</w:t>
      </w:r>
      <w:r w:rsidR="00FD37D7" w:rsidRPr="00CA23AA">
        <w:rPr>
          <w:rFonts w:ascii="Franklin Gothic Book" w:hAnsi="Franklin Gothic Book" w:cstheme="minorBidi"/>
          <w:sz w:val="22"/>
        </w:rPr>
        <w:t xml:space="preserve"> </w:t>
      </w:r>
      <w:r w:rsidR="006C611E" w:rsidRPr="00CA23AA">
        <w:rPr>
          <w:rFonts w:ascii="Franklin Gothic Book" w:hAnsi="Franklin Gothic Book" w:cstheme="minorBidi"/>
          <w:sz w:val="22"/>
        </w:rPr>
        <w:t>Estimated EFS and OS are slightly higher with the updated pooled results of ELIANA and ENSIGN compared with the previous model in MSAC ADAR 1519.</w:t>
      </w:r>
      <w:r w:rsidR="00A25B0E" w:rsidRPr="00CA23AA">
        <w:rPr>
          <w:rFonts w:ascii="Franklin Gothic Book" w:hAnsi="Franklin Gothic Book" w:cstheme="minorBidi"/>
          <w:sz w:val="22"/>
        </w:rPr>
        <w:t xml:space="preserve"> </w:t>
      </w:r>
    </w:p>
    <w:p w14:paraId="63C86790" w14:textId="7C62CFDF" w:rsidR="008E545C" w:rsidRPr="00CA23AA" w:rsidRDefault="00F42ED4" w:rsidP="00DE159A">
      <w:pPr>
        <w:pStyle w:val="Tablenotes0"/>
        <w:spacing w:before="240"/>
        <w:contextualSpacing w:val="0"/>
        <w:rPr>
          <w:rFonts w:ascii="Franklin Gothic Book" w:hAnsi="Franklin Gothic Book" w:cstheme="minorBidi"/>
          <w:sz w:val="22"/>
        </w:rPr>
      </w:pPr>
      <w:r w:rsidRPr="00CA23AA">
        <w:rPr>
          <w:rFonts w:ascii="Franklin Gothic Book" w:hAnsi="Franklin Gothic Book" w:cstheme="minorBidi"/>
          <w:sz w:val="22"/>
        </w:rPr>
        <w:t>The “Health states” costs for both arms are assumed to be “ongoing”</w:t>
      </w:r>
      <w:r w:rsidR="009035D7" w:rsidRPr="00CA23AA">
        <w:rPr>
          <w:rFonts w:ascii="Franklin Gothic Book" w:hAnsi="Franklin Gothic Book" w:cstheme="minorBidi"/>
          <w:sz w:val="22"/>
        </w:rPr>
        <w:t xml:space="preserve">, </w:t>
      </w:r>
      <w:proofErr w:type="gramStart"/>
      <w:r w:rsidR="009035D7" w:rsidRPr="00CA23AA">
        <w:rPr>
          <w:rFonts w:ascii="Franklin Gothic Book" w:hAnsi="Franklin Gothic Book" w:cstheme="minorBidi"/>
          <w:sz w:val="22"/>
        </w:rPr>
        <w:t>$773</w:t>
      </w:r>
      <w:proofErr w:type="gramEnd"/>
      <w:r w:rsidR="009035D7" w:rsidRPr="00CA23AA">
        <w:rPr>
          <w:rFonts w:ascii="Franklin Gothic Book" w:hAnsi="Franklin Gothic Book" w:cstheme="minorBidi"/>
          <w:sz w:val="22"/>
        </w:rPr>
        <w:t xml:space="preserve"> and $5,784</w:t>
      </w:r>
      <w:r w:rsidR="006102D0" w:rsidRPr="00CA23AA">
        <w:rPr>
          <w:rFonts w:ascii="Franklin Gothic Book" w:hAnsi="Franklin Gothic Book" w:cstheme="minorBidi"/>
          <w:sz w:val="22"/>
        </w:rPr>
        <w:t xml:space="preserve"> </w:t>
      </w:r>
      <w:r w:rsidR="00C8421B" w:rsidRPr="00CA23AA">
        <w:rPr>
          <w:rFonts w:ascii="Franklin Gothic Book" w:hAnsi="Franklin Gothic Book" w:cstheme="minorBidi"/>
          <w:sz w:val="22"/>
        </w:rPr>
        <w:t>per cycle</w:t>
      </w:r>
      <w:r w:rsidR="006102D0" w:rsidRPr="00CA23AA">
        <w:rPr>
          <w:rFonts w:ascii="Franklin Gothic Book" w:hAnsi="Franklin Gothic Book" w:cstheme="minorBidi"/>
          <w:sz w:val="22"/>
        </w:rPr>
        <w:t xml:space="preserve"> (month)</w:t>
      </w:r>
      <w:r w:rsidR="009035D7" w:rsidRPr="00CA23AA">
        <w:rPr>
          <w:rFonts w:ascii="Franklin Gothic Book" w:hAnsi="Franklin Gothic Book" w:cstheme="minorBidi"/>
          <w:sz w:val="22"/>
        </w:rPr>
        <w:t xml:space="preserve"> for PFS and PD heath states respectively and were based on a UK study</w:t>
      </w:r>
      <w:r w:rsidR="00B51042" w:rsidRPr="00CA23AA">
        <w:rPr>
          <w:rStyle w:val="FootnoteReference"/>
          <w:rFonts w:ascii="Franklin Gothic Book" w:hAnsi="Franklin Gothic Book" w:cstheme="minorBidi"/>
          <w:sz w:val="22"/>
        </w:rPr>
        <w:footnoteReference w:id="23"/>
      </w:r>
      <w:r w:rsidR="004D09FB" w:rsidRPr="00CA23AA">
        <w:rPr>
          <w:rFonts w:ascii="Franklin Gothic Book" w:hAnsi="Franklin Gothic Book" w:cstheme="minorBidi"/>
          <w:sz w:val="22"/>
        </w:rPr>
        <w:t xml:space="preserve"> which may not be applicable to the Australian settings. This issue was raised in the commentary to the revisions made to ADAR 1</w:t>
      </w:r>
      <w:r w:rsidR="00B51042" w:rsidRPr="00CA23AA">
        <w:rPr>
          <w:rFonts w:ascii="Franklin Gothic Book" w:hAnsi="Franklin Gothic Book" w:cstheme="minorBidi"/>
          <w:sz w:val="22"/>
        </w:rPr>
        <w:t>519 (March 2019)</w:t>
      </w:r>
      <w:r w:rsidR="00020D90" w:rsidRPr="00CA23AA">
        <w:rPr>
          <w:rStyle w:val="FootnoteReference"/>
          <w:rFonts w:ascii="Franklin Gothic Book" w:hAnsi="Franklin Gothic Book" w:cstheme="minorBidi"/>
          <w:sz w:val="22"/>
        </w:rPr>
        <w:footnoteReference w:id="24"/>
      </w:r>
      <w:r w:rsidR="00B51042" w:rsidRPr="00CA23AA">
        <w:rPr>
          <w:rFonts w:ascii="Franklin Gothic Book" w:hAnsi="Franklin Gothic Book" w:cstheme="minorBidi"/>
          <w:sz w:val="22"/>
        </w:rPr>
        <w:t>.</w:t>
      </w:r>
    </w:p>
    <w:p w14:paraId="6BC2CBE8" w14:textId="5184BF81" w:rsidR="008E545C" w:rsidRPr="00CA23AA" w:rsidRDefault="00594907" w:rsidP="00322137">
      <w:pPr>
        <w:pStyle w:val="Tablenotes0"/>
        <w:rPr>
          <w:rFonts w:ascii="Franklin Gothic Book" w:hAnsi="Franklin Gothic Book" w:cstheme="minorBidi"/>
          <w:sz w:val="22"/>
        </w:rPr>
      </w:pPr>
      <w:r w:rsidRPr="00594907">
        <w:rPr>
          <w:rFonts w:ascii="Franklin Gothic Book" w:hAnsi="Franklin Gothic Book" w:cstheme="minorBidi"/>
          <w:color w:val="000000"/>
          <w:w w:val="67"/>
          <w:sz w:val="22"/>
          <w:shd w:val="solid" w:color="000000" w:fill="000000"/>
          <w:fitText w:val="370" w:id="-1161539834"/>
          <w14:textFill>
            <w14:solidFill>
              <w14:srgbClr w14:val="000000">
                <w14:alpha w14:val="100000"/>
              </w14:srgbClr>
            </w14:solidFill>
          </w14:textFill>
        </w:rPr>
        <w:t>|</w:t>
      </w:r>
      <w:proofErr w:type="gramStart"/>
      <w:r w:rsidRPr="00594907">
        <w:rPr>
          <w:rFonts w:ascii="Franklin Gothic Book" w:hAnsi="Franklin Gothic Book" w:cstheme="minorBidi"/>
          <w:color w:val="000000"/>
          <w:w w:val="67"/>
          <w:sz w:val="22"/>
          <w:shd w:val="solid" w:color="000000" w:fill="000000"/>
          <w:fitText w:val="370" w:id="-1161539834"/>
          <w14:textFill>
            <w14:solidFill>
              <w14:srgbClr w14:val="000000">
                <w14:alpha w14:val="100000"/>
              </w14:srgbClr>
            </w14:solidFill>
          </w14:textFill>
        </w:rPr>
        <w:t>|  |</w:t>
      </w:r>
      <w:proofErr w:type="gramEnd"/>
      <w:r w:rsidRPr="00594907">
        <w:rPr>
          <w:rFonts w:ascii="Franklin Gothic Book" w:hAnsi="Franklin Gothic Book" w:cstheme="minorBidi"/>
          <w:color w:val="000000"/>
          <w:spacing w:val="1"/>
          <w:w w:val="67"/>
          <w:sz w:val="22"/>
          <w:shd w:val="solid" w:color="000000" w:fill="000000"/>
          <w:fitText w:val="370" w:id="-1161539834"/>
          <w14:textFill>
            <w14:solidFill>
              <w14:srgbClr w14:val="000000">
                <w14:alpha w14:val="100000"/>
              </w14:srgbClr>
            </w14:solidFill>
          </w14:textFill>
        </w:rPr>
        <w:t>|</w:t>
      </w:r>
      <w:r w:rsidR="008E545C" w:rsidRPr="00CA23AA">
        <w:rPr>
          <w:rFonts w:ascii="Franklin Gothic Book" w:hAnsi="Franklin Gothic Book" w:cstheme="minorBidi"/>
          <w:sz w:val="22"/>
        </w:rPr>
        <w:t xml:space="preserve"> </w:t>
      </w:r>
      <w:r w:rsidRPr="00594907">
        <w:rPr>
          <w:rFonts w:ascii="Franklin Gothic Book" w:hAnsi="Franklin Gothic Book" w:cstheme="minorBidi"/>
          <w:color w:val="000000"/>
          <w:w w:val="67"/>
          <w:sz w:val="22"/>
          <w:shd w:val="solid" w:color="000000" w:fill="000000"/>
          <w:fitText w:val="370" w:id="-1161539833"/>
          <w14:textFill>
            <w14:solidFill>
              <w14:srgbClr w14:val="000000">
                <w14:alpha w14:val="100000"/>
              </w14:srgbClr>
            </w14:solidFill>
          </w14:textFill>
        </w:rPr>
        <w:t>||  |</w:t>
      </w:r>
      <w:r w:rsidRPr="00594907">
        <w:rPr>
          <w:rFonts w:ascii="Franklin Gothic Book" w:hAnsi="Franklin Gothic Book" w:cstheme="minorBidi"/>
          <w:color w:val="000000"/>
          <w:spacing w:val="1"/>
          <w:w w:val="67"/>
          <w:sz w:val="22"/>
          <w:shd w:val="solid" w:color="000000" w:fill="000000"/>
          <w:fitText w:val="370" w:id="-1161539833"/>
          <w14:textFill>
            <w14:solidFill>
              <w14:srgbClr w14:val="000000">
                <w14:alpha w14:val="100000"/>
              </w14:srgbClr>
            </w14:solidFill>
          </w14:textFill>
        </w:rPr>
        <w:t>|</w:t>
      </w:r>
      <w:r w:rsidR="008E545C" w:rsidRPr="00CA23AA">
        <w:rPr>
          <w:rFonts w:ascii="Franklin Gothic Book" w:hAnsi="Franklin Gothic Book" w:cstheme="minorBidi"/>
          <w:sz w:val="22"/>
        </w:rPr>
        <w:t>, therefore, the average cost applied in Step 3 appears appropriate.</w:t>
      </w:r>
    </w:p>
    <w:p w14:paraId="714FDA32" w14:textId="12669356" w:rsidR="00E61C4B" w:rsidRPr="00CA23AA" w:rsidRDefault="00E61C4B" w:rsidP="00E61C4B">
      <w:r w:rsidRPr="00CA23AA">
        <w:t xml:space="preserve">A summary of the key parameters applied to each step of the economic valuation is presented in </w:t>
      </w:r>
      <w:r w:rsidRPr="00CA23AA">
        <w:fldChar w:fldCharType="begin"/>
      </w:r>
      <w:r w:rsidRPr="00CA23AA">
        <w:instrText xml:space="preserve"> REF _Ref133570552 \h </w:instrText>
      </w:r>
      <w:r w:rsidR="00CA23AA">
        <w:instrText xml:space="preserve"> \* MERGEFORMAT </w:instrText>
      </w:r>
      <w:r w:rsidRPr="00CA23AA">
        <w:fldChar w:fldCharType="separate"/>
      </w:r>
      <w:r w:rsidR="00175880" w:rsidRPr="00CA23AA">
        <w:t xml:space="preserve">Table </w:t>
      </w:r>
      <w:r w:rsidR="00175880" w:rsidRPr="00CA23AA">
        <w:rPr>
          <w:noProof/>
        </w:rPr>
        <w:t>14</w:t>
      </w:r>
      <w:r w:rsidRPr="00CA23AA">
        <w:fldChar w:fldCharType="end"/>
      </w:r>
      <w:r w:rsidRPr="00CA23AA">
        <w:t xml:space="preserve">. </w:t>
      </w:r>
    </w:p>
    <w:p w14:paraId="52F5B4DD" w14:textId="72E3DE9F" w:rsidR="00E61C4B" w:rsidRPr="00CA23AA" w:rsidRDefault="00E61C4B" w:rsidP="00353663">
      <w:pPr>
        <w:pStyle w:val="TableHeading0"/>
      </w:pPr>
      <w:bookmarkStart w:id="59" w:name="_Ref133570552"/>
      <w:r w:rsidRPr="00CA23AA">
        <w:t xml:space="preserve">Table </w:t>
      </w:r>
      <w:fldSimple w:instr=" SEQ Table \* ARABIC ">
        <w:r w:rsidR="00175880" w:rsidRPr="00CA23AA">
          <w:rPr>
            <w:noProof/>
          </w:rPr>
          <w:t>14</w:t>
        </w:r>
      </w:fldSimple>
      <w:bookmarkEnd w:id="59"/>
      <w:r w:rsidRPr="00CA23AA">
        <w:tab/>
        <w:t>Key parameter summary for each step of the economic evaluation</w:t>
      </w:r>
    </w:p>
    <w:tbl>
      <w:tblPr>
        <w:tblStyle w:val="Summarybox1"/>
        <w:tblW w:w="8926" w:type="dxa"/>
        <w:tblLook w:val="04A0" w:firstRow="1" w:lastRow="0" w:firstColumn="1" w:lastColumn="0" w:noHBand="0" w:noVBand="1"/>
        <w:tblCaption w:val="Key parameter summary for each step of the economic evaluation"/>
        <w:tblDescription w:val="Key parameter summary for each step of the economic evaluation"/>
      </w:tblPr>
      <w:tblGrid>
        <w:gridCol w:w="1942"/>
        <w:gridCol w:w="1338"/>
        <w:gridCol w:w="1338"/>
        <w:gridCol w:w="1084"/>
        <w:gridCol w:w="961"/>
        <w:gridCol w:w="1162"/>
        <w:gridCol w:w="1101"/>
      </w:tblGrid>
      <w:tr w:rsidR="00E61C4B" w:rsidRPr="00CA23AA" w14:paraId="2757C8FA" w14:textId="77777777" w:rsidTr="00353663">
        <w:trPr>
          <w:trHeight w:val="198"/>
          <w:tblHeader/>
        </w:trPr>
        <w:tc>
          <w:tcPr>
            <w:tcW w:w="1942" w:type="dxa"/>
            <w:noWrap/>
          </w:tcPr>
          <w:p w14:paraId="0C5B09B1" w14:textId="77777777" w:rsidR="00E61C4B" w:rsidRPr="00CA23AA" w:rsidRDefault="00E61C4B" w:rsidP="00B522BF">
            <w:pPr>
              <w:rPr>
                <w:rStyle w:val="Small"/>
              </w:rPr>
            </w:pPr>
          </w:p>
        </w:tc>
        <w:tc>
          <w:tcPr>
            <w:tcW w:w="2676" w:type="dxa"/>
            <w:gridSpan w:val="2"/>
          </w:tcPr>
          <w:p w14:paraId="1B8F8167" w14:textId="77777777" w:rsidR="00E61C4B" w:rsidRPr="00CA23AA" w:rsidRDefault="00E61C4B" w:rsidP="00B522BF">
            <w:pPr>
              <w:pStyle w:val="TableCentre"/>
              <w:rPr>
                <w:rStyle w:val="Small"/>
                <w:b/>
                <w:bCs/>
              </w:rPr>
            </w:pPr>
            <w:r w:rsidRPr="00CA23AA">
              <w:rPr>
                <w:rStyle w:val="Small"/>
                <w:b/>
                <w:bCs/>
              </w:rPr>
              <w:t xml:space="preserve">Step 1 </w:t>
            </w:r>
          </w:p>
          <w:p w14:paraId="6B640570" w14:textId="77777777" w:rsidR="00E61C4B" w:rsidRPr="00CA23AA" w:rsidRDefault="00E61C4B" w:rsidP="00B522BF">
            <w:pPr>
              <w:pStyle w:val="TableCentre"/>
              <w:rPr>
                <w:rStyle w:val="Small"/>
                <w:b/>
                <w:bCs/>
              </w:rPr>
            </w:pPr>
            <w:r w:rsidRPr="00CA23AA">
              <w:rPr>
                <w:rStyle w:val="Small"/>
                <w:b/>
                <w:bCs/>
              </w:rPr>
              <w:t>(Base case)</w:t>
            </w:r>
          </w:p>
        </w:tc>
        <w:tc>
          <w:tcPr>
            <w:tcW w:w="2045" w:type="dxa"/>
            <w:gridSpan w:val="2"/>
          </w:tcPr>
          <w:p w14:paraId="77317C4A" w14:textId="77777777" w:rsidR="00E61C4B" w:rsidRPr="00CA23AA" w:rsidRDefault="00E61C4B" w:rsidP="00B522BF">
            <w:pPr>
              <w:pStyle w:val="TableCentre"/>
              <w:rPr>
                <w:rStyle w:val="Small"/>
                <w:b/>
                <w:bCs/>
              </w:rPr>
            </w:pPr>
            <w:r w:rsidRPr="00CA23AA">
              <w:rPr>
                <w:rStyle w:val="Small"/>
                <w:b/>
                <w:bCs/>
              </w:rPr>
              <w:t xml:space="preserve">Step 2 </w:t>
            </w:r>
          </w:p>
          <w:p w14:paraId="407A2496" w14:textId="77777777" w:rsidR="00E61C4B" w:rsidRPr="00CA23AA" w:rsidRDefault="00E61C4B" w:rsidP="00B522BF">
            <w:pPr>
              <w:pStyle w:val="TableCentre"/>
              <w:rPr>
                <w:rStyle w:val="Small"/>
                <w:b/>
                <w:bCs/>
              </w:rPr>
            </w:pPr>
            <w:r w:rsidRPr="00CA23AA">
              <w:rPr>
                <w:rStyle w:val="Small"/>
                <w:b/>
                <w:bCs/>
              </w:rPr>
              <w:t>(Trial update)</w:t>
            </w:r>
          </w:p>
        </w:tc>
        <w:tc>
          <w:tcPr>
            <w:tcW w:w="2263" w:type="dxa"/>
            <w:gridSpan w:val="2"/>
          </w:tcPr>
          <w:p w14:paraId="28DA5227" w14:textId="77777777" w:rsidR="00E61C4B" w:rsidRPr="00CA23AA" w:rsidRDefault="00E61C4B" w:rsidP="00B522BF">
            <w:pPr>
              <w:pStyle w:val="TableCentre"/>
              <w:rPr>
                <w:rStyle w:val="Small"/>
                <w:b/>
                <w:bCs/>
              </w:rPr>
            </w:pPr>
            <w:r w:rsidRPr="00CA23AA">
              <w:rPr>
                <w:rStyle w:val="Small"/>
                <w:b/>
                <w:bCs/>
              </w:rPr>
              <w:t xml:space="preserve">Step 3 </w:t>
            </w:r>
          </w:p>
          <w:p w14:paraId="5A8E7CD4" w14:textId="5D5C8982" w:rsidR="00E61C4B" w:rsidRPr="00CA23AA" w:rsidRDefault="00E61C4B" w:rsidP="00B522BF">
            <w:pPr>
              <w:pStyle w:val="TableCentre"/>
              <w:rPr>
                <w:rStyle w:val="Small"/>
                <w:b/>
                <w:bCs/>
              </w:rPr>
            </w:pPr>
            <w:r w:rsidRPr="00CA23AA">
              <w:rPr>
                <w:rStyle w:val="Small"/>
                <w:b/>
                <w:bCs/>
              </w:rPr>
              <w:t>(Comprehensive update)</w:t>
            </w:r>
          </w:p>
        </w:tc>
      </w:tr>
      <w:tr w:rsidR="00E61C4B" w:rsidRPr="00CA23AA" w14:paraId="5DC4A9DE" w14:textId="77777777" w:rsidTr="003F1198">
        <w:trPr>
          <w:trHeight w:val="198"/>
        </w:trPr>
        <w:tc>
          <w:tcPr>
            <w:tcW w:w="8926" w:type="dxa"/>
            <w:gridSpan w:val="7"/>
            <w:noWrap/>
          </w:tcPr>
          <w:p w14:paraId="6DC5F13D" w14:textId="77777777" w:rsidR="00E61C4B" w:rsidRPr="00CA23AA" w:rsidRDefault="00E61C4B" w:rsidP="00B522BF">
            <w:pPr>
              <w:pStyle w:val="TableCentre"/>
              <w:jc w:val="left"/>
              <w:rPr>
                <w:rFonts w:ascii="Arial Narrow" w:hAnsi="Arial Narrow"/>
              </w:rPr>
            </w:pPr>
            <w:r w:rsidRPr="00CA23AA">
              <w:rPr>
                <w:rStyle w:val="Small"/>
                <w:b/>
                <w:bCs/>
              </w:rPr>
              <w:t>Cohort characteristics</w:t>
            </w:r>
          </w:p>
        </w:tc>
      </w:tr>
      <w:tr w:rsidR="00E61C4B" w:rsidRPr="00CA23AA" w14:paraId="079928D5" w14:textId="77777777" w:rsidTr="005748B8">
        <w:trPr>
          <w:trHeight w:val="198"/>
        </w:trPr>
        <w:tc>
          <w:tcPr>
            <w:tcW w:w="1942" w:type="dxa"/>
            <w:noWrap/>
            <w:hideMark/>
          </w:tcPr>
          <w:p w14:paraId="5CB59B77" w14:textId="77777777" w:rsidR="00E61C4B" w:rsidRPr="00CA23AA" w:rsidRDefault="00E61C4B" w:rsidP="00B522BF">
            <w:pPr>
              <w:rPr>
                <w:rStyle w:val="Small"/>
              </w:rPr>
            </w:pPr>
            <w:r w:rsidRPr="00CA23AA">
              <w:rPr>
                <w:rStyle w:val="Small"/>
              </w:rPr>
              <w:t>Cohort age (years)</w:t>
            </w:r>
          </w:p>
        </w:tc>
        <w:tc>
          <w:tcPr>
            <w:tcW w:w="2676" w:type="dxa"/>
            <w:gridSpan w:val="2"/>
            <w:noWrap/>
            <w:vAlign w:val="center"/>
          </w:tcPr>
          <w:p w14:paraId="3E19FAB3" w14:textId="77777777" w:rsidR="00E61C4B" w:rsidRPr="00CA23AA" w:rsidRDefault="00E61C4B" w:rsidP="005748B8">
            <w:pPr>
              <w:pStyle w:val="TableCentre"/>
              <w:rPr>
                <w:rStyle w:val="Small"/>
              </w:rPr>
            </w:pPr>
            <w:r w:rsidRPr="00CA23AA">
              <w:rPr>
                <w:rStyle w:val="Small"/>
              </w:rPr>
              <w:t>12</w:t>
            </w:r>
          </w:p>
        </w:tc>
        <w:tc>
          <w:tcPr>
            <w:tcW w:w="2045" w:type="dxa"/>
            <w:gridSpan w:val="2"/>
            <w:vAlign w:val="center"/>
          </w:tcPr>
          <w:p w14:paraId="05B37009" w14:textId="77777777" w:rsidR="00E61C4B" w:rsidRPr="00CA23AA" w:rsidRDefault="00E61C4B" w:rsidP="005748B8">
            <w:pPr>
              <w:pStyle w:val="TableCentre"/>
              <w:rPr>
                <w:rFonts w:ascii="Arial Narrow" w:hAnsi="Arial Narrow"/>
              </w:rPr>
            </w:pPr>
            <w:r w:rsidRPr="00CA23AA">
              <w:rPr>
                <w:rFonts w:ascii="Arial Narrow" w:hAnsi="Arial Narrow"/>
              </w:rPr>
              <w:t>12</w:t>
            </w:r>
          </w:p>
        </w:tc>
        <w:tc>
          <w:tcPr>
            <w:tcW w:w="2263" w:type="dxa"/>
            <w:gridSpan w:val="2"/>
            <w:vAlign w:val="center"/>
          </w:tcPr>
          <w:p w14:paraId="4FDDB5ED" w14:textId="77777777" w:rsidR="00E61C4B" w:rsidRPr="00CA23AA" w:rsidRDefault="00E61C4B" w:rsidP="005748B8">
            <w:pPr>
              <w:pStyle w:val="TableCentre"/>
              <w:rPr>
                <w:rStyle w:val="Small"/>
              </w:rPr>
            </w:pPr>
            <w:r w:rsidRPr="00CA23AA">
              <w:rPr>
                <w:rFonts w:ascii="Arial Narrow" w:hAnsi="Arial Narrow"/>
              </w:rPr>
              <w:t>13</w:t>
            </w:r>
          </w:p>
        </w:tc>
      </w:tr>
      <w:tr w:rsidR="00E61C4B" w:rsidRPr="00CA23AA" w14:paraId="24B058D8" w14:textId="77777777" w:rsidTr="005748B8">
        <w:trPr>
          <w:trHeight w:val="198"/>
        </w:trPr>
        <w:tc>
          <w:tcPr>
            <w:tcW w:w="1942" w:type="dxa"/>
            <w:noWrap/>
            <w:hideMark/>
          </w:tcPr>
          <w:p w14:paraId="19C01DCA" w14:textId="77777777" w:rsidR="00E61C4B" w:rsidRPr="00CA23AA" w:rsidRDefault="00E61C4B" w:rsidP="00B522BF">
            <w:pPr>
              <w:rPr>
                <w:rStyle w:val="Small"/>
              </w:rPr>
            </w:pPr>
            <w:r w:rsidRPr="00CA23AA">
              <w:rPr>
                <w:rStyle w:val="Small"/>
              </w:rPr>
              <w:t>Proportion female</w:t>
            </w:r>
          </w:p>
        </w:tc>
        <w:tc>
          <w:tcPr>
            <w:tcW w:w="2676" w:type="dxa"/>
            <w:gridSpan w:val="2"/>
            <w:noWrap/>
            <w:vAlign w:val="center"/>
          </w:tcPr>
          <w:p w14:paraId="7A43A0E0" w14:textId="77777777" w:rsidR="00E61C4B" w:rsidRPr="00CA23AA" w:rsidRDefault="00E61C4B" w:rsidP="005748B8">
            <w:pPr>
              <w:pStyle w:val="TableCentre"/>
              <w:rPr>
                <w:rStyle w:val="Small"/>
              </w:rPr>
            </w:pPr>
            <w:r w:rsidRPr="00CA23AA">
              <w:rPr>
                <w:rStyle w:val="Small"/>
              </w:rPr>
              <w:t>43.0%</w:t>
            </w:r>
          </w:p>
        </w:tc>
        <w:tc>
          <w:tcPr>
            <w:tcW w:w="2045" w:type="dxa"/>
            <w:gridSpan w:val="2"/>
            <w:vAlign w:val="center"/>
          </w:tcPr>
          <w:p w14:paraId="0F7FB10E" w14:textId="77777777" w:rsidR="00E61C4B" w:rsidRPr="00CA23AA" w:rsidRDefault="00E61C4B" w:rsidP="005748B8">
            <w:pPr>
              <w:pStyle w:val="TableCentre"/>
              <w:rPr>
                <w:rFonts w:ascii="Arial Narrow" w:hAnsi="Arial Narrow"/>
              </w:rPr>
            </w:pPr>
            <w:r w:rsidRPr="00CA23AA">
              <w:rPr>
                <w:rStyle w:val="Small"/>
              </w:rPr>
              <w:t>43.0%</w:t>
            </w:r>
          </w:p>
        </w:tc>
        <w:tc>
          <w:tcPr>
            <w:tcW w:w="2263" w:type="dxa"/>
            <w:gridSpan w:val="2"/>
            <w:vAlign w:val="center"/>
          </w:tcPr>
          <w:p w14:paraId="30B82D58" w14:textId="77777777" w:rsidR="00E61C4B" w:rsidRPr="00CA23AA" w:rsidRDefault="00E61C4B" w:rsidP="005748B8">
            <w:pPr>
              <w:pStyle w:val="TableCentre"/>
              <w:rPr>
                <w:rStyle w:val="Small"/>
              </w:rPr>
            </w:pPr>
            <w:r w:rsidRPr="00CA23AA">
              <w:rPr>
                <w:rFonts w:ascii="Arial Narrow" w:hAnsi="Arial Narrow"/>
              </w:rPr>
              <w:t>40.0%</w:t>
            </w:r>
          </w:p>
        </w:tc>
      </w:tr>
      <w:tr w:rsidR="00E61C4B" w:rsidRPr="00CA23AA" w14:paraId="77C8B015" w14:textId="77777777" w:rsidTr="005748B8">
        <w:trPr>
          <w:trHeight w:val="198"/>
        </w:trPr>
        <w:tc>
          <w:tcPr>
            <w:tcW w:w="1942" w:type="dxa"/>
            <w:noWrap/>
            <w:hideMark/>
          </w:tcPr>
          <w:p w14:paraId="1C4D2213" w14:textId="77777777" w:rsidR="00E61C4B" w:rsidRPr="00CA23AA" w:rsidRDefault="00E61C4B" w:rsidP="00B522BF">
            <w:pPr>
              <w:rPr>
                <w:rStyle w:val="Small"/>
              </w:rPr>
            </w:pPr>
            <w:r w:rsidRPr="00CA23AA">
              <w:rPr>
                <w:rStyle w:val="Small"/>
              </w:rPr>
              <w:t>Average BSA (m^2)</w:t>
            </w:r>
          </w:p>
        </w:tc>
        <w:tc>
          <w:tcPr>
            <w:tcW w:w="2676" w:type="dxa"/>
            <w:gridSpan w:val="2"/>
            <w:noWrap/>
            <w:vAlign w:val="center"/>
          </w:tcPr>
          <w:p w14:paraId="5620F0F1" w14:textId="77777777" w:rsidR="00E61C4B" w:rsidRPr="00CA23AA" w:rsidRDefault="00E61C4B" w:rsidP="005748B8">
            <w:pPr>
              <w:pStyle w:val="TableCentre"/>
              <w:rPr>
                <w:rStyle w:val="Small"/>
              </w:rPr>
            </w:pPr>
            <w:r w:rsidRPr="00CA23AA">
              <w:rPr>
                <w:rStyle w:val="Small"/>
              </w:rPr>
              <w:t>1.20</w:t>
            </w:r>
          </w:p>
        </w:tc>
        <w:tc>
          <w:tcPr>
            <w:tcW w:w="2045" w:type="dxa"/>
            <w:gridSpan w:val="2"/>
            <w:vAlign w:val="center"/>
          </w:tcPr>
          <w:p w14:paraId="48C836AD" w14:textId="77777777" w:rsidR="00E61C4B" w:rsidRPr="00CA23AA" w:rsidRDefault="00E61C4B" w:rsidP="005748B8">
            <w:pPr>
              <w:pStyle w:val="TableCentre"/>
              <w:rPr>
                <w:rFonts w:ascii="Arial Narrow" w:hAnsi="Arial Narrow"/>
              </w:rPr>
            </w:pPr>
            <w:r w:rsidRPr="00CA23AA">
              <w:rPr>
                <w:rStyle w:val="Small"/>
              </w:rPr>
              <w:t>1.20</w:t>
            </w:r>
          </w:p>
        </w:tc>
        <w:tc>
          <w:tcPr>
            <w:tcW w:w="2263" w:type="dxa"/>
            <w:gridSpan w:val="2"/>
            <w:vAlign w:val="center"/>
          </w:tcPr>
          <w:p w14:paraId="43E65E9E" w14:textId="77777777" w:rsidR="00E61C4B" w:rsidRPr="00CA23AA" w:rsidRDefault="00E61C4B" w:rsidP="005748B8">
            <w:pPr>
              <w:pStyle w:val="TableCentre"/>
              <w:rPr>
                <w:rStyle w:val="Small"/>
              </w:rPr>
            </w:pPr>
            <w:r w:rsidRPr="00CA23AA">
              <w:rPr>
                <w:rFonts w:ascii="Arial Narrow" w:hAnsi="Arial Narrow"/>
              </w:rPr>
              <w:t>1.20</w:t>
            </w:r>
            <w:r w:rsidRPr="00CA23AA">
              <w:rPr>
                <w:rFonts w:ascii="Arial Narrow" w:hAnsi="Arial Narrow"/>
                <w:vertAlign w:val="superscript"/>
              </w:rPr>
              <w:t>1</w:t>
            </w:r>
          </w:p>
        </w:tc>
      </w:tr>
      <w:tr w:rsidR="00E61C4B" w:rsidRPr="00CA23AA" w14:paraId="1D0110ED" w14:textId="77777777" w:rsidTr="005748B8">
        <w:trPr>
          <w:trHeight w:val="218"/>
        </w:trPr>
        <w:tc>
          <w:tcPr>
            <w:tcW w:w="1942" w:type="dxa"/>
            <w:noWrap/>
            <w:hideMark/>
          </w:tcPr>
          <w:p w14:paraId="691809EA" w14:textId="77777777" w:rsidR="00E61C4B" w:rsidRPr="00CA23AA" w:rsidRDefault="00E61C4B" w:rsidP="00B522BF">
            <w:pPr>
              <w:rPr>
                <w:rStyle w:val="Small"/>
              </w:rPr>
            </w:pPr>
            <w:r w:rsidRPr="00CA23AA">
              <w:rPr>
                <w:rStyle w:val="Small"/>
              </w:rPr>
              <w:t>Average weight (kg)</w:t>
            </w:r>
          </w:p>
        </w:tc>
        <w:tc>
          <w:tcPr>
            <w:tcW w:w="2676" w:type="dxa"/>
            <w:gridSpan w:val="2"/>
            <w:noWrap/>
            <w:vAlign w:val="center"/>
          </w:tcPr>
          <w:p w14:paraId="5A41529D" w14:textId="77777777" w:rsidR="00E61C4B" w:rsidRPr="00CA23AA" w:rsidRDefault="00E61C4B" w:rsidP="005748B8">
            <w:pPr>
              <w:pStyle w:val="TableCentre"/>
              <w:rPr>
                <w:rStyle w:val="Small"/>
              </w:rPr>
            </w:pPr>
            <w:r w:rsidRPr="00CA23AA">
              <w:rPr>
                <w:rStyle w:val="Small"/>
              </w:rPr>
              <w:t>41.90</w:t>
            </w:r>
          </w:p>
        </w:tc>
        <w:tc>
          <w:tcPr>
            <w:tcW w:w="2045" w:type="dxa"/>
            <w:gridSpan w:val="2"/>
            <w:vAlign w:val="center"/>
          </w:tcPr>
          <w:p w14:paraId="170B2D80" w14:textId="77777777" w:rsidR="00E61C4B" w:rsidRPr="00CA23AA" w:rsidRDefault="00E61C4B" w:rsidP="005748B8">
            <w:pPr>
              <w:pStyle w:val="TableCentre"/>
              <w:rPr>
                <w:rFonts w:ascii="Arial Narrow" w:hAnsi="Arial Narrow"/>
              </w:rPr>
            </w:pPr>
            <w:r w:rsidRPr="00CA23AA">
              <w:rPr>
                <w:rStyle w:val="Small"/>
              </w:rPr>
              <w:t>41.90</w:t>
            </w:r>
          </w:p>
        </w:tc>
        <w:tc>
          <w:tcPr>
            <w:tcW w:w="2263" w:type="dxa"/>
            <w:gridSpan w:val="2"/>
            <w:vAlign w:val="center"/>
          </w:tcPr>
          <w:p w14:paraId="22DD4086" w14:textId="77777777" w:rsidR="00E61C4B" w:rsidRPr="00CA23AA" w:rsidRDefault="00E61C4B" w:rsidP="005748B8">
            <w:pPr>
              <w:pStyle w:val="TableCentre"/>
              <w:rPr>
                <w:rStyle w:val="Small"/>
              </w:rPr>
            </w:pPr>
            <w:r w:rsidRPr="00CA23AA">
              <w:rPr>
                <w:rFonts w:ascii="Arial Narrow" w:hAnsi="Arial Narrow"/>
              </w:rPr>
              <w:t>41.90</w:t>
            </w:r>
            <w:r w:rsidRPr="00CA23AA">
              <w:rPr>
                <w:rFonts w:ascii="Arial Narrow" w:hAnsi="Arial Narrow"/>
                <w:vertAlign w:val="superscript"/>
              </w:rPr>
              <w:t>1</w:t>
            </w:r>
          </w:p>
        </w:tc>
      </w:tr>
      <w:tr w:rsidR="00E61C4B" w:rsidRPr="00CA23AA" w14:paraId="22AFE17D" w14:textId="77777777" w:rsidTr="003F1198">
        <w:trPr>
          <w:trHeight w:val="198"/>
        </w:trPr>
        <w:tc>
          <w:tcPr>
            <w:tcW w:w="8926" w:type="dxa"/>
            <w:gridSpan w:val="7"/>
            <w:noWrap/>
          </w:tcPr>
          <w:p w14:paraId="4CF30912" w14:textId="77777777" w:rsidR="00E61C4B" w:rsidRPr="00CA23AA" w:rsidRDefault="00E61C4B" w:rsidP="00B522BF">
            <w:pPr>
              <w:pStyle w:val="TableCentre"/>
              <w:rPr>
                <w:rFonts w:ascii="Arial Narrow" w:hAnsi="Arial Narrow"/>
              </w:rPr>
            </w:pPr>
            <w:r w:rsidRPr="00CA23AA">
              <w:rPr>
                <w:rFonts w:ascii="Arial Narrow" w:hAnsi="Arial Narrow"/>
              </w:rPr>
              <w:t>Survival data and extrapolation approach</w:t>
            </w:r>
          </w:p>
        </w:tc>
      </w:tr>
      <w:tr w:rsidR="00E61C4B" w:rsidRPr="00CA23AA" w14:paraId="56B438B0" w14:textId="77777777" w:rsidTr="003F1198">
        <w:trPr>
          <w:trHeight w:val="198"/>
        </w:trPr>
        <w:tc>
          <w:tcPr>
            <w:tcW w:w="1942" w:type="dxa"/>
            <w:noWrap/>
            <w:hideMark/>
          </w:tcPr>
          <w:p w14:paraId="506A4C1B" w14:textId="77777777" w:rsidR="00E61C4B" w:rsidRPr="00CA23AA" w:rsidRDefault="00E61C4B" w:rsidP="00B522BF">
            <w:pPr>
              <w:rPr>
                <w:rStyle w:val="Small"/>
              </w:rPr>
            </w:pPr>
            <w:r w:rsidRPr="00CA23AA">
              <w:rPr>
                <w:rStyle w:val="Small"/>
              </w:rPr>
              <w:t>OS/EFS Data source</w:t>
            </w:r>
          </w:p>
        </w:tc>
        <w:tc>
          <w:tcPr>
            <w:tcW w:w="2676" w:type="dxa"/>
            <w:gridSpan w:val="2"/>
            <w:noWrap/>
          </w:tcPr>
          <w:p w14:paraId="18F67D87" w14:textId="77777777" w:rsidR="00E61C4B" w:rsidRPr="00CA23AA" w:rsidRDefault="00E61C4B" w:rsidP="00B522BF">
            <w:pPr>
              <w:pStyle w:val="TableCentre"/>
              <w:rPr>
                <w:rStyle w:val="Small"/>
              </w:rPr>
            </w:pPr>
            <w:r w:rsidRPr="00CA23AA">
              <w:rPr>
                <w:rStyle w:val="Small"/>
              </w:rPr>
              <w:t>ELIANA (April 2018) &amp; ENSIGN (Oct 2017)</w:t>
            </w:r>
          </w:p>
        </w:tc>
        <w:tc>
          <w:tcPr>
            <w:tcW w:w="2045" w:type="dxa"/>
            <w:gridSpan w:val="2"/>
          </w:tcPr>
          <w:p w14:paraId="433A7617" w14:textId="77777777" w:rsidR="00E61C4B" w:rsidRPr="00CA23AA" w:rsidRDefault="00E61C4B" w:rsidP="00B522BF">
            <w:pPr>
              <w:pStyle w:val="TableCentre"/>
              <w:rPr>
                <w:rFonts w:ascii="Arial Narrow" w:hAnsi="Arial Narrow"/>
              </w:rPr>
            </w:pPr>
            <w:r w:rsidRPr="00CA23AA">
              <w:rPr>
                <w:rFonts w:ascii="Arial Narrow" w:hAnsi="Arial Narrow"/>
              </w:rPr>
              <w:t>ELIANA (Sept 2021) &amp; ENSIGN (May 2019)</w:t>
            </w:r>
          </w:p>
        </w:tc>
        <w:tc>
          <w:tcPr>
            <w:tcW w:w="2263" w:type="dxa"/>
            <w:gridSpan w:val="2"/>
          </w:tcPr>
          <w:p w14:paraId="5327D82B" w14:textId="77777777" w:rsidR="00E61C4B" w:rsidRPr="00CA23AA" w:rsidRDefault="00E61C4B" w:rsidP="00B522BF">
            <w:pPr>
              <w:pStyle w:val="TableCentre"/>
              <w:rPr>
                <w:rFonts w:ascii="Arial Narrow" w:hAnsi="Arial Narrow"/>
              </w:rPr>
            </w:pPr>
            <w:r w:rsidRPr="00CA23AA">
              <w:rPr>
                <w:rFonts w:ascii="Arial Narrow" w:hAnsi="Arial Narrow"/>
              </w:rPr>
              <w:t>ELIANA (Sept 2021) &amp; ENSIGN (May 2019)</w:t>
            </w:r>
          </w:p>
          <w:p w14:paraId="34D12639" w14:textId="5CDB9724" w:rsidR="00E61C4B" w:rsidRPr="00CA23AA" w:rsidRDefault="002945C2" w:rsidP="00B522BF">
            <w:pPr>
              <w:pStyle w:val="TableCentre"/>
              <w:rPr>
                <w:rStyle w:val="Small"/>
              </w:rPr>
            </w:pPr>
            <w:r w:rsidRPr="00CA23AA">
              <w:rPr>
                <w:rStyle w:val="Small"/>
              </w:rPr>
              <w:t xml:space="preserve">SMR applied to </w:t>
            </w:r>
            <w:r w:rsidR="00C80B65" w:rsidRPr="00CA23AA">
              <w:rPr>
                <w:rStyle w:val="Small"/>
              </w:rPr>
              <w:t>ABS mortality rates</w:t>
            </w:r>
            <w:r w:rsidR="00F32042" w:rsidRPr="00CA23AA">
              <w:rPr>
                <w:rStyle w:val="Small"/>
              </w:rPr>
              <w:t xml:space="preserve"> from year 5</w:t>
            </w:r>
          </w:p>
        </w:tc>
      </w:tr>
      <w:tr w:rsidR="00E61C4B" w:rsidRPr="00CA23AA" w14:paraId="0F36FEF2" w14:textId="77777777" w:rsidTr="003F1198">
        <w:trPr>
          <w:trHeight w:val="198"/>
        </w:trPr>
        <w:tc>
          <w:tcPr>
            <w:tcW w:w="1942" w:type="dxa"/>
            <w:noWrap/>
          </w:tcPr>
          <w:p w14:paraId="5AEFABED" w14:textId="77777777" w:rsidR="00E61C4B" w:rsidRPr="00CA23AA" w:rsidRDefault="00E61C4B" w:rsidP="00B522BF">
            <w:pPr>
              <w:rPr>
                <w:rStyle w:val="Small"/>
              </w:rPr>
            </w:pPr>
            <w:r w:rsidRPr="00CA23AA">
              <w:rPr>
                <w:rStyle w:val="Small"/>
              </w:rPr>
              <w:t>Extrapolation point</w:t>
            </w:r>
          </w:p>
        </w:tc>
        <w:tc>
          <w:tcPr>
            <w:tcW w:w="2676" w:type="dxa"/>
            <w:gridSpan w:val="2"/>
            <w:noWrap/>
          </w:tcPr>
          <w:p w14:paraId="37A383D5" w14:textId="77777777" w:rsidR="00E61C4B" w:rsidRPr="00CA23AA" w:rsidRDefault="00E61C4B" w:rsidP="00B522BF">
            <w:pPr>
              <w:pStyle w:val="TableCentre"/>
              <w:rPr>
                <w:rStyle w:val="Small"/>
              </w:rPr>
            </w:pPr>
            <w:r w:rsidRPr="00CA23AA">
              <w:rPr>
                <w:rStyle w:val="Small"/>
              </w:rPr>
              <w:t>24 months</w:t>
            </w:r>
          </w:p>
        </w:tc>
        <w:tc>
          <w:tcPr>
            <w:tcW w:w="2045" w:type="dxa"/>
            <w:gridSpan w:val="2"/>
          </w:tcPr>
          <w:p w14:paraId="170548F7" w14:textId="77777777" w:rsidR="00E61C4B" w:rsidRPr="00CA23AA" w:rsidRDefault="00E61C4B" w:rsidP="00B522BF">
            <w:pPr>
              <w:pStyle w:val="TableCentre"/>
              <w:rPr>
                <w:rFonts w:ascii="Arial Narrow" w:hAnsi="Arial Narrow"/>
              </w:rPr>
            </w:pPr>
            <w:r w:rsidRPr="00CA23AA">
              <w:rPr>
                <w:rFonts w:ascii="Arial Narrow" w:hAnsi="Arial Narrow"/>
              </w:rPr>
              <w:t>48 months</w:t>
            </w:r>
          </w:p>
        </w:tc>
        <w:tc>
          <w:tcPr>
            <w:tcW w:w="2263" w:type="dxa"/>
            <w:gridSpan w:val="2"/>
          </w:tcPr>
          <w:p w14:paraId="718675FE" w14:textId="77777777" w:rsidR="00E61C4B" w:rsidRPr="00CA23AA" w:rsidRDefault="00E61C4B" w:rsidP="00B522BF">
            <w:pPr>
              <w:pStyle w:val="TableCentre"/>
            </w:pPr>
            <w:r w:rsidRPr="00CA23AA">
              <w:rPr>
                <w:rFonts w:ascii="Arial Narrow" w:hAnsi="Arial Narrow"/>
              </w:rPr>
              <w:t>48 months</w:t>
            </w:r>
            <w:r w:rsidR="00F32042" w:rsidRPr="00CA23AA">
              <w:rPr>
                <w:rFonts w:ascii="Arial Narrow" w:hAnsi="Arial Narrow"/>
              </w:rPr>
              <w:t xml:space="preserve"> </w:t>
            </w:r>
          </w:p>
          <w:p w14:paraId="40CCE341" w14:textId="7EBE982F" w:rsidR="00E61C4B" w:rsidRPr="00CA23AA" w:rsidRDefault="002945C2" w:rsidP="00B522BF">
            <w:pPr>
              <w:pStyle w:val="TableCentre"/>
              <w:rPr>
                <w:rFonts w:ascii="Arial Narrow" w:hAnsi="Arial Narrow"/>
              </w:rPr>
            </w:pPr>
            <w:r w:rsidRPr="00CA23AA">
              <w:rPr>
                <w:rStyle w:val="Small"/>
              </w:rPr>
              <w:t>(SMR applied to ABS mortality rates from year 5)</w:t>
            </w:r>
          </w:p>
        </w:tc>
      </w:tr>
      <w:tr w:rsidR="00E61C4B" w:rsidRPr="00CA23AA" w14:paraId="1E196CC4" w14:textId="77777777" w:rsidTr="003F1198">
        <w:trPr>
          <w:trHeight w:val="198"/>
        </w:trPr>
        <w:tc>
          <w:tcPr>
            <w:tcW w:w="1942" w:type="dxa"/>
            <w:noWrap/>
            <w:hideMark/>
          </w:tcPr>
          <w:p w14:paraId="4BDF4495" w14:textId="77777777" w:rsidR="00E61C4B" w:rsidRPr="00CA23AA" w:rsidRDefault="00E61C4B" w:rsidP="00B522BF">
            <w:pPr>
              <w:rPr>
                <w:rStyle w:val="Small"/>
              </w:rPr>
            </w:pPr>
            <w:r w:rsidRPr="00CA23AA">
              <w:rPr>
                <w:rStyle w:val="Small"/>
              </w:rPr>
              <w:t>Extrapolation models (OS / EFS)</w:t>
            </w:r>
          </w:p>
        </w:tc>
        <w:tc>
          <w:tcPr>
            <w:tcW w:w="2676" w:type="dxa"/>
            <w:gridSpan w:val="2"/>
            <w:noWrap/>
          </w:tcPr>
          <w:p w14:paraId="4F56EA96" w14:textId="77777777" w:rsidR="00E61C4B" w:rsidRPr="00CA23AA" w:rsidRDefault="00E61C4B" w:rsidP="00B522BF">
            <w:pPr>
              <w:pStyle w:val="TableCentre"/>
              <w:rPr>
                <w:rStyle w:val="Small"/>
              </w:rPr>
            </w:pPr>
            <w:r w:rsidRPr="00CA23AA">
              <w:rPr>
                <w:rStyle w:val="Small"/>
              </w:rPr>
              <w:t>Lognormal / Lognormal</w:t>
            </w:r>
          </w:p>
        </w:tc>
        <w:tc>
          <w:tcPr>
            <w:tcW w:w="2045" w:type="dxa"/>
            <w:gridSpan w:val="2"/>
          </w:tcPr>
          <w:p w14:paraId="547249E4" w14:textId="77777777" w:rsidR="00E61C4B" w:rsidRPr="00CA23AA" w:rsidRDefault="00E61C4B" w:rsidP="00B522BF">
            <w:pPr>
              <w:pStyle w:val="TableCentre"/>
              <w:rPr>
                <w:rFonts w:ascii="Arial Narrow" w:hAnsi="Arial Narrow"/>
              </w:rPr>
            </w:pPr>
            <w:r w:rsidRPr="00CA23AA">
              <w:rPr>
                <w:rFonts w:ascii="Arial Narrow" w:hAnsi="Arial Narrow"/>
              </w:rPr>
              <w:t>Lognormal / Lognormal</w:t>
            </w:r>
          </w:p>
        </w:tc>
        <w:tc>
          <w:tcPr>
            <w:tcW w:w="2263" w:type="dxa"/>
            <w:gridSpan w:val="2"/>
          </w:tcPr>
          <w:p w14:paraId="3F89A205" w14:textId="77777777" w:rsidR="00E61C4B" w:rsidRPr="00CA23AA" w:rsidRDefault="00E61C4B" w:rsidP="00B522BF">
            <w:pPr>
              <w:pStyle w:val="TableCentre"/>
              <w:rPr>
                <w:rStyle w:val="Small"/>
              </w:rPr>
            </w:pPr>
            <w:r w:rsidRPr="00CA23AA">
              <w:rPr>
                <w:rFonts w:ascii="Arial Narrow" w:hAnsi="Arial Narrow"/>
              </w:rPr>
              <w:t>Lognormal / Lognormal</w:t>
            </w:r>
          </w:p>
        </w:tc>
      </w:tr>
      <w:tr w:rsidR="00E61C4B" w:rsidRPr="00CA23AA" w14:paraId="333D55D7" w14:textId="77777777" w:rsidTr="003F1198">
        <w:trPr>
          <w:trHeight w:val="198"/>
        </w:trPr>
        <w:tc>
          <w:tcPr>
            <w:tcW w:w="8926" w:type="dxa"/>
            <w:gridSpan w:val="7"/>
            <w:noWrap/>
          </w:tcPr>
          <w:p w14:paraId="506E519A" w14:textId="77777777" w:rsidR="00E61C4B" w:rsidRPr="00CA23AA" w:rsidRDefault="00E61C4B" w:rsidP="00B522BF">
            <w:pPr>
              <w:pStyle w:val="TableCentre"/>
              <w:jc w:val="left"/>
              <w:rPr>
                <w:rFonts w:ascii="Arial Narrow" w:hAnsi="Arial Narrow"/>
                <w:b/>
              </w:rPr>
            </w:pPr>
            <w:r w:rsidRPr="00CA23AA">
              <w:rPr>
                <w:rFonts w:ascii="Arial Narrow" w:hAnsi="Arial Narrow"/>
                <w:b/>
              </w:rPr>
              <w:t>Healthcare costs</w:t>
            </w:r>
          </w:p>
        </w:tc>
      </w:tr>
      <w:tr w:rsidR="00E61C4B" w:rsidRPr="00CA23AA" w14:paraId="6F155D42" w14:textId="77777777" w:rsidTr="00594907">
        <w:trPr>
          <w:trHeight w:val="198"/>
        </w:trPr>
        <w:tc>
          <w:tcPr>
            <w:tcW w:w="1942" w:type="dxa"/>
            <w:noWrap/>
          </w:tcPr>
          <w:p w14:paraId="5312EB3A" w14:textId="77777777" w:rsidR="00E61C4B" w:rsidRPr="00CA23AA" w:rsidRDefault="00E61C4B" w:rsidP="00B522BF">
            <w:pPr>
              <w:rPr>
                <w:rStyle w:val="Small"/>
              </w:rPr>
            </w:pPr>
            <w:r w:rsidRPr="00CA23AA">
              <w:rPr>
                <w:rStyle w:val="Small"/>
              </w:rPr>
              <w:t>TIS infused average</w:t>
            </w:r>
          </w:p>
        </w:tc>
        <w:tc>
          <w:tcPr>
            <w:tcW w:w="2676" w:type="dxa"/>
            <w:gridSpan w:val="2"/>
            <w:shd w:val="solid" w:color="000000" w:fill="000000"/>
            <w:noWrap/>
            <w:vAlign w:val="center"/>
          </w:tcPr>
          <w:p w14:paraId="17D6ECE9" w14:textId="4B49206F" w:rsidR="00E61C4B" w:rsidRPr="00CA23AA" w:rsidRDefault="00594907" w:rsidP="005748B8">
            <w:pPr>
              <w:pStyle w:val="TableCentre"/>
              <w:rPr>
                <w:rStyle w:val="Small"/>
              </w:rPr>
            </w:pPr>
            <w:r w:rsidRPr="00594907">
              <w:rPr>
                <w:rStyle w:val="Small"/>
                <w:color w:val="000000"/>
                <w14:textFill>
                  <w14:solidFill>
                    <w14:srgbClr w14:val="000000">
                      <w14:alpha w14:val="100000"/>
                    </w14:srgbClr>
                  </w14:solidFill>
                </w14:textFill>
              </w:rPr>
              <w:t>|</w:t>
            </w:r>
          </w:p>
        </w:tc>
        <w:tc>
          <w:tcPr>
            <w:tcW w:w="2045" w:type="dxa"/>
            <w:gridSpan w:val="2"/>
            <w:shd w:val="solid" w:color="000000" w:fill="000000"/>
            <w:vAlign w:val="center"/>
          </w:tcPr>
          <w:p w14:paraId="2B4B5C25" w14:textId="5D82EB27" w:rsidR="00E61C4B" w:rsidRPr="00CA23AA" w:rsidRDefault="00594907" w:rsidP="005748B8">
            <w:pPr>
              <w:pStyle w:val="TableCentre"/>
              <w:rPr>
                <w:rFonts w:ascii="Arial Narrow" w:hAnsi="Arial Narrow"/>
              </w:rPr>
            </w:pPr>
            <w:r w:rsidRPr="00594907">
              <w:rPr>
                <w:rStyle w:val="Small"/>
                <w:color w:val="000000"/>
                <w14:textFill>
                  <w14:solidFill>
                    <w14:srgbClr w14:val="000000">
                      <w14:alpha w14:val="100000"/>
                    </w14:srgbClr>
                  </w14:solidFill>
                </w14:textFill>
              </w:rPr>
              <w:t>|</w:t>
            </w:r>
          </w:p>
        </w:tc>
        <w:tc>
          <w:tcPr>
            <w:tcW w:w="2263" w:type="dxa"/>
            <w:gridSpan w:val="2"/>
            <w:shd w:val="solid" w:color="000000" w:fill="000000"/>
            <w:vAlign w:val="center"/>
          </w:tcPr>
          <w:p w14:paraId="051AC572" w14:textId="4A283623" w:rsidR="00E61C4B" w:rsidRPr="00CA23AA" w:rsidRDefault="00594907" w:rsidP="005748B8">
            <w:pPr>
              <w:pStyle w:val="TableCentre"/>
              <w:rPr>
                <w:rFonts w:ascii="Arial Narrow" w:hAnsi="Arial Narrow"/>
              </w:rPr>
            </w:pPr>
            <w:r w:rsidRPr="00594907">
              <w:rPr>
                <w:rStyle w:val="Small"/>
                <w:color w:val="000000"/>
                <w14:textFill>
                  <w14:solidFill>
                    <w14:srgbClr w14:val="000000">
                      <w14:alpha w14:val="100000"/>
                    </w14:srgbClr>
                  </w14:solidFill>
                </w14:textFill>
              </w:rPr>
              <w:t>|</w:t>
            </w:r>
          </w:p>
        </w:tc>
      </w:tr>
      <w:tr w:rsidR="00E61C4B" w:rsidRPr="00CA23AA" w14:paraId="1C61B014" w14:textId="77777777" w:rsidTr="00594907">
        <w:trPr>
          <w:trHeight w:val="198"/>
        </w:trPr>
        <w:tc>
          <w:tcPr>
            <w:tcW w:w="1942" w:type="dxa"/>
            <w:tcBorders>
              <w:bottom w:val="single" w:sz="4" w:space="0" w:color="auto"/>
            </w:tcBorders>
            <w:noWrap/>
          </w:tcPr>
          <w:p w14:paraId="21A7ABAF" w14:textId="77777777" w:rsidR="00E61C4B" w:rsidRPr="00CA23AA" w:rsidRDefault="00E61C4B" w:rsidP="00B522BF">
            <w:pPr>
              <w:rPr>
                <w:rStyle w:val="Small"/>
              </w:rPr>
            </w:pPr>
            <w:r w:rsidRPr="00CA23AA">
              <w:rPr>
                <w:rStyle w:val="Small"/>
              </w:rPr>
              <w:t>Infused, %</w:t>
            </w:r>
          </w:p>
        </w:tc>
        <w:tc>
          <w:tcPr>
            <w:tcW w:w="2676" w:type="dxa"/>
            <w:gridSpan w:val="2"/>
            <w:tcBorders>
              <w:bottom w:val="single" w:sz="4" w:space="0" w:color="auto"/>
            </w:tcBorders>
            <w:noWrap/>
            <w:vAlign w:val="center"/>
          </w:tcPr>
          <w:p w14:paraId="3872120C" w14:textId="77777777" w:rsidR="00E61C4B" w:rsidRPr="00CA23AA" w:rsidRDefault="00E61C4B" w:rsidP="005748B8">
            <w:pPr>
              <w:pStyle w:val="TableCentre"/>
              <w:rPr>
                <w:rStyle w:val="Small"/>
              </w:rPr>
            </w:pPr>
            <w:r w:rsidRPr="00CA23AA">
              <w:rPr>
                <w:rStyle w:val="Small"/>
              </w:rPr>
              <w:t>80.6%</w:t>
            </w:r>
          </w:p>
        </w:tc>
        <w:tc>
          <w:tcPr>
            <w:tcW w:w="2045" w:type="dxa"/>
            <w:gridSpan w:val="2"/>
            <w:tcBorders>
              <w:bottom w:val="single" w:sz="4" w:space="0" w:color="auto"/>
            </w:tcBorders>
            <w:vAlign w:val="center"/>
          </w:tcPr>
          <w:p w14:paraId="0B2B160D" w14:textId="77777777" w:rsidR="00E61C4B" w:rsidRPr="00CA23AA" w:rsidRDefault="00E61C4B" w:rsidP="005748B8">
            <w:pPr>
              <w:pStyle w:val="TableCentre"/>
              <w:rPr>
                <w:rFonts w:ascii="Arial Narrow" w:hAnsi="Arial Narrow"/>
              </w:rPr>
            </w:pPr>
            <w:r w:rsidRPr="00CA23AA">
              <w:rPr>
                <w:rStyle w:val="Small"/>
              </w:rPr>
              <w:t>81.44%</w:t>
            </w:r>
          </w:p>
        </w:tc>
        <w:tc>
          <w:tcPr>
            <w:tcW w:w="2263" w:type="dxa"/>
            <w:gridSpan w:val="2"/>
            <w:tcBorders>
              <w:bottom w:val="single" w:sz="4" w:space="0" w:color="auto"/>
            </w:tcBorders>
            <w:vAlign w:val="center"/>
          </w:tcPr>
          <w:p w14:paraId="0EF9B356" w14:textId="77777777" w:rsidR="00E61C4B" w:rsidRPr="00CA23AA" w:rsidRDefault="00E61C4B" w:rsidP="005748B8">
            <w:pPr>
              <w:pStyle w:val="TableCentre"/>
              <w:rPr>
                <w:rFonts w:ascii="Arial Narrow" w:hAnsi="Arial Narrow"/>
              </w:rPr>
            </w:pPr>
            <w:r w:rsidRPr="00CA23AA">
              <w:rPr>
                <w:rStyle w:val="Small"/>
              </w:rPr>
              <w:t>81.44%</w:t>
            </w:r>
            <w:r w:rsidRPr="00CA23AA">
              <w:rPr>
                <w:rStyle w:val="Small"/>
                <w:vertAlign w:val="superscript"/>
              </w:rPr>
              <w:t>1</w:t>
            </w:r>
          </w:p>
        </w:tc>
      </w:tr>
      <w:tr w:rsidR="00E61C4B" w:rsidRPr="00CA23AA" w14:paraId="087F0060" w14:textId="77777777" w:rsidTr="00594907">
        <w:trPr>
          <w:trHeight w:val="198"/>
        </w:trPr>
        <w:tc>
          <w:tcPr>
            <w:tcW w:w="1942" w:type="dxa"/>
            <w:tcBorders>
              <w:bottom w:val="single" w:sz="4" w:space="0" w:color="auto"/>
            </w:tcBorders>
            <w:shd w:val="solid" w:color="000000" w:fill="000000"/>
            <w:noWrap/>
          </w:tcPr>
          <w:p w14:paraId="6AACADD4" w14:textId="3A668C28" w:rsidR="00E61C4B" w:rsidRPr="00CA23AA" w:rsidRDefault="00594907" w:rsidP="00B522BF">
            <w:pPr>
              <w:rPr>
                <w:rStyle w:val="Small"/>
              </w:rPr>
            </w:pPr>
            <w:r w:rsidRPr="00594907">
              <w:rPr>
                <w:rStyle w:val="Small"/>
                <w:color w:val="000000"/>
                <w:spacing w:val="184"/>
                <w:fitText w:val="270" w:id="-1161539832"/>
                <w14:textFill>
                  <w14:solidFill>
                    <w14:srgbClr w14:val="000000">
                      <w14:alpha w14:val="100000"/>
                    </w14:srgbClr>
                  </w14:solidFill>
                </w14:textFill>
              </w:rPr>
              <w:t>|</w:t>
            </w:r>
            <w:r w:rsidRPr="00594907">
              <w:rPr>
                <w:rStyle w:val="Small"/>
                <w:color w:val="000000"/>
                <w:fitText w:val="270" w:id="-1161539832"/>
                <w14:textFill>
                  <w14:solidFill>
                    <w14:srgbClr w14:val="000000">
                      <w14:alpha w14:val="100000"/>
                    </w14:srgbClr>
                  </w14:solidFill>
                </w14:textFill>
              </w:rPr>
              <w:t>|</w:t>
            </w:r>
          </w:p>
        </w:tc>
        <w:tc>
          <w:tcPr>
            <w:tcW w:w="2676" w:type="dxa"/>
            <w:gridSpan w:val="2"/>
            <w:tcBorders>
              <w:bottom w:val="single" w:sz="4" w:space="0" w:color="auto"/>
            </w:tcBorders>
            <w:shd w:val="solid" w:color="000000" w:fill="000000"/>
            <w:noWrap/>
            <w:vAlign w:val="center"/>
          </w:tcPr>
          <w:p w14:paraId="7D95918D" w14:textId="2F5DC421" w:rsidR="00E61C4B" w:rsidRPr="00CA23AA" w:rsidRDefault="00594907" w:rsidP="005748B8">
            <w:pPr>
              <w:pStyle w:val="TableCentre"/>
              <w:rPr>
                <w:rStyle w:val="Small"/>
              </w:rPr>
            </w:pPr>
            <w:r w:rsidRPr="00594907">
              <w:rPr>
                <w:rStyle w:val="Small"/>
                <w:color w:val="000000"/>
                <w14:textFill>
                  <w14:solidFill>
                    <w14:srgbClr w14:val="000000">
                      <w14:alpha w14:val="100000"/>
                    </w14:srgbClr>
                  </w14:solidFill>
                </w14:textFill>
              </w:rPr>
              <w:t>|</w:t>
            </w:r>
          </w:p>
        </w:tc>
        <w:tc>
          <w:tcPr>
            <w:tcW w:w="2045" w:type="dxa"/>
            <w:gridSpan w:val="2"/>
            <w:tcBorders>
              <w:bottom w:val="single" w:sz="4" w:space="0" w:color="auto"/>
            </w:tcBorders>
            <w:shd w:val="solid" w:color="000000" w:fill="000000"/>
            <w:vAlign w:val="center"/>
          </w:tcPr>
          <w:p w14:paraId="6DFDD1DF" w14:textId="388A59C3" w:rsidR="00E61C4B" w:rsidRPr="00CA23AA" w:rsidRDefault="00594907" w:rsidP="005748B8">
            <w:pPr>
              <w:pStyle w:val="TableCentre"/>
              <w:rPr>
                <w:rFonts w:ascii="Arial Narrow" w:hAnsi="Arial Narrow"/>
              </w:rPr>
            </w:pPr>
            <w:r w:rsidRPr="00594907">
              <w:rPr>
                <w:rStyle w:val="Small"/>
                <w:color w:val="000000"/>
                <w14:textFill>
                  <w14:solidFill>
                    <w14:srgbClr w14:val="000000">
                      <w14:alpha w14:val="100000"/>
                    </w14:srgbClr>
                  </w14:solidFill>
                </w14:textFill>
              </w:rPr>
              <w:t>|</w:t>
            </w:r>
          </w:p>
        </w:tc>
        <w:tc>
          <w:tcPr>
            <w:tcW w:w="2263" w:type="dxa"/>
            <w:gridSpan w:val="2"/>
            <w:tcBorders>
              <w:bottom w:val="single" w:sz="4" w:space="0" w:color="auto"/>
            </w:tcBorders>
            <w:shd w:val="solid" w:color="000000" w:fill="000000"/>
            <w:vAlign w:val="center"/>
          </w:tcPr>
          <w:p w14:paraId="3D693765" w14:textId="3117FFC8" w:rsidR="00E61C4B" w:rsidRPr="00CA23AA" w:rsidRDefault="00594907" w:rsidP="005748B8">
            <w:pPr>
              <w:pStyle w:val="TableCentre"/>
              <w:rPr>
                <w:rFonts w:ascii="Arial Narrow" w:hAnsi="Arial Narrow"/>
              </w:rPr>
            </w:pPr>
            <w:r w:rsidRPr="00594907">
              <w:rPr>
                <w:rStyle w:val="Small"/>
                <w:color w:val="000000"/>
                <w14:textFill>
                  <w14:solidFill>
                    <w14:srgbClr w14:val="000000">
                      <w14:alpha w14:val="100000"/>
                    </w14:srgbClr>
                  </w14:solidFill>
                </w14:textFill>
              </w:rPr>
              <w:t>|</w:t>
            </w:r>
          </w:p>
        </w:tc>
      </w:tr>
      <w:tr w:rsidR="00E61C4B" w:rsidRPr="00CA23AA" w14:paraId="1E41D4E0" w14:textId="77777777" w:rsidTr="00594907">
        <w:trPr>
          <w:trHeight w:val="198"/>
        </w:trPr>
        <w:tc>
          <w:tcPr>
            <w:tcW w:w="1942" w:type="dxa"/>
            <w:shd w:val="solid" w:color="000000" w:fill="000000"/>
            <w:noWrap/>
          </w:tcPr>
          <w:p w14:paraId="0B3E1ED2" w14:textId="0A4A905C" w:rsidR="00E61C4B" w:rsidRPr="00CA23AA" w:rsidRDefault="00594907" w:rsidP="00B522BF">
            <w:pPr>
              <w:rPr>
                <w:rStyle w:val="Small"/>
              </w:rPr>
            </w:pPr>
            <w:r w:rsidRPr="00594907">
              <w:rPr>
                <w:rStyle w:val="Small"/>
                <w:color w:val="000000"/>
                <w:spacing w:val="184"/>
                <w:fitText w:val="270" w:id="-1161539831"/>
                <w14:textFill>
                  <w14:solidFill>
                    <w14:srgbClr w14:val="000000">
                      <w14:alpha w14:val="100000"/>
                    </w14:srgbClr>
                  </w14:solidFill>
                </w14:textFill>
              </w:rPr>
              <w:t>|</w:t>
            </w:r>
            <w:r w:rsidRPr="00594907">
              <w:rPr>
                <w:rStyle w:val="Small"/>
                <w:color w:val="000000"/>
                <w:fitText w:val="270" w:id="-1161539831"/>
                <w14:textFill>
                  <w14:solidFill>
                    <w14:srgbClr w14:val="000000">
                      <w14:alpha w14:val="100000"/>
                    </w14:srgbClr>
                  </w14:solidFill>
                </w14:textFill>
              </w:rPr>
              <w:t>|</w:t>
            </w:r>
          </w:p>
        </w:tc>
        <w:tc>
          <w:tcPr>
            <w:tcW w:w="2676" w:type="dxa"/>
            <w:gridSpan w:val="2"/>
            <w:shd w:val="solid" w:color="000000" w:fill="000000"/>
            <w:noWrap/>
            <w:vAlign w:val="center"/>
          </w:tcPr>
          <w:p w14:paraId="69311DC0" w14:textId="74240E60" w:rsidR="00E61C4B" w:rsidRPr="00CA23AA" w:rsidRDefault="00594907" w:rsidP="005748B8">
            <w:pPr>
              <w:pStyle w:val="TableCentre"/>
              <w:rPr>
                <w:rStyle w:val="Small"/>
              </w:rPr>
            </w:pPr>
            <w:r w:rsidRPr="00594907">
              <w:rPr>
                <w:rStyle w:val="Small"/>
                <w:color w:val="000000"/>
                <w14:textFill>
                  <w14:solidFill>
                    <w14:srgbClr w14:val="000000">
                      <w14:alpha w14:val="100000"/>
                    </w14:srgbClr>
                  </w14:solidFill>
                </w14:textFill>
              </w:rPr>
              <w:t>|</w:t>
            </w:r>
          </w:p>
        </w:tc>
        <w:tc>
          <w:tcPr>
            <w:tcW w:w="2045" w:type="dxa"/>
            <w:gridSpan w:val="2"/>
            <w:shd w:val="solid" w:color="000000" w:fill="000000"/>
            <w:vAlign w:val="center"/>
          </w:tcPr>
          <w:p w14:paraId="1C4F492F" w14:textId="60C41D6D" w:rsidR="00E61C4B" w:rsidRPr="00CA23AA" w:rsidRDefault="00594907" w:rsidP="005748B8">
            <w:pPr>
              <w:pStyle w:val="TableCentre"/>
              <w:rPr>
                <w:rFonts w:ascii="Arial Narrow" w:hAnsi="Arial Narrow"/>
              </w:rPr>
            </w:pPr>
            <w:r w:rsidRPr="00594907">
              <w:rPr>
                <w:rStyle w:val="Small"/>
                <w:color w:val="000000"/>
                <w14:textFill>
                  <w14:solidFill>
                    <w14:srgbClr w14:val="000000">
                      <w14:alpha w14:val="100000"/>
                    </w14:srgbClr>
                  </w14:solidFill>
                </w14:textFill>
              </w:rPr>
              <w:t>|</w:t>
            </w:r>
          </w:p>
        </w:tc>
        <w:tc>
          <w:tcPr>
            <w:tcW w:w="2263" w:type="dxa"/>
            <w:gridSpan w:val="2"/>
            <w:shd w:val="solid" w:color="000000" w:fill="000000"/>
            <w:vAlign w:val="center"/>
          </w:tcPr>
          <w:p w14:paraId="28B76246" w14:textId="42DC8EE9" w:rsidR="00E61C4B" w:rsidRPr="00CA23AA" w:rsidRDefault="00594907" w:rsidP="005748B8">
            <w:pPr>
              <w:pStyle w:val="TableCentre"/>
              <w:rPr>
                <w:rFonts w:ascii="Arial Narrow" w:hAnsi="Arial Narrow"/>
              </w:rPr>
            </w:pPr>
            <w:r w:rsidRPr="00594907">
              <w:rPr>
                <w:rStyle w:val="Small"/>
                <w:color w:val="000000"/>
                <w14:textFill>
                  <w14:solidFill>
                    <w14:srgbClr w14:val="000000">
                      <w14:alpha w14:val="100000"/>
                    </w14:srgbClr>
                  </w14:solidFill>
                </w14:textFill>
              </w:rPr>
              <w:t>|</w:t>
            </w:r>
          </w:p>
        </w:tc>
      </w:tr>
      <w:tr w:rsidR="00E61C4B" w:rsidRPr="00CA23AA" w14:paraId="438A8371" w14:textId="77777777" w:rsidTr="00594907">
        <w:trPr>
          <w:trHeight w:val="198"/>
        </w:trPr>
        <w:tc>
          <w:tcPr>
            <w:tcW w:w="1942" w:type="dxa"/>
            <w:noWrap/>
          </w:tcPr>
          <w:p w14:paraId="5E9046C0" w14:textId="77777777" w:rsidR="00E61C4B" w:rsidRPr="00CA23AA" w:rsidRDefault="00E61C4B" w:rsidP="00B522BF">
            <w:pPr>
              <w:rPr>
                <w:rStyle w:val="Small"/>
                <w:b/>
              </w:rPr>
            </w:pPr>
            <w:r w:rsidRPr="00CA23AA">
              <w:rPr>
                <w:rStyle w:val="Small"/>
                <w:b/>
              </w:rPr>
              <w:t>TIS administration</w:t>
            </w:r>
          </w:p>
        </w:tc>
        <w:tc>
          <w:tcPr>
            <w:tcW w:w="1338" w:type="dxa"/>
            <w:noWrap/>
            <w:vAlign w:val="center"/>
          </w:tcPr>
          <w:p w14:paraId="5FF7287D" w14:textId="77777777" w:rsidR="00E61C4B" w:rsidRPr="00CA23AA" w:rsidRDefault="00E61C4B" w:rsidP="005748B8">
            <w:pPr>
              <w:pStyle w:val="TableCentre"/>
              <w:rPr>
                <w:rStyle w:val="Small"/>
                <w:b/>
                <w:bCs/>
              </w:rPr>
            </w:pPr>
            <w:r w:rsidRPr="00CA23AA">
              <w:rPr>
                <w:rStyle w:val="Small"/>
                <w:b/>
                <w:bCs/>
              </w:rPr>
              <w:t>Utilisation</w:t>
            </w:r>
          </w:p>
        </w:tc>
        <w:tc>
          <w:tcPr>
            <w:tcW w:w="1338" w:type="dxa"/>
            <w:vAlign w:val="center"/>
          </w:tcPr>
          <w:p w14:paraId="27D91D1A" w14:textId="77777777" w:rsidR="00E61C4B" w:rsidRPr="00CA23AA" w:rsidRDefault="00E61C4B" w:rsidP="005748B8">
            <w:pPr>
              <w:pStyle w:val="TableCentre"/>
              <w:rPr>
                <w:rStyle w:val="Small"/>
                <w:b/>
                <w:bCs/>
              </w:rPr>
            </w:pPr>
            <w:r w:rsidRPr="00CA23AA">
              <w:rPr>
                <w:rStyle w:val="Small"/>
                <w:b/>
                <w:bCs/>
              </w:rPr>
              <w:t>Item cost</w:t>
            </w:r>
          </w:p>
        </w:tc>
        <w:tc>
          <w:tcPr>
            <w:tcW w:w="1084" w:type="dxa"/>
            <w:vAlign w:val="center"/>
          </w:tcPr>
          <w:p w14:paraId="4F3E322E" w14:textId="77777777" w:rsidR="00E61C4B" w:rsidRPr="00CA23AA" w:rsidRDefault="00E61C4B" w:rsidP="005748B8">
            <w:pPr>
              <w:pStyle w:val="TableCentre"/>
              <w:rPr>
                <w:rFonts w:ascii="Arial Narrow" w:hAnsi="Arial Narrow"/>
              </w:rPr>
            </w:pPr>
            <w:r w:rsidRPr="00CA23AA">
              <w:rPr>
                <w:rStyle w:val="Small"/>
                <w:b/>
                <w:bCs/>
              </w:rPr>
              <w:t>Utilisation</w:t>
            </w:r>
          </w:p>
        </w:tc>
        <w:tc>
          <w:tcPr>
            <w:tcW w:w="961" w:type="dxa"/>
            <w:vAlign w:val="center"/>
          </w:tcPr>
          <w:p w14:paraId="2017F058" w14:textId="77777777" w:rsidR="00E61C4B" w:rsidRPr="00CA23AA" w:rsidRDefault="00E61C4B" w:rsidP="005748B8">
            <w:pPr>
              <w:pStyle w:val="TableCentre"/>
              <w:rPr>
                <w:rFonts w:ascii="Arial Narrow" w:hAnsi="Arial Narrow"/>
              </w:rPr>
            </w:pPr>
            <w:r w:rsidRPr="00CA23AA">
              <w:rPr>
                <w:rStyle w:val="Small"/>
                <w:b/>
                <w:bCs/>
              </w:rPr>
              <w:t>Item cost</w:t>
            </w:r>
          </w:p>
        </w:tc>
        <w:tc>
          <w:tcPr>
            <w:tcW w:w="1162" w:type="dxa"/>
            <w:tcBorders>
              <w:bottom w:val="single" w:sz="4" w:space="0" w:color="auto"/>
            </w:tcBorders>
            <w:vAlign w:val="center"/>
          </w:tcPr>
          <w:p w14:paraId="516C2D72" w14:textId="77777777" w:rsidR="00E61C4B" w:rsidRPr="00CA23AA" w:rsidRDefault="00E61C4B" w:rsidP="005748B8">
            <w:pPr>
              <w:pStyle w:val="TableCentre"/>
              <w:rPr>
                <w:rFonts w:ascii="Arial Narrow" w:hAnsi="Arial Narrow"/>
              </w:rPr>
            </w:pPr>
            <w:r w:rsidRPr="00CA23AA">
              <w:rPr>
                <w:rStyle w:val="Small"/>
                <w:b/>
                <w:bCs/>
              </w:rPr>
              <w:t>Utilisation</w:t>
            </w:r>
          </w:p>
        </w:tc>
        <w:tc>
          <w:tcPr>
            <w:tcW w:w="1101" w:type="dxa"/>
            <w:shd w:val="clear" w:color="auto" w:fill="DEEAF6" w:themeFill="accent1" w:themeFillTint="33"/>
            <w:vAlign w:val="center"/>
          </w:tcPr>
          <w:p w14:paraId="3E184136" w14:textId="77777777" w:rsidR="00E61C4B" w:rsidRPr="00CA23AA" w:rsidRDefault="00E61C4B" w:rsidP="005748B8">
            <w:pPr>
              <w:pStyle w:val="TableCentre"/>
              <w:rPr>
                <w:rFonts w:ascii="Arial Narrow" w:hAnsi="Arial Narrow"/>
              </w:rPr>
            </w:pPr>
            <w:r w:rsidRPr="00CA23AA">
              <w:rPr>
                <w:rStyle w:val="Small"/>
                <w:b/>
                <w:bCs/>
              </w:rPr>
              <w:t>Item cost</w:t>
            </w:r>
          </w:p>
        </w:tc>
      </w:tr>
      <w:tr w:rsidR="00E61C4B" w:rsidRPr="00CA23AA" w14:paraId="04B61FBB" w14:textId="77777777" w:rsidTr="00594907">
        <w:trPr>
          <w:trHeight w:val="198"/>
        </w:trPr>
        <w:tc>
          <w:tcPr>
            <w:tcW w:w="1942" w:type="dxa"/>
            <w:noWrap/>
          </w:tcPr>
          <w:p w14:paraId="33E16330" w14:textId="77777777" w:rsidR="00E61C4B" w:rsidRPr="00CA23AA" w:rsidRDefault="00E61C4B" w:rsidP="00B522BF">
            <w:pPr>
              <w:rPr>
                <w:rStyle w:val="Small"/>
              </w:rPr>
            </w:pPr>
            <w:r w:rsidRPr="00CA23AA">
              <w:rPr>
                <w:rStyle w:val="Small"/>
              </w:rPr>
              <w:t>Leukapheresis</w:t>
            </w:r>
          </w:p>
        </w:tc>
        <w:tc>
          <w:tcPr>
            <w:tcW w:w="1338" w:type="dxa"/>
            <w:noWrap/>
            <w:vAlign w:val="center"/>
          </w:tcPr>
          <w:p w14:paraId="68A6F9CF" w14:textId="77777777" w:rsidR="00E61C4B" w:rsidRPr="00CA23AA" w:rsidRDefault="00E61C4B" w:rsidP="005748B8">
            <w:pPr>
              <w:pStyle w:val="TableCentre"/>
              <w:rPr>
                <w:rStyle w:val="Small"/>
              </w:rPr>
            </w:pPr>
            <w:r w:rsidRPr="00CA23AA">
              <w:rPr>
                <w:rStyle w:val="Small"/>
              </w:rPr>
              <w:t>100.0%</w:t>
            </w:r>
          </w:p>
        </w:tc>
        <w:tc>
          <w:tcPr>
            <w:tcW w:w="1338" w:type="dxa"/>
            <w:vAlign w:val="center"/>
          </w:tcPr>
          <w:p w14:paraId="68CA5E14" w14:textId="77777777" w:rsidR="00E61C4B" w:rsidRPr="00CA23AA" w:rsidRDefault="00E61C4B" w:rsidP="005748B8">
            <w:pPr>
              <w:pStyle w:val="TableCentre"/>
              <w:rPr>
                <w:rStyle w:val="Small"/>
              </w:rPr>
            </w:pPr>
            <w:r w:rsidRPr="00CA23AA">
              <w:rPr>
                <w:rStyle w:val="Small"/>
              </w:rPr>
              <w:t>$5,635</w:t>
            </w:r>
          </w:p>
        </w:tc>
        <w:tc>
          <w:tcPr>
            <w:tcW w:w="1084" w:type="dxa"/>
            <w:vAlign w:val="center"/>
          </w:tcPr>
          <w:p w14:paraId="368803FA" w14:textId="77777777" w:rsidR="00E61C4B" w:rsidRPr="00CA23AA" w:rsidRDefault="00E61C4B" w:rsidP="005748B8">
            <w:pPr>
              <w:pStyle w:val="TableCentre"/>
              <w:rPr>
                <w:rFonts w:ascii="Arial Narrow" w:hAnsi="Arial Narrow"/>
              </w:rPr>
            </w:pPr>
            <w:r w:rsidRPr="00CA23AA">
              <w:rPr>
                <w:rStyle w:val="Small"/>
              </w:rPr>
              <w:t>100.0%</w:t>
            </w:r>
          </w:p>
        </w:tc>
        <w:tc>
          <w:tcPr>
            <w:tcW w:w="961" w:type="dxa"/>
            <w:vAlign w:val="center"/>
          </w:tcPr>
          <w:p w14:paraId="1B0D5814" w14:textId="77777777" w:rsidR="00E61C4B" w:rsidRPr="00CA23AA" w:rsidRDefault="00E61C4B" w:rsidP="005748B8">
            <w:pPr>
              <w:pStyle w:val="TableCentre"/>
              <w:rPr>
                <w:rFonts w:ascii="Arial Narrow" w:hAnsi="Arial Narrow"/>
              </w:rPr>
            </w:pPr>
            <w:r w:rsidRPr="00CA23AA">
              <w:rPr>
                <w:rStyle w:val="Small"/>
              </w:rPr>
              <w:t>$5,635</w:t>
            </w:r>
          </w:p>
        </w:tc>
        <w:tc>
          <w:tcPr>
            <w:tcW w:w="1162" w:type="dxa"/>
            <w:tcBorders>
              <w:bottom w:val="single" w:sz="4" w:space="0" w:color="auto"/>
            </w:tcBorders>
            <w:shd w:val="solid" w:color="000000" w:fill="000000"/>
            <w:vAlign w:val="center"/>
          </w:tcPr>
          <w:p w14:paraId="69F8AAF7" w14:textId="5119CE14"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03C3AC50" w14:textId="77777777" w:rsidR="00E61C4B" w:rsidRPr="00CA23AA" w:rsidRDefault="00E61C4B" w:rsidP="005748B8">
            <w:pPr>
              <w:pStyle w:val="TableCentre"/>
              <w:rPr>
                <w:rFonts w:ascii="Arial Narrow" w:hAnsi="Arial Narrow"/>
              </w:rPr>
            </w:pPr>
            <w:r w:rsidRPr="00CA23AA">
              <w:rPr>
                <w:rFonts w:ascii="Arial Narrow" w:hAnsi="Arial Narrow"/>
              </w:rPr>
              <w:t>$6,296</w:t>
            </w:r>
          </w:p>
        </w:tc>
      </w:tr>
      <w:tr w:rsidR="00E61C4B" w:rsidRPr="00CA23AA" w14:paraId="06237788" w14:textId="77777777" w:rsidTr="00594907">
        <w:trPr>
          <w:trHeight w:val="198"/>
        </w:trPr>
        <w:tc>
          <w:tcPr>
            <w:tcW w:w="1942" w:type="dxa"/>
            <w:noWrap/>
          </w:tcPr>
          <w:p w14:paraId="59EBF1EB" w14:textId="77777777" w:rsidR="00E61C4B" w:rsidRPr="00CA23AA" w:rsidRDefault="00E61C4B" w:rsidP="00B522BF">
            <w:pPr>
              <w:rPr>
                <w:rStyle w:val="Small"/>
              </w:rPr>
            </w:pPr>
            <w:r w:rsidRPr="00CA23AA">
              <w:rPr>
                <w:rStyle w:val="Small"/>
              </w:rPr>
              <w:t>Bridging chemotherapy</w:t>
            </w:r>
          </w:p>
        </w:tc>
        <w:tc>
          <w:tcPr>
            <w:tcW w:w="1338" w:type="dxa"/>
            <w:noWrap/>
            <w:vAlign w:val="center"/>
          </w:tcPr>
          <w:p w14:paraId="4BACABEC" w14:textId="77777777" w:rsidR="00E61C4B" w:rsidRPr="00CA23AA" w:rsidRDefault="00E61C4B" w:rsidP="005748B8">
            <w:pPr>
              <w:pStyle w:val="TableCentre"/>
              <w:rPr>
                <w:rStyle w:val="Small"/>
              </w:rPr>
            </w:pPr>
            <w:r w:rsidRPr="00CA23AA">
              <w:rPr>
                <w:rStyle w:val="Small"/>
              </w:rPr>
              <w:t>86.7%</w:t>
            </w:r>
          </w:p>
        </w:tc>
        <w:tc>
          <w:tcPr>
            <w:tcW w:w="1338" w:type="dxa"/>
            <w:vAlign w:val="center"/>
          </w:tcPr>
          <w:p w14:paraId="3A4C57A0" w14:textId="77777777" w:rsidR="00E61C4B" w:rsidRPr="00CA23AA" w:rsidRDefault="00E61C4B" w:rsidP="005748B8">
            <w:pPr>
              <w:pStyle w:val="TableCentre"/>
              <w:rPr>
                <w:rStyle w:val="Small"/>
              </w:rPr>
            </w:pPr>
            <w:r w:rsidRPr="00CA23AA">
              <w:rPr>
                <w:rStyle w:val="Small"/>
              </w:rPr>
              <w:t>$1,165</w:t>
            </w:r>
          </w:p>
        </w:tc>
        <w:tc>
          <w:tcPr>
            <w:tcW w:w="1084" w:type="dxa"/>
            <w:vAlign w:val="center"/>
          </w:tcPr>
          <w:p w14:paraId="1DCA5544" w14:textId="77777777" w:rsidR="00E61C4B" w:rsidRPr="00CA23AA" w:rsidRDefault="00E61C4B" w:rsidP="005748B8">
            <w:pPr>
              <w:pStyle w:val="TableCentre"/>
              <w:rPr>
                <w:rFonts w:ascii="Arial Narrow" w:hAnsi="Arial Narrow"/>
              </w:rPr>
            </w:pPr>
            <w:r w:rsidRPr="00CA23AA">
              <w:rPr>
                <w:rStyle w:val="Small"/>
              </w:rPr>
              <w:t>86.7%</w:t>
            </w:r>
          </w:p>
        </w:tc>
        <w:tc>
          <w:tcPr>
            <w:tcW w:w="961" w:type="dxa"/>
            <w:vAlign w:val="center"/>
          </w:tcPr>
          <w:p w14:paraId="7635D7C2" w14:textId="77777777" w:rsidR="00E61C4B" w:rsidRPr="00CA23AA" w:rsidRDefault="00E61C4B" w:rsidP="005748B8">
            <w:pPr>
              <w:pStyle w:val="TableCentre"/>
              <w:rPr>
                <w:rFonts w:ascii="Arial Narrow" w:hAnsi="Arial Narrow"/>
              </w:rPr>
            </w:pPr>
            <w:r w:rsidRPr="00CA23AA">
              <w:rPr>
                <w:rStyle w:val="Small"/>
              </w:rPr>
              <w:t>$1,165</w:t>
            </w:r>
          </w:p>
        </w:tc>
        <w:tc>
          <w:tcPr>
            <w:tcW w:w="1162" w:type="dxa"/>
            <w:tcBorders>
              <w:bottom w:val="single" w:sz="4" w:space="0" w:color="auto"/>
            </w:tcBorders>
            <w:shd w:val="solid" w:color="000000" w:fill="000000"/>
            <w:vAlign w:val="center"/>
          </w:tcPr>
          <w:p w14:paraId="0AA32750" w14:textId="67103270"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3027E907" w14:textId="77777777" w:rsidR="00E61C4B" w:rsidRPr="00CA23AA" w:rsidRDefault="00E61C4B" w:rsidP="005748B8">
            <w:pPr>
              <w:pStyle w:val="TableCentre"/>
              <w:rPr>
                <w:rFonts w:ascii="Arial Narrow" w:hAnsi="Arial Narrow"/>
              </w:rPr>
            </w:pPr>
            <w:r w:rsidRPr="00CA23AA">
              <w:rPr>
                <w:rFonts w:ascii="Arial Narrow" w:hAnsi="Arial Narrow"/>
              </w:rPr>
              <w:t>$1,213</w:t>
            </w:r>
          </w:p>
        </w:tc>
      </w:tr>
      <w:tr w:rsidR="00E61C4B" w:rsidRPr="00CA23AA" w14:paraId="62E83CA1" w14:textId="77777777" w:rsidTr="00594907">
        <w:trPr>
          <w:trHeight w:val="198"/>
        </w:trPr>
        <w:tc>
          <w:tcPr>
            <w:tcW w:w="1942" w:type="dxa"/>
            <w:noWrap/>
          </w:tcPr>
          <w:p w14:paraId="19AD428C" w14:textId="77777777" w:rsidR="00E61C4B" w:rsidRPr="00CA23AA" w:rsidRDefault="00E61C4B" w:rsidP="00B522BF">
            <w:pPr>
              <w:rPr>
                <w:rStyle w:val="Small"/>
              </w:rPr>
            </w:pPr>
            <w:r w:rsidRPr="00CA23AA">
              <w:rPr>
                <w:rStyle w:val="Small"/>
              </w:rPr>
              <w:t>Bridging therapy admin.</w:t>
            </w:r>
          </w:p>
        </w:tc>
        <w:tc>
          <w:tcPr>
            <w:tcW w:w="1338" w:type="dxa"/>
            <w:noWrap/>
            <w:vAlign w:val="center"/>
          </w:tcPr>
          <w:p w14:paraId="26DEB9CC" w14:textId="77777777" w:rsidR="00E61C4B" w:rsidRPr="00CA23AA" w:rsidRDefault="00E61C4B" w:rsidP="005748B8">
            <w:pPr>
              <w:pStyle w:val="TableCentre"/>
              <w:rPr>
                <w:rStyle w:val="Small"/>
              </w:rPr>
            </w:pPr>
            <w:r w:rsidRPr="00CA23AA">
              <w:rPr>
                <w:rStyle w:val="Small"/>
              </w:rPr>
              <w:t>86.7%</w:t>
            </w:r>
          </w:p>
        </w:tc>
        <w:tc>
          <w:tcPr>
            <w:tcW w:w="1338" w:type="dxa"/>
            <w:vAlign w:val="center"/>
          </w:tcPr>
          <w:p w14:paraId="498A7EC8" w14:textId="77777777" w:rsidR="00E61C4B" w:rsidRPr="00CA23AA" w:rsidRDefault="00E61C4B" w:rsidP="005748B8">
            <w:pPr>
              <w:pStyle w:val="TableCentre"/>
              <w:rPr>
                <w:rStyle w:val="Small"/>
              </w:rPr>
            </w:pPr>
            <w:r w:rsidRPr="00CA23AA">
              <w:rPr>
                <w:rStyle w:val="Small"/>
              </w:rPr>
              <w:t>$468</w:t>
            </w:r>
          </w:p>
        </w:tc>
        <w:tc>
          <w:tcPr>
            <w:tcW w:w="1084" w:type="dxa"/>
            <w:vAlign w:val="center"/>
          </w:tcPr>
          <w:p w14:paraId="612E96EC" w14:textId="77777777" w:rsidR="00E61C4B" w:rsidRPr="00CA23AA" w:rsidRDefault="00E61C4B" w:rsidP="005748B8">
            <w:pPr>
              <w:pStyle w:val="TableCentre"/>
              <w:rPr>
                <w:rFonts w:ascii="Arial Narrow" w:hAnsi="Arial Narrow"/>
              </w:rPr>
            </w:pPr>
            <w:r w:rsidRPr="00CA23AA">
              <w:rPr>
                <w:rStyle w:val="Small"/>
              </w:rPr>
              <w:t>86.7%</w:t>
            </w:r>
          </w:p>
        </w:tc>
        <w:tc>
          <w:tcPr>
            <w:tcW w:w="961" w:type="dxa"/>
            <w:vAlign w:val="center"/>
          </w:tcPr>
          <w:p w14:paraId="5360B486" w14:textId="77777777" w:rsidR="00E61C4B" w:rsidRPr="00CA23AA" w:rsidRDefault="00E61C4B" w:rsidP="005748B8">
            <w:pPr>
              <w:pStyle w:val="TableCentre"/>
              <w:rPr>
                <w:rFonts w:ascii="Arial Narrow" w:hAnsi="Arial Narrow"/>
              </w:rPr>
            </w:pPr>
            <w:r w:rsidRPr="00CA23AA">
              <w:rPr>
                <w:rStyle w:val="Small"/>
              </w:rPr>
              <w:t>$468</w:t>
            </w:r>
          </w:p>
        </w:tc>
        <w:tc>
          <w:tcPr>
            <w:tcW w:w="1162" w:type="dxa"/>
            <w:tcBorders>
              <w:bottom w:val="single" w:sz="4" w:space="0" w:color="auto"/>
            </w:tcBorders>
            <w:shd w:val="solid" w:color="000000" w:fill="000000"/>
            <w:vAlign w:val="center"/>
          </w:tcPr>
          <w:p w14:paraId="3FFA5BE3" w14:textId="2C56D1B3"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02A3D9D4" w14:textId="77777777" w:rsidR="00E61C4B" w:rsidRPr="00CA23AA" w:rsidRDefault="00E61C4B" w:rsidP="005748B8">
            <w:pPr>
              <w:pStyle w:val="TableCentre"/>
              <w:rPr>
                <w:rFonts w:ascii="Arial Narrow" w:hAnsi="Arial Narrow"/>
              </w:rPr>
            </w:pPr>
            <w:r w:rsidRPr="00CA23AA">
              <w:rPr>
                <w:rFonts w:ascii="Arial Narrow" w:hAnsi="Arial Narrow"/>
              </w:rPr>
              <w:t>$430</w:t>
            </w:r>
          </w:p>
        </w:tc>
      </w:tr>
      <w:tr w:rsidR="00E61C4B" w:rsidRPr="00CA23AA" w14:paraId="7B2BCA0A" w14:textId="77777777" w:rsidTr="00594907">
        <w:trPr>
          <w:trHeight w:val="198"/>
        </w:trPr>
        <w:tc>
          <w:tcPr>
            <w:tcW w:w="1942" w:type="dxa"/>
            <w:noWrap/>
          </w:tcPr>
          <w:p w14:paraId="026AE98D" w14:textId="77777777" w:rsidR="00E61C4B" w:rsidRPr="00CA23AA" w:rsidRDefault="00E61C4B" w:rsidP="00B522BF">
            <w:pPr>
              <w:rPr>
                <w:rStyle w:val="Small"/>
              </w:rPr>
            </w:pPr>
            <w:r w:rsidRPr="00CA23AA">
              <w:rPr>
                <w:rStyle w:val="Small"/>
              </w:rPr>
              <w:t>Lymphodepleting chemotherapy (LDC)</w:t>
            </w:r>
          </w:p>
        </w:tc>
        <w:tc>
          <w:tcPr>
            <w:tcW w:w="1338" w:type="dxa"/>
            <w:noWrap/>
            <w:vAlign w:val="center"/>
          </w:tcPr>
          <w:p w14:paraId="5A8E7068" w14:textId="77777777" w:rsidR="00E61C4B" w:rsidRPr="00CA23AA" w:rsidRDefault="00E61C4B" w:rsidP="005748B8">
            <w:pPr>
              <w:pStyle w:val="TableCentre"/>
              <w:rPr>
                <w:rStyle w:val="Small"/>
              </w:rPr>
            </w:pPr>
            <w:r w:rsidRPr="00CA23AA">
              <w:rPr>
                <w:rStyle w:val="Small"/>
              </w:rPr>
              <w:t>96.0%</w:t>
            </w:r>
          </w:p>
        </w:tc>
        <w:tc>
          <w:tcPr>
            <w:tcW w:w="1338" w:type="dxa"/>
            <w:vAlign w:val="center"/>
          </w:tcPr>
          <w:p w14:paraId="257B29BD" w14:textId="77777777" w:rsidR="00E61C4B" w:rsidRPr="00CA23AA" w:rsidRDefault="00E61C4B" w:rsidP="005748B8">
            <w:pPr>
              <w:pStyle w:val="TableCentre"/>
              <w:rPr>
                <w:rStyle w:val="Small"/>
              </w:rPr>
            </w:pPr>
            <w:r w:rsidRPr="00CA23AA">
              <w:rPr>
                <w:rStyle w:val="Small"/>
              </w:rPr>
              <w:t>$660</w:t>
            </w:r>
          </w:p>
        </w:tc>
        <w:tc>
          <w:tcPr>
            <w:tcW w:w="1084" w:type="dxa"/>
            <w:vAlign w:val="center"/>
          </w:tcPr>
          <w:p w14:paraId="00FD0DFB" w14:textId="77777777" w:rsidR="00E61C4B" w:rsidRPr="00CA23AA" w:rsidRDefault="00E61C4B" w:rsidP="005748B8">
            <w:pPr>
              <w:pStyle w:val="TableCentre"/>
              <w:rPr>
                <w:rFonts w:ascii="Arial Narrow" w:hAnsi="Arial Narrow"/>
              </w:rPr>
            </w:pPr>
            <w:r w:rsidRPr="00CA23AA">
              <w:rPr>
                <w:rStyle w:val="Small"/>
              </w:rPr>
              <w:t>96.0%</w:t>
            </w:r>
          </w:p>
        </w:tc>
        <w:tc>
          <w:tcPr>
            <w:tcW w:w="961" w:type="dxa"/>
            <w:vAlign w:val="center"/>
          </w:tcPr>
          <w:p w14:paraId="070E1341" w14:textId="77777777" w:rsidR="00E61C4B" w:rsidRPr="00CA23AA" w:rsidRDefault="00E61C4B" w:rsidP="005748B8">
            <w:pPr>
              <w:pStyle w:val="TableCentre"/>
              <w:rPr>
                <w:rFonts w:ascii="Arial Narrow" w:hAnsi="Arial Narrow"/>
              </w:rPr>
            </w:pPr>
            <w:r w:rsidRPr="00CA23AA">
              <w:rPr>
                <w:rStyle w:val="Small"/>
              </w:rPr>
              <w:t>$660</w:t>
            </w:r>
          </w:p>
        </w:tc>
        <w:tc>
          <w:tcPr>
            <w:tcW w:w="1162" w:type="dxa"/>
            <w:tcBorders>
              <w:bottom w:val="single" w:sz="4" w:space="0" w:color="auto"/>
            </w:tcBorders>
            <w:shd w:val="solid" w:color="000000" w:fill="000000"/>
            <w:vAlign w:val="center"/>
          </w:tcPr>
          <w:p w14:paraId="42055984" w14:textId="7A979110"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6247E512" w14:textId="77777777" w:rsidR="00E61C4B" w:rsidRPr="00CA23AA" w:rsidRDefault="00E61C4B" w:rsidP="005748B8">
            <w:pPr>
              <w:pStyle w:val="TableCentre"/>
              <w:rPr>
                <w:rFonts w:ascii="Arial Narrow" w:hAnsi="Arial Narrow"/>
              </w:rPr>
            </w:pPr>
            <w:r w:rsidRPr="00CA23AA">
              <w:rPr>
                <w:rFonts w:ascii="Arial Narrow" w:hAnsi="Arial Narrow"/>
              </w:rPr>
              <w:t>$671</w:t>
            </w:r>
          </w:p>
        </w:tc>
      </w:tr>
      <w:tr w:rsidR="00E61C4B" w:rsidRPr="00CA23AA" w14:paraId="72782A6A" w14:textId="77777777" w:rsidTr="00594907">
        <w:trPr>
          <w:trHeight w:val="198"/>
        </w:trPr>
        <w:tc>
          <w:tcPr>
            <w:tcW w:w="1942" w:type="dxa"/>
            <w:noWrap/>
          </w:tcPr>
          <w:p w14:paraId="59F2CE0E" w14:textId="77777777" w:rsidR="00E61C4B" w:rsidRPr="00CA23AA" w:rsidRDefault="00E61C4B" w:rsidP="00B522BF">
            <w:pPr>
              <w:rPr>
                <w:rStyle w:val="Small"/>
              </w:rPr>
            </w:pPr>
            <w:r w:rsidRPr="00CA23AA">
              <w:rPr>
                <w:rStyle w:val="Small"/>
              </w:rPr>
              <w:t>LDC Inpatient admin.</w:t>
            </w:r>
          </w:p>
        </w:tc>
        <w:tc>
          <w:tcPr>
            <w:tcW w:w="1338" w:type="dxa"/>
            <w:noWrap/>
            <w:vAlign w:val="center"/>
          </w:tcPr>
          <w:p w14:paraId="52D7C2A1" w14:textId="77777777" w:rsidR="00E61C4B" w:rsidRPr="00CA23AA" w:rsidRDefault="00E61C4B" w:rsidP="005748B8">
            <w:pPr>
              <w:pStyle w:val="TableCentre"/>
              <w:rPr>
                <w:rStyle w:val="Small"/>
              </w:rPr>
            </w:pPr>
            <w:r w:rsidRPr="00CA23AA">
              <w:rPr>
                <w:rStyle w:val="Small"/>
              </w:rPr>
              <w:t>65.3%</w:t>
            </w:r>
          </w:p>
        </w:tc>
        <w:tc>
          <w:tcPr>
            <w:tcW w:w="1338" w:type="dxa"/>
            <w:vAlign w:val="center"/>
          </w:tcPr>
          <w:p w14:paraId="3A5288A2" w14:textId="77777777" w:rsidR="00E61C4B" w:rsidRPr="00CA23AA" w:rsidRDefault="00E61C4B" w:rsidP="005748B8">
            <w:pPr>
              <w:pStyle w:val="TableCentre"/>
              <w:rPr>
                <w:rStyle w:val="Small"/>
              </w:rPr>
            </w:pPr>
            <w:r w:rsidRPr="00CA23AA">
              <w:rPr>
                <w:rStyle w:val="Small"/>
              </w:rPr>
              <w:t>$2,040</w:t>
            </w:r>
          </w:p>
        </w:tc>
        <w:tc>
          <w:tcPr>
            <w:tcW w:w="1084" w:type="dxa"/>
            <w:vAlign w:val="center"/>
          </w:tcPr>
          <w:p w14:paraId="0B508925" w14:textId="77777777" w:rsidR="00E61C4B" w:rsidRPr="00CA23AA" w:rsidRDefault="00E61C4B" w:rsidP="005748B8">
            <w:pPr>
              <w:pStyle w:val="TableCentre"/>
              <w:rPr>
                <w:rFonts w:ascii="Arial Narrow" w:hAnsi="Arial Narrow"/>
              </w:rPr>
            </w:pPr>
            <w:r w:rsidRPr="00CA23AA">
              <w:rPr>
                <w:rStyle w:val="Small"/>
              </w:rPr>
              <w:t>65.3%</w:t>
            </w:r>
          </w:p>
        </w:tc>
        <w:tc>
          <w:tcPr>
            <w:tcW w:w="961" w:type="dxa"/>
            <w:vAlign w:val="center"/>
          </w:tcPr>
          <w:p w14:paraId="2BA9FF33" w14:textId="77777777" w:rsidR="00E61C4B" w:rsidRPr="00CA23AA" w:rsidRDefault="00E61C4B" w:rsidP="005748B8">
            <w:pPr>
              <w:pStyle w:val="TableCentre"/>
              <w:rPr>
                <w:rFonts w:ascii="Arial Narrow" w:hAnsi="Arial Narrow"/>
              </w:rPr>
            </w:pPr>
            <w:r w:rsidRPr="00CA23AA">
              <w:rPr>
                <w:rStyle w:val="Small"/>
              </w:rPr>
              <w:t>$2,040</w:t>
            </w:r>
          </w:p>
        </w:tc>
        <w:tc>
          <w:tcPr>
            <w:tcW w:w="1162" w:type="dxa"/>
            <w:tcBorders>
              <w:bottom w:val="single" w:sz="4" w:space="0" w:color="auto"/>
            </w:tcBorders>
            <w:shd w:val="solid" w:color="000000" w:fill="000000"/>
            <w:vAlign w:val="center"/>
          </w:tcPr>
          <w:p w14:paraId="33B00831" w14:textId="2E7A2463"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03371047" w14:textId="77777777" w:rsidR="00E61C4B" w:rsidRPr="00CA23AA" w:rsidRDefault="00E61C4B" w:rsidP="005748B8">
            <w:pPr>
              <w:pStyle w:val="TableCentre"/>
              <w:rPr>
                <w:rFonts w:ascii="Arial Narrow" w:hAnsi="Arial Narrow"/>
              </w:rPr>
            </w:pPr>
            <w:r w:rsidRPr="00CA23AA">
              <w:rPr>
                <w:rFonts w:ascii="Arial Narrow" w:hAnsi="Arial Narrow"/>
              </w:rPr>
              <w:t>$1,901</w:t>
            </w:r>
          </w:p>
        </w:tc>
      </w:tr>
      <w:tr w:rsidR="00E61C4B" w:rsidRPr="00CA23AA" w14:paraId="62EF91E6" w14:textId="77777777" w:rsidTr="00594907">
        <w:trPr>
          <w:trHeight w:val="198"/>
        </w:trPr>
        <w:tc>
          <w:tcPr>
            <w:tcW w:w="1942" w:type="dxa"/>
            <w:noWrap/>
          </w:tcPr>
          <w:p w14:paraId="07000E50" w14:textId="77777777" w:rsidR="00E61C4B" w:rsidRPr="00CA23AA" w:rsidRDefault="00E61C4B" w:rsidP="00B522BF">
            <w:pPr>
              <w:rPr>
                <w:rStyle w:val="Small"/>
              </w:rPr>
            </w:pPr>
            <w:r w:rsidRPr="00CA23AA">
              <w:rPr>
                <w:rStyle w:val="Small"/>
              </w:rPr>
              <w:t>LDC outpatient admin.</w:t>
            </w:r>
          </w:p>
        </w:tc>
        <w:tc>
          <w:tcPr>
            <w:tcW w:w="1338" w:type="dxa"/>
            <w:noWrap/>
            <w:vAlign w:val="center"/>
          </w:tcPr>
          <w:p w14:paraId="2831C98A" w14:textId="77777777" w:rsidR="00E61C4B" w:rsidRPr="00CA23AA" w:rsidRDefault="00E61C4B" w:rsidP="005748B8">
            <w:pPr>
              <w:pStyle w:val="TableCentre"/>
              <w:rPr>
                <w:rStyle w:val="Small"/>
              </w:rPr>
            </w:pPr>
            <w:r w:rsidRPr="00CA23AA">
              <w:rPr>
                <w:rStyle w:val="Small"/>
              </w:rPr>
              <w:t>34.7%</w:t>
            </w:r>
          </w:p>
        </w:tc>
        <w:tc>
          <w:tcPr>
            <w:tcW w:w="1338" w:type="dxa"/>
            <w:vAlign w:val="center"/>
          </w:tcPr>
          <w:p w14:paraId="190D68A2" w14:textId="77777777" w:rsidR="00E61C4B" w:rsidRPr="00CA23AA" w:rsidRDefault="00E61C4B" w:rsidP="005748B8">
            <w:pPr>
              <w:pStyle w:val="TableCentre"/>
              <w:rPr>
                <w:rStyle w:val="Small"/>
              </w:rPr>
            </w:pPr>
            <w:r w:rsidRPr="00CA23AA">
              <w:rPr>
                <w:rStyle w:val="Small"/>
              </w:rPr>
              <w:t>$468</w:t>
            </w:r>
          </w:p>
        </w:tc>
        <w:tc>
          <w:tcPr>
            <w:tcW w:w="1084" w:type="dxa"/>
            <w:vAlign w:val="center"/>
          </w:tcPr>
          <w:p w14:paraId="3273DCDA" w14:textId="77777777" w:rsidR="00E61C4B" w:rsidRPr="00CA23AA" w:rsidRDefault="00E61C4B" w:rsidP="005748B8">
            <w:pPr>
              <w:pStyle w:val="TableCentre"/>
              <w:rPr>
                <w:rFonts w:ascii="Arial Narrow" w:hAnsi="Arial Narrow"/>
              </w:rPr>
            </w:pPr>
            <w:r w:rsidRPr="00CA23AA">
              <w:rPr>
                <w:rStyle w:val="Small"/>
              </w:rPr>
              <w:t>34.7%</w:t>
            </w:r>
          </w:p>
        </w:tc>
        <w:tc>
          <w:tcPr>
            <w:tcW w:w="961" w:type="dxa"/>
            <w:vAlign w:val="center"/>
          </w:tcPr>
          <w:p w14:paraId="21EC7469" w14:textId="77777777" w:rsidR="00E61C4B" w:rsidRPr="00CA23AA" w:rsidRDefault="00E61C4B" w:rsidP="005748B8">
            <w:pPr>
              <w:pStyle w:val="TableCentre"/>
              <w:rPr>
                <w:rFonts w:ascii="Arial Narrow" w:hAnsi="Arial Narrow"/>
              </w:rPr>
            </w:pPr>
            <w:r w:rsidRPr="00CA23AA">
              <w:rPr>
                <w:rStyle w:val="Small"/>
              </w:rPr>
              <w:t>$468</w:t>
            </w:r>
          </w:p>
        </w:tc>
        <w:tc>
          <w:tcPr>
            <w:tcW w:w="1162" w:type="dxa"/>
            <w:tcBorders>
              <w:bottom w:val="single" w:sz="4" w:space="0" w:color="auto"/>
            </w:tcBorders>
            <w:shd w:val="solid" w:color="000000" w:fill="000000"/>
            <w:vAlign w:val="center"/>
          </w:tcPr>
          <w:p w14:paraId="073A9220" w14:textId="28C20564"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6D048F05" w14:textId="77777777" w:rsidR="00E61C4B" w:rsidRPr="00CA23AA" w:rsidRDefault="00E61C4B" w:rsidP="005748B8">
            <w:pPr>
              <w:pStyle w:val="TableCentre"/>
              <w:rPr>
                <w:rFonts w:ascii="Arial Narrow" w:hAnsi="Arial Narrow"/>
              </w:rPr>
            </w:pPr>
            <w:r w:rsidRPr="00CA23AA">
              <w:rPr>
                <w:rFonts w:ascii="Arial Narrow" w:hAnsi="Arial Narrow"/>
              </w:rPr>
              <w:t>$430</w:t>
            </w:r>
          </w:p>
        </w:tc>
      </w:tr>
      <w:tr w:rsidR="00E61C4B" w:rsidRPr="00CA23AA" w14:paraId="783E7CD9" w14:textId="77777777" w:rsidTr="00594907">
        <w:trPr>
          <w:trHeight w:val="198"/>
        </w:trPr>
        <w:tc>
          <w:tcPr>
            <w:tcW w:w="1942" w:type="dxa"/>
            <w:noWrap/>
          </w:tcPr>
          <w:p w14:paraId="1BBD11BA" w14:textId="77777777" w:rsidR="00E61C4B" w:rsidRPr="00CA23AA" w:rsidRDefault="00E61C4B" w:rsidP="00B522BF">
            <w:pPr>
              <w:rPr>
                <w:rStyle w:val="Small"/>
              </w:rPr>
            </w:pPr>
            <w:r w:rsidRPr="00CA23AA">
              <w:rPr>
                <w:rStyle w:val="Small"/>
              </w:rPr>
              <w:t>TIS Inpatient admin.</w:t>
            </w:r>
          </w:p>
        </w:tc>
        <w:tc>
          <w:tcPr>
            <w:tcW w:w="1338" w:type="dxa"/>
            <w:noWrap/>
            <w:vAlign w:val="center"/>
          </w:tcPr>
          <w:p w14:paraId="3F5DD8FF" w14:textId="77777777" w:rsidR="00E61C4B" w:rsidRPr="00CA23AA" w:rsidRDefault="00E61C4B" w:rsidP="005748B8">
            <w:pPr>
              <w:pStyle w:val="TableCentre"/>
              <w:rPr>
                <w:rStyle w:val="Small"/>
              </w:rPr>
            </w:pPr>
            <w:r w:rsidRPr="00CA23AA">
              <w:rPr>
                <w:rStyle w:val="Small"/>
              </w:rPr>
              <w:t>94.7%</w:t>
            </w:r>
          </w:p>
        </w:tc>
        <w:tc>
          <w:tcPr>
            <w:tcW w:w="1338" w:type="dxa"/>
            <w:vAlign w:val="center"/>
          </w:tcPr>
          <w:p w14:paraId="0E5A92F8" w14:textId="77777777" w:rsidR="00E61C4B" w:rsidRPr="00CA23AA" w:rsidRDefault="00E61C4B" w:rsidP="005748B8">
            <w:pPr>
              <w:pStyle w:val="TableCentre"/>
              <w:rPr>
                <w:rStyle w:val="Small"/>
              </w:rPr>
            </w:pPr>
            <w:r w:rsidRPr="00CA23AA">
              <w:rPr>
                <w:rStyle w:val="Small"/>
              </w:rPr>
              <w:t>$2,040</w:t>
            </w:r>
          </w:p>
        </w:tc>
        <w:tc>
          <w:tcPr>
            <w:tcW w:w="1084" w:type="dxa"/>
            <w:vAlign w:val="center"/>
          </w:tcPr>
          <w:p w14:paraId="43C4EFE3" w14:textId="77777777" w:rsidR="00E61C4B" w:rsidRPr="00CA23AA" w:rsidRDefault="00E61C4B" w:rsidP="005748B8">
            <w:pPr>
              <w:pStyle w:val="TableCentre"/>
              <w:rPr>
                <w:rFonts w:ascii="Arial Narrow" w:hAnsi="Arial Narrow"/>
              </w:rPr>
            </w:pPr>
            <w:r w:rsidRPr="00CA23AA">
              <w:rPr>
                <w:rStyle w:val="Small"/>
              </w:rPr>
              <w:t>94.7%</w:t>
            </w:r>
          </w:p>
        </w:tc>
        <w:tc>
          <w:tcPr>
            <w:tcW w:w="961" w:type="dxa"/>
            <w:vAlign w:val="center"/>
          </w:tcPr>
          <w:p w14:paraId="7533AF5A" w14:textId="77777777" w:rsidR="00E61C4B" w:rsidRPr="00CA23AA" w:rsidRDefault="00E61C4B" w:rsidP="005748B8">
            <w:pPr>
              <w:pStyle w:val="TableCentre"/>
              <w:rPr>
                <w:rFonts w:ascii="Arial Narrow" w:hAnsi="Arial Narrow"/>
              </w:rPr>
            </w:pPr>
            <w:r w:rsidRPr="00CA23AA">
              <w:rPr>
                <w:rStyle w:val="Small"/>
              </w:rPr>
              <w:t>$2,040</w:t>
            </w:r>
          </w:p>
        </w:tc>
        <w:tc>
          <w:tcPr>
            <w:tcW w:w="1162" w:type="dxa"/>
            <w:tcBorders>
              <w:bottom w:val="single" w:sz="4" w:space="0" w:color="auto"/>
            </w:tcBorders>
            <w:shd w:val="solid" w:color="000000" w:fill="000000"/>
            <w:vAlign w:val="center"/>
          </w:tcPr>
          <w:p w14:paraId="5ADB125E" w14:textId="51C3717B"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215C97F6" w14:textId="77777777" w:rsidR="00E61C4B" w:rsidRPr="00CA23AA" w:rsidRDefault="00E61C4B" w:rsidP="005748B8">
            <w:pPr>
              <w:pStyle w:val="TableCentre"/>
              <w:rPr>
                <w:rFonts w:ascii="Arial Narrow" w:hAnsi="Arial Narrow"/>
              </w:rPr>
            </w:pPr>
            <w:r w:rsidRPr="00CA23AA">
              <w:rPr>
                <w:rFonts w:ascii="Arial Narrow" w:hAnsi="Arial Narrow"/>
              </w:rPr>
              <w:t>$1,901</w:t>
            </w:r>
          </w:p>
        </w:tc>
      </w:tr>
      <w:tr w:rsidR="00E61C4B" w:rsidRPr="00CA23AA" w14:paraId="73D75B87" w14:textId="77777777" w:rsidTr="00594907">
        <w:trPr>
          <w:trHeight w:val="198"/>
        </w:trPr>
        <w:tc>
          <w:tcPr>
            <w:tcW w:w="1942" w:type="dxa"/>
            <w:noWrap/>
          </w:tcPr>
          <w:p w14:paraId="104891C9" w14:textId="77777777" w:rsidR="00E61C4B" w:rsidRPr="00CA23AA" w:rsidRDefault="00E61C4B" w:rsidP="00B522BF">
            <w:pPr>
              <w:rPr>
                <w:rStyle w:val="Small"/>
              </w:rPr>
            </w:pPr>
            <w:r w:rsidRPr="00CA23AA">
              <w:rPr>
                <w:rStyle w:val="Small"/>
              </w:rPr>
              <w:t>TIS Outpatient admin.</w:t>
            </w:r>
          </w:p>
        </w:tc>
        <w:tc>
          <w:tcPr>
            <w:tcW w:w="1338" w:type="dxa"/>
            <w:noWrap/>
            <w:vAlign w:val="center"/>
          </w:tcPr>
          <w:p w14:paraId="4B0D96B9" w14:textId="77777777" w:rsidR="00E61C4B" w:rsidRPr="00CA23AA" w:rsidRDefault="00E61C4B" w:rsidP="005748B8">
            <w:pPr>
              <w:pStyle w:val="TableCentre"/>
              <w:rPr>
                <w:rStyle w:val="Small"/>
              </w:rPr>
            </w:pPr>
            <w:r w:rsidRPr="00CA23AA">
              <w:rPr>
                <w:rStyle w:val="Small"/>
              </w:rPr>
              <w:t>5.3%</w:t>
            </w:r>
          </w:p>
        </w:tc>
        <w:tc>
          <w:tcPr>
            <w:tcW w:w="1338" w:type="dxa"/>
            <w:vAlign w:val="center"/>
          </w:tcPr>
          <w:p w14:paraId="635C14B7" w14:textId="77777777" w:rsidR="00E61C4B" w:rsidRPr="00CA23AA" w:rsidRDefault="00E61C4B" w:rsidP="005748B8">
            <w:pPr>
              <w:pStyle w:val="TableCentre"/>
              <w:rPr>
                <w:rStyle w:val="Small"/>
              </w:rPr>
            </w:pPr>
            <w:r w:rsidRPr="00CA23AA">
              <w:rPr>
                <w:rStyle w:val="Small"/>
              </w:rPr>
              <w:t>$468</w:t>
            </w:r>
          </w:p>
        </w:tc>
        <w:tc>
          <w:tcPr>
            <w:tcW w:w="1084" w:type="dxa"/>
            <w:vAlign w:val="center"/>
          </w:tcPr>
          <w:p w14:paraId="5E93A4B1" w14:textId="77777777" w:rsidR="00E61C4B" w:rsidRPr="00CA23AA" w:rsidRDefault="00E61C4B" w:rsidP="005748B8">
            <w:pPr>
              <w:pStyle w:val="TableCentre"/>
              <w:rPr>
                <w:rFonts w:ascii="Arial Narrow" w:hAnsi="Arial Narrow"/>
              </w:rPr>
            </w:pPr>
            <w:r w:rsidRPr="00CA23AA">
              <w:rPr>
                <w:rStyle w:val="Small"/>
              </w:rPr>
              <w:t>5.3%</w:t>
            </w:r>
          </w:p>
        </w:tc>
        <w:tc>
          <w:tcPr>
            <w:tcW w:w="961" w:type="dxa"/>
            <w:vAlign w:val="center"/>
          </w:tcPr>
          <w:p w14:paraId="61220FF0" w14:textId="77777777" w:rsidR="00E61C4B" w:rsidRPr="00CA23AA" w:rsidRDefault="00E61C4B" w:rsidP="005748B8">
            <w:pPr>
              <w:pStyle w:val="TableCentre"/>
              <w:rPr>
                <w:rFonts w:ascii="Arial Narrow" w:hAnsi="Arial Narrow"/>
              </w:rPr>
            </w:pPr>
            <w:r w:rsidRPr="00CA23AA">
              <w:rPr>
                <w:rStyle w:val="Small"/>
              </w:rPr>
              <w:t>$468</w:t>
            </w:r>
          </w:p>
        </w:tc>
        <w:tc>
          <w:tcPr>
            <w:tcW w:w="1162" w:type="dxa"/>
            <w:tcBorders>
              <w:bottom w:val="single" w:sz="4" w:space="0" w:color="auto"/>
            </w:tcBorders>
            <w:shd w:val="solid" w:color="000000" w:fill="000000"/>
            <w:vAlign w:val="center"/>
          </w:tcPr>
          <w:p w14:paraId="72CA4AC4" w14:textId="12FB4A0D"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55A34693" w14:textId="77777777" w:rsidR="00E61C4B" w:rsidRPr="00CA23AA" w:rsidRDefault="00E61C4B" w:rsidP="005748B8">
            <w:pPr>
              <w:pStyle w:val="TableCentre"/>
              <w:rPr>
                <w:rFonts w:ascii="Arial Narrow" w:hAnsi="Arial Narrow"/>
              </w:rPr>
            </w:pPr>
            <w:r w:rsidRPr="00CA23AA">
              <w:rPr>
                <w:rFonts w:ascii="Arial Narrow" w:hAnsi="Arial Narrow"/>
              </w:rPr>
              <w:t>$430</w:t>
            </w:r>
          </w:p>
        </w:tc>
      </w:tr>
      <w:tr w:rsidR="00E61C4B" w:rsidRPr="00CA23AA" w14:paraId="48652DD6" w14:textId="77777777" w:rsidTr="00594907">
        <w:trPr>
          <w:trHeight w:val="198"/>
        </w:trPr>
        <w:tc>
          <w:tcPr>
            <w:tcW w:w="1942" w:type="dxa"/>
            <w:noWrap/>
          </w:tcPr>
          <w:p w14:paraId="27DF39FD" w14:textId="77777777" w:rsidR="00E61C4B" w:rsidRPr="00CA23AA" w:rsidRDefault="00E61C4B" w:rsidP="00B522BF">
            <w:pPr>
              <w:rPr>
                <w:rStyle w:val="Small"/>
              </w:rPr>
            </w:pPr>
            <w:r w:rsidRPr="00CA23AA">
              <w:rPr>
                <w:rStyle w:val="Small"/>
              </w:rPr>
              <w:t>ICU for CRS</w:t>
            </w:r>
          </w:p>
        </w:tc>
        <w:tc>
          <w:tcPr>
            <w:tcW w:w="1338" w:type="dxa"/>
            <w:noWrap/>
            <w:vAlign w:val="center"/>
          </w:tcPr>
          <w:p w14:paraId="39C060C6" w14:textId="77777777" w:rsidR="00E61C4B" w:rsidRPr="00CA23AA" w:rsidRDefault="00E61C4B" w:rsidP="005748B8">
            <w:pPr>
              <w:pStyle w:val="TableCentre"/>
              <w:rPr>
                <w:rStyle w:val="Small"/>
              </w:rPr>
            </w:pPr>
            <w:r w:rsidRPr="00CA23AA">
              <w:rPr>
                <w:rStyle w:val="Small"/>
              </w:rPr>
              <w:t>48.1%</w:t>
            </w:r>
          </w:p>
        </w:tc>
        <w:tc>
          <w:tcPr>
            <w:tcW w:w="1338" w:type="dxa"/>
            <w:vAlign w:val="center"/>
          </w:tcPr>
          <w:p w14:paraId="244D58CF" w14:textId="77777777" w:rsidR="00E61C4B" w:rsidRPr="00CA23AA" w:rsidRDefault="00E61C4B" w:rsidP="005748B8">
            <w:pPr>
              <w:pStyle w:val="TableCentre"/>
              <w:rPr>
                <w:rStyle w:val="Small"/>
              </w:rPr>
            </w:pPr>
            <w:r w:rsidRPr="00CA23AA">
              <w:rPr>
                <w:rStyle w:val="Small"/>
              </w:rPr>
              <w:t>$4,800</w:t>
            </w:r>
          </w:p>
        </w:tc>
        <w:tc>
          <w:tcPr>
            <w:tcW w:w="1084" w:type="dxa"/>
            <w:vAlign w:val="center"/>
          </w:tcPr>
          <w:p w14:paraId="4654BE9D" w14:textId="77777777" w:rsidR="00E61C4B" w:rsidRPr="00CA23AA" w:rsidRDefault="00E61C4B" w:rsidP="005748B8">
            <w:pPr>
              <w:pStyle w:val="TableCentre"/>
              <w:rPr>
                <w:rFonts w:ascii="Arial Narrow" w:hAnsi="Arial Narrow"/>
              </w:rPr>
            </w:pPr>
            <w:r w:rsidRPr="00CA23AA">
              <w:rPr>
                <w:rStyle w:val="Small"/>
              </w:rPr>
              <w:t>48.1%</w:t>
            </w:r>
          </w:p>
        </w:tc>
        <w:tc>
          <w:tcPr>
            <w:tcW w:w="961" w:type="dxa"/>
            <w:vAlign w:val="center"/>
          </w:tcPr>
          <w:p w14:paraId="3C215677" w14:textId="77777777" w:rsidR="00E61C4B" w:rsidRPr="00CA23AA" w:rsidRDefault="00E61C4B" w:rsidP="005748B8">
            <w:pPr>
              <w:pStyle w:val="TableCentre"/>
              <w:rPr>
                <w:rFonts w:ascii="Arial Narrow" w:hAnsi="Arial Narrow"/>
              </w:rPr>
            </w:pPr>
            <w:r w:rsidRPr="00CA23AA">
              <w:rPr>
                <w:rStyle w:val="Small"/>
              </w:rPr>
              <w:t>$4,800</w:t>
            </w:r>
          </w:p>
        </w:tc>
        <w:tc>
          <w:tcPr>
            <w:tcW w:w="1162" w:type="dxa"/>
            <w:tcBorders>
              <w:bottom w:val="single" w:sz="4" w:space="0" w:color="auto"/>
            </w:tcBorders>
            <w:shd w:val="solid" w:color="000000" w:fill="000000"/>
            <w:vAlign w:val="center"/>
          </w:tcPr>
          <w:p w14:paraId="7FE51CB1" w14:textId="5C725209"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138AA193" w14:textId="7B7DE38E" w:rsidR="00E61C4B" w:rsidRPr="00CA23AA" w:rsidRDefault="00E61C4B" w:rsidP="005748B8">
            <w:pPr>
              <w:pStyle w:val="TableCentre"/>
              <w:rPr>
                <w:rFonts w:ascii="Arial Narrow" w:hAnsi="Arial Narrow"/>
              </w:rPr>
            </w:pPr>
            <w:r w:rsidRPr="00CA23AA">
              <w:rPr>
                <w:rFonts w:ascii="Arial Narrow" w:hAnsi="Arial Narrow"/>
              </w:rPr>
              <w:t>$5,057</w:t>
            </w:r>
          </w:p>
        </w:tc>
      </w:tr>
      <w:tr w:rsidR="00E61C4B" w:rsidRPr="00CA23AA" w14:paraId="27403743" w14:textId="77777777" w:rsidTr="00594907">
        <w:trPr>
          <w:trHeight w:val="198"/>
        </w:trPr>
        <w:tc>
          <w:tcPr>
            <w:tcW w:w="1942" w:type="dxa"/>
            <w:noWrap/>
          </w:tcPr>
          <w:p w14:paraId="6C9C55BD" w14:textId="77777777" w:rsidR="00E61C4B" w:rsidRPr="00CA23AA" w:rsidRDefault="00E61C4B" w:rsidP="00B522BF">
            <w:pPr>
              <w:rPr>
                <w:rStyle w:val="Small"/>
              </w:rPr>
            </w:pPr>
            <w:r w:rsidRPr="00CA23AA">
              <w:rPr>
                <w:rStyle w:val="Small"/>
              </w:rPr>
              <w:t>Tocilizumab for CRS</w:t>
            </w:r>
          </w:p>
        </w:tc>
        <w:tc>
          <w:tcPr>
            <w:tcW w:w="1338" w:type="dxa"/>
            <w:noWrap/>
            <w:vAlign w:val="center"/>
          </w:tcPr>
          <w:p w14:paraId="44921C2F" w14:textId="77777777" w:rsidR="00E61C4B" w:rsidRPr="00CA23AA" w:rsidRDefault="00E61C4B" w:rsidP="005748B8">
            <w:pPr>
              <w:pStyle w:val="TableCentre"/>
              <w:rPr>
                <w:rStyle w:val="Small"/>
              </w:rPr>
            </w:pPr>
            <w:r w:rsidRPr="00CA23AA">
              <w:rPr>
                <w:rStyle w:val="Small"/>
              </w:rPr>
              <w:t>39.2%</w:t>
            </w:r>
          </w:p>
        </w:tc>
        <w:tc>
          <w:tcPr>
            <w:tcW w:w="1338" w:type="dxa"/>
            <w:vAlign w:val="center"/>
          </w:tcPr>
          <w:p w14:paraId="34501FE6" w14:textId="77777777" w:rsidR="00E61C4B" w:rsidRPr="00CA23AA" w:rsidRDefault="00E61C4B" w:rsidP="005748B8">
            <w:pPr>
              <w:pStyle w:val="TableCentre"/>
              <w:rPr>
                <w:rStyle w:val="Small"/>
              </w:rPr>
            </w:pPr>
            <w:r w:rsidRPr="00CA23AA">
              <w:rPr>
                <w:rStyle w:val="Small"/>
              </w:rPr>
              <w:t>$448</w:t>
            </w:r>
          </w:p>
        </w:tc>
        <w:tc>
          <w:tcPr>
            <w:tcW w:w="1084" w:type="dxa"/>
            <w:vAlign w:val="center"/>
          </w:tcPr>
          <w:p w14:paraId="00E498D2" w14:textId="77777777" w:rsidR="00E61C4B" w:rsidRPr="00CA23AA" w:rsidRDefault="00E61C4B" w:rsidP="005748B8">
            <w:pPr>
              <w:pStyle w:val="TableCentre"/>
              <w:rPr>
                <w:rFonts w:ascii="Arial Narrow" w:hAnsi="Arial Narrow"/>
              </w:rPr>
            </w:pPr>
            <w:r w:rsidRPr="00CA23AA">
              <w:rPr>
                <w:rStyle w:val="Small"/>
              </w:rPr>
              <w:t>39.2%</w:t>
            </w:r>
          </w:p>
        </w:tc>
        <w:tc>
          <w:tcPr>
            <w:tcW w:w="961" w:type="dxa"/>
            <w:vAlign w:val="center"/>
          </w:tcPr>
          <w:p w14:paraId="5CC750BB" w14:textId="77777777" w:rsidR="00E61C4B" w:rsidRPr="00CA23AA" w:rsidRDefault="00E61C4B" w:rsidP="005748B8">
            <w:pPr>
              <w:pStyle w:val="TableCentre"/>
              <w:rPr>
                <w:rFonts w:ascii="Arial Narrow" w:hAnsi="Arial Narrow"/>
              </w:rPr>
            </w:pPr>
            <w:r w:rsidRPr="00CA23AA">
              <w:rPr>
                <w:rStyle w:val="Small"/>
              </w:rPr>
              <w:t>$448</w:t>
            </w:r>
          </w:p>
        </w:tc>
        <w:tc>
          <w:tcPr>
            <w:tcW w:w="1162" w:type="dxa"/>
            <w:tcBorders>
              <w:bottom w:val="single" w:sz="4" w:space="0" w:color="auto"/>
            </w:tcBorders>
            <w:shd w:val="solid" w:color="000000" w:fill="000000"/>
            <w:vAlign w:val="center"/>
          </w:tcPr>
          <w:p w14:paraId="3C689100" w14:textId="3FF547E6"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128F8724" w14:textId="278FA6E3" w:rsidR="00E61C4B" w:rsidRPr="00CA23AA" w:rsidRDefault="00E61C4B" w:rsidP="005748B8">
            <w:pPr>
              <w:pStyle w:val="TableCentre"/>
              <w:rPr>
                <w:rFonts w:ascii="Arial Narrow" w:hAnsi="Arial Narrow"/>
              </w:rPr>
            </w:pPr>
            <w:r w:rsidRPr="00CA23AA">
              <w:rPr>
                <w:rFonts w:ascii="Arial Narrow" w:hAnsi="Arial Narrow"/>
              </w:rPr>
              <w:t>$340</w:t>
            </w:r>
          </w:p>
        </w:tc>
      </w:tr>
      <w:tr w:rsidR="00E61C4B" w:rsidRPr="00CA23AA" w14:paraId="13F51233" w14:textId="77777777" w:rsidTr="00594907">
        <w:trPr>
          <w:trHeight w:val="198"/>
        </w:trPr>
        <w:tc>
          <w:tcPr>
            <w:tcW w:w="1942" w:type="dxa"/>
            <w:noWrap/>
          </w:tcPr>
          <w:p w14:paraId="6594CE3E" w14:textId="77777777" w:rsidR="00E61C4B" w:rsidRPr="00CA23AA" w:rsidRDefault="00E61C4B" w:rsidP="00B522BF">
            <w:pPr>
              <w:rPr>
                <w:rStyle w:val="Small"/>
              </w:rPr>
            </w:pPr>
            <w:r w:rsidRPr="00CA23AA">
              <w:rPr>
                <w:rStyle w:val="Small"/>
              </w:rPr>
              <w:t>Subsequent SCT</w:t>
            </w:r>
          </w:p>
        </w:tc>
        <w:tc>
          <w:tcPr>
            <w:tcW w:w="1338" w:type="dxa"/>
            <w:noWrap/>
            <w:vAlign w:val="center"/>
          </w:tcPr>
          <w:p w14:paraId="18B9169D" w14:textId="77777777" w:rsidR="00E61C4B" w:rsidRPr="00CA23AA" w:rsidRDefault="00E61C4B" w:rsidP="005748B8">
            <w:pPr>
              <w:pStyle w:val="TableCentre"/>
              <w:rPr>
                <w:rStyle w:val="Small"/>
              </w:rPr>
            </w:pPr>
            <w:r w:rsidRPr="00CA23AA">
              <w:rPr>
                <w:rStyle w:val="Small"/>
              </w:rPr>
              <w:t>19.0%</w:t>
            </w:r>
          </w:p>
        </w:tc>
        <w:tc>
          <w:tcPr>
            <w:tcW w:w="1338" w:type="dxa"/>
            <w:vAlign w:val="center"/>
          </w:tcPr>
          <w:p w14:paraId="0FA542B4" w14:textId="77777777" w:rsidR="00E61C4B" w:rsidRPr="00CA23AA" w:rsidRDefault="00E61C4B" w:rsidP="005748B8">
            <w:pPr>
              <w:pStyle w:val="TableCentre"/>
              <w:rPr>
                <w:rStyle w:val="Small"/>
              </w:rPr>
            </w:pPr>
            <w:r w:rsidRPr="00CA23AA">
              <w:rPr>
                <w:rStyle w:val="Small"/>
              </w:rPr>
              <w:t>$227,286</w:t>
            </w:r>
          </w:p>
        </w:tc>
        <w:tc>
          <w:tcPr>
            <w:tcW w:w="1084" w:type="dxa"/>
            <w:vAlign w:val="center"/>
          </w:tcPr>
          <w:p w14:paraId="51FCB9AC" w14:textId="77777777" w:rsidR="00E61C4B" w:rsidRPr="00CA23AA" w:rsidRDefault="00E61C4B" w:rsidP="005748B8">
            <w:pPr>
              <w:pStyle w:val="TableCentre"/>
              <w:rPr>
                <w:rFonts w:ascii="Arial Narrow" w:hAnsi="Arial Narrow"/>
              </w:rPr>
            </w:pPr>
            <w:r w:rsidRPr="00CA23AA">
              <w:rPr>
                <w:rStyle w:val="Small"/>
              </w:rPr>
              <w:t>19.0%</w:t>
            </w:r>
          </w:p>
        </w:tc>
        <w:tc>
          <w:tcPr>
            <w:tcW w:w="961" w:type="dxa"/>
            <w:vAlign w:val="center"/>
          </w:tcPr>
          <w:p w14:paraId="676BE3DB" w14:textId="77777777" w:rsidR="00E61C4B" w:rsidRPr="00CA23AA" w:rsidRDefault="00E61C4B" w:rsidP="005748B8">
            <w:pPr>
              <w:pStyle w:val="TableCentre"/>
              <w:rPr>
                <w:rFonts w:ascii="Arial Narrow" w:hAnsi="Arial Narrow"/>
              </w:rPr>
            </w:pPr>
            <w:r w:rsidRPr="00CA23AA">
              <w:rPr>
                <w:rStyle w:val="Small"/>
              </w:rPr>
              <w:t>$227,286</w:t>
            </w:r>
          </w:p>
        </w:tc>
        <w:tc>
          <w:tcPr>
            <w:tcW w:w="1162" w:type="dxa"/>
            <w:tcBorders>
              <w:bottom w:val="single" w:sz="4" w:space="0" w:color="auto"/>
            </w:tcBorders>
            <w:shd w:val="solid" w:color="000000" w:fill="000000"/>
            <w:vAlign w:val="center"/>
          </w:tcPr>
          <w:p w14:paraId="7F4690D4" w14:textId="42DEB849"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shd w:val="clear" w:color="auto" w:fill="DEEAF6" w:themeFill="accent1" w:themeFillTint="33"/>
            <w:vAlign w:val="center"/>
          </w:tcPr>
          <w:p w14:paraId="512F058F" w14:textId="4D02264F" w:rsidR="00E61C4B" w:rsidRPr="00CA23AA" w:rsidRDefault="00E61C4B" w:rsidP="005748B8">
            <w:pPr>
              <w:pStyle w:val="TableCentre"/>
              <w:rPr>
                <w:rFonts w:ascii="Arial Narrow" w:hAnsi="Arial Narrow"/>
              </w:rPr>
            </w:pPr>
            <w:r w:rsidRPr="00CA23AA">
              <w:rPr>
                <w:rFonts w:ascii="Arial Narrow" w:hAnsi="Arial Narrow"/>
              </w:rPr>
              <w:t>$290,695</w:t>
            </w:r>
          </w:p>
        </w:tc>
      </w:tr>
      <w:tr w:rsidR="00E61C4B" w:rsidRPr="00CA23AA" w14:paraId="7FB11D74" w14:textId="77777777" w:rsidTr="00594907">
        <w:trPr>
          <w:trHeight w:val="198"/>
        </w:trPr>
        <w:tc>
          <w:tcPr>
            <w:tcW w:w="1942" w:type="dxa"/>
            <w:noWrap/>
          </w:tcPr>
          <w:p w14:paraId="3BC7DA70" w14:textId="77777777" w:rsidR="00E61C4B" w:rsidRPr="00CA23AA" w:rsidRDefault="00E61C4B" w:rsidP="00B522BF">
            <w:pPr>
              <w:rPr>
                <w:rStyle w:val="Small"/>
              </w:rPr>
            </w:pPr>
            <w:r w:rsidRPr="00CA23AA">
              <w:rPr>
                <w:rStyle w:val="Small"/>
              </w:rPr>
              <w:t>Other serious AEs</w:t>
            </w:r>
          </w:p>
        </w:tc>
        <w:tc>
          <w:tcPr>
            <w:tcW w:w="1338" w:type="dxa"/>
            <w:noWrap/>
            <w:vAlign w:val="center"/>
          </w:tcPr>
          <w:p w14:paraId="7D13BF18" w14:textId="77777777" w:rsidR="00E61C4B" w:rsidRPr="00CA23AA" w:rsidRDefault="00E61C4B" w:rsidP="005748B8">
            <w:pPr>
              <w:pStyle w:val="TableCentre"/>
              <w:rPr>
                <w:rStyle w:val="Small"/>
              </w:rPr>
            </w:pPr>
            <w:r w:rsidRPr="00CA23AA">
              <w:rPr>
                <w:rStyle w:val="Small"/>
              </w:rPr>
              <w:t>89.9%</w:t>
            </w:r>
          </w:p>
        </w:tc>
        <w:tc>
          <w:tcPr>
            <w:tcW w:w="1338" w:type="dxa"/>
            <w:vAlign w:val="center"/>
          </w:tcPr>
          <w:p w14:paraId="7996F5B3" w14:textId="77777777" w:rsidR="00E61C4B" w:rsidRPr="00CA23AA" w:rsidRDefault="00E61C4B" w:rsidP="005748B8">
            <w:pPr>
              <w:pStyle w:val="TableCentre"/>
              <w:rPr>
                <w:rStyle w:val="Small"/>
              </w:rPr>
            </w:pPr>
            <w:r w:rsidRPr="00CA23AA">
              <w:rPr>
                <w:rStyle w:val="Small"/>
              </w:rPr>
              <w:t>$2,040</w:t>
            </w:r>
          </w:p>
        </w:tc>
        <w:tc>
          <w:tcPr>
            <w:tcW w:w="1084" w:type="dxa"/>
            <w:vAlign w:val="center"/>
          </w:tcPr>
          <w:p w14:paraId="2F5CC924" w14:textId="77777777" w:rsidR="00E61C4B" w:rsidRPr="00CA23AA" w:rsidRDefault="00E61C4B" w:rsidP="005748B8">
            <w:pPr>
              <w:pStyle w:val="TableCentre"/>
              <w:rPr>
                <w:rFonts w:ascii="Arial Narrow" w:hAnsi="Arial Narrow"/>
              </w:rPr>
            </w:pPr>
            <w:r w:rsidRPr="00CA23AA">
              <w:rPr>
                <w:rStyle w:val="Small"/>
              </w:rPr>
              <w:t>89.9%</w:t>
            </w:r>
          </w:p>
        </w:tc>
        <w:tc>
          <w:tcPr>
            <w:tcW w:w="961" w:type="dxa"/>
            <w:vAlign w:val="center"/>
          </w:tcPr>
          <w:p w14:paraId="159D4053" w14:textId="77777777" w:rsidR="00E61C4B" w:rsidRPr="00CA23AA" w:rsidRDefault="00E61C4B" w:rsidP="005748B8">
            <w:pPr>
              <w:pStyle w:val="TableCentre"/>
              <w:rPr>
                <w:rFonts w:ascii="Arial Narrow" w:hAnsi="Arial Narrow"/>
              </w:rPr>
            </w:pPr>
            <w:r w:rsidRPr="00CA23AA">
              <w:rPr>
                <w:rStyle w:val="Small"/>
              </w:rPr>
              <w:t>$2,040</w:t>
            </w:r>
          </w:p>
        </w:tc>
        <w:tc>
          <w:tcPr>
            <w:tcW w:w="1162" w:type="dxa"/>
            <w:tcBorders>
              <w:bottom w:val="single" w:sz="4" w:space="0" w:color="auto"/>
            </w:tcBorders>
            <w:shd w:val="solid" w:color="000000" w:fill="000000"/>
            <w:vAlign w:val="center"/>
          </w:tcPr>
          <w:p w14:paraId="4CB96640" w14:textId="42CB7502"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c>
          <w:tcPr>
            <w:tcW w:w="1101" w:type="dxa"/>
            <w:tcBorders>
              <w:bottom w:val="single" w:sz="4" w:space="0" w:color="auto"/>
            </w:tcBorders>
            <w:shd w:val="clear" w:color="auto" w:fill="DEEAF6" w:themeFill="accent1" w:themeFillTint="33"/>
            <w:vAlign w:val="center"/>
          </w:tcPr>
          <w:p w14:paraId="7F9484A1" w14:textId="77777777" w:rsidR="00E61C4B" w:rsidRPr="00CA23AA" w:rsidRDefault="00E61C4B" w:rsidP="005748B8">
            <w:pPr>
              <w:pStyle w:val="TableCentre"/>
              <w:rPr>
                <w:rFonts w:ascii="Arial Narrow" w:hAnsi="Arial Narrow"/>
              </w:rPr>
            </w:pPr>
            <w:r w:rsidRPr="00CA23AA">
              <w:rPr>
                <w:rFonts w:ascii="Arial Narrow" w:hAnsi="Arial Narrow"/>
              </w:rPr>
              <w:t>$1,901</w:t>
            </w:r>
          </w:p>
        </w:tc>
      </w:tr>
      <w:tr w:rsidR="00E61C4B" w:rsidRPr="00CA23AA" w14:paraId="3AD4FD20" w14:textId="77777777" w:rsidTr="00594907">
        <w:trPr>
          <w:trHeight w:val="198"/>
        </w:trPr>
        <w:tc>
          <w:tcPr>
            <w:tcW w:w="1942" w:type="dxa"/>
            <w:noWrap/>
          </w:tcPr>
          <w:p w14:paraId="48C3ECD7" w14:textId="77777777" w:rsidR="00E61C4B" w:rsidRPr="00CA23AA" w:rsidRDefault="00E61C4B" w:rsidP="00B522BF">
            <w:pPr>
              <w:rPr>
                <w:rStyle w:val="Small"/>
              </w:rPr>
            </w:pPr>
            <w:r w:rsidRPr="00CA23AA">
              <w:rPr>
                <w:rStyle w:val="Small"/>
              </w:rPr>
              <w:t>Average per infused</w:t>
            </w:r>
          </w:p>
        </w:tc>
        <w:tc>
          <w:tcPr>
            <w:tcW w:w="2676" w:type="dxa"/>
            <w:gridSpan w:val="2"/>
            <w:noWrap/>
            <w:vAlign w:val="center"/>
          </w:tcPr>
          <w:p w14:paraId="1F61DE22" w14:textId="77777777" w:rsidR="00E61C4B" w:rsidRPr="00CA23AA" w:rsidRDefault="00E61C4B" w:rsidP="005748B8">
            <w:pPr>
              <w:pStyle w:val="TableCentre"/>
              <w:rPr>
                <w:rStyle w:val="Small"/>
              </w:rPr>
            </w:pPr>
            <w:r w:rsidRPr="00CA23AA">
              <w:rPr>
                <w:rStyle w:val="Small"/>
              </w:rPr>
              <w:t>$171,787</w:t>
            </w:r>
          </w:p>
        </w:tc>
        <w:tc>
          <w:tcPr>
            <w:tcW w:w="2045" w:type="dxa"/>
            <w:gridSpan w:val="2"/>
            <w:vAlign w:val="center"/>
          </w:tcPr>
          <w:p w14:paraId="089372A8" w14:textId="77777777" w:rsidR="00E61C4B" w:rsidRPr="00CA23AA" w:rsidRDefault="00E61C4B" w:rsidP="005748B8">
            <w:pPr>
              <w:pStyle w:val="TableCentre"/>
              <w:rPr>
                <w:rFonts w:ascii="Arial Narrow" w:hAnsi="Arial Narrow"/>
              </w:rPr>
            </w:pPr>
            <w:r w:rsidRPr="00CA23AA">
              <w:rPr>
                <w:rStyle w:val="Small"/>
              </w:rPr>
              <w:t>$171,787</w:t>
            </w:r>
          </w:p>
        </w:tc>
        <w:tc>
          <w:tcPr>
            <w:tcW w:w="2263" w:type="dxa"/>
            <w:gridSpan w:val="2"/>
            <w:tcBorders>
              <w:bottom w:val="single" w:sz="4" w:space="0" w:color="auto"/>
            </w:tcBorders>
            <w:shd w:val="solid" w:color="000000" w:fill="000000"/>
            <w:vAlign w:val="center"/>
          </w:tcPr>
          <w:p w14:paraId="1BA24244" w14:textId="44C4681D"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r>
      <w:tr w:rsidR="00E61C4B" w:rsidRPr="00CA23AA" w14:paraId="05821A88" w14:textId="77777777" w:rsidTr="00594907">
        <w:trPr>
          <w:trHeight w:val="198"/>
        </w:trPr>
        <w:tc>
          <w:tcPr>
            <w:tcW w:w="1942" w:type="dxa"/>
            <w:noWrap/>
          </w:tcPr>
          <w:p w14:paraId="17FF86F9" w14:textId="77777777" w:rsidR="00E61C4B" w:rsidRPr="00CA23AA" w:rsidRDefault="00E61C4B" w:rsidP="00B522BF">
            <w:pPr>
              <w:rPr>
                <w:rStyle w:val="Small"/>
              </w:rPr>
            </w:pPr>
            <w:r w:rsidRPr="00CA23AA">
              <w:rPr>
                <w:rStyle w:val="Small"/>
              </w:rPr>
              <w:t>Average per enrolled</w:t>
            </w:r>
          </w:p>
        </w:tc>
        <w:tc>
          <w:tcPr>
            <w:tcW w:w="2676" w:type="dxa"/>
            <w:gridSpan w:val="2"/>
            <w:noWrap/>
            <w:vAlign w:val="center"/>
          </w:tcPr>
          <w:p w14:paraId="40E9C9D6" w14:textId="77777777" w:rsidR="00E61C4B" w:rsidRPr="00CA23AA" w:rsidRDefault="00E61C4B" w:rsidP="005748B8">
            <w:pPr>
              <w:pStyle w:val="TableCentre"/>
              <w:rPr>
                <w:rStyle w:val="Small"/>
              </w:rPr>
            </w:pPr>
            <w:r w:rsidRPr="00CA23AA">
              <w:rPr>
                <w:rStyle w:val="Small"/>
              </w:rPr>
              <w:t>$171,123</w:t>
            </w:r>
          </w:p>
        </w:tc>
        <w:tc>
          <w:tcPr>
            <w:tcW w:w="2045" w:type="dxa"/>
            <w:gridSpan w:val="2"/>
            <w:vAlign w:val="center"/>
          </w:tcPr>
          <w:p w14:paraId="63F0E63D" w14:textId="77777777" w:rsidR="00E61C4B" w:rsidRPr="00CA23AA" w:rsidRDefault="00E61C4B" w:rsidP="005748B8">
            <w:pPr>
              <w:pStyle w:val="TableCentre"/>
              <w:rPr>
                <w:rFonts w:ascii="Arial Narrow" w:hAnsi="Arial Narrow"/>
              </w:rPr>
            </w:pPr>
            <w:r w:rsidRPr="00CA23AA">
              <w:rPr>
                <w:rStyle w:val="Small"/>
              </w:rPr>
              <w:t>$171,123</w:t>
            </w:r>
          </w:p>
        </w:tc>
        <w:tc>
          <w:tcPr>
            <w:tcW w:w="2263" w:type="dxa"/>
            <w:gridSpan w:val="2"/>
            <w:shd w:val="solid" w:color="000000" w:fill="000000"/>
            <w:vAlign w:val="center"/>
          </w:tcPr>
          <w:p w14:paraId="25D55DF4" w14:textId="3032BF71" w:rsidR="00E61C4B" w:rsidRPr="00CA23AA" w:rsidRDefault="00594907" w:rsidP="005748B8">
            <w:pPr>
              <w:pStyle w:val="TableCentre"/>
              <w:rPr>
                <w:rFonts w:ascii="Arial Narrow" w:hAnsi="Arial Narrow"/>
              </w:rPr>
            </w:pPr>
            <w:r w:rsidRPr="00594907">
              <w:rPr>
                <w:rFonts w:ascii="Arial Narrow" w:hAnsi="Arial Narrow"/>
                <w:color w:val="000000"/>
                <w14:textFill>
                  <w14:solidFill>
                    <w14:srgbClr w14:val="000000">
                      <w14:alpha w14:val="100000"/>
                    </w14:srgbClr>
                  </w14:solidFill>
                </w14:textFill>
              </w:rPr>
              <w:t>|</w:t>
            </w:r>
          </w:p>
        </w:tc>
      </w:tr>
      <w:tr w:rsidR="00E61C4B" w:rsidRPr="00CA23AA" w14:paraId="5A49021A" w14:textId="77777777" w:rsidTr="005748B8">
        <w:trPr>
          <w:trHeight w:val="198"/>
        </w:trPr>
        <w:tc>
          <w:tcPr>
            <w:tcW w:w="1942" w:type="dxa"/>
            <w:noWrap/>
          </w:tcPr>
          <w:p w14:paraId="6B40926B" w14:textId="77777777" w:rsidR="00E61C4B" w:rsidRPr="00CA23AA" w:rsidRDefault="00E61C4B" w:rsidP="00B522BF">
            <w:pPr>
              <w:rPr>
                <w:rStyle w:val="Small"/>
                <w:b/>
              </w:rPr>
            </w:pPr>
            <w:r w:rsidRPr="00CA23AA">
              <w:rPr>
                <w:rStyle w:val="Small"/>
                <w:b/>
              </w:rPr>
              <w:t xml:space="preserve">BLN </w:t>
            </w:r>
          </w:p>
        </w:tc>
        <w:tc>
          <w:tcPr>
            <w:tcW w:w="1338" w:type="dxa"/>
            <w:noWrap/>
            <w:vAlign w:val="center"/>
          </w:tcPr>
          <w:p w14:paraId="273E09DC" w14:textId="77777777" w:rsidR="00E61C4B" w:rsidRPr="00CA23AA" w:rsidRDefault="00E61C4B" w:rsidP="005748B8">
            <w:pPr>
              <w:pStyle w:val="TableCentre"/>
              <w:rPr>
                <w:rStyle w:val="Small"/>
                <w:b/>
                <w:bCs/>
              </w:rPr>
            </w:pPr>
            <w:r w:rsidRPr="00CA23AA">
              <w:rPr>
                <w:rStyle w:val="Small"/>
                <w:b/>
                <w:bCs/>
              </w:rPr>
              <w:t>Utilisation</w:t>
            </w:r>
          </w:p>
        </w:tc>
        <w:tc>
          <w:tcPr>
            <w:tcW w:w="1338" w:type="dxa"/>
            <w:vAlign w:val="center"/>
          </w:tcPr>
          <w:p w14:paraId="120D017C" w14:textId="77777777" w:rsidR="00E61C4B" w:rsidRPr="00CA23AA" w:rsidRDefault="00E61C4B" w:rsidP="005748B8">
            <w:pPr>
              <w:pStyle w:val="TableCentre"/>
              <w:rPr>
                <w:rStyle w:val="Small"/>
                <w:b/>
                <w:bCs/>
              </w:rPr>
            </w:pPr>
            <w:r w:rsidRPr="00CA23AA">
              <w:rPr>
                <w:rStyle w:val="Small"/>
                <w:b/>
                <w:bCs/>
              </w:rPr>
              <w:t>Item cost</w:t>
            </w:r>
          </w:p>
        </w:tc>
        <w:tc>
          <w:tcPr>
            <w:tcW w:w="1084" w:type="dxa"/>
            <w:vAlign w:val="center"/>
          </w:tcPr>
          <w:p w14:paraId="17FEAD3E" w14:textId="77777777" w:rsidR="00E61C4B" w:rsidRPr="00CA23AA" w:rsidRDefault="00E61C4B" w:rsidP="005748B8">
            <w:pPr>
              <w:pStyle w:val="TableCentre"/>
              <w:rPr>
                <w:rFonts w:ascii="Arial Narrow" w:hAnsi="Arial Narrow"/>
              </w:rPr>
            </w:pPr>
            <w:r w:rsidRPr="00CA23AA">
              <w:rPr>
                <w:rStyle w:val="Small"/>
                <w:b/>
                <w:bCs/>
              </w:rPr>
              <w:t>Utilisation</w:t>
            </w:r>
          </w:p>
        </w:tc>
        <w:tc>
          <w:tcPr>
            <w:tcW w:w="961" w:type="dxa"/>
            <w:vAlign w:val="center"/>
          </w:tcPr>
          <w:p w14:paraId="2048EA09" w14:textId="77777777" w:rsidR="00E61C4B" w:rsidRPr="00CA23AA" w:rsidRDefault="00E61C4B" w:rsidP="005748B8">
            <w:pPr>
              <w:pStyle w:val="TableCentre"/>
              <w:rPr>
                <w:rFonts w:ascii="Arial Narrow" w:hAnsi="Arial Narrow"/>
              </w:rPr>
            </w:pPr>
            <w:r w:rsidRPr="00CA23AA">
              <w:rPr>
                <w:rStyle w:val="Small"/>
                <w:b/>
                <w:bCs/>
              </w:rPr>
              <w:t>Item cost</w:t>
            </w:r>
          </w:p>
        </w:tc>
        <w:tc>
          <w:tcPr>
            <w:tcW w:w="1162" w:type="dxa"/>
            <w:vAlign w:val="center"/>
          </w:tcPr>
          <w:p w14:paraId="28470BD3" w14:textId="77777777" w:rsidR="00E61C4B" w:rsidRPr="00CA23AA" w:rsidRDefault="00E61C4B" w:rsidP="005748B8">
            <w:pPr>
              <w:pStyle w:val="TableCentre"/>
              <w:rPr>
                <w:rFonts w:ascii="Arial Narrow" w:hAnsi="Arial Narrow"/>
              </w:rPr>
            </w:pPr>
            <w:r w:rsidRPr="00CA23AA">
              <w:rPr>
                <w:rStyle w:val="Small"/>
                <w:b/>
                <w:bCs/>
              </w:rPr>
              <w:t>Utilisation</w:t>
            </w:r>
          </w:p>
        </w:tc>
        <w:tc>
          <w:tcPr>
            <w:tcW w:w="1101" w:type="dxa"/>
            <w:vAlign w:val="center"/>
          </w:tcPr>
          <w:p w14:paraId="489D6C1A" w14:textId="77777777" w:rsidR="00E61C4B" w:rsidRPr="00CA23AA" w:rsidRDefault="00E61C4B" w:rsidP="005748B8">
            <w:pPr>
              <w:pStyle w:val="TableCentre"/>
              <w:rPr>
                <w:rFonts w:ascii="Arial Narrow" w:hAnsi="Arial Narrow"/>
              </w:rPr>
            </w:pPr>
            <w:r w:rsidRPr="00CA23AA">
              <w:rPr>
                <w:rStyle w:val="Small"/>
                <w:b/>
                <w:bCs/>
              </w:rPr>
              <w:t>Item cost</w:t>
            </w:r>
          </w:p>
        </w:tc>
      </w:tr>
      <w:tr w:rsidR="00E61C4B" w:rsidRPr="00CA23AA" w14:paraId="14A37ED5" w14:textId="77777777" w:rsidTr="005748B8">
        <w:trPr>
          <w:trHeight w:val="198"/>
        </w:trPr>
        <w:tc>
          <w:tcPr>
            <w:tcW w:w="1942" w:type="dxa"/>
            <w:noWrap/>
          </w:tcPr>
          <w:p w14:paraId="3DE2856C" w14:textId="77777777" w:rsidR="00E61C4B" w:rsidRPr="00CA23AA" w:rsidRDefault="00E61C4B" w:rsidP="00B522BF">
            <w:pPr>
              <w:rPr>
                <w:rStyle w:val="Small"/>
              </w:rPr>
            </w:pPr>
            <w:r w:rsidRPr="00CA23AA">
              <w:rPr>
                <w:rStyle w:val="Small"/>
              </w:rPr>
              <w:t>Blinatumomab</w:t>
            </w:r>
          </w:p>
        </w:tc>
        <w:tc>
          <w:tcPr>
            <w:tcW w:w="1338" w:type="dxa"/>
            <w:noWrap/>
            <w:vAlign w:val="center"/>
          </w:tcPr>
          <w:p w14:paraId="3625623E" w14:textId="77777777" w:rsidR="00E61C4B" w:rsidRPr="00CA23AA" w:rsidRDefault="00E61C4B" w:rsidP="005748B8">
            <w:pPr>
              <w:pStyle w:val="TableCentre"/>
              <w:rPr>
                <w:rStyle w:val="Small"/>
              </w:rPr>
            </w:pPr>
            <w:r w:rsidRPr="00CA23AA">
              <w:rPr>
                <w:rStyle w:val="Small"/>
              </w:rPr>
              <w:t>100%</w:t>
            </w:r>
          </w:p>
        </w:tc>
        <w:tc>
          <w:tcPr>
            <w:tcW w:w="1338" w:type="dxa"/>
            <w:vAlign w:val="center"/>
          </w:tcPr>
          <w:p w14:paraId="5336AE7A" w14:textId="77777777" w:rsidR="00E61C4B" w:rsidRPr="00CA23AA" w:rsidRDefault="00E61C4B" w:rsidP="005748B8">
            <w:pPr>
              <w:pStyle w:val="TableCentre"/>
              <w:rPr>
                <w:rStyle w:val="Small"/>
              </w:rPr>
            </w:pPr>
            <w:r w:rsidRPr="00CA23AA">
              <w:rPr>
                <w:rStyle w:val="Small"/>
              </w:rPr>
              <w:t>$73,666</w:t>
            </w:r>
          </w:p>
        </w:tc>
        <w:tc>
          <w:tcPr>
            <w:tcW w:w="1084" w:type="dxa"/>
            <w:vAlign w:val="center"/>
          </w:tcPr>
          <w:p w14:paraId="73D062DF" w14:textId="77777777" w:rsidR="00E61C4B" w:rsidRPr="00CA23AA" w:rsidRDefault="00E61C4B" w:rsidP="005748B8">
            <w:pPr>
              <w:pStyle w:val="TableCentre"/>
              <w:rPr>
                <w:rFonts w:ascii="Arial Narrow" w:hAnsi="Arial Narrow"/>
              </w:rPr>
            </w:pPr>
            <w:r w:rsidRPr="00CA23AA">
              <w:rPr>
                <w:rStyle w:val="Small"/>
              </w:rPr>
              <w:t>100%</w:t>
            </w:r>
          </w:p>
        </w:tc>
        <w:tc>
          <w:tcPr>
            <w:tcW w:w="961" w:type="dxa"/>
            <w:vAlign w:val="center"/>
          </w:tcPr>
          <w:p w14:paraId="1C6DFC13" w14:textId="77777777" w:rsidR="00E61C4B" w:rsidRPr="00CA23AA" w:rsidRDefault="00E61C4B" w:rsidP="005748B8">
            <w:pPr>
              <w:pStyle w:val="TableCentre"/>
              <w:rPr>
                <w:rFonts w:ascii="Arial Narrow" w:hAnsi="Arial Narrow"/>
              </w:rPr>
            </w:pPr>
            <w:r w:rsidRPr="00CA23AA">
              <w:rPr>
                <w:rStyle w:val="Small"/>
              </w:rPr>
              <w:t>$73,666</w:t>
            </w:r>
          </w:p>
        </w:tc>
        <w:tc>
          <w:tcPr>
            <w:tcW w:w="1162" w:type="dxa"/>
            <w:vAlign w:val="center"/>
          </w:tcPr>
          <w:p w14:paraId="426C3081" w14:textId="77777777" w:rsidR="00E61C4B" w:rsidRPr="00CA23AA" w:rsidRDefault="00E61C4B" w:rsidP="005748B8">
            <w:pPr>
              <w:pStyle w:val="TableCentre"/>
              <w:rPr>
                <w:rFonts w:ascii="Arial Narrow" w:hAnsi="Arial Narrow"/>
              </w:rPr>
            </w:pPr>
            <w:r w:rsidRPr="00CA23AA">
              <w:rPr>
                <w:rStyle w:val="Small"/>
              </w:rPr>
              <w:t>100%</w:t>
            </w:r>
          </w:p>
        </w:tc>
        <w:tc>
          <w:tcPr>
            <w:tcW w:w="1101" w:type="dxa"/>
            <w:vAlign w:val="center"/>
          </w:tcPr>
          <w:p w14:paraId="4B8DA944" w14:textId="77777777" w:rsidR="00E61C4B" w:rsidRPr="00CA23AA" w:rsidRDefault="00E61C4B" w:rsidP="005748B8">
            <w:pPr>
              <w:pStyle w:val="TableCentre"/>
              <w:rPr>
                <w:rFonts w:ascii="Arial Narrow" w:hAnsi="Arial Narrow"/>
              </w:rPr>
            </w:pPr>
            <w:r w:rsidRPr="00CA23AA">
              <w:rPr>
                <w:rFonts w:ascii="Arial Narrow" w:hAnsi="Arial Narrow"/>
              </w:rPr>
              <w:t>$65,480</w:t>
            </w:r>
          </w:p>
        </w:tc>
      </w:tr>
      <w:tr w:rsidR="00E61C4B" w:rsidRPr="00CA23AA" w14:paraId="64D83DB5" w14:textId="77777777" w:rsidTr="005748B8">
        <w:trPr>
          <w:trHeight w:val="198"/>
        </w:trPr>
        <w:tc>
          <w:tcPr>
            <w:tcW w:w="1942" w:type="dxa"/>
            <w:noWrap/>
          </w:tcPr>
          <w:p w14:paraId="5F455EC9" w14:textId="77777777" w:rsidR="00E61C4B" w:rsidRPr="00CA23AA" w:rsidRDefault="00E61C4B" w:rsidP="00B522BF">
            <w:pPr>
              <w:rPr>
                <w:rStyle w:val="Small"/>
              </w:rPr>
            </w:pPr>
            <w:r w:rsidRPr="00CA23AA">
              <w:rPr>
                <w:rStyle w:val="Small"/>
              </w:rPr>
              <w:t>Inpatient admin.</w:t>
            </w:r>
          </w:p>
        </w:tc>
        <w:tc>
          <w:tcPr>
            <w:tcW w:w="1338" w:type="dxa"/>
            <w:noWrap/>
            <w:vAlign w:val="center"/>
          </w:tcPr>
          <w:p w14:paraId="035221B6" w14:textId="77777777" w:rsidR="00E61C4B" w:rsidRPr="00CA23AA" w:rsidRDefault="00E61C4B" w:rsidP="005748B8">
            <w:pPr>
              <w:pStyle w:val="TableCentre"/>
              <w:rPr>
                <w:rStyle w:val="Small"/>
              </w:rPr>
            </w:pPr>
            <w:r w:rsidRPr="00CA23AA">
              <w:rPr>
                <w:rStyle w:val="Small"/>
              </w:rPr>
              <w:t>100%</w:t>
            </w:r>
          </w:p>
        </w:tc>
        <w:tc>
          <w:tcPr>
            <w:tcW w:w="1338" w:type="dxa"/>
            <w:vAlign w:val="center"/>
          </w:tcPr>
          <w:p w14:paraId="00E3EAAF" w14:textId="77777777" w:rsidR="00E61C4B" w:rsidRPr="00CA23AA" w:rsidRDefault="00E61C4B" w:rsidP="005748B8">
            <w:pPr>
              <w:pStyle w:val="TableCentre"/>
              <w:rPr>
                <w:rStyle w:val="Small"/>
              </w:rPr>
            </w:pPr>
            <w:r w:rsidRPr="00CA23AA">
              <w:rPr>
                <w:rStyle w:val="Small"/>
              </w:rPr>
              <w:t>$2,040</w:t>
            </w:r>
          </w:p>
        </w:tc>
        <w:tc>
          <w:tcPr>
            <w:tcW w:w="1084" w:type="dxa"/>
            <w:vAlign w:val="center"/>
          </w:tcPr>
          <w:p w14:paraId="42AEEB75" w14:textId="77777777" w:rsidR="00E61C4B" w:rsidRPr="00CA23AA" w:rsidRDefault="00E61C4B" w:rsidP="005748B8">
            <w:pPr>
              <w:pStyle w:val="TableCentre"/>
              <w:rPr>
                <w:rFonts w:ascii="Arial Narrow" w:hAnsi="Arial Narrow"/>
              </w:rPr>
            </w:pPr>
            <w:r w:rsidRPr="00CA23AA">
              <w:rPr>
                <w:rStyle w:val="Small"/>
              </w:rPr>
              <w:t>100%</w:t>
            </w:r>
          </w:p>
        </w:tc>
        <w:tc>
          <w:tcPr>
            <w:tcW w:w="961" w:type="dxa"/>
            <w:vAlign w:val="center"/>
          </w:tcPr>
          <w:p w14:paraId="4B8BB499" w14:textId="77777777" w:rsidR="00E61C4B" w:rsidRPr="00CA23AA" w:rsidRDefault="00E61C4B" w:rsidP="005748B8">
            <w:pPr>
              <w:pStyle w:val="TableCentre"/>
              <w:rPr>
                <w:rFonts w:ascii="Arial Narrow" w:hAnsi="Arial Narrow"/>
              </w:rPr>
            </w:pPr>
            <w:r w:rsidRPr="00CA23AA">
              <w:rPr>
                <w:rStyle w:val="Small"/>
              </w:rPr>
              <w:t>$2,040</w:t>
            </w:r>
          </w:p>
        </w:tc>
        <w:tc>
          <w:tcPr>
            <w:tcW w:w="1162" w:type="dxa"/>
            <w:vAlign w:val="center"/>
          </w:tcPr>
          <w:p w14:paraId="499C3B28" w14:textId="77777777" w:rsidR="00E61C4B" w:rsidRPr="00CA23AA" w:rsidRDefault="00E61C4B" w:rsidP="005748B8">
            <w:pPr>
              <w:pStyle w:val="TableCentre"/>
              <w:rPr>
                <w:rFonts w:ascii="Arial Narrow" w:hAnsi="Arial Narrow"/>
              </w:rPr>
            </w:pPr>
            <w:r w:rsidRPr="00CA23AA">
              <w:rPr>
                <w:rStyle w:val="Small"/>
              </w:rPr>
              <w:t>100%</w:t>
            </w:r>
          </w:p>
        </w:tc>
        <w:tc>
          <w:tcPr>
            <w:tcW w:w="1101" w:type="dxa"/>
            <w:vAlign w:val="center"/>
          </w:tcPr>
          <w:p w14:paraId="099644C0" w14:textId="77777777" w:rsidR="00E61C4B" w:rsidRPr="00CA23AA" w:rsidRDefault="00E61C4B" w:rsidP="005748B8">
            <w:pPr>
              <w:pStyle w:val="TableCentre"/>
              <w:rPr>
                <w:rFonts w:ascii="Arial Narrow" w:hAnsi="Arial Narrow"/>
              </w:rPr>
            </w:pPr>
            <w:r w:rsidRPr="00CA23AA">
              <w:rPr>
                <w:rFonts w:ascii="Arial Narrow" w:hAnsi="Arial Narrow"/>
              </w:rPr>
              <w:t>$1,901</w:t>
            </w:r>
          </w:p>
        </w:tc>
      </w:tr>
      <w:tr w:rsidR="00E61C4B" w:rsidRPr="00CA23AA" w14:paraId="6F27A16C" w14:textId="77777777" w:rsidTr="005748B8">
        <w:trPr>
          <w:trHeight w:val="198"/>
        </w:trPr>
        <w:tc>
          <w:tcPr>
            <w:tcW w:w="1942" w:type="dxa"/>
            <w:noWrap/>
          </w:tcPr>
          <w:p w14:paraId="56C43F4A" w14:textId="77777777" w:rsidR="00E61C4B" w:rsidRPr="00CA23AA" w:rsidRDefault="00E61C4B" w:rsidP="00B522BF">
            <w:pPr>
              <w:rPr>
                <w:rStyle w:val="Small"/>
              </w:rPr>
            </w:pPr>
            <w:r w:rsidRPr="00CA23AA">
              <w:rPr>
                <w:rStyle w:val="Small"/>
              </w:rPr>
              <w:t>Outpatient admin.</w:t>
            </w:r>
          </w:p>
        </w:tc>
        <w:tc>
          <w:tcPr>
            <w:tcW w:w="1338" w:type="dxa"/>
            <w:noWrap/>
            <w:vAlign w:val="center"/>
          </w:tcPr>
          <w:p w14:paraId="41BCE15C" w14:textId="77777777" w:rsidR="00E61C4B" w:rsidRPr="00CA23AA" w:rsidRDefault="00E61C4B" w:rsidP="005748B8">
            <w:pPr>
              <w:pStyle w:val="TableCentre"/>
              <w:rPr>
                <w:rStyle w:val="Small"/>
              </w:rPr>
            </w:pPr>
            <w:r w:rsidRPr="00CA23AA">
              <w:rPr>
                <w:rStyle w:val="Small"/>
              </w:rPr>
              <w:t>100%</w:t>
            </w:r>
          </w:p>
        </w:tc>
        <w:tc>
          <w:tcPr>
            <w:tcW w:w="1338" w:type="dxa"/>
            <w:vAlign w:val="center"/>
          </w:tcPr>
          <w:p w14:paraId="061E5A58" w14:textId="77777777" w:rsidR="00E61C4B" w:rsidRPr="00CA23AA" w:rsidRDefault="00E61C4B" w:rsidP="005748B8">
            <w:pPr>
              <w:pStyle w:val="TableCentre"/>
              <w:rPr>
                <w:rStyle w:val="Small"/>
              </w:rPr>
            </w:pPr>
            <w:r w:rsidRPr="00CA23AA">
              <w:rPr>
                <w:rStyle w:val="Small"/>
              </w:rPr>
              <w:t>$468</w:t>
            </w:r>
          </w:p>
        </w:tc>
        <w:tc>
          <w:tcPr>
            <w:tcW w:w="1084" w:type="dxa"/>
            <w:vAlign w:val="center"/>
          </w:tcPr>
          <w:p w14:paraId="557CA63A" w14:textId="77777777" w:rsidR="00E61C4B" w:rsidRPr="00CA23AA" w:rsidRDefault="00E61C4B" w:rsidP="005748B8">
            <w:pPr>
              <w:pStyle w:val="TableCentre"/>
              <w:rPr>
                <w:rFonts w:ascii="Arial Narrow" w:hAnsi="Arial Narrow"/>
              </w:rPr>
            </w:pPr>
            <w:r w:rsidRPr="00CA23AA">
              <w:rPr>
                <w:rStyle w:val="Small"/>
              </w:rPr>
              <w:t>100%</w:t>
            </w:r>
          </w:p>
        </w:tc>
        <w:tc>
          <w:tcPr>
            <w:tcW w:w="961" w:type="dxa"/>
            <w:vAlign w:val="center"/>
          </w:tcPr>
          <w:p w14:paraId="2A01EB1E" w14:textId="77777777" w:rsidR="00E61C4B" w:rsidRPr="00CA23AA" w:rsidRDefault="00E61C4B" w:rsidP="005748B8">
            <w:pPr>
              <w:pStyle w:val="TableCentre"/>
              <w:rPr>
                <w:rFonts w:ascii="Arial Narrow" w:hAnsi="Arial Narrow"/>
              </w:rPr>
            </w:pPr>
            <w:r w:rsidRPr="00CA23AA">
              <w:rPr>
                <w:rStyle w:val="Small"/>
              </w:rPr>
              <w:t>$468</w:t>
            </w:r>
          </w:p>
        </w:tc>
        <w:tc>
          <w:tcPr>
            <w:tcW w:w="1162" w:type="dxa"/>
            <w:vAlign w:val="center"/>
          </w:tcPr>
          <w:p w14:paraId="26A5B4E4" w14:textId="77777777" w:rsidR="00E61C4B" w:rsidRPr="00CA23AA" w:rsidRDefault="00E61C4B" w:rsidP="005748B8">
            <w:pPr>
              <w:pStyle w:val="TableCentre"/>
              <w:rPr>
                <w:rFonts w:ascii="Arial Narrow" w:hAnsi="Arial Narrow"/>
              </w:rPr>
            </w:pPr>
            <w:r w:rsidRPr="00CA23AA">
              <w:rPr>
                <w:rStyle w:val="Small"/>
              </w:rPr>
              <w:t>100%</w:t>
            </w:r>
          </w:p>
        </w:tc>
        <w:tc>
          <w:tcPr>
            <w:tcW w:w="1101" w:type="dxa"/>
            <w:vAlign w:val="center"/>
          </w:tcPr>
          <w:p w14:paraId="3E19643F" w14:textId="77777777" w:rsidR="00E61C4B" w:rsidRPr="00CA23AA" w:rsidRDefault="00E61C4B" w:rsidP="005748B8">
            <w:pPr>
              <w:pStyle w:val="TableCentre"/>
              <w:rPr>
                <w:rFonts w:ascii="Arial Narrow" w:hAnsi="Arial Narrow"/>
              </w:rPr>
            </w:pPr>
            <w:r w:rsidRPr="00CA23AA">
              <w:rPr>
                <w:rFonts w:ascii="Arial Narrow" w:hAnsi="Arial Narrow"/>
              </w:rPr>
              <w:t>$430</w:t>
            </w:r>
          </w:p>
        </w:tc>
      </w:tr>
      <w:tr w:rsidR="00E61C4B" w:rsidRPr="00CA23AA" w14:paraId="6C54575F" w14:textId="77777777" w:rsidTr="005748B8">
        <w:trPr>
          <w:trHeight w:val="198"/>
        </w:trPr>
        <w:tc>
          <w:tcPr>
            <w:tcW w:w="1942" w:type="dxa"/>
            <w:noWrap/>
          </w:tcPr>
          <w:p w14:paraId="5E689296" w14:textId="77777777" w:rsidR="00E61C4B" w:rsidRPr="00CA23AA" w:rsidRDefault="00E61C4B" w:rsidP="00B522BF">
            <w:pPr>
              <w:rPr>
                <w:rStyle w:val="Small"/>
              </w:rPr>
            </w:pPr>
            <w:r w:rsidRPr="00CA23AA">
              <w:rPr>
                <w:rStyle w:val="Small"/>
              </w:rPr>
              <w:t>ICU for CRS</w:t>
            </w:r>
          </w:p>
        </w:tc>
        <w:tc>
          <w:tcPr>
            <w:tcW w:w="1338" w:type="dxa"/>
            <w:noWrap/>
            <w:vAlign w:val="center"/>
          </w:tcPr>
          <w:p w14:paraId="6CCC6320" w14:textId="77777777" w:rsidR="00E61C4B" w:rsidRPr="00CA23AA" w:rsidRDefault="00E61C4B" w:rsidP="005748B8">
            <w:pPr>
              <w:pStyle w:val="TableCentre"/>
              <w:rPr>
                <w:rStyle w:val="Small"/>
              </w:rPr>
            </w:pPr>
            <w:r w:rsidRPr="00CA23AA">
              <w:rPr>
                <w:rStyle w:val="Small"/>
              </w:rPr>
              <w:t>5.7%</w:t>
            </w:r>
          </w:p>
        </w:tc>
        <w:tc>
          <w:tcPr>
            <w:tcW w:w="1338" w:type="dxa"/>
            <w:vAlign w:val="center"/>
          </w:tcPr>
          <w:p w14:paraId="7803AC45" w14:textId="77777777" w:rsidR="00E61C4B" w:rsidRPr="00CA23AA" w:rsidRDefault="00E61C4B" w:rsidP="005748B8">
            <w:pPr>
              <w:pStyle w:val="TableCentre"/>
              <w:rPr>
                <w:rStyle w:val="Small"/>
              </w:rPr>
            </w:pPr>
            <w:r w:rsidRPr="00CA23AA">
              <w:rPr>
                <w:rStyle w:val="Small"/>
              </w:rPr>
              <w:t>$4,800</w:t>
            </w:r>
          </w:p>
        </w:tc>
        <w:tc>
          <w:tcPr>
            <w:tcW w:w="1084" w:type="dxa"/>
            <w:vAlign w:val="center"/>
          </w:tcPr>
          <w:p w14:paraId="3FF4D7C4" w14:textId="77777777" w:rsidR="00E61C4B" w:rsidRPr="00CA23AA" w:rsidRDefault="00E61C4B" w:rsidP="005748B8">
            <w:pPr>
              <w:pStyle w:val="TableCentre"/>
              <w:rPr>
                <w:rFonts w:ascii="Arial Narrow" w:hAnsi="Arial Narrow"/>
              </w:rPr>
            </w:pPr>
            <w:r w:rsidRPr="00CA23AA">
              <w:rPr>
                <w:rStyle w:val="Small"/>
              </w:rPr>
              <w:t>5.7%</w:t>
            </w:r>
          </w:p>
        </w:tc>
        <w:tc>
          <w:tcPr>
            <w:tcW w:w="961" w:type="dxa"/>
            <w:vAlign w:val="center"/>
          </w:tcPr>
          <w:p w14:paraId="2F06480E" w14:textId="77777777" w:rsidR="00E61C4B" w:rsidRPr="00CA23AA" w:rsidRDefault="00E61C4B" w:rsidP="005748B8">
            <w:pPr>
              <w:pStyle w:val="TableCentre"/>
              <w:rPr>
                <w:rFonts w:ascii="Arial Narrow" w:hAnsi="Arial Narrow"/>
              </w:rPr>
            </w:pPr>
            <w:r w:rsidRPr="00CA23AA">
              <w:rPr>
                <w:rStyle w:val="Small"/>
              </w:rPr>
              <w:t>$4,800</w:t>
            </w:r>
          </w:p>
        </w:tc>
        <w:tc>
          <w:tcPr>
            <w:tcW w:w="1162" w:type="dxa"/>
            <w:vAlign w:val="center"/>
          </w:tcPr>
          <w:p w14:paraId="1F07105D" w14:textId="77777777" w:rsidR="00E61C4B" w:rsidRPr="00CA23AA" w:rsidRDefault="00E61C4B" w:rsidP="005748B8">
            <w:pPr>
              <w:pStyle w:val="TableCentre"/>
              <w:rPr>
                <w:rFonts w:ascii="Arial Narrow" w:hAnsi="Arial Narrow"/>
              </w:rPr>
            </w:pPr>
            <w:r w:rsidRPr="00CA23AA">
              <w:rPr>
                <w:rStyle w:val="Small"/>
              </w:rPr>
              <w:t>5.7%</w:t>
            </w:r>
          </w:p>
        </w:tc>
        <w:tc>
          <w:tcPr>
            <w:tcW w:w="1101" w:type="dxa"/>
            <w:vAlign w:val="center"/>
          </w:tcPr>
          <w:p w14:paraId="6D0B7A01" w14:textId="77777777" w:rsidR="00E61C4B" w:rsidRPr="00CA23AA" w:rsidRDefault="00E61C4B" w:rsidP="005748B8">
            <w:pPr>
              <w:pStyle w:val="TableCentre"/>
              <w:rPr>
                <w:rFonts w:ascii="Arial Narrow" w:hAnsi="Arial Narrow"/>
              </w:rPr>
            </w:pPr>
            <w:r w:rsidRPr="00CA23AA">
              <w:rPr>
                <w:rFonts w:ascii="Arial Narrow" w:hAnsi="Arial Narrow"/>
              </w:rPr>
              <w:t>$5,057</w:t>
            </w:r>
          </w:p>
        </w:tc>
      </w:tr>
      <w:tr w:rsidR="00E61C4B" w:rsidRPr="00CA23AA" w14:paraId="574DB421" w14:textId="77777777" w:rsidTr="005748B8">
        <w:trPr>
          <w:trHeight w:val="198"/>
        </w:trPr>
        <w:tc>
          <w:tcPr>
            <w:tcW w:w="1942" w:type="dxa"/>
            <w:noWrap/>
          </w:tcPr>
          <w:p w14:paraId="7AA8BDA3" w14:textId="77777777" w:rsidR="00E61C4B" w:rsidRPr="00CA23AA" w:rsidRDefault="00E61C4B" w:rsidP="00B522BF">
            <w:pPr>
              <w:rPr>
                <w:rStyle w:val="Small"/>
              </w:rPr>
            </w:pPr>
            <w:r w:rsidRPr="00CA23AA">
              <w:rPr>
                <w:rStyle w:val="Small"/>
              </w:rPr>
              <w:t>Tocilizumab for CRS</w:t>
            </w:r>
          </w:p>
        </w:tc>
        <w:tc>
          <w:tcPr>
            <w:tcW w:w="1338" w:type="dxa"/>
            <w:noWrap/>
            <w:vAlign w:val="center"/>
          </w:tcPr>
          <w:p w14:paraId="3680063C" w14:textId="77777777" w:rsidR="00E61C4B" w:rsidRPr="00CA23AA" w:rsidRDefault="00E61C4B" w:rsidP="005748B8">
            <w:pPr>
              <w:pStyle w:val="TableCentre"/>
              <w:rPr>
                <w:rStyle w:val="Small"/>
              </w:rPr>
            </w:pPr>
            <w:r w:rsidRPr="00CA23AA">
              <w:rPr>
                <w:rStyle w:val="Small"/>
              </w:rPr>
              <w:t>5.7%</w:t>
            </w:r>
          </w:p>
        </w:tc>
        <w:tc>
          <w:tcPr>
            <w:tcW w:w="1338" w:type="dxa"/>
            <w:vAlign w:val="center"/>
          </w:tcPr>
          <w:p w14:paraId="687BF48D" w14:textId="77777777" w:rsidR="00E61C4B" w:rsidRPr="00CA23AA" w:rsidRDefault="00E61C4B" w:rsidP="005748B8">
            <w:pPr>
              <w:pStyle w:val="TableCentre"/>
              <w:rPr>
                <w:rStyle w:val="Small"/>
              </w:rPr>
            </w:pPr>
            <w:r w:rsidRPr="00CA23AA">
              <w:rPr>
                <w:rStyle w:val="Small"/>
              </w:rPr>
              <w:t>$448</w:t>
            </w:r>
          </w:p>
        </w:tc>
        <w:tc>
          <w:tcPr>
            <w:tcW w:w="1084" w:type="dxa"/>
            <w:vAlign w:val="center"/>
          </w:tcPr>
          <w:p w14:paraId="7661AD5F" w14:textId="77777777" w:rsidR="00E61C4B" w:rsidRPr="00CA23AA" w:rsidRDefault="00E61C4B" w:rsidP="005748B8">
            <w:pPr>
              <w:pStyle w:val="TableCentre"/>
              <w:rPr>
                <w:rFonts w:ascii="Arial Narrow" w:hAnsi="Arial Narrow"/>
              </w:rPr>
            </w:pPr>
            <w:r w:rsidRPr="00CA23AA">
              <w:rPr>
                <w:rStyle w:val="Small"/>
              </w:rPr>
              <w:t>5.7%</w:t>
            </w:r>
          </w:p>
        </w:tc>
        <w:tc>
          <w:tcPr>
            <w:tcW w:w="961" w:type="dxa"/>
            <w:vAlign w:val="center"/>
          </w:tcPr>
          <w:p w14:paraId="1C4501C9" w14:textId="77777777" w:rsidR="00E61C4B" w:rsidRPr="00CA23AA" w:rsidRDefault="00E61C4B" w:rsidP="005748B8">
            <w:pPr>
              <w:pStyle w:val="TableCentre"/>
              <w:rPr>
                <w:rFonts w:ascii="Arial Narrow" w:hAnsi="Arial Narrow"/>
              </w:rPr>
            </w:pPr>
            <w:r w:rsidRPr="00CA23AA">
              <w:rPr>
                <w:rStyle w:val="Small"/>
              </w:rPr>
              <w:t>$448</w:t>
            </w:r>
          </w:p>
        </w:tc>
        <w:tc>
          <w:tcPr>
            <w:tcW w:w="1162" w:type="dxa"/>
            <w:vAlign w:val="center"/>
          </w:tcPr>
          <w:p w14:paraId="1E6241A1" w14:textId="77777777" w:rsidR="00E61C4B" w:rsidRPr="00CA23AA" w:rsidRDefault="00E61C4B" w:rsidP="005748B8">
            <w:pPr>
              <w:pStyle w:val="TableCentre"/>
              <w:rPr>
                <w:rFonts w:ascii="Arial Narrow" w:hAnsi="Arial Narrow"/>
              </w:rPr>
            </w:pPr>
            <w:r w:rsidRPr="00CA23AA">
              <w:rPr>
                <w:rStyle w:val="Small"/>
              </w:rPr>
              <w:t>5.7%</w:t>
            </w:r>
          </w:p>
        </w:tc>
        <w:tc>
          <w:tcPr>
            <w:tcW w:w="1101" w:type="dxa"/>
            <w:vAlign w:val="center"/>
          </w:tcPr>
          <w:p w14:paraId="3A7C8D83" w14:textId="77777777" w:rsidR="00E61C4B" w:rsidRPr="00CA23AA" w:rsidRDefault="00E61C4B" w:rsidP="005748B8">
            <w:pPr>
              <w:pStyle w:val="TableCentre"/>
              <w:rPr>
                <w:rFonts w:ascii="Arial Narrow" w:hAnsi="Arial Narrow"/>
              </w:rPr>
            </w:pPr>
            <w:r w:rsidRPr="00CA23AA">
              <w:rPr>
                <w:rFonts w:ascii="Arial Narrow" w:hAnsi="Arial Narrow"/>
              </w:rPr>
              <w:t>$340</w:t>
            </w:r>
          </w:p>
        </w:tc>
      </w:tr>
      <w:tr w:rsidR="00E61C4B" w:rsidRPr="00CA23AA" w14:paraId="10F0766A" w14:textId="77777777" w:rsidTr="005748B8">
        <w:trPr>
          <w:trHeight w:val="198"/>
        </w:trPr>
        <w:tc>
          <w:tcPr>
            <w:tcW w:w="1942" w:type="dxa"/>
            <w:noWrap/>
          </w:tcPr>
          <w:p w14:paraId="5B043226" w14:textId="77777777" w:rsidR="00E61C4B" w:rsidRPr="00CA23AA" w:rsidRDefault="00E61C4B" w:rsidP="00B522BF">
            <w:pPr>
              <w:rPr>
                <w:rStyle w:val="Small"/>
              </w:rPr>
            </w:pPr>
            <w:r w:rsidRPr="00CA23AA">
              <w:rPr>
                <w:rStyle w:val="Small"/>
              </w:rPr>
              <w:t>Subsequent SCT</w:t>
            </w:r>
          </w:p>
        </w:tc>
        <w:tc>
          <w:tcPr>
            <w:tcW w:w="1338" w:type="dxa"/>
            <w:noWrap/>
            <w:vAlign w:val="center"/>
          </w:tcPr>
          <w:p w14:paraId="4B04C5AE" w14:textId="77777777" w:rsidR="00E61C4B" w:rsidRPr="00CA23AA" w:rsidRDefault="00E61C4B" w:rsidP="005748B8">
            <w:pPr>
              <w:pStyle w:val="TableCentre"/>
              <w:rPr>
                <w:rStyle w:val="Small"/>
              </w:rPr>
            </w:pPr>
            <w:r w:rsidRPr="00CA23AA">
              <w:rPr>
                <w:rStyle w:val="Small"/>
              </w:rPr>
              <w:t>34.3%</w:t>
            </w:r>
          </w:p>
        </w:tc>
        <w:tc>
          <w:tcPr>
            <w:tcW w:w="1338" w:type="dxa"/>
            <w:vAlign w:val="center"/>
          </w:tcPr>
          <w:p w14:paraId="112070F1" w14:textId="77777777" w:rsidR="00E61C4B" w:rsidRPr="00CA23AA" w:rsidRDefault="00E61C4B" w:rsidP="005748B8">
            <w:pPr>
              <w:pStyle w:val="TableCentre"/>
              <w:rPr>
                <w:rStyle w:val="Small"/>
              </w:rPr>
            </w:pPr>
            <w:r w:rsidRPr="00CA23AA">
              <w:rPr>
                <w:rStyle w:val="Small"/>
              </w:rPr>
              <w:t>$227,286</w:t>
            </w:r>
          </w:p>
        </w:tc>
        <w:tc>
          <w:tcPr>
            <w:tcW w:w="1084" w:type="dxa"/>
            <w:vAlign w:val="center"/>
          </w:tcPr>
          <w:p w14:paraId="24998107" w14:textId="77777777" w:rsidR="00E61C4B" w:rsidRPr="00CA23AA" w:rsidRDefault="00E61C4B" w:rsidP="005748B8">
            <w:pPr>
              <w:pStyle w:val="TableCentre"/>
              <w:rPr>
                <w:rFonts w:ascii="Arial Narrow" w:hAnsi="Arial Narrow"/>
              </w:rPr>
            </w:pPr>
            <w:r w:rsidRPr="00CA23AA">
              <w:rPr>
                <w:rStyle w:val="Small"/>
              </w:rPr>
              <w:t>34.3%</w:t>
            </w:r>
          </w:p>
        </w:tc>
        <w:tc>
          <w:tcPr>
            <w:tcW w:w="961" w:type="dxa"/>
            <w:vAlign w:val="center"/>
          </w:tcPr>
          <w:p w14:paraId="2FF7BB37" w14:textId="77777777" w:rsidR="00E61C4B" w:rsidRPr="00CA23AA" w:rsidRDefault="00E61C4B" w:rsidP="005748B8">
            <w:pPr>
              <w:pStyle w:val="TableCentre"/>
              <w:rPr>
                <w:rFonts w:ascii="Arial Narrow" w:hAnsi="Arial Narrow"/>
              </w:rPr>
            </w:pPr>
            <w:r w:rsidRPr="00CA23AA">
              <w:rPr>
                <w:rStyle w:val="Small"/>
              </w:rPr>
              <w:t>$227,286</w:t>
            </w:r>
          </w:p>
        </w:tc>
        <w:tc>
          <w:tcPr>
            <w:tcW w:w="1162" w:type="dxa"/>
            <w:vAlign w:val="center"/>
          </w:tcPr>
          <w:p w14:paraId="4DD6065F" w14:textId="77777777" w:rsidR="00E61C4B" w:rsidRPr="00CA23AA" w:rsidRDefault="00E61C4B" w:rsidP="005748B8">
            <w:pPr>
              <w:pStyle w:val="TableCentre"/>
              <w:rPr>
                <w:rFonts w:ascii="Arial Narrow" w:hAnsi="Arial Narrow"/>
              </w:rPr>
            </w:pPr>
            <w:r w:rsidRPr="00CA23AA">
              <w:rPr>
                <w:rStyle w:val="Small"/>
              </w:rPr>
              <w:t>34.3%</w:t>
            </w:r>
          </w:p>
        </w:tc>
        <w:tc>
          <w:tcPr>
            <w:tcW w:w="1101" w:type="dxa"/>
            <w:vAlign w:val="center"/>
          </w:tcPr>
          <w:p w14:paraId="26BF38BD" w14:textId="77777777" w:rsidR="00E61C4B" w:rsidRPr="00CA23AA" w:rsidRDefault="00E61C4B" w:rsidP="005748B8">
            <w:pPr>
              <w:pStyle w:val="TableCentre"/>
              <w:rPr>
                <w:rFonts w:ascii="Arial Narrow" w:hAnsi="Arial Narrow"/>
              </w:rPr>
            </w:pPr>
            <w:r w:rsidRPr="00CA23AA">
              <w:rPr>
                <w:rFonts w:ascii="Arial Narrow" w:hAnsi="Arial Narrow"/>
              </w:rPr>
              <w:t>$290,695</w:t>
            </w:r>
          </w:p>
        </w:tc>
      </w:tr>
      <w:tr w:rsidR="00E61C4B" w:rsidRPr="00CA23AA" w14:paraId="79CD5994" w14:textId="77777777" w:rsidTr="005748B8">
        <w:trPr>
          <w:trHeight w:val="198"/>
        </w:trPr>
        <w:tc>
          <w:tcPr>
            <w:tcW w:w="1942" w:type="dxa"/>
            <w:noWrap/>
          </w:tcPr>
          <w:p w14:paraId="73FB8C7B" w14:textId="77777777" w:rsidR="00E61C4B" w:rsidRPr="00CA23AA" w:rsidRDefault="00E61C4B" w:rsidP="00B522BF">
            <w:pPr>
              <w:rPr>
                <w:rStyle w:val="Small"/>
              </w:rPr>
            </w:pPr>
            <w:r w:rsidRPr="00CA23AA">
              <w:rPr>
                <w:rStyle w:val="Small"/>
              </w:rPr>
              <w:t>Other serious AEs</w:t>
            </w:r>
          </w:p>
        </w:tc>
        <w:tc>
          <w:tcPr>
            <w:tcW w:w="1338" w:type="dxa"/>
            <w:noWrap/>
            <w:vAlign w:val="center"/>
          </w:tcPr>
          <w:p w14:paraId="144951EF" w14:textId="77777777" w:rsidR="00E61C4B" w:rsidRPr="00CA23AA" w:rsidRDefault="00E61C4B" w:rsidP="005748B8">
            <w:pPr>
              <w:pStyle w:val="TableCentre"/>
              <w:rPr>
                <w:rStyle w:val="Small"/>
              </w:rPr>
            </w:pPr>
            <w:r w:rsidRPr="00CA23AA">
              <w:rPr>
                <w:rStyle w:val="Small"/>
              </w:rPr>
              <w:t>87.1%</w:t>
            </w:r>
          </w:p>
        </w:tc>
        <w:tc>
          <w:tcPr>
            <w:tcW w:w="1338" w:type="dxa"/>
            <w:vAlign w:val="center"/>
          </w:tcPr>
          <w:p w14:paraId="5BD8EC0E" w14:textId="77777777" w:rsidR="00E61C4B" w:rsidRPr="00CA23AA" w:rsidRDefault="00E61C4B" w:rsidP="005748B8">
            <w:pPr>
              <w:pStyle w:val="TableCentre"/>
              <w:rPr>
                <w:rStyle w:val="Small"/>
              </w:rPr>
            </w:pPr>
            <w:r w:rsidRPr="00CA23AA">
              <w:rPr>
                <w:rStyle w:val="Small"/>
              </w:rPr>
              <w:t>$2,040</w:t>
            </w:r>
          </w:p>
        </w:tc>
        <w:tc>
          <w:tcPr>
            <w:tcW w:w="1084" w:type="dxa"/>
            <w:vAlign w:val="center"/>
          </w:tcPr>
          <w:p w14:paraId="2BE4B1B3" w14:textId="77777777" w:rsidR="00E61C4B" w:rsidRPr="00CA23AA" w:rsidRDefault="00E61C4B" w:rsidP="005748B8">
            <w:pPr>
              <w:pStyle w:val="TableCentre"/>
              <w:rPr>
                <w:rFonts w:ascii="Arial Narrow" w:hAnsi="Arial Narrow"/>
              </w:rPr>
            </w:pPr>
            <w:r w:rsidRPr="00CA23AA">
              <w:rPr>
                <w:rStyle w:val="Small"/>
              </w:rPr>
              <w:t>87.1%</w:t>
            </w:r>
          </w:p>
        </w:tc>
        <w:tc>
          <w:tcPr>
            <w:tcW w:w="961" w:type="dxa"/>
            <w:vAlign w:val="center"/>
          </w:tcPr>
          <w:p w14:paraId="7F81E6FB" w14:textId="77777777" w:rsidR="00E61C4B" w:rsidRPr="00CA23AA" w:rsidRDefault="00E61C4B" w:rsidP="005748B8">
            <w:pPr>
              <w:pStyle w:val="TableCentre"/>
              <w:rPr>
                <w:rFonts w:ascii="Arial Narrow" w:hAnsi="Arial Narrow"/>
              </w:rPr>
            </w:pPr>
            <w:r w:rsidRPr="00CA23AA">
              <w:rPr>
                <w:rStyle w:val="Small"/>
              </w:rPr>
              <w:t>$2,040</w:t>
            </w:r>
          </w:p>
        </w:tc>
        <w:tc>
          <w:tcPr>
            <w:tcW w:w="1162" w:type="dxa"/>
            <w:vAlign w:val="center"/>
          </w:tcPr>
          <w:p w14:paraId="35872BE9" w14:textId="77777777" w:rsidR="00E61C4B" w:rsidRPr="00CA23AA" w:rsidRDefault="00E61C4B" w:rsidP="005748B8">
            <w:pPr>
              <w:pStyle w:val="TableCentre"/>
              <w:rPr>
                <w:rFonts w:ascii="Arial Narrow" w:hAnsi="Arial Narrow"/>
              </w:rPr>
            </w:pPr>
            <w:r w:rsidRPr="00CA23AA">
              <w:rPr>
                <w:rStyle w:val="Small"/>
              </w:rPr>
              <w:t>87.1%</w:t>
            </w:r>
          </w:p>
        </w:tc>
        <w:tc>
          <w:tcPr>
            <w:tcW w:w="1101" w:type="dxa"/>
            <w:vAlign w:val="center"/>
          </w:tcPr>
          <w:p w14:paraId="1DAC65E2" w14:textId="77777777" w:rsidR="00E61C4B" w:rsidRPr="00CA23AA" w:rsidRDefault="00E61C4B" w:rsidP="005748B8">
            <w:pPr>
              <w:pStyle w:val="TableCentre"/>
              <w:rPr>
                <w:rFonts w:ascii="Arial Narrow" w:hAnsi="Arial Narrow"/>
              </w:rPr>
            </w:pPr>
            <w:r w:rsidRPr="00CA23AA">
              <w:rPr>
                <w:rFonts w:ascii="Arial Narrow" w:hAnsi="Arial Narrow"/>
              </w:rPr>
              <w:t>$1,901</w:t>
            </w:r>
          </w:p>
        </w:tc>
      </w:tr>
      <w:tr w:rsidR="00E61C4B" w:rsidRPr="00CA23AA" w14:paraId="07CDD481" w14:textId="77777777" w:rsidTr="005748B8">
        <w:trPr>
          <w:trHeight w:val="198"/>
        </w:trPr>
        <w:tc>
          <w:tcPr>
            <w:tcW w:w="1942" w:type="dxa"/>
            <w:noWrap/>
          </w:tcPr>
          <w:p w14:paraId="55F271BC" w14:textId="77777777" w:rsidR="00E61C4B" w:rsidRPr="00CA23AA" w:rsidRDefault="00E61C4B" w:rsidP="00B522BF">
            <w:pPr>
              <w:rPr>
                <w:rStyle w:val="Small"/>
              </w:rPr>
            </w:pPr>
            <w:r w:rsidRPr="00CA23AA">
              <w:rPr>
                <w:rStyle w:val="Small"/>
              </w:rPr>
              <w:t>Average per patient</w:t>
            </w:r>
          </w:p>
        </w:tc>
        <w:tc>
          <w:tcPr>
            <w:tcW w:w="2676" w:type="dxa"/>
            <w:gridSpan w:val="2"/>
            <w:noWrap/>
            <w:vAlign w:val="center"/>
          </w:tcPr>
          <w:p w14:paraId="51021396" w14:textId="77777777" w:rsidR="00E61C4B" w:rsidRPr="00CA23AA" w:rsidRDefault="00E61C4B" w:rsidP="005748B8">
            <w:pPr>
              <w:pStyle w:val="TableCentre"/>
              <w:rPr>
                <w:rStyle w:val="Small"/>
              </w:rPr>
            </w:pPr>
            <w:r w:rsidRPr="00CA23AA">
              <w:rPr>
                <w:rStyle w:val="Small"/>
              </w:rPr>
              <w:t>$186,096</w:t>
            </w:r>
          </w:p>
        </w:tc>
        <w:tc>
          <w:tcPr>
            <w:tcW w:w="2045" w:type="dxa"/>
            <w:gridSpan w:val="2"/>
            <w:vAlign w:val="center"/>
          </w:tcPr>
          <w:p w14:paraId="57B6369C" w14:textId="77777777" w:rsidR="00E61C4B" w:rsidRPr="00CA23AA" w:rsidRDefault="00E61C4B" w:rsidP="005748B8">
            <w:pPr>
              <w:pStyle w:val="TableCentre"/>
              <w:rPr>
                <w:rFonts w:ascii="Arial Narrow" w:hAnsi="Arial Narrow"/>
              </w:rPr>
            </w:pPr>
            <w:r w:rsidRPr="00CA23AA">
              <w:rPr>
                <w:rStyle w:val="Small"/>
              </w:rPr>
              <w:t>$186,096</w:t>
            </w:r>
          </w:p>
        </w:tc>
        <w:tc>
          <w:tcPr>
            <w:tcW w:w="2263" w:type="dxa"/>
            <w:gridSpan w:val="2"/>
            <w:vAlign w:val="center"/>
          </w:tcPr>
          <w:p w14:paraId="0459E5B4" w14:textId="77777777" w:rsidR="00E61C4B" w:rsidRPr="00CA23AA" w:rsidRDefault="00E61C4B" w:rsidP="005748B8">
            <w:pPr>
              <w:pStyle w:val="TableCentre"/>
              <w:rPr>
                <w:rFonts w:ascii="Arial Narrow" w:hAnsi="Arial Narrow"/>
              </w:rPr>
            </w:pPr>
            <w:r w:rsidRPr="00CA23AA">
              <w:rPr>
                <w:rStyle w:val="Small"/>
              </w:rPr>
              <w:t>$197,670</w:t>
            </w:r>
          </w:p>
        </w:tc>
      </w:tr>
      <w:tr w:rsidR="00E61C4B" w:rsidRPr="00CA23AA" w14:paraId="32758FE3" w14:textId="77777777" w:rsidTr="003F1198">
        <w:trPr>
          <w:trHeight w:val="198"/>
        </w:trPr>
        <w:tc>
          <w:tcPr>
            <w:tcW w:w="1942" w:type="dxa"/>
            <w:noWrap/>
          </w:tcPr>
          <w:p w14:paraId="7E5E0F7C" w14:textId="77777777" w:rsidR="00E61C4B" w:rsidRPr="00CA23AA" w:rsidRDefault="00E61C4B" w:rsidP="00B522BF">
            <w:pPr>
              <w:rPr>
                <w:rStyle w:val="Small"/>
                <w:b/>
              </w:rPr>
            </w:pPr>
            <w:r w:rsidRPr="00CA23AA">
              <w:rPr>
                <w:rStyle w:val="Small"/>
                <w:b/>
              </w:rPr>
              <w:t>IVIG</w:t>
            </w:r>
          </w:p>
        </w:tc>
        <w:tc>
          <w:tcPr>
            <w:tcW w:w="1338" w:type="dxa"/>
            <w:noWrap/>
          </w:tcPr>
          <w:p w14:paraId="7984F1D8" w14:textId="77777777" w:rsidR="00E61C4B" w:rsidRPr="00CA23AA" w:rsidRDefault="00E61C4B" w:rsidP="00B522BF">
            <w:pPr>
              <w:pStyle w:val="TableCentre"/>
              <w:rPr>
                <w:rStyle w:val="Small"/>
                <w:b/>
                <w:bCs/>
              </w:rPr>
            </w:pPr>
            <w:r w:rsidRPr="00CA23AA">
              <w:rPr>
                <w:rStyle w:val="Small"/>
                <w:b/>
                <w:bCs/>
              </w:rPr>
              <w:t>TIS</w:t>
            </w:r>
          </w:p>
        </w:tc>
        <w:tc>
          <w:tcPr>
            <w:tcW w:w="1338" w:type="dxa"/>
          </w:tcPr>
          <w:p w14:paraId="7C3ED796" w14:textId="77777777" w:rsidR="00E61C4B" w:rsidRPr="00CA23AA" w:rsidRDefault="00E61C4B" w:rsidP="00B522BF">
            <w:pPr>
              <w:pStyle w:val="TableCentre"/>
              <w:rPr>
                <w:rStyle w:val="Small"/>
                <w:b/>
                <w:bCs/>
              </w:rPr>
            </w:pPr>
            <w:r w:rsidRPr="00CA23AA">
              <w:rPr>
                <w:rStyle w:val="Small"/>
                <w:b/>
                <w:bCs/>
              </w:rPr>
              <w:t>BLN</w:t>
            </w:r>
          </w:p>
        </w:tc>
        <w:tc>
          <w:tcPr>
            <w:tcW w:w="1084" w:type="dxa"/>
          </w:tcPr>
          <w:p w14:paraId="11E199E5" w14:textId="77777777" w:rsidR="00E61C4B" w:rsidRPr="00CA23AA" w:rsidRDefault="00E61C4B" w:rsidP="00B522BF">
            <w:pPr>
              <w:pStyle w:val="TableCentre"/>
              <w:rPr>
                <w:rFonts w:ascii="Arial Narrow" w:hAnsi="Arial Narrow"/>
              </w:rPr>
            </w:pPr>
            <w:r w:rsidRPr="00CA23AA">
              <w:rPr>
                <w:rStyle w:val="Small"/>
                <w:b/>
                <w:bCs/>
              </w:rPr>
              <w:t>TIS</w:t>
            </w:r>
          </w:p>
        </w:tc>
        <w:tc>
          <w:tcPr>
            <w:tcW w:w="961" w:type="dxa"/>
          </w:tcPr>
          <w:p w14:paraId="16D9982C" w14:textId="77777777" w:rsidR="00E61C4B" w:rsidRPr="00CA23AA" w:rsidRDefault="00E61C4B" w:rsidP="00B522BF">
            <w:pPr>
              <w:pStyle w:val="TableCentre"/>
              <w:rPr>
                <w:rFonts w:ascii="Arial Narrow" w:hAnsi="Arial Narrow"/>
              </w:rPr>
            </w:pPr>
            <w:r w:rsidRPr="00CA23AA">
              <w:rPr>
                <w:rStyle w:val="Small"/>
                <w:b/>
                <w:bCs/>
              </w:rPr>
              <w:t>BLN</w:t>
            </w:r>
          </w:p>
        </w:tc>
        <w:tc>
          <w:tcPr>
            <w:tcW w:w="1162" w:type="dxa"/>
          </w:tcPr>
          <w:p w14:paraId="34AF8961" w14:textId="77777777" w:rsidR="00E61C4B" w:rsidRPr="00CA23AA" w:rsidRDefault="00E61C4B" w:rsidP="00B522BF">
            <w:pPr>
              <w:pStyle w:val="TableCentre"/>
              <w:rPr>
                <w:rFonts w:ascii="Arial Narrow" w:hAnsi="Arial Narrow"/>
              </w:rPr>
            </w:pPr>
            <w:r w:rsidRPr="00CA23AA">
              <w:rPr>
                <w:rFonts w:ascii="Arial Narrow" w:hAnsi="Arial Narrow"/>
              </w:rPr>
              <w:t>TIS</w:t>
            </w:r>
          </w:p>
        </w:tc>
        <w:tc>
          <w:tcPr>
            <w:tcW w:w="1101" w:type="dxa"/>
          </w:tcPr>
          <w:p w14:paraId="4D362D52" w14:textId="77777777" w:rsidR="00E61C4B" w:rsidRPr="00CA23AA" w:rsidRDefault="00E61C4B" w:rsidP="00B522BF">
            <w:pPr>
              <w:pStyle w:val="TableCentre"/>
              <w:rPr>
                <w:rFonts w:ascii="Arial Narrow" w:hAnsi="Arial Narrow"/>
              </w:rPr>
            </w:pPr>
            <w:r w:rsidRPr="00CA23AA">
              <w:rPr>
                <w:rFonts w:ascii="Arial Narrow" w:hAnsi="Arial Narrow"/>
              </w:rPr>
              <w:t>BLN</w:t>
            </w:r>
          </w:p>
        </w:tc>
      </w:tr>
      <w:tr w:rsidR="00E61C4B" w:rsidRPr="00CA23AA" w14:paraId="3FCF0D78" w14:textId="77777777" w:rsidTr="003F1198">
        <w:trPr>
          <w:trHeight w:val="198"/>
        </w:trPr>
        <w:tc>
          <w:tcPr>
            <w:tcW w:w="1942" w:type="dxa"/>
            <w:noWrap/>
          </w:tcPr>
          <w:p w14:paraId="631DBCEC" w14:textId="77777777" w:rsidR="00E61C4B" w:rsidRPr="00CA23AA" w:rsidRDefault="00E61C4B" w:rsidP="00B522BF">
            <w:pPr>
              <w:rPr>
                <w:rStyle w:val="Small"/>
              </w:rPr>
            </w:pPr>
            <w:r w:rsidRPr="00CA23AA">
              <w:rPr>
                <w:rStyle w:val="Small"/>
              </w:rPr>
              <w:t>Proportion of use</w:t>
            </w:r>
          </w:p>
        </w:tc>
        <w:tc>
          <w:tcPr>
            <w:tcW w:w="1338" w:type="dxa"/>
            <w:noWrap/>
          </w:tcPr>
          <w:p w14:paraId="06E59230" w14:textId="77777777" w:rsidR="00E61C4B" w:rsidRPr="00CA23AA" w:rsidRDefault="00E61C4B" w:rsidP="00B522BF">
            <w:pPr>
              <w:pStyle w:val="TableCentre"/>
              <w:rPr>
                <w:rStyle w:val="Small"/>
              </w:rPr>
            </w:pPr>
            <w:r w:rsidRPr="00CA23AA">
              <w:rPr>
                <w:rStyle w:val="Small"/>
              </w:rPr>
              <w:t>88%</w:t>
            </w:r>
          </w:p>
        </w:tc>
        <w:tc>
          <w:tcPr>
            <w:tcW w:w="1338" w:type="dxa"/>
          </w:tcPr>
          <w:p w14:paraId="3025F6DB" w14:textId="77777777" w:rsidR="00E61C4B" w:rsidRPr="00CA23AA" w:rsidRDefault="00E61C4B" w:rsidP="00B522BF">
            <w:pPr>
              <w:pStyle w:val="TableCentre"/>
              <w:rPr>
                <w:rStyle w:val="Small"/>
              </w:rPr>
            </w:pPr>
            <w:r w:rsidRPr="00CA23AA">
              <w:rPr>
                <w:rStyle w:val="Small"/>
              </w:rPr>
              <w:t>30%</w:t>
            </w:r>
          </w:p>
        </w:tc>
        <w:tc>
          <w:tcPr>
            <w:tcW w:w="1084" w:type="dxa"/>
          </w:tcPr>
          <w:p w14:paraId="3B7C0AF9" w14:textId="77777777" w:rsidR="00E61C4B" w:rsidRPr="00CA23AA" w:rsidRDefault="00E61C4B" w:rsidP="00B522BF">
            <w:pPr>
              <w:pStyle w:val="TableCentre"/>
              <w:rPr>
                <w:rFonts w:ascii="Arial Narrow" w:hAnsi="Arial Narrow"/>
              </w:rPr>
            </w:pPr>
            <w:r w:rsidRPr="00CA23AA">
              <w:rPr>
                <w:rStyle w:val="Small"/>
              </w:rPr>
              <w:t>88%</w:t>
            </w:r>
          </w:p>
        </w:tc>
        <w:tc>
          <w:tcPr>
            <w:tcW w:w="961" w:type="dxa"/>
          </w:tcPr>
          <w:p w14:paraId="20BDBD03" w14:textId="77777777" w:rsidR="00E61C4B" w:rsidRPr="00CA23AA" w:rsidRDefault="00E61C4B" w:rsidP="00B522BF">
            <w:pPr>
              <w:pStyle w:val="TableCentre"/>
              <w:rPr>
                <w:rFonts w:ascii="Arial Narrow" w:hAnsi="Arial Narrow"/>
              </w:rPr>
            </w:pPr>
            <w:r w:rsidRPr="00CA23AA">
              <w:rPr>
                <w:rStyle w:val="Small"/>
              </w:rPr>
              <w:t>30%</w:t>
            </w:r>
          </w:p>
        </w:tc>
        <w:tc>
          <w:tcPr>
            <w:tcW w:w="1162" w:type="dxa"/>
            <w:shd w:val="clear" w:color="auto" w:fill="DEEAF6" w:themeFill="accent1" w:themeFillTint="33"/>
          </w:tcPr>
          <w:p w14:paraId="3345AEDA" w14:textId="04F385F2" w:rsidR="00E61C4B" w:rsidRPr="00CA23AA" w:rsidRDefault="00982219" w:rsidP="00C00F43">
            <w:pPr>
              <w:pStyle w:val="TableCentre"/>
              <w:rPr>
                <w:rFonts w:ascii="Arial Narrow" w:hAnsi="Arial Narrow"/>
              </w:rPr>
            </w:pPr>
            <w:r w:rsidRPr="00982219">
              <w:rPr>
                <w:rFonts w:ascii="Arial Narrow" w:hAnsi="Arial Narrow" w:hint="eastAsia"/>
                <w:color w:val="000000"/>
                <w:w w:val="15"/>
                <w:shd w:val="solid" w:color="000000" w:fill="000000"/>
                <w:fitText w:val="45" w:id="-1157969656"/>
                <w14:textFill>
                  <w14:solidFill>
                    <w14:srgbClr w14:val="000000">
                      <w14:alpha w14:val="100000"/>
                    </w14:srgbClr>
                  </w14:solidFill>
                </w14:textFill>
              </w:rPr>
              <w:t xml:space="preserve">　</w:t>
            </w:r>
            <w:r w:rsidRPr="00982219">
              <w:rPr>
                <w:rFonts w:ascii="Arial Narrow" w:hAnsi="Arial Narrow"/>
                <w:color w:val="000000"/>
                <w:w w:val="15"/>
                <w:shd w:val="solid" w:color="000000" w:fill="000000"/>
                <w:fitText w:val="45" w:id="-1157969656"/>
                <w14:textFill>
                  <w14:solidFill>
                    <w14:srgbClr w14:val="000000">
                      <w14:alpha w14:val="100000"/>
                    </w14:srgbClr>
                  </w14:solidFill>
                </w14:textFill>
              </w:rPr>
              <w:t>|</w:t>
            </w:r>
            <w:r w:rsidRPr="00982219">
              <w:rPr>
                <w:rFonts w:ascii="Arial Narrow" w:hAnsi="Arial Narrow" w:hint="eastAsia"/>
                <w:color w:val="000000"/>
                <w:spacing w:val="-20"/>
                <w:w w:val="15"/>
                <w:shd w:val="solid" w:color="000000" w:fill="000000"/>
                <w:fitText w:val="45" w:id="-1157969656"/>
                <w14:textFill>
                  <w14:solidFill>
                    <w14:srgbClr w14:val="000000">
                      <w14:alpha w14:val="100000"/>
                    </w14:srgbClr>
                  </w14:solidFill>
                </w14:textFill>
              </w:rPr>
              <w:t xml:space="preserve">　</w:t>
            </w:r>
            <w:r w:rsidR="00E61C4B" w:rsidRPr="00CA23AA">
              <w:rPr>
                <w:rFonts w:ascii="Arial Narrow" w:hAnsi="Arial Narrow"/>
              </w:rPr>
              <w:t>%</w:t>
            </w:r>
          </w:p>
        </w:tc>
        <w:tc>
          <w:tcPr>
            <w:tcW w:w="1101" w:type="dxa"/>
          </w:tcPr>
          <w:p w14:paraId="1351AFB9" w14:textId="77777777" w:rsidR="00E61C4B" w:rsidRPr="00CA23AA" w:rsidRDefault="00E61C4B" w:rsidP="00B522BF">
            <w:pPr>
              <w:pStyle w:val="TableCentre"/>
              <w:rPr>
                <w:rFonts w:ascii="Arial Narrow" w:hAnsi="Arial Narrow"/>
              </w:rPr>
            </w:pPr>
            <w:r w:rsidRPr="00CA23AA">
              <w:rPr>
                <w:rFonts w:ascii="Arial Narrow" w:hAnsi="Arial Narrow"/>
              </w:rPr>
              <w:t>30%</w:t>
            </w:r>
          </w:p>
        </w:tc>
      </w:tr>
      <w:tr w:rsidR="00E61C4B" w:rsidRPr="00CA23AA" w14:paraId="2B1E3811" w14:textId="77777777" w:rsidTr="003F1198">
        <w:trPr>
          <w:trHeight w:val="198"/>
        </w:trPr>
        <w:tc>
          <w:tcPr>
            <w:tcW w:w="1942" w:type="dxa"/>
            <w:noWrap/>
          </w:tcPr>
          <w:p w14:paraId="05449674" w14:textId="77777777" w:rsidR="00E61C4B" w:rsidRPr="00CA23AA" w:rsidRDefault="00E61C4B" w:rsidP="00B522BF">
            <w:pPr>
              <w:rPr>
                <w:rStyle w:val="Small"/>
              </w:rPr>
            </w:pPr>
            <w:r w:rsidRPr="00CA23AA">
              <w:rPr>
                <w:rStyle w:val="Small"/>
              </w:rPr>
              <w:t>Acquisition cost</w:t>
            </w:r>
          </w:p>
        </w:tc>
        <w:tc>
          <w:tcPr>
            <w:tcW w:w="1338" w:type="dxa"/>
            <w:noWrap/>
          </w:tcPr>
          <w:p w14:paraId="334C9C29" w14:textId="77777777" w:rsidR="00E61C4B" w:rsidRPr="00CA23AA" w:rsidRDefault="00E61C4B" w:rsidP="00B522BF">
            <w:pPr>
              <w:pStyle w:val="TableCentre"/>
              <w:rPr>
                <w:rStyle w:val="Small"/>
              </w:rPr>
            </w:pPr>
            <w:r w:rsidRPr="00CA23AA">
              <w:rPr>
                <w:rStyle w:val="Small"/>
              </w:rPr>
              <w:t>$943</w:t>
            </w:r>
          </w:p>
        </w:tc>
        <w:tc>
          <w:tcPr>
            <w:tcW w:w="1338" w:type="dxa"/>
          </w:tcPr>
          <w:p w14:paraId="1D0F9754" w14:textId="77777777" w:rsidR="00E61C4B" w:rsidRPr="00CA23AA" w:rsidRDefault="00E61C4B" w:rsidP="00B522BF">
            <w:pPr>
              <w:pStyle w:val="TableCentre"/>
              <w:rPr>
                <w:rStyle w:val="Small"/>
              </w:rPr>
            </w:pPr>
            <w:r w:rsidRPr="00CA23AA">
              <w:rPr>
                <w:rStyle w:val="Small"/>
              </w:rPr>
              <w:t>$943</w:t>
            </w:r>
          </w:p>
        </w:tc>
        <w:tc>
          <w:tcPr>
            <w:tcW w:w="1084" w:type="dxa"/>
          </w:tcPr>
          <w:p w14:paraId="7A2D4176" w14:textId="77777777" w:rsidR="00E61C4B" w:rsidRPr="00CA23AA" w:rsidRDefault="00E61C4B" w:rsidP="00B522BF">
            <w:pPr>
              <w:pStyle w:val="TableCentre"/>
              <w:rPr>
                <w:rFonts w:ascii="Arial Narrow" w:hAnsi="Arial Narrow"/>
              </w:rPr>
            </w:pPr>
            <w:r w:rsidRPr="00CA23AA">
              <w:rPr>
                <w:rStyle w:val="Small"/>
              </w:rPr>
              <w:t>$943</w:t>
            </w:r>
          </w:p>
        </w:tc>
        <w:tc>
          <w:tcPr>
            <w:tcW w:w="961" w:type="dxa"/>
          </w:tcPr>
          <w:p w14:paraId="353544CD" w14:textId="77777777" w:rsidR="00E61C4B" w:rsidRPr="00CA23AA" w:rsidRDefault="00E61C4B" w:rsidP="00B522BF">
            <w:pPr>
              <w:pStyle w:val="TableCentre"/>
              <w:rPr>
                <w:rFonts w:ascii="Arial Narrow" w:hAnsi="Arial Narrow"/>
              </w:rPr>
            </w:pPr>
            <w:r w:rsidRPr="00CA23AA">
              <w:rPr>
                <w:rStyle w:val="Small"/>
              </w:rPr>
              <w:t>$943</w:t>
            </w:r>
          </w:p>
        </w:tc>
        <w:tc>
          <w:tcPr>
            <w:tcW w:w="1162" w:type="dxa"/>
            <w:shd w:val="clear" w:color="auto" w:fill="DEEAF6" w:themeFill="accent1" w:themeFillTint="33"/>
          </w:tcPr>
          <w:p w14:paraId="579D4CE7" w14:textId="77777777" w:rsidR="00E61C4B" w:rsidRPr="00CA23AA" w:rsidRDefault="00E61C4B" w:rsidP="00B522BF">
            <w:pPr>
              <w:pStyle w:val="TableCentre"/>
              <w:rPr>
                <w:rFonts w:ascii="Arial Narrow" w:hAnsi="Arial Narrow"/>
              </w:rPr>
            </w:pPr>
            <w:r w:rsidRPr="00CA23AA">
              <w:rPr>
                <w:rFonts w:ascii="Arial Narrow" w:hAnsi="Arial Narrow"/>
              </w:rPr>
              <w:t>$1,152</w:t>
            </w:r>
          </w:p>
        </w:tc>
        <w:tc>
          <w:tcPr>
            <w:tcW w:w="1101" w:type="dxa"/>
            <w:shd w:val="clear" w:color="auto" w:fill="DEEAF6" w:themeFill="accent1" w:themeFillTint="33"/>
          </w:tcPr>
          <w:p w14:paraId="489C315A" w14:textId="77777777" w:rsidR="00E61C4B" w:rsidRPr="00CA23AA" w:rsidRDefault="00E61C4B" w:rsidP="00B522BF">
            <w:pPr>
              <w:pStyle w:val="TableCentre"/>
              <w:rPr>
                <w:rFonts w:ascii="Arial Narrow" w:hAnsi="Arial Narrow"/>
              </w:rPr>
            </w:pPr>
            <w:r w:rsidRPr="00CA23AA">
              <w:rPr>
                <w:rFonts w:ascii="Arial Narrow" w:hAnsi="Arial Narrow"/>
              </w:rPr>
              <w:t>$1,152</w:t>
            </w:r>
          </w:p>
        </w:tc>
      </w:tr>
      <w:tr w:rsidR="00E61C4B" w:rsidRPr="00CA23AA" w14:paraId="0255FA65" w14:textId="77777777" w:rsidTr="003F1198">
        <w:trPr>
          <w:trHeight w:val="198"/>
        </w:trPr>
        <w:tc>
          <w:tcPr>
            <w:tcW w:w="1942" w:type="dxa"/>
            <w:noWrap/>
          </w:tcPr>
          <w:p w14:paraId="4159AD02" w14:textId="77777777" w:rsidR="00E61C4B" w:rsidRPr="00CA23AA" w:rsidRDefault="00E61C4B" w:rsidP="00B522BF">
            <w:pPr>
              <w:rPr>
                <w:rStyle w:val="Small"/>
              </w:rPr>
            </w:pPr>
            <w:r w:rsidRPr="00CA23AA">
              <w:rPr>
                <w:rStyle w:val="Small"/>
              </w:rPr>
              <w:t>Administration cost</w:t>
            </w:r>
          </w:p>
        </w:tc>
        <w:tc>
          <w:tcPr>
            <w:tcW w:w="1338" w:type="dxa"/>
            <w:noWrap/>
          </w:tcPr>
          <w:p w14:paraId="284EEE7C" w14:textId="77777777" w:rsidR="00E61C4B" w:rsidRPr="00CA23AA" w:rsidRDefault="00E61C4B" w:rsidP="00B522BF">
            <w:pPr>
              <w:pStyle w:val="TableCentre"/>
              <w:rPr>
                <w:rStyle w:val="Small"/>
              </w:rPr>
            </w:pPr>
            <w:r w:rsidRPr="00CA23AA">
              <w:rPr>
                <w:rStyle w:val="Small"/>
              </w:rPr>
              <w:t>$468</w:t>
            </w:r>
          </w:p>
        </w:tc>
        <w:tc>
          <w:tcPr>
            <w:tcW w:w="1338" w:type="dxa"/>
          </w:tcPr>
          <w:p w14:paraId="771FCCD5" w14:textId="77777777" w:rsidR="00E61C4B" w:rsidRPr="00CA23AA" w:rsidRDefault="00E61C4B" w:rsidP="00B522BF">
            <w:pPr>
              <w:pStyle w:val="TableCentre"/>
              <w:rPr>
                <w:rStyle w:val="Small"/>
              </w:rPr>
            </w:pPr>
            <w:r w:rsidRPr="00CA23AA">
              <w:rPr>
                <w:rStyle w:val="Small"/>
              </w:rPr>
              <w:t>$468</w:t>
            </w:r>
          </w:p>
        </w:tc>
        <w:tc>
          <w:tcPr>
            <w:tcW w:w="1084" w:type="dxa"/>
          </w:tcPr>
          <w:p w14:paraId="1A01F3A7" w14:textId="77777777" w:rsidR="00E61C4B" w:rsidRPr="00CA23AA" w:rsidRDefault="00E61C4B" w:rsidP="00B522BF">
            <w:pPr>
              <w:pStyle w:val="TableCentre"/>
              <w:rPr>
                <w:rFonts w:ascii="Arial Narrow" w:hAnsi="Arial Narrow"/>
              </w:rPr>
            </w:pPr>
            <w:r w:rsidRPr="00CA23AA">
              <w:rPr>
                <w:rStyle w:val="Small"/>
              </w:rPr>
              <w:t>$468</w:t>
            </w:r>
          </w:p>
        </w:tc>
        <w:tc>
          <w:tcPr>
            <w:tcW w:w="961" w:type="dxa"/>
          </w:tcPr>
          <w:p w14:paraId="57ED1346" w14:textId="77777777" w:rsidR="00E61C4B" w:rsidRPr="00CA23AA" w:rsidRDefault="00E61C4B" w:rsidP="00B522BF">
            <w:pPr>
              <w:pStyle w:val="TableCentre"/>
              <w:rPr>
                <w:rFonts w:ascii="Arial Narrow" w:hAnsi="Arial Narrow"/>
              </w:rPr>
            </w:pPr>
            <w:r w:rsidRPr="00CA23AA">
              <w:rPr>
                <w:rStyle w:val="Small"/>
              </w:rPr>
              <w:t>$468</w:t>
            </w:r>
          </w:p>
        </w:tc>
        <w:tc>
          <w:tcPr>
            <w:tcW w:w="1162" w:type="dxa"/>
            <w:shd w:val="clear" w:color="auto" w:fill="DEEAF6" w:themeFill="accent1" w:themeFillTint="33"/>
          </w:tcPr>
          <w:p w14:paraId="3D095AD1" w14:textId="77777777" w:rsidR="00E61C4B" w:rsidRPr="00CA23AA" w:rsidRDefault="00E61C4B" w:rsidP="00B522BF">
            <w:pPr>
              <w:pStyle w:val="TableCentre"/>
              <w:rPr>
                <w:rFonts w:ascii="Arial Narrow" w:hAnsi="Arial Narrow"/>
              </w:rPr>
            </w:pPr>
            <w:r w:rsidRPr="00CA23AA">
              <w:rPr>
                <w:rFonts w:ascii="Arial Narrow" w:hAnsi="Arial Narrow"/>
              </w:rPr>
              <w:t>$430</w:t>
            </w:r>
          </w:p>
        </w:tc>
        <w:tc>
          <w:tcPr>
            <w:tcW w:w="1101" w:type="dxa"/>
            <w:shd w:val="clear" w:color="auto" w:fill="DEEAF6" w:themeFill="accent1" w:themeFillTint="33"/>
          </w:tcPr>
          <w:p w14:paraId="2AEDDD77" w14:textId="77777777" w:rsidR="00E61C4B" w:rsidRPr="00CA23AA" w:rsidRDefault="00E61C4B" w:rsidP="00B522BF">
            <w:pPr>
              <w:pStyle w:val="TableCentre"/>
              <w:rPr>
                <w:rFonts w:ascii="Arial Narrow" w:hAnsi="Arial Narrow"/>
              </w:rPr>
            </w:pPr>
            <w:r w:rsidRPr="00CA23AA">
              <w:rPr>
                <w:rFonts w:ascii="Arial Narrow" w:hAnsi="Arial Narrow"/>
              </w:rPr>
              <w:t>$430</w:t>
            </w:r>
          </w:p>
        </w:tc>
      </w:tr>
      <w:tr w:rsidR="00E61C4B" w:rsidRPr="00CA23AA" w14:paraId="2ED0B67E" w14:textId="77777777" w:rsidTr="003F1198">
        <w:trPr>
          <w:trHeight w:val="198"/>
        </w:trPr>
        <w:tc>
          <w:tcPr>
            <w:tcW w:w="1942" w:type="dxa"/>
            <w:noWrap/>
          </w:tcPr>
          <w:p w14:paraId="3773B834" w14:textId="77777777" w:rsidR="00E61C4B" w:rsidRPr="00CA23AA" w:rsidRDefault="00E61C4B" w:rsidP="00B522BF">
            <w:pPr>
              <w:rPr>
                <w:rStyle w:val="Small"/>
              </w:rPr>
            </w:pPr>
            <w:r w:rsidRPr="00CA23AA">
              <w:rPr>
                <w:rStyle w:val="Small"/>
              </w:rPr>
              <w:t>Average monthly cost</w:t>
            </w:r>
          </w:p>
        </w:tc>
        <w:tc>
          <w:tcPr>
            <w:tcW w:w="1338" w:type="dxa"/>
            <w:noWrap/>
          </w:tcPr>
          <w:p w14:paraId="6D6E6F9E" w14:textId="77777777" w:rsidR="00E61C4B" w:rsidRPr="00CA23AA" w:rsidRDefault="00E61C4B" w:rsidP="00B522BF">
            <w:pPr>
              <w:pStyle w:val="TableCentre"/>
              <w:rPr>
                <w:rStyle w:val="Small"/>
              </w:rPr>
            </w:pPr>
            <w:r w:rsidRPr="00CA23AA">
              <w:rPr>
                <w:rStyle w:val="Small"/>
              </w:rPr>
              <w:t>$1,242</w:t>
            </w:r>
          </w:p>
        </w:tc>
        <w:tc>
          <w:tcPr>
            <w:tcW w:w="1338" w:type="dxa"/>
          </w:tcPr>
          <w:p w14:paraId="40BCF13E" w14:textId="77777777" w:rsidR="00E61C4B" w:rsidRPr="00CA23AA" w:rsidRDefault="00E61C4B" w:rsidP="00B522BF">
            <w:pPr>
              <w:pStyle w:val="TableCentre"/>
              <w:rPr>
                <w:rStyle w:val="Small"/>
              </w:rPr>
            </w:pPr>
            <w:r w:rsidRPr="00CA23AA">
              <w:rPr>
                <w:rStyle w:val="Small"/>
              </w:rPr>
              <w:t>$423</w:t>
            </w:r>
          </w:p>
        </w:tc>
        <w:tc>
          <w:tcPr>
            <w:tcW w:w="1084" w:type="dxa"/>
          </w:tcPr>
          <w:p w14:paraId="2B7FA048" w14:textId="77777777" w:rsidR="00E61C4B" w:rsidRPr="00CA23AA" w:rsidRDefault="00E61C4B" w:rsidP="00B522BF">
            <w:pPr>
              <w:pStyle w:val="TableCentre"/>
              <w:rPr>
                <w:rFonts w:ascii="Arial Narrow" w:hAnsi="Arial Narrow"/>
              </w:rPr>
            </w:pPr>
            <w:r w:rsidRPr="00CA23AA">
              <w:rPr>
                <w:rStyle w:val="Small"/>
              </w:rPr>
              <w:t>$1,242</w:t>
            </w:r>
          </w:p>
        </w:tc>
        <w:tc>
          <w:tcPr>
            <w:tcW w:w="961" w:type="dxa"/>
          </w:tcPr>
          <w:p w14:paraId="5A34ABF1" w14:textId="77777777" w:rsidR="00E61C4B" w:rsidRPr="00CA23AA" w:rsidRDefault="00E61C4B" w:rsidP="00B522BF">
            <w:pPr>
              <w:pStyle w:val="TableCentre"/>
              <w:rPr>
                <w:rFonts w:ascii="Arial Narrow" w:hAnsi="Arial Narrow"/>
              </w:rPr>
            </w:pPr>
            <w:r w:rsidRPr="00CA23AA">
              <w:rPr>
                <w:rStyle w:val="Small"/>
              </w:rPr>
              <w:t>$423</w:t>
            </w:r>
          </w:p>
        </w:tc>
        <w:tc>
          <w:tcPr>
            <w:tcW w:w="1162" w:type="dxa"/>
            <w:shd w:val="clear" w:color="auto" w:fill="DEEAF6" w:themeFill="accent1" w:themeFillTint="33"/>
          </w:tcPr>
          <w:p w14:paraId="31B528D3" w14:textId="77777777" w:rsidR="00E61C4B" w:rsidRPr="00CA23AA" w:rsidRDefault="00E61C4B" w:rsidP="00B522BF">
            <w:pPr>
              <w:pStyle w:val="TableCentre"/>
              <w:rPr>
                <w:rFonts w:ascii="Arial Narrow" w:hAnsi="Arial Narrow"/>
              </w:rPr>
            </w:pPr>
            <w:r w:rsidRPr="00CA23AA">
              <w:rPr>
                <w:rFonts w:ascii="Arial Narrow" w:hAnsi="Arial Narrow"/>
              </w:rPr>
              <w:t>$917.71</w:t>
            </w:r>
          </w:p>
        </w:tc>
        <w:tc>
          <w:tcPr>
            <w:tcW w:w="1101" w:type="dxa"/>
            <w:shd w:val="clear" w:color="auto" w:fill="DEEAF6" w:themeFill="accent1" w:themeFillTint="33"/>
          </w:tcPr>
          <w:p w14:paraId="0DEBEC30" w14:textId="77777777" w:rsidR="00E61C4B" w:rsidRPr="00CA23AA" w:rsidRDefault="00E61C4B" w:rsidP="00B522BF">
            <w:pPr>
              <w:pStyle w:val="TableCentre"/>
              <w:rPr>
                <w:rFonts w:ascii="Arial Narrow" w:hAnsi="Arial Narrow"/>
              </w:rPr>
            </w:pPr>
            <w:r w:rsidRPr="00CA23AA">
              <w:rPr>
                <w:rFonts w:ascii="Arial Narrow" w:hAnsi="Arial Narrow"/>
              </w:rPr>
              <w:t>$474.68</w:t>
            </w:r>
          </w:p>
        </w:tc>
      </w:tr>
      <w:tr w:rsidR="00E61C4B" w:rsidRPr="00CA23AA" w14:paraId="16E1ED5E" w14:textId="77777777" w:rsidTr="003F1198">
        <w:trPr>
          <w:trHeight w:val="198"/>
        </w:trPr>
        <w:tc>
          <w:tcPr>
            <w:tcW w:w="1942" w:type="dxa"/>
            <w:noWrap/>
          </w:tcPr>
          <w:p w14:paraId="17F5DD70" w14:textId="77777777" w:rsidR="00E61C4B" w:rsidRPr="00CA23AA" w:rsidRDefault="00E61C4B" w:rsidP="00B522BF">
            <w:pPr>
              <w:rPr>
                <w:rStyle w:val="Small"/>
              </w:rPr>
            </w:pPr>
            <w:r w:rsidRPr="00CA23AA">
              <w:rPr>
                <w:rStyle w:val="Small"/>
              </w:rPr>
              <w:t>Mean duration, months</w:t>
            </w:r>
          </w:p>
        </w:tc>
        <w:tc>
          <w:tcPr>
            <w:tcW w:w="1338" w:type="dxa"/>
            <w:noWrap/>
          </w:tcPr>
          <w:p w14:paraId="4E3CC71C" w14:textId="77777777" w:rsidR="00E61C4B" w:rsidRPr="00CA23AA" w:rsidRDefault="00E61C4B" w:rsidP="00B522BF">
            <w:pPr>
              <w:pStyle w:val="TableCentre"/>
              <w:rPr>
                <w:rStyle w:val="Small"/>
              </w:rPr>
            </w:pPr>
            <w:r w:rsidRPr="00CA23AA">
              <w:rPr>
                <w:rStyle w:val="Small"/>
              </w:rPr>
              <w:t>36.00</w:t>
            </w:r>
          </w:p>
        </w:tc>
        <w:tc>
          <w:tcPr>
            <w:tcW w:w="1338" w:type="dxa"/>
          </w:tcPr>
          <w:p w14:paraId="0CAF6A92" w14:textId="77777777" w:rsidR="00E61C4B" w:rsidRPr="00CA23AA" w:rsidRDefault="00E61C4B" w:rsidP="00B522BF">
            <w:pPr>
              <w:pStyle w:val="TableCentre"/>
              <w:rPr>
                <w:rStyle w:val="Small"/>
              </w:rPr>
            </w:pPr>
            <w:r w:rsidRPr="00CA23AA">
              <w:rPr>
                <w:rStyle w:val="Small"/>
              </w:rPr>
              <w:t>36.00</w:t>
            </w:r>
          </w:p>
        </w:tc>
        <w:tc>
          <w:tcPr>
            <w:tcW w:w="1084" w:type="dxa"/>
          </w:tcPr>
          <w:p w14:paraId="40981E02" w14:textId="77777777" w:rsidR="00E61C4B" w:rsidRPr="00CA23AA" w:rsidRDefault="00E61C4B" w:rsidP="00B522BF">
            <w:pPr>
              <w:pStyle w:val="TableCentre"/>
              <w:rPr>
                <w:rFonts w:ascii="Arial Narrow" w:hAnsi="Arial Narrow"/>
              </w:rPr>
            </w:pPr>
            <w:r w:rsidRPr="00CA23AA">
              <w:rPr>
                <w:rStyle w:val="Small"/>
              </w:rPr>
              <w:t>36.00</w:t>
            </w:r>
          </w:p>
        </w:tc>
        <w:tc>
          <w:tcPr>
            <w:tcW w:w="961" w:type="dxa"/>
          </w:tcPr>
          <w:p w14:paraId="26C40AB2" w14:textId="77777777" w:rsidR="00E61C4B" w:rsidRPr="00CA23AA" w:rsidRDefault="00E61C4B" w:rsidP="00B522BF">
            <w:pPr>
              <w:pStyle w:val="TableCentre"/>
              <w:rPr>
                <w:rFonts w:ascii="Arial Narrow" w:hAnsi="Arial Narrow"/>
              </w:rPr>
            </w:pPr>
            <w:r w:rsidRPr="00CA23AA">
              <w:rPr>
                <w:rStyle w:val="Small"/>
              </w:rPr>
              <w:t>36.00</w:t>
            </w:r>
          </w:p>
        </w:tc>
        <w:tc>
          <w:tcPr>
            <w:tcW w:w="1162" w:type="dxa"/>
          </w:tcPr>
          <w:p w14:paraId="49DB0B95" w14:textId="77777777" w:rsidR="00E61C4B" w:rsidRPr="00CA23AA" w:rsidRDefault="00E61C4B" w:rsidP="00B522BF">
            <w:pPr>
              <w:pStyle w:val="TableCentre"/>
              <w:rPr>
                <w:rFonts w:ascii="Arial Narrow" w:hAnsi="Arial Narrow"/>
              </w:rPr>
            </w:pPr>
            <w:r w:rsidRPr="00CA23AA">
              <w:rPr>
                <w:rFonts w:ascii="Arial Narrow" w:hAnsi="Arial Narrow"/>
              </w:rPr>
              <w:t>36.00</w:t>
            </w:r>
            <w:r w:rsidRPr="00CA23AA">
              <w:rPr>
                <w:rFonts w:ascii="Arial Narrow" w:hAnsi="Arial Narrow"/>
                <w:vertAlign w:val="superscript"/>
              </w:rPr>
              <w:t>1</w:t>
            </w:r>
          </w:p>
        </w:tc>
        <w:tc>
          <w:tcPr>
            <w:tcW w:w="1101" w:type="dxa"/>
          </w:tcPr>
          <w:p w14:paraId="73582074" w14:textId="77777777" w:rsidR="00E61C4B" w:rsidRPr="00CA23AA" w:rsidRDefault="00E61C4B" w:rsidP="00B522BF">
            <w:pPr>
              <w:pStyle w:val="TableCentre"/>
              <w:rPr>
                <w:rFonts w:ascii="Arial Narrow" w:hAnsi="Arial Narrow"/>
              </w:rPr>
            </w:pPr>
            <w:r w:rsidRPr="00CA23AA">
              <w:rPr>
                <w:rFonts w:ascii="Arial Narrow" w:hAnsi="Arial Narrow"/>
              </w:rPr>
              <w:t>36.00</w:t>
            </w:r>
          </w:p>
        </w:tc>
      </w:tr>
    </w:tbl>
    <w:p w14:paraId="210E7B13" w14:textId="3AE97ED8" w:rsidR="00675AA0" w:rsidRPr="00CA23AA" w:rsidRDefault="00675AA0" w:rsidP="002C18EA">
      <w:pPr>
        <w:spacing w:before="0" w:after="0" w:line="240" w:lineRule="auto"/>
        <w:rPr>
          <w:sz w:val="16"/>
          <w:szCs w:val="16"/>
        </w:rPr>
      </w:pPr>
      <w:r w:rsidRPr="00CA23AA">
        <w:rPr>
          <w:sz w:val="16"/>
          <w:szCs w:val="16"/>
        </w:rPr>
        <w:t xml:space="preserve">ABMTRR = Australian Bone Marrow Transplant Recipient Registry; </w:t>
      </w:r>
      <w:r w:rsidR="00E10634" w:rsidRPr="00CA23AA">
        <w:rPr>
          <w:sz w:val="16"/>
          <w:szCs w:val="16"/>
        </w:rPr>
        <w:t xml:space="preserve">ABS = Australian Bureau of Statistics; </w:t>
      </w:r>
      <w:r w:rsidRPr="00CA23AA">
        <w:rPr>
          <w:sz w:val="16"/>
          <w:szCs w:val="16"/>
        </w:rPr>
        <w:t xml:space="preserve">ADAR = Applicant Developed Assessment Report; </w:t>
      </w:r>
      <w:r w:rsidR="001D3DD6" w:rsidRPr="00CA23AA">
        <w:rPr>
          <w:sz w:val="16"/>
          <w:szCs w:val="16"/>
        </w:rPr>
        <w:t xml:space="preserve">AE = adverse event; </w:t>
      </w:r>
      <w:r w:rsidRPr="00CA23AA">
        <w:rPr>
          <w:sz w:val="16"/>
          <w:szCs w:val="16"/>
        </w:rPr>
        <w:t xml:space="preserve">AUD = Australian dollar; BLN = </w:t>
      </w:r>
      <w:r w:rsidR="008A38FE" w:rsidRPr="00CA23AA">
        <w:rPr>
          <w:sz w:val="16"/>
          <w:szCs w:val="16"/>
        </w:rPr>
        <w:t>blinatumomab</w:t>
      </w:r>
      <w:r w:rsidRPr="00CA23AA">
        <w:rPr>
          <w:sz w:val="16"/>
          <w:szCs w:val="16"/>
        </w:rPr>
        <w:t xml:space="preserve">; </w:t>
      </w:r>
      <w:r w:rsidR="008809F2" w:rsidRPr="00CA23AA">
        <w:rPr>
          <w:sz w:val="16"/>
          <w:szCs w:val="16"/>
        </w:rPr>
        <w:t xml:space="preserve">CRS = cytokine release syndrome; </w:t>
      </w:r>
      <w:r w:rsidRPr="00CA23AA">
        <w:rPr>
          <w:sz w:val="16"/>
          <w:szCs w:val="16"/>
        </w:rPr>
        <w:t xml:space="preserve">EFS = event free survival; </w:t>
      </w:r>
      <w:r w:rsidR="00820A7F" w:rsidRPr="00CA23AA">
        <w:rPr>
          <w:sz w:val="16"/>
          <w:szCs w:val="16"/>
        </w:rPr>
        <w:t xml:space="preserve">ICU = intensive care unit; </w:t>
      </w:r>
      <w:r w:rsidR="001D3DD6" w:rsidRPr="00CA23AA">
        <w:rPr>
          <w:sz w:val="16"/>
          <w:szCs w:val="16"/>
        </w:rPr>
        <w:t xml:space="preserve">IVIg = intravenous </w:t>
      </w:r>
      <w:r w:rsidR="008A38FE" w:rsidRPr="00CA23AA">
        <w:rPr>
          <w:sz w:val="16"/>
          <w:szCs w:val="16"/>
        </w:rPr>
        <w:t>immunoglobulin; LCD</w:t>
      </w:r>
      <w:r w:rsidR="001D3DD6" w:rsidRPr="00CA23AA">
        <w:rPr>
          <w:sz w:val="16"/>
          <w:szCs w:val="16"/>
        </w:rPr>
        <w:t xml:space="preserve"> = </w:t>
      </w:r>
      <w:r w:rsidR="00820A7F" w:rsidRPr="00CA23AA">
        <w:rPr>
          <w:sz w:val="16"/>
          <w:szCs w:val="16"/>
        </w:rPr>
        <w:t>Lymphodepleting chemotherapy;</w:t>
      </w:r>
      <w:r w:rsidR="001D3DD6" w:rsidRPr="00CA23AA">
        <w:rPr>
          <w:sz w:val="16"/>
          <w:szCs w:val="16"/>
        </w:rPr>
        <w:t xml:space="preserve"> </w:t>
      </w:r>
      <w:r w:rsidRPr="00CA23AA">
        <w:rPr>
          <w:sz w:val="16"/>
          <w:szCs w:val="16"/>
        </w:rPr>
        <w:t xml:space="preserve">MSAC = Medical Services Advisory Committee; NHCDC = National Health Cost Data Collection; OS = overall survival; </w:t>
      </w:r>
      <w:r w:rsidR="00262F70" w:rsidRPr="00CA23AA">
        <w:rPr>
          <w:sz w:val="16"/>
          <w:szCs w:val="16"/>
        </w:rPr>
        <w:t xml:space="preserve">SCT = stem cell transplant; </w:t>
      </w:r>
      <w:r w:rsidRPr="00CA23AA">
        <w:rPr>
          <w:sz w:val="16"/>
          <w:szCs w:val="16"/>
        </w:rPr>
        <w:t xml:space="preserve">TIS = </w:t>
      </w:r>
      <w:r w:rsidR="008A38FE" w:rsidRPr="00CA23AA">
        <w:rPr>
          <w:sz w:val="16"/>
          <w:szCs w:val="16"/>
        </w:rPr>
        <w:t>tisagenlecleucel</w:t>
      </w:r>
    </w:p>
    <w:p w14:paraId="402786B9" w14:textId="1548B32D" w:rsidR="00E61C4B" w:rsidRPr="00CA23AA" w:rsidRDefault="00E61C4B" w:rsidP="002C18EA">
      <w:pPr>
        <w:spacing w:before="0" w:after="0" w:line="240" w:lineRule="auto"/>
        <w:rPr>
          <w:sz w:val="16"/>
          <w:szCs w:val="16"/>
        </w:rPr>
      </w:pPr>
      <w:r w:rsidRPr="00CA23AA">
        <w:rPr>
          <w:sz w:val="16"/>
          <w:szCs w:val="16"/>
        </w:rPr>
        <w:t xml:space="preserve">Source: </w:t>
      </w:r>
      <w:r w:rsidR="00E043C9" w:rsidRPr="00CA23AA">
        <w:rPr>
          <w:sz w:val="16"/>
          <w:szCs w:val="16"/>
        </w:rPr>
        <w:t>Table 3.21, MSAC ADAR 1748</w:t>
      </w:r>
      <w:r w:rsidR="00EA664B" w:rsidRPr="00CA23AA">
        <w:rPr>
          <w:sz w:val="16"/>
          <w:szCs w:val="16"/>
        </w:rPr>
        <w:t>+inline commentary</w:t>
      </w:r>
    </w:p>
    <w:p w14:paraId="745BDFED" w14:textId="2D2A05A6" w:rsidR="00E61C4B" w:rsidRPr="00CA23AA" w:rsidRDefault="00E61C4B" w:rsidP="002C18EA">
      <w:pPr>
        <w:spacing w:before="0" w:after="0" w:line="240" w:lineRule="auto"/>
        <w:rPr>
          <w:sz w:val="16"/>
          <w:szCs w:val="16"/>
        </w:rPr>
      </w:pPr>
      <w:r w:rsidRPr="00CA23AA">
        <w:rPr>
          <w:sz w:val="16"/>
          <w:szCs w:val="16"/>
        </w:rPr>
        <w:t>Note: Other inputs (Health state costs, utility weights, long term SMR): Unchanged from resubmission base case</w:t>
      </w:r>
    </w:p>
    <w:p w14:paraId="03AA6A75" w14:textId="77777777" w:rsidR="00E61C4B" w:rsidRPr="00CA23AA" w:rsidRDefault="00E61C4B" w:rsidP="002C18EA">
      <w:pPr>
        <w:spacing w:before="0" w:after="0" w:line="240" w:lineRule="auto"/>
        <w:rPr>
          <w:sz w:val="16"/>
          <w:szCs w:val="16"/>
        </w:rPr>
      </w:pPr>
      <w:r w:rsidRPr="00CA23AA">
        <w:rPr>
          <w:sz w:val="16"/>
          <w:szCs w:val="16"/>
          <w:vertAlign w:val="superscript"/>
        </w:rPr>
        <w:t>1</w:t>
      </w:r>
      <w:r w:rsidRPr="00CA23AA">
        <w:rPr>
          <w:sz w:val="16"/>
          <w:szCs w:val="16"/>
        </w:rPr>
        <w:t xml:space="preserve">Sourced from ELIANA as ABMTRR data were unavailable. </w:t>
      </w:r>
    </w:p>
    <w:p w14:paraId="3BC2B896" w14:textId="77777777" w:rsidR="00E61C4B" w:rsidRPr="00CA23AA" w:rsidRDefault="00E61C4B" w:rsidP="002C18EA">
      <w:pPr>
        <w:spacing w:before="0" w:after="0" w:line="240" w:lineRule="auto"/>
        <w:rPr>
          <w:sz w:val="16"/>
          <w:szCs w:val="16"/>
        </w:rPr>
      </w:pPr>
      <w:r w:rsidRPr="00CA23AA">
        <w:rPr>
          <w:sz w:val="16"/>
          <w:szCs w:val="16"/>
          <w:vertAlign w:val="superscript"/>
        </w:rPr>
        <w:t>2</w:t>
      </w:r>
      <w:r w:rsidRPr="00CA23AA">
        <w:rPr>
          <w:sz w:val="16"/>
          <w:szCs w:val="16"/>
        </w:rPr>
        <w:t>As a percentage of CRS patients</w:t>
      </w:r>
    </w:p>
    <w:p w14:paraId="16647F9B" w14:textId="4F2A5FC8" w:rsidR="005E1EDB" w:rsidRPr="00CA23AA" w:rsidRDefault="005E1EDB" w:rsidP="002C18EA">
      <w:pPr>
        <w:spacing w:before="0" w:after="0" w:line="240" w:lineRule="auto"/>
        <w:rPr>
          <w:sz w:val="16"/>
          <w:szCs w:val="16"/>
        </w:rPr>
      </w:pPr>
      <w:r w:rsidRPr="00CA23AA">
        <w:rPr>
          <w:sz w:val="16"/>
          <w:szCs w:val="16"/>
        </w:rPr>
        <w:t>Shaded cells represent model inputs updated in Step 3 based on interpretation of ABMTRR data and costs updated to 2022</w:t>
      </w:r>
      <w:r w:rsidR="00033613" w:rsidRPr="00CA23AA">
        <w:rPr>
          <w:sz w:val="16"/>
          <w:szCs w:val="16"/>
        </w:rPr>
        <w:t>.</w:t>
      </w:r>
    </w:p>
    <w:p w14:paraId="76051109" w14:textId="2D989656" w:rsidR="00177C61" w:rsidRPr="00CA23AA" w:rsidRDefault="00177C61" w:rsidP="00556656">
      <w:pPr>
        <w:pStyle w:val="Tablenotes0"/>
        <w:spacing w:before="240"/>
        <w:contextualSpacing w:val="0"/>
        <w:jc w:val="left"/>
        <w:rPr>
          <w:rFonts w:ascii="Franklin Gothic Book" w:hAnsi="Franklin Gothic Book" w:cstheme="minorBidi"/>
          <w:sz w:val="22"/>
        </w:rPr>
      </w:pPr>
      <w:r w:rsidRPr="00CA23AA">
        <w:rPr>
          <w:rFonts w:ascii="Franklin Gothic Book" w:hAnsi="Franklin Gothic Book" w:cstheme="minorBidi"/>
          <w:sz w:val="22"/>
        </w:rPr>
        <w:t xml:space="preserve">Specific inputs of uncertainty identified </w:t>
      </w:r>
      <w:r w:rsidR="00E10634" w:rsidRPr="00CA23AA">
        <w:rPr>
          <w:rFonts w:ascii="Franklin Gothic Book" w:hAnsi="Franklin Gothic Book" w:cstheme="minorBidi"/>
          <w:sz w:val="22"/>
        </w:rPr>
        <w:t xml:space="preserve">in the updated revised base case (Step 3) </w:t>
      </w:r>
      <w:r w:rsidRPr="00CA23AA">
        <w:rPr>
          <w:rFonts w:ascii="Franklin Gothic Book" w:hAnsi="Franklin Gothic Book" w:cstheme="minorBidi"/>
          <w:sz w:val="22"/>
        </w:rPr>
        <w:t>during the evaluation are discussed below:</w:t>
      </w:r>
    </w:p>
    <w:p w14:paraId="0BD5C34C" w14:textId="2D586D1D" w:rsidR="006F4A2E" w:rsidRPr="00CA23AA" w:rsidRDefault="00B106F6" w:rsidP="00556656">
      <w:pPr>
        <w:pStyle w:val="ListParagraph"/>
        <w:numPr>
          <w:ilvl w:val="0"/>
          <w:numId w:val="18"/>
        </w:numPr>
        <w:spacing w:after="0"/>
      </w:pPr>
      <w:r w:rsidRPr="00CA23AA">
        <w:t>The e</w:t>
      </w:r>
      <w:r w:rsidR="006F4A2E" w:rsidRPr="00CA23AA">
        <w:t xml:space="preserve">conomic model did not explicitly model </w:t>
      </w:r>
      <w:r w:rsidRPr="00CA23AA">
        <w:t>the</w:t>
      </w:r>
      <w:r w:rsidR="006F4A2E" w:rsidRPr="00CA23AA">
        <w:t xml:space="preserve"> costs of salvage therapy or supportive therapy after TIS failure. However, the EFS and PD health state costs include treatment costs after progression on treatment ($773 and $5,784 respectively). While this implicitly includes some costs after treatment failure, </w:t>
      </w:r>
      <w:r w:rsidR="005214E1" w:rsidRPr="00CA23AA">
        <w:t xml:space="preserve">whether this </w:t>
      </w:r>
      <w:r w:rsidR="00660D14" w:rsidRPr="00CA23AA">
        <w:t xml:space="preserve">accuracy </w:t>
      </w:r>
      <w:r w:rsidR="000C1B60" w:rsidRPr="00CA23AA">
        <w:t xml:space="preserve">captures salvage or support therapy after failure </w:t>
      </w:r>
      <w:r w:rsidR="00660D14" w:rsidRPr="00CA23AA">
        <w:t>is uncertain</w:t>
      </w:r>
      <w:r w:rsidR="005214E1" w:rsidRPr="00CA23AA">
        <w:t xml:space="preserve">. </w:t>
      </w:r>
      <w:r w:rsidR="000C1B60" w:rsidRPr="00CA23AA">
        <w:t>T</w:t>
      </w:r>
      <w:r w:rsidR="006F4A2E" w:rsidRPr="00CA23AA">
        <w:t xml:space="preserve">his is an insufficiently transparent approach to modelling post-TIS costs </w:t>
      </w:r>
      <w:r w:rsidR="00DB6EF2" w:rsidRPr="00CA23AA">
        <w:t>resulting in</w:t>
      </w:r>
      <w:r w:rsidR="00D60CC3" w:rsidRPr="00CA23AA">
        <w:t xml:space="preserve"> concern regarding </w:t>
      </w:r>
      <w:r w:rsidR="004C1C65" w:rsidRPr="00CA23AA">
        <w:t xml:space="preserve">the </w:t>
      </w:r>
      <w:r w:rsidR="00DB6EF2" w:rsidRPr="00CA23AA">
        <w:t xml:space="preserve">accuracy of the </w:t>
      </w:r>
      <w:r w:rsidR="004C1C65" w:rsidRPr="00CA23AA">
        <w:t>model</w:t>
      </w:r>
      <w:r w:rsidR="00DB6EF2" w:rsidRPr="00CA23AA">
        <w:t>led</w:t>
      </w:r>
      <w:r w:rsidR="004C1C65" w:rsidRPr="00CA23AA">
        <w:t xml:space="preserve"> </w:t>
      </w:r>
      <w:r w:rsidR="00D60CC3" w:rsidRPr="00CA23AA">
        <w:t>cost</w:t>
      </w:r>
      <w:r w:rsidR="004C1C65" w:rsidRPr="00CA23AA">
        <w:t xml:space="preserve"> </w:t>
      </w:r>
      <w:r w:rsidR="00D60CC3" w:rsidRPr="00CA23AA">
        <w:t>inputs</w:t>
      </w:r>
      <w:r w:rsidR="004C1C65" w:rsidRPr="00CA23AA">
        <w:t xml:space="preserve"> and outputs associated with EFS and PFS</w:t>
      </w:r>
      <w:r w:rsidR="006F4A2E" w:rsidRPr="00CA23AA">
        <w:t>.</w:t>
      </w:r>
    </w:p>
    <w:p w14:paraId="3B6B6AD3" w14:textId="1C85912E" w:rsidR="00177C61" w:rsidRPr="00CA23AA" w:rsidRDefault="00177C61" w:rsidP="00556656">
      <w:pPr>
        <w:pStyle w:val="Tablenotes0"/>
        <w:numPr>
          <w:ilvl w:val="0"/>
          <w:numId w:val="18"/>
        </w:numPr>
        <w:jc w:val="left"/>
        <w:rPr>
          <w:rFonts w:ascii="Franklin Gothic Book" w:hAnsi="Franklin Gothic Book" w:cstheme="minorBidi"/>
          <w:sz w:val="22"/>
        </w:rPr>
      </w:pPr>
      <w:r w:rsidRPr="00CA23AA">
        <w:rPr>
          <w:rFonts w:ascii="Franklin Gothic Book" w:hAnsi="Franklin Gothic Book" w:cstheme="minorBidi"/>
          <w:sz w:val="22"/>
        </w:rPr>
        <w:t xml:space="preserve">ICU for CRS: Step 3 reduced the estimated ICU admission rate from 48.1% observed in the studies to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xml:space="preserve">%, based on the ABMTRR report that identified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xml:space="preserve"> patients as using ICU between days 1-30. However, this is likely to a be an underestimate; data on Day 1-30 ICU use is only reported for on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xml:space="preserve"> patients, equating to a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admission rate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w:t>
      </w:r>
      <w:r w:rsidR="00EE593E" w:rsidRPr="00CA23AA">
        <w:rPr>
          <w:rFonts w:ascii="Franklin Gothic Book" w:hAnsi="Franklin Gothic Book" w:cstheme="minorBidi"/>
          <w:sz w:val="22"/>
        </w:rPr>
        <w:t xml:space="preserve"> </w:t>
      </w:r>
      <w:r w:rsidR="009F17E8" w:rsidRPr="00CA23AA">
        <w:rPr>
          <w:rFonts w:ascii="Franklin Gothic Book" w:hAnsi="Franklin Gothic Book" w:cstheme="minorBidi"/>
          <w:sz w:val="22"/>
        </w:rPr>
        <w:t xml:space="preserve">with </w:t>
      </w:r>
      <w:r w:rsidRPr="00CA23AA">
        <w:rPr>
          <w:rFonts w:ascii="Franklin Gothic Book" w:hAnsi="Franklin Gothic Book" w:cstheme="minorBidi"/>
          <w:sz w:val="22"/>
        </w:rPr>
        <w:t xml:space="preserve">additional data for </w:t>
      </w:r>
      <w:r w:rsidR="004B18FE" w:rsidRPr="00CA23AA">
        <w:rPr>
          <w:rFonts w:ascii="Franklin Gothic Book" w:hAnsi="Franklin Gothic Book" w:cstheme="minorBidi"/>
          <w:sz w:val="22"/>
        </w:rPr>
        <w:t xml:space="preserve">31-100 </w:t>
      </w:r>
      <w:r w:rsidRPr="00CA23AA">
        <w:rPr>
          <w:rFonts w:ascii="Franklin Gothic Book" w:hAnsi="Franklin Gothic Book" w:cstheme="minorBidi"/>
          <w:sz w:val="22"/>
        </w:rPr>
        <w:t xml:space="preserve">days. This is likely to increase over an observation period equivalent to the clinical study. Until more data </w:t>
      </w:r>
      <w:r w:rsidR="00594E38" w:rsidRPr="00CA23AA">
        <w:rPr>
          <w:rFonts w:ascii="Franklin Gothic Book" w:hAnsi="Franklin Gothic Book" w:cstheme="minorBidi"/>
          <w:sz w:val="22"/>
        </w:rPr>
        <w:t>are</w:t>
      </w:r>
      <w:r w:rsidRPr="00CA23AA">
        <w:rPr>
          <w:rFonts w:ascii="Franklin Gothic Book" w:hAnsi="Franklin Gothic Book" w:cstheme="minorBidi"/>
          <w:sz w:val="22"/>
        </w:rPr>
        <w:t xml:space="preserve"> available, the Step 1 and 2 estimates may be more appropriate.</w:t>
      </w:r>
    </w:p>
    <w:p w14:paraId="22EDF181" w14:textId="6781D8E8" w:rsidR="00177C61" w:rsidRPr="00CA23AA" w:rsidRDefault="00177C61" w:rsidP="00556656">
      <w:pPr>
        <w:pStyle w:val="Tablenotes0"/>
        <w:numPr>
          <w:ilvl w:val="0"/>
          <w:numId w:val="18"/>
        </w:numPr>
        <w:jc w:val="left"/>
        <w:rPr>
          <w:rFonts w:ascii="Franklin Gothic Book" w:hAnsi="Franklin Gothic Book" w:cstheme="minorBidi"/>
          <w:sz w:val="22"/>
        </w:rPr>
      </w:pPr>
      <w:r w:rsidRPr="00CA23AA">
        <w:rPr>
          <w:rFonts w:ascii="Franklin Gothic Book" w:hAnsi="Franklin Gothic Book" w:cstheme="minorBidi"/>
          <w:sz w:val="22"/>
        </w:rPr>
        <w:t xml:space="preserve">Tocilizumab for CRS: Step 3 uses an estimate of 29%, however during the evaluation ABMTRR data </w:t>
      </w:r>
      <w:r w:rsidR="00594E38" w:rsidRPr="00CA23AA">
        <w:rPr>
          <w:rFonts w:ascii="Franklin Gothic Book" w:hAnsi="Franklin Gothic Book" w:cstheme="minorBidi"/>
          <w:sz w:val="22"/>
        </w:rPr>
        <w:t>indica</w:t>
      </w:r>
      <w:r w:rsidR="00205401" w:rsidRPr="00CA23AA">
        <w:rPr>
          <w:rFonts w:ascii="Franklin Gothic Book" w:hAnsi="Franklin Gothic Book" w:cstheme="minorBidi"/>
          <w:sz w:val="22"/>
        </w:rPr>
        <w:t>t</w:t>
      </w:r>
      <w:r w:rsidR="00594E38" w:rsidRPr="00CA23AA">
        <w:rPr>
          <w:rFonts w:ascii="Franklin Gothic Book" w:hAnsi="Franklin Gothic Book" w:cstheme="minorBidi"/>
          <w:sz w:val="22"/>
        </w:rPr>
        <w:t>ed</w:t>
      </w:r>
      <w:r w:rsidRPr="00CA23AA">
        <w:rPr>
          <w:rFonts w:ascii="Franklin Gothic Book" w:hAnsi="Franklin Gothic Book" w:cstheme="minorBidi"/>
          <w:sz w:val="22"/>
        </w:rPr>
        <w:t xml:space="preserve"> that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xml:space="preserve"> (</w:t>
      </w:r>
      <w:proofErr w:type="gramStart"/>
      <w:r w:rsidRPr="00CA23AA">
        <w:rPr>
          <w:rFonts w:ascii="Franklin Gothic Book" w:hAnsi="Franklin Gothic Book" w:cstheme="minorBidi"/>
          <w:sz w:val="22"/>
        </w:rPr>
        <w:t>i.e.</w:t>
      </w:r>
      <w:proofErr w:type="gramEnd"/>
      <w:r w:rsidRPr="00CA23AA">
        <w:rPr>
          <w:rFonts w:ascii="Franklin Gothic Book" w:hAnsi="Franklin Gothic Book" w:cstheme="minorBidi"/>
          <w:sz w:val="22"/>
        </w:rPr>
        <w:t xml:space="preserve">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of TIS patients received tocilizumab.</w:t>
      </w:r>
    </w:p>
    <w:p w14:paraId="6387EBBC" w14:textId="31F909D8" w:rsidR="00FF01C6" w:rsidRPr="00CA23AA" w:rsidRDefault="00BC5188" w:rsidP="00556656">
      <w:pPr>
        <w:pStyle w:val="Tablenotes0"/>
        <w:numPr>
          <w:ilvl w:val="0"/>
          <w:numId w:val="18"/>
        </w:numPr>
        <w:jc w:val="left"/>
        <w:rPr>
          <w:rFonts w:ascii="Franklin Gothic Book" w:hAnsi="Franklin Gothic Book" w:cstheme="minorBidi"/>
          <w:sz w:val="22"/>
        </w:rPr>
      </w:pPr>
      <w:r w:rsidRPr="00CA23AA">
        <w:rPr>
          <w:rFonts w:ascii="Franklin Gothic Book" w:hAnsi="Franklin Gothic Book" w:cstheme="minorBidi"/>
          <w:sz w:val="22"/>
        </w:rPr>
        <w:t xml:space="preserve">The proportion of patients undergoing subsequent </w:t>
      </w:r>
      <w:proofErr w:type="spellStart"/>
      <w:r w:rsidRPr="00CA23AA">
        <w:rPr>
          <w:rFonts w:ascii="Franklin Gothic Book" w:hAnsi="Franklin Gothic Book" w:cstheme="minorBidi"/>
          <w:sz w:val="22"/>
        </w:rPr>
        <w:t>aHSCT</w:t>
      </w:r>
      <w:proofErr w:type="spellEnd"/>
      <w:r w:rsidRPr="00CA23AA">
        <w:rPr>
          <w:rFonts w:ascii="Franklin Gothic Book" w:hAnsi="Franklin Gothic Book" w:cstheme="minorBidi"/>
          <w:sz w:val="22"/>
        </w:rPr>
        <w:t xml:space="preserve"> were estimated based on ELIANA (April 2017) </w:t>
      </w:r>
      <w:r w:rsidR="00056764" w:rsidRPr="00CA23AA">
        <w:rPr>
          <w:rFonts w:ascii="Franklin Gothic Book" w:hAnsi="Franklin Gothic Book" w:cstheme="minorBidi"/>
          <w:sz w:val="22"/>
        </w:rPr>
        <w:t xml:space="preserve">to be 19% in step 1 and step 2 of the model. </w:t>
      </w:r>
      <w:r w:rsidR="00177C61" w:rsidRPr="00CA23AA">
        <w:rPr>
          <w:rFonts w:ascii="Franklin Gothic Book" w:hAnsi="Franklin Gothic Book" w:cstheme="minorBidi"/>
          <w:sz w:val="22"/>
        </w:rPr>
        <w:t xml:space="preserve">The ABMTRR data reported only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00177C61" w:rsidRPr="00CA23AA">
        <w:rPr>
          <w:rFonts w:ascii="Franklin Gothic Book" w:hAnsi="Franklin Gothic Book" w:cstheme="minorBidi"/>
          <w:sz w:val="22"/>
        </w:rPr>
        <w:t>%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00177C61" w:rsidRPr="00CA23AA">
        <w:rPr>
          <w:rFonts w:ascii="Franklin Gothic Book" w:hAnsi="Franklin Gothic Book" w:cstheme="minorBidi"/>
          <w:sz w:val="22"/>
        </w:rPr>
        <w:t xml:space="preserve"> patients) had pre-planned </w:t>
      </w:r>
      <w:proofErr w:type="spellStart"/>
      <w:r w:rsidR="00177C61" w:rsidRPr="00CA23AA">
        <w:rPr>
          <w:rFonts w:ascii="Franklin Gothic Book" w:hAnsi="Franklin Gothic Book" w:cstheme="minorBidi"/>
          <w:sz w:val="22"/>
        </w:rPr>
        <w:t>aHSCT</w:t>
      </w:r>
      <w:proofErr w:type="spellEnd"/>
      <w:r w:rsidR="00177C61" w:rsidRPr="00CA23AA">
        <w:rPr>
          <w:rFonts w:ascii="Franklin Gothic Book" w:hAnsi="Franklin Gothic Book" w:cstheme="minorBidi"/>
          <w:sz w:val="22"/>
        </w:rPr>
        <w:t xml:space="preserve">; this was interpreted by the </w:t>
      </w:r>
      <w:r w:rsidR="00CE5C14" w:rsidRPr="00CA23AA">
        <w:rPr>
          <w:rFonts w:ascii="Franklin Gothic Book" w:hAnsi="Franklin Gothic Book" w:cstheme="minorBidi"/>
          <w:sz w:val="22"/>
        </w:rPr>
        <w:t>ADAR</w:t>
      </w:r>
      <w:r w:rsidR="00177C61" w:rsidRPr="00CA23AA">
        <w:rPr>
          <w:rFonts w:ascii="Franklin Gothic Book" w:hAnsi="Franklin Gothic Book" w:cstheme="minorBidi"/>
          <w:sz w:val="22"/>
        </w:rPr>
        <w:t xml:space="preserve"> to represent the total number of patients who had subsequent </w:t>
      </w:r>
      <w:proofErr w:type="spellStart"/>
      <w:r w:rsidR="00177C61" w:rsidRPr="00CA23AA">
        <w:rPr>
          <w:rFonts w:ascii="Franklin Gothic Book" w:hAnsi="Franklin Gothic Book" w:cstheme="minorBidi"/>
          <w:sz w:val="22"/>
        </w:rPr>
        <w:t>aHSCT</w:t>
      </w:r>
      <w:proofErr w:type="spellEnd"/>
      <w:r w:rsidR="00177C61" w:rsidRPr="00CA23AA">
        <w:rPr>
          <w:rFonts w:ascii="Franklin Gothic Book" w:hAnsi="Franklin Gothic Book" w:cstheme="minorBidi"/>
          <w:sz w:val="22"/>
        </w:rPr>
        <w:t xml:space="preserve"> and applied as an updated model input (replacing the study estimate of 19%) in Step 3. However, clarification received during the Evaluation and data from State hospitals indicated the actual </w:t>
      </w:r>
      <w:proofErr w:type="spellStart"/>
      <w:r w:rsidR="00177C61" w:rsidRPr="00CA23AA">
        <w:rPr>
          <w:rFonts w:ascii="Franklin Gothic Book" w:hAnsi="Franklin Gothic Book" w:cstheme="minorBidi"/>
          <w:sz w:val="22"/>
        </w:rPr>
        <w:t>aHSCT</w:t>
      </w:r>
      <w:proofErr w:type="spellEnd"/>
      <w:r w:rsidR="00177C61" w:rsidRPr="00CA23AA">
        <w:rPr>
          <w:rFonts w:ascii="Franklin Gothic Book" w:hAnsi="Franklin Gothic Book" w:cstheme="minorBidi"/>
          <w:sz w:val="22"/>
        </w:rPr>
        <w:t xml:space="preserve"> rates following TIS were probably closer to 31%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00825396" w:rsidRPr="00CA23AA">
        <w:t>)</w:t>
      </w:r>
      <w:r w:rsidR="00EB08B0" w:rsidRPr="00CA23AA">
        <w:rPr>
          <w:rStyle w:val="FootnoteReference"/>
        </w:rPr>
        <w:footnoteReference w:id="25"/>
      </w:r>
      <w:r w:rsidR="00EB08B0" w:rsidRPr="00CA23AA">
        <w:t>.</w:t>
      </w:r>
    </w:p>
    <w:p w14:paraId="3337193A" w14:textId="249FBB0D" w:rsidR="00211B2B" w:rsidRPr="00CA23AA" w:rsidRDefault="00177C61" w:rsidP="00556656">
      <w:pPr>
        <w:pStyle w:val="Tablenotes0"/>
        <w:numPr>
          <w:ilvl w:val="0"/>
          <w:numId w:val="18"/>
        </w:numPr>
        <w:jc w:val="left"/>
        <w:rPr>
          <w:rFonts w:ascii="Franklin Gothic Book" w:hAnsi="Franklin Gothic Book" w:cstheme="minorBidi"/>
          <w:sz w:val="22"/>
        </w:rPr>
      </w:pPr>
      <w:r w:rsidRPr="00CA23AA">
        <w:rPr>
          <w:rFonts w:ascii="Franklin Gothic Book" w:hAnsi="Franklin Gothic Book" w:cstheme="minorBidi"/>
          <w:sz w:val="22"/>
        </w:rPr>
        <w:t xml:space="preserve">Ig usage: Duration of treatment with Ig post TIS is assumed to be 36 months in the model (Step 3 is unchanged).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xml:space="preserve">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xml:space="preserve"> Over an extended </w:t>
      </w:r>
      <w:proofErr w:type="gramStart"/>
      <w:r w:rsidRPr="00CA23AA">
        <w:rPr>
          <w:rFonts w:ascii="Franklin Gothic Book" w:hAnsi="Franklin Gothic Book" w:cstheme="minorBidi"/>
          <w:sz w:val="22"/>
        </w:rPr>
        <w:t>time</w:t>
      </w:r>
      <w:proofErr w:type="gramEnd"/>
      <w:r w:rsidRPr="00CA23AA">
        <w:rPr>
          <w:rFonts w:ascii="Franklin Gothic Book" w:hAnsi="Franklin Gothic Book" w:cstheme="minorBidi"/>
          <w:sz w:val="22"/>
        </w:rPr>
        <w:t xml:space="preserve"> horizon, the modelled estimate of an average duration of 36 months Ig therapy may be an underestimate.</w:t>
      </w:r>
      <w:r w:rsidR="003B4B8D" w:rsidRPr="00CA23AA">
        <w:rPr>
          <w:rFonts w:ascii="Franklin Gothic Book" w:hAnsi="Franklin Gothic Book" w:cstheme="minorBidi"/>
          <w:sz w:val="22"/>
        </w:rPr>
        <w:t xml:space="preserve"> The costs for IVIg </w:t>
      </w:r>
      <w:proofErr w:type="gramStart"/>
      <w:r w:rsidR="003B4B8D" w:rsidRPr="00CA23AA">
        <w:rPr>
          <w:rFonts w:ascii="Franklin Gothic Book" w:hAnsi="Franklin Gothic Book" w:cstheme="minorBidi"/>
          <w:sz w:val="22"/>
        </w:rPr>
        <w:t>were described as being</w:t>
      </w:r>
      <w:proofErr w:type="gramEnd"/>
      <w:r w:rsidR="003B4B8D" w:rsidRPr="00CA23AA">
        <w:rPr>
          <w:rFonts w:ascii="Franklin Gothic Book" w:hAnsi="Franklin Gothic Book" w:cstheme="minorBidi"/>
          <w:sz w:val="22"/>
        </w:rPr>
        <w:t xml:space="preserve"> administered every 4 weeks, however the model applies these 4-weekly costs to monthly cycles. This approach will slightly underestimate the costs associated with IVIg. </w:t>
      </w:r>
    </w:p>
    <w:p w14:paraId="446A1E59" w14:textId="79AF337B" w:rsidR="00211B2B" w:rsidRPr="00CA23AA" w:rsidRDefault="00211B2B" w:rsidP="00556656">
      <w:pPr>
        <w:pStyle w:val="Tablenotes0"/>
        <w:numPr>
          <w:ilvl w:val="0"/>
          <w:numId w:val="18"/>
        </w:numPr>
        <w:jc w:val="left"/>
        <w:rPr>
          <w:rFonts w:ascii="Franklin Gothic Book" w:hAnsi="Franklin Gothic Book" w:cstheme="minorBidi"/>
          <w:sz w:val="22"/>
        </w:rPr>
      </w:pPr>
      <w:r w:rsidRPr="00CA23AA">
        <w:rPr>
          <w:rFonts w:ascii="Franklin Gothic Book" w:hAnsi="Franklin Gothic Book" w:cstheme="minorBidi"/>
          <w:sz w:val="22"/>
        </w:rPr>
        <w:t xml:space="preserve">All patients in the model are assumed to receive one infusion of TIS. ABMTRR data indicated that around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Pr="00CA23AA">
        <w:rPr>
          <w:rFonts w:ascii="Franklin Gothic Book" w:hAnsi="Franklin Gothic Book" w:cstheme="minorBidi"/>
          <w:sz w:val="22"/>
        </w:rPr>
        <w:t>% of the patients had more than one TIS infusion. Although</w:t>
      </w:r>
      <w:r w:rsidR="00BB5F12" w:rsidRPr="00CA23AA">
        <w:rPr>
          <w:rFonts w:ascii="Franklin Gothic Book" w:hAnsi="Franklin Gothic Book" w:cstheme="minorBidi"/>
          <w:sz w:val="22"/>
        </w:rPr>
        <w:t xml:space="preserve">, </w:t>
      </w:r>
      <w:r w:rsidR="00594907" w:rsidRPr="00594907">
        <w:rPr>
          <w:rFonts w:ascii="Franklin Gothic Book" w:hAnsi="Franklin Gothic Book" w:cstheme="minorBidi"/>
          <w:color w:val="000000"/>
          <w:sz w:val="22"/>
          <w:shd w:val="solid" w:color="000000" w:fill="000000"/>
          <w14:textFill>
            <w14:solidFill>
              <w14:srgbClr w14:val="000000">
                <w14:alpha w14:val="100000"/>
              </w14:srgbClr>
            </w14:solidFill>
          </w14:textFill>
        </w:rPr>
        <w:t>|</w:t>
      </w:r>
      <w:r w:rsidR="00B648B9" w:rsidRPr="00CA23AA">
        <w:rPr>
          <w:rFonts w:ascii="Franklin Gothic Book" w:hAnsi="Franklin Gothic Book" w:cstheme="minorBidi"/>
          <w:sz w:val="22"/>
        </w:rPr>
        <w:t xml:space="preserve"> </w:t>
      </w:r>
      <w:r w:rsidR="002045A6" w:rsidRPr="00CA23AA">
        <w:rPr>
          <w:rFonts w:ascii="Franklin Gothic Book" w:hAnsi="Franklin Gothic Book" w:cstheme="minorBidi"/>
          <w:sz w:val="22"/>
        </w:rPr>
        <w:t xml:space="preserve">other adjunctive hospital costs </w:t>
      </w:r>
      <w:r w:rsidR="008475BD" w:rsidRPr="00CA23AA">
        <w:rPr>
          <w:rFonts w:ascii="Franklin Gothic Book" w:hAnsi="Franklin Gothic Book" w:cstheme="minorBidi"/>
          <w:sz w:val="22"/>
        </w:rPr>
        <w:t>would</w:t>
      </w:r>
      <w:r w:rsidR="002045A6" w:rsidRPr="00CA23AA">
        <w:rPr>
          <w:rFonts w:ascii="Franklin Gothic Book" w:hAnsi="Franklin Gothic Book" w:cstheme="minorBidi"/>
          <w:sz w:val="22"/>
        </w:rPr>
        <w:t xml:space="preserve"> </w:t>
      </w:r>
      <w:r w:rsidR="00B82418" w:rsidRPr="00CA23AA">
        <w:rPr>
          <w:rFonts w:ascii="Franklin Gothic Book" w:hAnsi="Franklin Gothic Book" w:cstheme="minorBidi"/>
          <w:sz w:val="22"/>
        </w:rPr>
        <w:t xml:space="preserve">still </w:t>
      </w:r>
      <w:r w:rsidR="002045A6" w:rsidRPr="00CA23AA">
        <w:rPr>
          <w:rFonts w:ascii="Franklin Gothic Book" w:hAnsi="Franklin Gothic Book" w:cstheme="minorBidi"/>
          <w:sz w:val="22"/>
        </w:rPr>
        <w:t xml:space="preserve">be incurred by the patients and </w:t>
      </w:r>
      <w:r w:rsidR="008475BD" w:rsidRPr="00CA23AA">
        <w:rPr>
          <w:rFonts w:ascii="Franklin Gothic Book" w:hAnsi="Franklin Gothic Book" w:cstheme="minorBidi"/>
          <w:sz w:val="22"/>
        </w:rPr>
        <w:t xml:space="preserve">state </w:t>
      </w:r>
      <w:r w:rsidR="00B82418" w:rsidRPr="00CA23AA">
        <w:rPr>
          <w:rFonts w:ascii="Franklin Gothic Book" w:hAnsi="Franklin Gothic Book" w:cstheme="minorBidi"/>
          <w:sz w:val="22"/>
        </w:rPr>
        <w:t>health</w:t>
      </w:r>
      <w:r w:rsidR="008475BD" w:rsidRPr="00CA23AA">
        <w:rPr>
          <w:rFonts w:ascii="Franklin Gothic Book" w:hAnsi="Franklin Gothic Book" w:cstheme="minorBidi"/>
          <w:sz w:val="22"/>
        </w:rPr>
        <w:t>.</w:t>
      </w:r>
    </w:p>
    <w:p w14:paraId="17DCE324" w14:textId="12B87A2E" w:rsidR="003D3801" w:rsidRPr="00CA23AA" w:rsidRDefault="000B086A" w:rsidP="00556656">
      <w:pPr>
        <w:pStyle w:val="Tablenotes0"/>
        <w:numPr>
          <w:ilvl w:val="0"/>
          <w:numId w:val="18"/>
        </w:numPr>
        <w:jc w:val="left"/>
        <w:rPr>
          <w:rFonts w:ascii="Franklin Gothic Book" w:hAnsi="Franklin Gothic Book" w:cstheme="minorBidi"/>
          <w:sz w:val="22"/>
        </w:rPr>
      </w:pPr>
      <w:r w:rsidRPr="00CA23AA">
        <w:rPr>
          <w:rFonts w:ascii="Franklin Gothic Book" w:hAnsi="Franklin Gothic Book" w:cstheme="minorBidi"/>
          <w:sz w:val="22"/>
        </w:rPr>
        <w:t>A</w:t>
      </w:r>
      <w:r w:rsidR="00322137" w:rsidRPr="00CA23AA">
        <w:rPr>
          <w:rFonts w:ascii="Franklin Gothic Book" w:hAnsi="Franklin Gothic Book" w:cstheme="minorBidi"/>
          <w:sz w:val="22"/>
        </w:rPr>
        <w:t xml:space="preserve"> simplified approach has been taken with respect to costing </w:t>
      </w:r>
      <w:r w:rsidR="007D4EFD" w:rsidRPr="00CA23AA">
        <w:rPr>
          <w:rFonts w:ascii="Franklin Gothic Book" w:hAnsi="Franklin Gothic Book" w:cstheme="minorBidi"/>
          <w:sz w:val="22"/>
        </w:rPr>
        <w:t>adverse</w:t>
      </w:r>
      <w:r w:rsidR="00322137" w:rsidRPr="00CA23AA">
        <w:rPr>
          <w:rFonts w:ascii="Franklin Gothic Book" w:hAnsi="Franklin Gothic Book" w:cstheme="minorBidi"/>
          <w:sz w:val="22"/>
        </w:rPr>
        <w:t xml:space="preserve"> events</w:t>
      </w:r>
      <w:r w:rsidR="007D4EFD" w:rsidRPr="00CA23AA">
        <w:rPr>
          <w:rFonts w:ascii="Franklin Gothic Book" w:hAnsi="Franklin Gothic Book" w:cstheme="minorBidi"/>
          <w:sz w:val="22"/>
        </w:rPr>
        <w:t xml:space="preserve"> (AE)</w:t>
      </w:r>
      <w:r w:rsidR="00322137" w:rsidRPr="00CA23AA">
        <w:rPr>
          <w:rFonts w:ascii="Franklin Gothic Book" w:hAnsi="Franklin Gothic Book" w:cstheme="minorBidi"/>
          <w:sz w:val="22"/>
        </w:rPr>
        <w:t xml:space="preserve">, which assumes all patients experiencing at least one Grade 3/4 AE were admitted to hospital for an average of one week. </w:t>
      </w:r>
      <w:r w:rsidRPr="00CA23AA">
        <w:rPr>
          <w:rFonts w:ascii="Franklin Gothic Book" w:hAnsi="Franklin Gothic Book" w:cstheme="minorBidi"/>
          <w:sz w:val="22"/>
        </w:rPr>
        <w:t>Th</w:t>
      </w:r>
      <w:r w:rsidR="001E32E4" w:rsidRPr="00CA23AA">
        <w:rPr>
          <w:rFonts w:ascii="Franklin Gothic Book" w:hAnsi="Franklin Gothic Book" w:cstheme="minorBidi"/>
          <w:sz w:val="22"/>
        </w:rPr>
        <w:t>is</w:t>
      </w:r>
      <w:r w:rsidRPr="00CA23AA">
        <w:rPr>
          <w:rFonts w:ascii="Franklin Gothic Book" w:hAnsi="Franklin Gothic Book" w:cstheme="minorBidi"/>
          <w:sz w:val="22"/>
        </w:rPr>
        <w:t xml:space="preserve"> simplified approach takes no account of different time-courses of adverse events and the possibility of multiple admissions per patient for different adverse events, or the increased management required for concurrent adverse events.</w:t>
      </w:r>
    </w:p>
    <w:p w14:paraId="7B53846F" w14:textId="042F1506" w:rsidR="00582C9C" w:rsidRPr="00CA23AA" w:rsidRDefault="008F3A29" w:rsidP="00582C9C">
      <w:r w:rsidRPr="00CA23AA">
        <w:t xml:space="preserve">There remain some uncertainties regarding the true cost of providing CAR-T therapy in Australia, with large variations in costs observed between patients. </w:t>
      </w:r>
      <w:r w:rsidR="002E217E" w:rsidRPr="00CA23AA">
        <w:fldChar w:fldCharType="begin"/>
      </w:r>
      <w:r w:rsidR="002E217E" w:rsidRPr="00CA23AA">
        <w:instrText xml:space="preserve"> REF _Ref131449614 \h </w:instrText>
      </w:r>
      <w:r w:rsidR="00CA23AA">
        <w:instrText xml:space="preserve"> \* MERGEFORMAT </w:instrText>
      </w:r>
      <w:r w:rsidR="002E217E" w:rsidRPr="00CA23AA">
        <w:fldChar w:fldCharType="separate"/>
      </w:r>
      <w:r w:rsidR="00175880" w:rsidRPr="00CA23AA">
        <w:t xml:space="preserve">Table </w:t>
      </w:r>
      <w:r w:rsidR="00175880" w:rsidRPr="00CA23AA">
        <w:rPr>
          <w:noProof/>
        </w:rPr>
        <w:t>15</w:t>
      </w:r>
      <w:r w:rsidR="002E217E" w:rsidRPr="00CA23AA">
        <w:fldChar w:fldCharType="end"/>
      </w:r>
      <w:r w:rsidR="002E217E" w:rsidRPr="00CA23AA">
        <w:t xml:space="preserve"> provides comparison of estimates used in the Step 3 -comprehensive update of the economic evaluation and data provided by states Department</w:t>
      </w:r>
      <w:r w:rsidR="00E42ECC" w:rsidRPr="00CA23AA">
        <w:t>s</w:t>
      </w:r>
      <w:r w:rsidR="002E217E" w:rsidRPr="00CA23AA">
        <w:t xml:space="preserve"> of Health. </w:t>
      </w:r>
      <w:r w:rsidRPr="00CA23AA">
        <w:t>Costs have been provided as averages and ranges to account for the significant variation between patients</w:t>
      </w:r>
      <w:r w:rsidR="005E62F2" w:rsidRPr="00CA23AA">
        <w:t xml:space="preserve">. Of note, there may be inconsistencies in how the activity-based cost is captured and coded for these patients. NSW Health advised that the Diagnosis Related Group (DRG) changes for this therapy depend on how the coding is initially approached (e.g., by location of tumour). This inconsistency will likely impact the quality of the data for these high-cost therapy reviews. Additionally, the focus of treatment and monitoring has been on the first-year post-transplant in line with the contract arrangements. Complications beyond 1 year are yet to be understood. CAR T-cell therapies are genetically modified </w:t>
      </w:r>
      <w:r w:rsidR="004A2CEF" w:rsidRPr="00CA23AA">
        <w:t xml:space="preserve">cells </w:t>
      </w:r>
      <w:r w:rsidR="005E62F2" w:rsidRPr="00CA23AA">
        <w:t xml:space="preserve">and patients are required to be followed up for 15 years as part of post market pharmacovigilance. </w:t>
      </w:r>
      <w:r w:rsidR="00E03103" w:rsidRPr="00CA23AA">
        <w:t>T</w:t>
      </w:r>
      <w:r w:rsidR="005E62F2" w:rsidRPr="00CA23AA">
        <w:t>ravel and accommodation arrangements for patients coming from other regions requires significant ongoing resourcing. There are long-term issues supporting access to subcutaneous immunoglobulin (SCIg) replacement, and the necessary equipment and materials (NSW Health submission).</w:t>
      </w:r>
      <w:r w:rsidR="00582C9C" w:rsidRPr="00CA23AA">
        <w:br w:type="page"/>
      </w:r>
    </w:p>
    <w:p w14:paraId="0ABEE93C" w14:textId="5F55B651" w:rsidR="008805F7" w:rsidRPr="00CA23AA" w:rsidRDefault="008805F7" w:rsidP="00180310">
      <w:pPr>
        <w:pStyle w:val="TableHeading0"/>
      </w:pPr>
      <w:bookmarkStart w:id="60" w:name="_Ref131449614"/>
      <w:r w:rsidRPr="00CA23AA">
        <w:t xml:space="preserve">Table </w:t>
      </w:r>
      <w:r w:rsidRPr="00CA23AA">
        <w:fldChar w:fldCharType="begin"/>
      </w:r>
      <w:r w:rsidRPr="00CA23AA">
        <w:instrText>SEQ Table \* ARABIC</w:instrText>
      </w:r>
      <w:r w:rsidRPr="00CA23AA">
        <w:fldChar w:fldCharType="separate"/>
      </w:r>
      <w:r w:rsidR="00175880" w:rsidRPr="00CA23AA">
        <w:rPr>
          <w:noProof/>
        </w:rPr>
        <w:t>15</w:t>
      </w:r>
      <w:r w:rsidRPr="00CA23AA">
        <w:fldChar w:fldCharType="end"/>
      </w:r>
      <w:bookmarkEnd w:id="60"/>
      <w:r w:rsidR="002E217E" w:rsidRPr="00CA23AA">
        <w:rPr>
          <w:noProof/>
        </w:rPr>
        <w:tab/>
        <w:t>Comparison of estimates used in the model Step 3 -comprehensive update with data provided by states</w:t>
      </w:r>
      <w:r w:rsidR="00866597" w:rsidRPr="00CA23AA">
        <w:rPr>
          <w:noProof/>
        </w:rPr>
        <w:t xml:space="preserve"> Departments of Health</w:t>
      </w:r>
      <w:r w:rsidR="002E217E" w:rsidRPr="00CA23AA">
        <w:rPr>
          <w:noProof/>
        </w:rPr>
        <w:t xml:space="preserve"> </w:t>
      </w:r>
    </w:p>
    <w:tbl>
      <w:tblPr>
        <w:tblStyle w:val="TableGrid"/>
        <w:tblW w:w="5000" w:type="pct"/>
        <w:tblLook w:val="06A0" w:firstRow="1" w:lastRow="0" w:firstColumn="1" w:lastColumn="0" w:noHBand="1" w:noVBand="1"/>
        <w:tblCaption w:val="Comparison of estimates used in the model Step 3 -comprehensive update with data provided by states Departments of Health"/>
        <w:tblDescription w:val="Comparison of estimates used in the model Step 3 -comprehensive update with data provided by states Departments of Health"/>
      </w:tblPr>
      <w:tblGrid>
        <w:gridCol w:w="1414"/>
        <w:gridCol w:w="1592"/>
        <w:gridCol w:w="1502"/>
        <w:gridCol w:w="1502"/>
        <w:gridCol w:w="1502"/>
        <w:gridCol w:w="1504"/>
      </w:tblGrid>
      <w:tr w:rsidR="00594907" w:rsidRPr="00CA23AA" w14:paraId="4EE4CF8A" w14:textId="77777777" w:rsidTr="009C2532">
        <w:trPr>
          <w:trHeight w:val="660"/>
          <w:tblHeader/>
        </w:trPr>
        <w:tc>
          <w:tcPr>
            <w:tcW w:w="784" w:type="pct"/>
          </w:tcPr>
          <w:p w14:paraId="54464A22" w14:textId="77777777" w:rsidR="009D04FD" w:rsidRPr="00CA23AA" w:rsidRDefault="009D04FD" w:rsidP="00582C9C">
            <w:pPr>
              <w:pStyle w:val="TableText"/>
              <w:spacing w:before="0" w:after="0"/>
              <w:rPr>
                <w:b/>
              </w:rPr>
            </w:pPr>
          </w:p>
        </w:tc>
        <w:tc>
          <w:tcPr>
            <w:tcW w:w="883" w:type="pct"/>
            <w:shd w:val="clear" w:color="auto" w:fill="DEEAF6" w:themeFill="accent1" w:themeFillTint="33"/>
          </w:tcPr>
          <w:p w14:paraId="23FD9462" w14:textId="5CEF65EE" w:rsidR="009D04FD" w:rsidRPr="00CA23AA" w:rsidRDefault="009321D1" w:rsidP="00582C9C">
            <w:pPr>
              <w:pStyle w:val="TableText"/>
              <w:spacing w:before="0" w:after="0"/>
              <w:rPr>
                <w:b/>
              </w:rPr>
            </w:pPr>
            <w:r w:rsidRPr="00CA23AA">
              <w:rPr>
                <w:b/>
              </w:rPr>
              <w:t xml:space="preserve">Previous </w:t>
            </w:r>
            <w:r w:rsidR="00850912" w:rsidRPr="00CA23AA">
              <w:rPr>
                <w:b/>
              </w:rPr>
              <w:t xml:space="preserve">ADAR </w:t>
            </w:r>
            <w:r w:rsidRPr="00CA23AA">
              <w:rPr>
                <w:b/>
              </w:rPr>
              <w:t>(</w:t>
            </w:r>
            <w:r w:rsidR="009D04FD" w:rsidRPr="00CA23AA">
              <w:rPr>
                <w:b/>
              </w:rPr>
              <w:t>1519</w:t>
            </w:r>
            <w:r w:rsidRPr="00CA23AA">
              <w:rPr>
                <w:b/>
              </w:rPr>
              <w:t>)</w:t>
            </w:r>
          </w:p>
          <w:p w14:paraId="28A0C0C7" w14:textId="6616F590" w:rsidR="00850912" w:rsidRPr="00CA23AA" w:rsidRDefault="00850912" w:rsidP="00582C9C">
            <w:pPr>
              <w:pStyle w:val="TableText"/>
              <w:spacing w:before="0" w:after="0"/>
              <w:rPr>
                <w:b/>
              </w:rPr>
            </w:pPr>
            <w:r w:rsidRPr="00CA23AA">
              <w:rPr>
                <w:b/>
              </w:rPr>
              <w:t>(N= 74)</w:t>
            </w:r>
          </w:p>
        </w:tc>
        <w:tc>
          <w:tcPr>
            <w:tcW w:w="833" w:type="pct"/>
          </w:tcPr>
          <w:p w14:paraId="7B18B3F5" w14:textId="68FF7F45" w:rsidR="009D04FD" w:rsidRPr="00CA23AA" w:rsidRDefault="009321D1" w:rsidP="00582C9C">
            <w:pPr>
              <w:pStyle w:val="TableText"/>
              <w:spacing w:before="0" w:after="0"/>
              <w:rPr>
                <w:b/>
              </w:rPr>
            </w:pPr>
            <w:r w:rsidRPr="00CA23AA">
              <w:rPr>
                <w:b/>
              </w:rPr>
              <w:t xml:space="preserve">Current </w:t>
            </w:r>
            <w:r w:rsidR="009D04FD" w:rsidRPr="00CA23AA">
              <w:rPr>
                <w:b/>
              </w:rPr>
              <w:t xml:space="preserve">ADAR </w:t>
            </w:r>
            <w:r w:rsidRPr="00CA23AA">
              <w:rPr>
                <w:b/>
              </w:rPr>
              <w:t>(</w:t>
            </w:r>
            <w:r w:rsidR="00850912" w:rsidRPr="00CA23AA">
              <w:rPr>
                <w:b/>
              </w:rPr>
              <w:t>1748</w:t>
            </w:r>
            <w:r w:rsidRPr="00CA23AA">
              <w:rPr>
                <w:b/>
              </w:rPr>
              <w:t>)</w:t>
            </w:r>
          </w:p>
          <w:p w14:paraId="2796CCD9" w14:textId="29059D9D" w:rsidR="009D04FD" w:rsidRPr="00CA23AA" w:rsidRDefault="009D04FD" w:rsidP="00582C9C">
            <w:pPr>
              <w:pStyle w:val="TableText"/>
              <w:spacing w:before="0" w:after="0"/>
              <w:rPr>
                <w:b/>
              </w:rPr>
            </w:pPr>
            <w:r w:rsidRPr="00CA23AA">
              <w:rPr>
                <w:b/>
              </w:rPr>
              <w:t>(N= 55</w:t>
            </w:r>
            <w:r w:rsidR="00EF5D42" w:rsidRPr="00CA23AA">
              <w:rPr>
                <w:b/>
              </w:rPr>
              <w:t xml:space="preserve"> for ABMTRR</w:t>
            </w:r>
            <w:r w:rsidRPr="00CA23AA">
              <w:rPr>
                <w:b/>
              </w:rPr>
              <w:t>)</w:t>
            </w:r>
          </w:p>
        </w:tc>
        <w:tc>
          <w:tcPr>
            <w:tcW w:w="833" w:type="pct"/>
          </w:tcPr>
          <w:p w14:paraId="1ACCA815" w14:textId="77777777" w:rsidR="009D04FD" w:rsidRPr="00CA23AA" w:rsidRDefault="009D04FD" w:rsidP="00582C9C">
            <w:pPr>
              <w:pStyle w:val="TableText"/>
              <w:spacing w:before="0" w:after="0"/>
              <w:rPr>
                <w:b/>
              </w:rPr>
            </w:pPr>
            <w:r w:rsidRPr="00CA23AA">
              <w:rPr>
                <w:b/>
              </w:rPr>
              <w:t>Victoria</w:t>
            </w:r>
          </w:p>
          <w:p w14:paraId="1EE5898B" w14:textId="294F9DD6" w:rsidR="009D04FD" w:rsidRPr="00CA23AA" w:rsidRDefault="009D04FD" w:rsidP="00582C9C">
            <w:pPr>
              <w:pStyle w:val="TableText"/>
              <w:spacing w:before="0" w:after="0"/>
              <w:rPr>
                <w:b/>
              </w:rPr>
            </w:pPr>
            <w:r w:rsidRPr="00CA23AA">
              <w:rPr>
                <w:b/>
              </w:rPr>
              <w:t>(N= 35)</w:t>
            </w:r>
          </w:p>
        </w:tc>
        <w:tc>
          <w:tcPr>
            <w:tcW w:w="833" w:type="pct"/>
          </w:tcPr>
          <w:p w14:paraId="6D3CFF35" w14:textId="77777777" w:rsidR="009D04FD" w:rsidRPr="00CA23AA" w:rsidRDefault="009D04FD" w:rsidP="00582C9C">
            <w:pPr>
              <w:pStyle w:val="TableText"/>
              <w:spacing w:before="0" w:after="0"/>
              <w:rPr>
                <w:b/>
              </w:rPr>
            </w:pPr>
            <w:r w:rsidRPr="00CA23AA">
              <w:rPr>
                <w:b/>
              </w:rPr>
              <w:t xml:space="preserve">NSW </w:t>
            </w:r>
          </w:p>
          <w:p w14:paraId="38B38E74" w14:textId="663DD5B9" w:rsidR="009D04FD" w:rsidRPr="00CA23AA" w:rsidRDefault="009D04FD" w:rsidP="00582C9C">
            <w:pPr>
              <w:pStyle w:val="TableText"/>
              <w:spacing w:before="0" w:after="0"/>
              <w:rPr>
                <w:b/>
              </w:rPr>
            </w:pPr>
            <w:r w:rsidRPr="00CA23AA">
              <w:rPr>
                <w:b/>
              </w:rPr>
              <w:t>(N=15)</w:t>
            </w:r>
          </w:p>
        </w:tc>
        <w:tc>
          <w:tcPr>
            <w:tcW w:w="834" w:type="pct"/>
          </w:tcPr>
          <w:p w14:paraId="788C703A" w14:textId="77777777" w:rsidR="009D04FD" w:rsidRPr="00CA23AA" w:rsidRDefault="009D04FD" w:rsidP="00582C9C">
            <w:pPr>
              <w:pStyle w:val="TableText"/>
              <w:spacing w:before="0" w:after="0"/>
              <w:rPr>
                <w:b/>
              </w:rPr>
            </w:pPr>
            <w:r w:rsidRPr="00CA23AA">
              <w:rPr>
                <w:b/>
              </w:rPr>
              <w:t>Queensland</w:t>
            </w:r>
          </w:p>
          <w:p w14:paraId="5F3D7A25" w14:textId="4490F85C" w:rsidR="009D04FD" w:rsidRPr="00CA23AA" w:rsidRDefault="009D04FD" w:rsidP="00582C9C">
            <w:pPr>
              <w:pStyle w:val="TableText"/>
              <w:spacing w:before="0" w:after="0"/>
              <w:rPr>
                <w:b/>
              </w:rPr>
            </w:pPr>
            <w:r w:rsidRPr="00CA23AA">
              <w:rPr>
                <w:b/>
              </w:rPr>
              <w:t>(N=</w:t>
            </w:r>
            <w:r w:rsidR="0020465A" w:rsidRPr="00CA23AA">
              <w:rPr>
                <w:b/>
              </w:rPr>
              <w:t>&lt;5</w:t>
            </w:r>
            <w:r w:rsidRPr="00CA23AA">
              <w:rPr>
                <w:b/>
              </w:rPr>
              <w:t>)</w:t>
            </w:r>
          </w:p>
        </w:tc>
      </w:tr>
      <w:tr w:rsidR="00594907" w:rsidRPr="00CA23AA" w14:paraId="00047059" w14:textId="77777777" w:rsidTr="00594907">
        <w:trPr>
          <w:trHeight w:val="300"/>
        </w:trPr>
        <w:tc>
          <w:tcPr>
            <w:tcW w:w="784" w:type="pct"/>
          </w:tcPr>
          <w:p w14:paraId="3AFAC58A" w14:textId="77777777" w:rsidR="009D04FD" w:rsidRPr="00CA23AA" w:rsidRDefault="009D04FD" w:rsidP="00582C9C">
            <w:pPr>
              <w:pStyle w:val="TableText"/>
              <w:spacing w:before="0" w:after="0"/>
            </w:pPr>
            <w:r w:rsidRPr="00CA23AA">
              <w:t>Reporting period</w:t>
            </w:r>
          </w:p>
        </w:tc>
        <w:tc>
          <w:tcPr>
            <w:tcW w:w="883" w:type="pct"/>
            <w:shd w:val="clear" w:color="auto" w:fill="DEEAF6" w:themeFill="accent1" w:themeFillTint="33"/>
          </w:tcPr>
          <w:p w14:paraId="1E4D32BC" w14:textId="1A1B3B4F" w:rsidR="009D04FD" w:rsidRPr="00CA23AA" w:rsidRDefault="0044020D" w:rsidP="00582C9C">
            <w:pPr>
              <w:pStyle w:val="TableText"/>
              <w:spacing w:before="0" w:after="0"/>
            </w:pPr>
            <w:r w:rsidRPr="00CA23AA">
              <w:t>ENSIGN and ELIANA</w:t>
            </w:r>
            <w:r w:rsidR="00D760C9" w:rsidRPr="00CA23AA">
              <w:t xml:space="preserve"> (data cut-off April 2017)</w:t>
            </w:r>
          </w:p>
        </w:tc>
        <w:tc>
          <w:tcPr>
            <w:tcW w:w="833" w:type="pct"/>
          </w:tcPr>
          <w:p w14:paraId="417901E5" w14:textId="2B4F5A70" w:rsidR="009D04FD" w:rsidRPr="00CA23AA" w:rsidRDefault="009D04FD" w:rsidP="00582C9C">
            <w:pPr>
              <w:pStyle w:val="TableText"/>
              <w:spacing w:before="0" w:after="0"/>
            </w:pPr>
            <w:r w:rsidRPr="00CA23AA">
              <w:t>ABMTRR report up to September 2022</w:t>
            </w:r>
          </w:p>
        </w:tc>
        <w:tc>
          <w:tcPr>
            <w:tcW w:w="833" w:type="pct"/>
            <w:tcBorders>
              <w:bottom w:val="single" w:sz="4" w:space="0" w:color="auto"/>
            </w:tcBorders>
          </w:tcPr>
          <w:p w14:paraId="2501F673" w14:textId="77777777" w:rsidR="009D04FD" w:rsidRPr="00CA23AA" w:rsidRDefault="009D04FD" w:rsidP="00582C9C">
            <w:pPr>
              <w:pStyle w:val="TableText"/>
              <w:spacing w:before="0" w:after="0"/>
            </w:pPr>
            <w:r w:rsidRPr="00CA23AA">
              <w:t>May 2019 to January 2023</w:t>
            </w:r>
          </w:p>
          <w:p w14:paraId="1EB1A5B8" w14:textId="77777777" w:rsidR="009D04FD" w:rsidRPr="00CA23AA" w:rsidRDefault="009D04FD" w:rsidP="00582C9C">
            <w:pPr>
              <w:pStyle w:val="TableText"/>
              <w:spacing w:before="0" w:after="0"/>
            </w:pPr>
          </w:p>
        </w:tc>
        <w:tc>
          <w:tcPr>
            <w:tcW w:w="833" w:type="pct"/>
          </w:tcPr>
          <w:p w14:paraId="4C4E7A8E" w14:textId="17589AA4" w:rsidR="009D04FD" w:rsidRPr="00CA23AA" w:rsidRDefault="009D04FD" w:rsidP="00582C9C">
            <w:pPr>
              <w:pStyle w:val="TableText"/>
              <w:spacing w:before="0" w:after="0"/>
            </w:pPr>
            <w:r w:rsidRPr="00CA23AA">
              <w:t>2020 – 30th June 2022</w:t>
            </w:r>
          </w:p>
        </w:tc>
        <w:tc>
          <w:tcPr>
            <w:tcW w:w="834" w:type="pct"/>
            <w:tcBorders>
              <w:bottom w:val="single" w:sz="4" w:space="0" w:color="auto"/>
            </w:tcBorders>
          </w:tcPr>
          <w:p w14:paraId="5A4A81F6" w14:textId="182B32F4" w:rsidR="009D04FD" w:rsidRPr="00CA23AA" w:rsidRDefault="009D04FD" w:rsidP="00582C9C">
            <w:pPr>
              <w:pStyle w:val="TableText"/>
              <w:spacing w:before="0" w:after="0"/>
            </w:pPr>
            <w:r w:rsidRPr="00CA23AA">
              <w:t xml:space="preserve">1st April 2019 to 28th September 2022  </w:t>
            </w:r>
          </w:p>
        </w:tc>
      </w:tr>
      <w:tr w:rsidR="00594907" w:rsidRPr="00CA23AA" w14:paraId="38AD6FDE" w14:textId="77777777" w:rsidTr="00594907">
        <w:trPr>
          <w:trHeight w:val="300"/>
        </w:trPr>
        <w:tc>
          <w:tcPr>
            <w:tcW w:w="784" w:type="pct"/>
          </w:tcPr>
          <w:p w14:paraId="6C68DEC8" w14:textId="54B1F6B6" w:rsidR="009D04FD" w:rsidRPr="00CA23AA" w:rsidRDefault="009D04FD" w:rsidP="00582C9C">
            <w:pPr>
              <w:pStyle w:val="TableText"/>
              <w:spacing w:before="0" w:after="0"/>
            </w:pPr>
            <w:r w:rsidRPr="00CA23AA">
              <w:t>Infusion admission cost</w:t>
            </w:r>
          </w:p>
        </w:tc>
        <w:tc>
          <w:tcPr>
            <w:tcW w:w="883" w:type="pct"/>
            <w:shd w:val="clear" w:color="auto" w:fill="DEEAF6" w:themeFill="accent1" w:themeFillTint="33"/>
          </w:tcPr>
          <w:p w14:paraId="497D367F" w14:textId="4F2A6473" w:rsidR="009D04FD" w:rsidRPr="00CA23AA" w:rsidRDefault="006546F3" w:rsidP="00582C9C">
            <w:pPr>
              <w:pStyle w:val="TableText"/>
              <w:spacing w:before="0" w:after="0"/>
            </w:pPr>
            <w:r w:rsidRPr="00CA23AA">
              <w:t>$58,624</w:t>
            </w:r>
          </w:p>
        </w:tc>
        <w:tc>
          <w:tcPr>
            <w:tcW w:w="833" w:type="pct"/>
          </w:tcPr>
          <w:p w14:paraId="0E379C8A" w14:textId="078D0ECB" w:rsidR="009D04FD" w:rsidRPr="00CA23AA" w:rsidRDefault="009D04FD" w:rsidP="00582C9C">
            <w:pPr>
              <w:pStyle w:val="TableText"/>
              <w:spacing w:before="0" w:after="0"/>
            </w:pPr>
            <w:r w:rsidRPr="00CA23AA">
              <w:t>$53,679</w:t>
            </w:r>
          </w:p>
        </w:tc>
        <w:tc>
          <w:tcPr>
            <w:tcW w:w="833" w:type="pct"/>
            <w:tcBorders>
              <w:bottom w:val="single" w:sz="4" w:space="0" w:color="auto"/>
            </w:tcBorders>
            <w:shd w:val="solid" w:color="000000" w:fill="000000"/>
          </w:tcPr>
          <w:p w14:paraId="067D139B" w14:textId="3482234B" w:rsidR="009D04FD" w:rsidRPr="00CA23AA" w:rsidRDefault="00594907" w:rsidP="00582C9C">
            <w:pPr>
              <w:pStyle w:val="TableText"/>
              <w:spacing w:before="0" w:after="0"/>
            </w:pPr>
            <w:r w:rsidRPr="00594907">
              <w:rPr>
                <w:color w:val="000000"/>
                <w:spacing w:val="184"/>
                <w:fitText w:val="270" w:id="-1161539584"/>
                <w14:textFill>
                  <w14:solidFill>
                    <w14:srgbClr w14:val="000000">
                      <w14:alpha w14:val="100000"/>
                    </w14:srgbClr>
                  </w14:solidFill>
                </w14:textFill>
              </w:rPr>
              <w:t>|</w:t>
            </w:r>
            <w:r w:rsidRPr="00594907">
              <w:rPr>
                <w:color w:val="000000"/>
                <w:fitText w:val="270" w:id="-1161539584"/>
                <w14:textFill>
                  <w14:solidFill>
                    <w14:srgbClr w14:val="000000">
                      <w14:alpha w14:val="100000"/>
                    </w14:srgbClr>
                  </w14:solidFill>
                </w14:textFill>
              </w:rPr>
              <w:t>|</w:t>
            </w:r>
          </w:p>
        </w:tc>
        <w:tc>
          <w:tcPr>
            <w:tcW w:w="833" w:type="pct"/>
          </w:tcPr>
          <w:p w14:paraId="0765E100" w14:textId="09F2DFA5" w:rsidR="009D04FD" w:rsidRPr="00CA23AA" w:rsidRDefault="009D04FD" w:rsidP="00582C9C">
            <w:pPr>
              <w:pStyle w:val="TableText"/>
              <w:spacing w:before="0" w:after="0"/>
            </w:pPr>
            <w:r w:rsidRPr="00CA23AA">
              <w:t>NR</w:t>
            </w:r>
          </w:p>
        </w:tc>
        <w:tc>
          <w:tcPr>
            <w:tcW w:w="834" w:type="pct"/>
            <w:tcBorders>
              <w:bottom w:val="single" w:sz="4" w:space="0" w:color="auto"/>
            </w:tcBorders>
            <w:shd w:val="solid" w:color="000000" w:fill="000000"/>
          </w:tcPr>
          <w:p w14:paraId="6A757F9C" w14:textId="34B40D2E" w:rsidR="009D04FD" w:rsidRPr="00CA23AA" w:rsidRDefault="00594907" w:rsidP="00582C9C">
            <w:pPr>
              <w:pStyle w:val="TableText"/>
              <w:spacing w:before="0" w:after="0"/>
            </w:pPr>
            <w:r w:rsidRPr="00594907">
              <w:rPr>
                <w:color w:val="000000"/>
                <w:spacing w:val="184"/>
                <w:fitText w:val="270" w:id="-1161539583"/>
                <w14:textFill>
                  <w14:solidFill>
                    <w14:srgbClr w14:val="000000">
                      <w14:alpha w14:val="100000"/>
                    </w14:srgbClr>
                  </w14:solidFill>
                </w14:textFill>
              </w:rPr>
              <w:t>|</w:t>
            </w:r>
            <w:r w:rsidRPr="00594907">
              <w:rPr>
                <w:color w:val="000000"/>
                <w:fitText w:val="270" w:id="-1161539583"/>
                <w14:textFill>
                  <w14:solidFill>
                    <w14:srgbClr w14:val="000000">
                      <w14:alpha w14:val="100000"/>
                    </w14:srgbClr>
                  </w14:solidFill>
                </w14:textFill>
              </w:rPr>
              <w:t>|</w:t>
            </w:r>
          </w:p>
        </w:tc>
      </w:tr>
      <w:tr w:rsidR="00594907" w:rsidRPr="00CA23AA" w14:paraId="1CC08E2B" w14:textId="77777777" w:rsidTr="00594907">
        <w:trPr>
          <w:trHeight w:val="300"/>
        </w:trPr>
        <w:tc>
          <w:tcPr>
            <w:tcW w:w="784" w:type="pct"/>
          </w:tcPr>
          <w:p w14:paraId="6A8B449C" w14:textId="000331CF" w:rsidR="009D04FD" w:rsidRPr="00CA23AA" w:rsidRDefault="009D04FD" w:rsidP="00582C9C">
            <w:pPr>
              <w:pStyle w:val="TableText"/>
              <w:spacing w:before="0" w:after="0"/>
            </w:pPr>
            <w:r w:rsidRPr="00CA23AA">
              <w:t>Average total inpatient and outpatient costs</w:t>
            </w:r>
          </w:p>
        </w:tc>
        <w:tc>
          <w:tcPr>
            <w:tcW w:w="883" w:type="pct"/>
            <w:shd w:val="clear" w:color="auto" w:fill="DEEAF6" w:themeFill="accent1" w:themeFillTint="33"/>
          </w:tcPr>
          <w:p w14:paraId="0C44FE82" w14:textId="1E0A8051" w:rsidR="009D04FD" w:rsidRPr="00CA23AA" w:rsidRDefault="006546F3" w:rsidP="00582C9C">
            <w:pPr>
              <w:pStyle w:val="TableText"/>
              <w:spacing w:before="0" w:after="0"/>
            </w:pPr>
            <w:r w:rsidRPr="00CA23AA">
              <w:t>-</w:t>
            </w:r>
          </w:p>
        </w:tc>
        <w:tc>
          <w:tcPr>
            <w:tcW w:w="833" w:type="pct"/>
          </w:tcPr>
          <w:p w14:paraId="7BD410F9" w14:textId="59402129" w:rsidR="009D04FD" w:rsidRPr="00CA23AA" w:rsidRDefault="009D04FD" w:rsidP="00582C9C">
            <w:pPr>
              <w:pStyle w:val="TableText"/>
              <w:spacing w:before="0" w:after="0"/>
            </w:pPr>
            <w:r w:rsidRPr="00CA23AA">
              <w:t>-</w:t>
            </w:r>
          </w:p>
        </w:tc>
        <w:tc>
          <w:tcPr>
            <w:tcW w:w="833" w:type="pct"/>
            <w:tcBorders>
              <w:bottom w:val="single" w:sz="4" w:space="0" w:color="auto"/>
            </w:tcBorders>
            <w:shd w:val="solid" w:color="000000" w:fill="000000"/>
          </w:tcPr>
          <w:p w14:paraId="119C2DC6" w14:textId="2A6259C3" w:rsidR="009D04FD" w:rsidRPr="00CA23AA" w:rsidRDefault="00594907" w:rsidP="00582C9C">
            <w:pPr>
              <w:pStyle w:val="TableText"/>
              <w:spacing w:before="0" w:after="0"/>
            </w:pPr>
            <w:r w:rsidRPr="00594907">
              <w:rPr>
                <w:color w:val="000000"/>
                <w:spacing w:val="184"/>
                <w:fitText w:val="270" w:id="-1161539582"/>
                <w14:textFill>
                  <w14:solidFill>
                    <w14:srgbClr w14:val="000000">
                      <w14:alpha w14:val="100000"/>
                    </w14:srgbClr>
                  </w14:solidFill>
                </w14:textFill>
              </w:rPr>
              <w:t>|</w:t>
            </w:r>
            <w:r w:rsidRPr="00594907">
              <w:rPr>
                <w:color w:val="000000"/>
                <w:fitText w:val="270" w:id="-1161539582"/>
                <w14:textFill>
                  <w14:solidFill>
                    <w14:srgbClr w14:val="000000">
                      <w14:alpha w14:val="100000"/>
                    </w14:srgbClr>
                  </w14:solidFill>
                </w14:textFill>
              </w:rPr>
              <w:t>|</w:t>
            </w:r>
          </w:p>
        </w:tc>
        <w:tc>
          <w:tcPr>
            <w:tcW w:w="833" w:type="pct"/>
          </w:tcPr>
          <w:p w14:paraId="2F94CE96" w14:textId="02F5C48B" w:rsidR="009D04FD" w:rsidRPr="00CA23AA" w:rsidRDefault="009D04FD" w:rsidP="00582C9C">
            <w:pPr>
              <w:pStyle w:val="TableText"/>
              <w:spacing w:before="0" w:after="0"/>
            </w:pPr>
            <w:r w:rsidRPr="00CA23AA">
              <w:t>NR</w:t>
            </w:r>
          </w:p>
        </w:tc>
        <w:tc>
          <w:tcPr>
            <w:tcW w:w="834" w:type="pct"/>
            <w:shd w:val="solid" w:color="000000" w:fill="000000"/>
          </w:tcPr>
          <w:p w14:paraId="7AC6192B" w14:textId="272662B1" w:rsidR="009D04FD" w:rsidRPr="00CA23AA" w:rsidRDefault="00594907" w:rsidP="00582C9C">
            <w:pPr>
              <w:pStyle w:val="TableText"/>
              <w:spacing w:before="0" w:after="0"/>
            </w:pPr>
            <w:r w:rsidRPr="00594907">
              <w:rPr>
                <w:color w:val="000000"/>
                <w:spacing w:val="184"/>
                <w:fitText w:val="270" w:id="-1161539581"/>
                <w14:textFill>
                  <w14:solidFill>
                    <w14:srgbClr w14:val="000000">
                      <w14:alpha w14:val="100000"/>
                    </w14:srgbClr>
                  </w14:solidFill>
                </w14:textFill>
              </w:rPr>
              <w:t>|</w:t>
            </w:r>
            <w:r w:rsidRPr="00594907">
              <w:rPr>
                <w:color w:val="000000"/>
                <w:fitText w:val="270" w:id="-1161539581"/>
                <w14:textFill>
                  <w14:solidFill>
                    <w14:srgbClr w14:val="000000">
                      <w14:alpha w14:val="100000"/>
                    </w14:srgbClr>
                  </w14:solidFill>
                </w14:textFill>
              </w:rPr>
              <w:t>|</w:t>
            </w:r>
          </w:p>
        </w:tc>
      </w:tr>
      <w:tr w:rsidR="00594907" w:rsidRPr="00CA23AA" w14:paraId="3F2CC712" w14:textId="77777777" w:rsidTr="00594907">
        <w:trPr>
          <w:trHeight w:val="300"/>
        </w:trPr>
        <w:tc>
          <w:tcPr>
            <w:tcW w:w="784" w:type="pct"/>
          </w:tcPr>
          <w:p w14:paraId="51B12585" w14:textId="4F89E2C8" w:rsidR="009D04FD" w:rsidRPr="00CA23AA" w:rsidRDefault="009D04FD" w:rsidP="00582C9C">
            <w:pPr>
              <w:pStyle w:val="TableText"/>
              <w:spacing w:before="0" w:after="0"/>
            </w:pPr>
            <w:r w:rsidRPr="00CA23AA">
              <w:t>Average program cost (excluding TIS product cost)</w:t>
            </w:r>
          </w:p>
        </w:tc>
        <w:tc>
          <w:tcPr>
            <w:tcW w:w="883" w:type="pct"/>
            <w:shd w:val="clear" w:color="auto" w:fill="DEEAF6" w:themeFill="accent1" w:themeFillTint="33"/>
          </w:tcPr>
          <w:p w14:paraId="50AD97D6" w14:textId="48A3DA51" w:rsidR="009D04FD" w:rsidRPr="00CA23AA" w:rsidRDefault="006546F3" w:rsidP="00582C9C">
            <w:pPr>
              <w:pStyle w:val="TableText"/>
              <w:spacing w:before="0" w:after="0"/>
            </w:pPr>
            <w:r w:rsidRPr="00CA23AA">
              <w:t>$171,123</w:t>
            </w:r>
          </w:p>
        </w:tc>
        <w:tc>
          <w:tcPr>
            <w:tcW w:w="833" w:type="pct"/>
          </w:tcPr>
          <w:p w14:paraId="13F93676" w14:textId="3E2C9DC6" w:rsidR="009D04FD" w:rsidRPr="00CA23AA" w:rsidRDefault="009D04FD" w:rsidP="00582C9C">
            <w:pPr>
              <w:pStyle w:val="TableText"/>
              <w:spacing w:before="0" w:after="0"/>
            </w:pPr>
            <w:r w:rsidRPr="00CA23AA">
              <w:t>$132,791</w:t>
            </w:r>
          </w:p>
        </w:tc>
        <w:tc>
          <w:tcPr>
            <w:tcW w:w="833" w:type="pct"/>
            <w:shd w:val="solid" w:color="000000" w:fill="000000"/>
          </w:tcPr>
          <w:p w14:paraId="5AAB09DC" w14:textId="01BDD1B6" w:rsidR="009D04FD" w:rsidRPr="00CA23AA" w:rsidRDefault="00594907" w:rsidP="00582C9C">
            <w:pPr>
              <w:pStyle w:val="TableText"/>
              <w:spacing w:before="0" w:after="0"/>
            </w:pPr>
            <w:r w:rsidRPr="00594907">
              <w:rPr>
                <w:color w:val="000000"/>
                <w:spacing w:val="184"/>
                <w:fitText w:val="270" w:id="-1161539580"/>
                <w14:textFill>
                  <w14:solidFill>
                    <w14:srgbClr w14:val="000000">
                      <w14:alpha w14:val="100000"/>
                    </w14:srgbClr>
                  </w14:solidFill>
                </w14:textFill>
              </w:rPr>
              <w:t>|</w:t>
            </w:r>
            <w:r w:rsidRPr="00594907">
              <w:rPr>
                <w:color w:val="000000"/>
                <w:fitText w:val="270" w:id="-1161539580"/>
                <w14:textFill>
                  <w14:solidFill>
                    <w14:srgbClr w14:val="000000">
                      <w14:alpha w14:val="100000"/>
                    </w14:srgbClr>
                  </w14:solidFill>
                </w14:textFill>
              </w:rPr>
              <w:t>|</w:t>
            </w:r>
          </w:p>
        </w:tc>
        <w:tc>
          <w:tcPr>
            <w:tcW w:w="833" w:type="pct"/>
          </w:tcPr>
          <w:p w14:paraId="6EA61137" w14:textId="031B42A9" w:rsidR="009D04FD" w:rsidRPr="00CA23AA" w:rsidRDefault="009D04FD" w:rsidP="00582C9C">
            <w:pPr>
              <w:pStyle w:val="TableText"/>
              <w:spacing w:before="0" w:after="0"/>
            </w:pPr>
            <w:r w:rsidRPr="00CA23AA">
              <w:t>$371,000 and the range is $215,000 – $1,730,000</w:t>
            </w:r>
          </w:p>
        </w:tc>
        <w:tc>
          <w:tcPr>
            <w:tcW w:w="834" w:type="pct"/>
          </w:tcPr>
          <w:p w14:paraId="73EF5214" w14:textId="494D01ED" w:rsidR="009D04FD" w:rsidRPr="00CA23AA" w:rsidRDefault="009D04FD" w:rsidP="00582C9C">
            <w:pPr>
              <w:pStyle w:val="TableText"/>
              <w:spacing w:before="0" w:after="0"/>
            </w:pPr>
            <w:r w:rsidRPr="00CA23AA">
              <w:t>$458,584</w:t>
            </w:r>
          </w:p>
        </w:tc>
      </w:tr>
      <w:tr w:rsidR="00594907" w:rsidRPr="00CA23AA" w14:paraId="1B8DD8C1" w14:textId="77777777" w:rsidTr="009C2532">
        <w:trPr>
          <w:trHeight w:val="300"/>
        </w:trPr>
        <w:tc>
          <w:tcPr>
            <w:tcW w:w="784" w:type="pct"/>
            <w:vMerge w:val="restart"/>
          </w:tcPr>
          <w:p w14:paraId="6C0A72ED" w14:textId="7DEE43DA" w:rsidR="006546F3" w:rsidRPr="00CA23AA" w:rsidRDefault="006546F3" w:rsidP="00582C9C">
            <w:pPr>
              <w:pStyle w:val="TableText"/>
              <w:spacing w:before="0" w:after="0"/>
            </w:pPr>
            <w:r w:rsidRPr="00CA23AA">
              <w:t>Average program cost (including TIS product cost)</w:t>
            </w:r>
          </w:p>
        </w:tc>
        <w:tc>
          <w:tcPr>
            <w:tcW w:w="883" w:type="pct"/>
            <w:vMerge w:val="restart"/>
            <w:shd w:val="clear" w:color="auto" w:fill="DEEAF6" w:themeFill="accent1" w:themeFillTint="33"/>
          </w:tcPr>
          <w:p w14:paraId="279CEC2E" w14:textId="718202E2" w:rsidR="006546F3" w:rsidRPr="00CA23AA" w:rsidRDefault="006546F3" w:rsidP="00582C9C">
            <w:pPr>
              <w:pStyle w:val="TableText"/>
              <w:spacing w:before="0" w:after="0"/>
            </w:pPr>
            <w:r w:rsidRPr="00CA23AA">
              <w:t>$</w:t>
            </w:r>
            <w:r w:rsidR="00594907" w:rsidRPr="00594907">
              <w:rPr>
                <w:color w:val="000000"/>
                <w:spacing w:val="194"/>
                <w:shd w:val="solid" w:color="000000" w:fill="000000"/>
                <w:fitText w:val="280" w:id="-1161539579"/>
                <w14:textFill>
                  <w14:solidFill>
                    <w14:srgbClr w14:val="000000">
                      <w14:alpha w14:val="100000"/>
                    </w14:srgbClr>
                  </w14:solidFill>
                </w14:textFill>
              </w:rPr>
              <w:t>|</w:t>
            </w:r>
            <w:r w:rsidR="00594907" w:rsidRPr="00594907">
              <w:rPr>
                <w:color w:val="000000"/>
                <w:spacing w:val="1"/>
                <w:shd w:val="solid" w:color="000000" w:fill="000000"/>
                <w:fitText w:val="280" w:id="-1161539579"/>
                <w14:textFill>
                  <w14:solidFill>
                    <w14:srgbClr w14:val="000000">
                      <w14:alpha w14:val="100000"/>
                    </w14:srgbClr>
                  </w14:solidFill>
                </w14:textFill>
              </w:rPr>
              <w:t>|</w:t>
            </w:r>
            <w:r w:rsidRPr="00CA23AA">
              <w:t xml:space="preserve"> for the enrolled and $</w:t>
            </w:r>
            <w:r w:rsidR="00594907" w:rsidRPr="00594907">
              <w:rPr>
                <w:color w:val="000000"/>
                <w:spacing w:val="194"/>
                <w:shd w:val="solid" w:color="000000" w:fill="000000"/>
                <w:fitText w:val="280" w:id="-1161539578"/>
                <w14:textFill>
                  <w14:solidFill>
                    <w14:srgbClr w14:val="000000">
                      <w14:alpha w14:val="100000"/>
                    </w14:srgbClr>
                  </w14:solidFill>
                </w14:textFill>
              </w:rPr>
              <w:t>|</w:t>
            </w:r>
            <w:r w:rsidR="00594907" w:rsidRPr="00594907">
              <w:rPr>
                <w:color w:val="000000"/>
                <w:spacing w:val="1"/>
                <w:shd w:val="solid" w:color="000000" w:fill="000000"/>
                <w:fitText w:val="280" w:id="-1161539578"/>
                <w14:textFill>
                  <w14:solidFill>
                    <w14:srgbClr w14:val="000000">
                      <w14:alpha w14:val="100000"/>
                    </w14:srgbClr>
                  </w14:solidFill>
                </w14:textFill>
              </w:rPr>
              <w:t>|</w:t>
            </w:r>
            <w:r w:rsidRPr="00CA23AA">
              <w:t xml:space="preserve"> for the infused</w:t>
            </w:r>
          </w:p>
        </w:tc>
        <w:tc>
          <w:tcPr>
            <w:tcW w:w="833" w:type="pct"/>
            <w:vMerge w:val="restart"/>
          </w:tcPr>
          <w:p w14:paraId="67E7DEDD" w14:textId="1EE2E609" w:rsidR="006546F3" w:rsidRPr="00CA23AA" w:rsidRDefault="006546F3" w:rsidP="00582C9C">
            <w:pPr>
              <w:pStyle w:val="TableText"/>
              <w:spacing w:before="0" w:after="0"/>
            </w:pPr>
            <w:r w:rsidRPr="00CA23AA">
              <w:t>$</w:t>
            </w:r>
            <w:r w:rsidR="00594907" w:rsidRPr="00594907">
              <w:rPr>
                <w:color w:val="000000"/>
                <w:spacing w:val="194"/>
                <w:shd w:val="solid" w:color="000000" w:fill="000000"/>
                <w:fitText w:val="280" w:id="-1161539577"/>
                <w14:textFill>
                  <w14:solidFill>
                    <w14:srgbClr w14:val="000000">
                      <w14:alpha w14:val="100000"/>
                    </w14:srgbClr>
                  </w14:solidFill>
                </w14:textFill>
              </w:rPr>
              <w:t>|</w:t>
            </w:r>
            <w:r w:rsidR="00594907" w:rsidRPr="00594907">
              <w:rPr>
                <w:color w:val="000000"/>
                <w:spacing w:val="1"/>
                <w:shd w:val="solid" w:color="000000" w:fill="000000"/>
                <w:fitText w:val="280" w:id="-1161539577"/>
                <w14:textFill>
                  <w14:solidFill>
                    <w14:srgbClr w14:val="000000">
                      <w14:alpha w14:val="100000"/>
                    </w14:srgbClr>
                  </w14:solidFill>
                </w14:textFill>
              </w:rPr>
              <w:t>|</w:t>
            </w:r>
            <w:r w:rsidRPr="00CA23AA">
              <w:t>for the enrolled and $</w:t>
            </w:r>
            <w:r w:rsidR="00594907" w:rsidRPr="00594907">
              <w:rPr>
                <w:color w:val="000000"/>
                <w:spacing w:val="194"/>
                <w:shd w:val="solid" w:color="000000" w:fill="000000"/>
                <w:fitText w:val="280" w:id="-1161539576"/>
                <w14:textFill>
                  <w14:solidFill>
                    <w14:srgbClr w14:val="000000">
                      <w14:alpha w14:val="100000"/>
                    </w14:srgbClr>
                  </w14:solidFill>
                </w14:textFill>
              </w:rPr>
              <w:t>|</w:t>
            </w:r>
            <w:r w:rsidR="00594907" w:rsidRPr="00594907">
              <w:rPr>
                <w:color w:val="000000"/>
                <w:spacing w:val="1"/>
                <w:shd w:val="solid" w:color="000000" w:fill="000000"/>
                <w:fitText w:val="280" w:id="-1161539576"/>
                <w14:textFill>
                  <w14:solidFill>
                    <w14:srgbClr w14:val="000000">
                      <w14:alpha w14:val="100000"/>
                    </w14:srgbClr>
                  </w14:solidFill>
                </w14:textFill>
              </w:rPr>
              <w:t>|</w:t>
            </w:r>
            <w:r w:rsidRPr="00CA23AA">
              <w:t>for the infused</w:t>
            </w:r>
          </w:p>
        </w:tc>
        <w:tc>
          <w:tcPr>
            <w:tcW w:w="833" w:type="pct"/>
          </w:tcPr>
          <w:p w14:paraId="455DAC5C" w14:textId="3F3E737C" w:rsidR="006546F3" w:rsidRPr="00CA23AA" w:rsidRDefault="006546F3" w:rsidP="00582C9C">
            <w:pPr>
              <w:pStyle w:val="TableText"/>
              <w:spacing w:before="0" w:after="0"/>
            </w:pPr>
            <w:r w:rsidRPr="00CA23AA">
              <w:t>$</w:t>
            </w:r>
            <w:r w:rsidR="00594907" w:rsidRPr="00594907">
              <w:rPr>
                <w:color w:val="000000"/>
                <w:spacing w:val="194"/>
                <w:shd w:val="solid" w:color="000000" w:fill="000000"/>
                <w:fitText w:val="280" w:id="-1161539575"/>
                <w14:textFill>
                  <w14:solidFill>
                    <w14:srgbClr w14:val="000000">
                      <w14:alpha w14:val="100000"/>
                    </w14:srgbClr>
                  </w14:solidFill>
                </w14:textFill>
              </w:rPr>
              <w:t>|</w:t>
            </w:r>
            <w:proofErr w:type="gramStart"/>
            <w:r w:rsidR="00594907" w:rsidRPr="00594907">
              <w:rPr>
                <w:color w:val="000000"/>
                <w:spacing w:val="1"/>
                <w:shd w:val="solid" w:color="000000" w:fill="000000"/>
                <w:fitText w:val="280" w:id="-1161539575"/>
                <w14:textFill>
                  <w14:solidFill>
                    <w14:srgbClr w14:val="000000">
                      <w14:alpha w14:val="100000"/>
                    </w14:srgbClr>
                  </w14:solidFill>
                </w14:textFill>
              </w:rPr>
              <w:t>|</w:t>
            </w:r>
            <w:r w:rsidRPr="00CA23AA">
              <w:t>(</w:t>
            </w:r>
            <w:proofErr w:type="gramEnd"/>
            <w:r w:rsidRPr="00CA23AA">
              <w:t>range $</w:t>
            </w:r>
            <w:r w:rsidR="00594907" w:rsidRPr="00594907">
              <w:rPr>
                <w:color w:val="000000"/>
                <w:spacing w:val="194"/>
                <w:shd w:val="solid" w:color="000000" w:fill="000000"/>
                <w:fitText w:val="280" w:id="-1161539574"/>
                <w14:textFill>
                  <w14:solidFill>
                    <w14:srgbClr w14:val="000000">
                      <w14:alpha w14:val="100000"/>
                    </w14:srgbClr>
                  </w14:solidFill>
                </w14:textFill>
              </w:rPr>
              <w:t>|</w:t>
            </w:r>
            <w:r w:rsidR="00594907" w:rsidRPr="00594907">
              <w:rPr>
                <w:color w:val="000000"/>
                <w:spacing w:val="1"/>
                <w:shd w:val="solid" w:color="000000" w:fill="000000"/>
                <w:fitText w:val="280" w:id="-1161539574"/>
                <w14:textFill>
                  <w14:solidFill>
                    <w14:srgbClr w14:val="000000">
                      <w14:alpha w14:val="100000"/>
                    </w14:srgbClr>
                  </w14:solidFill>
                </w14:textFill>
              </w:rPr>
              <w:t>|</w:t>
            </w:r>
            <w:r w:rsidRPr="00CA23AA">
              <w:t>to $</w:t>
            </w:r>
            <w:r w:rsidR="00594907" w:rsidRPr="00594907">
              <w:rPr>
                <w:color w:val="000000"/>
                <w:spacing w:val="184"/>
                <w:shd w:val="solid" w:color="000000" w:fill="000000"/>
                <w:fitText w:val="270" w:id="-1161539573"/>
                <w14:textFill>
                  <w14:solidFill>
                    <w14:srgbClr w14:val="000000">
                      <w14:alpha w14:val="100000"/>
                    </w14:srgbClr>
                  </w14:solidFill>
                </w14:textFill>
              </w:rPr>
              <w:t>|</w:t>
            </w:r>
            <w:r w:rsidR="00594907" w:rsidRPr="00594907">
              <w:rPr>
                <w:color w:val="000000"/>
                <w:spacing w:val="1"/>
                <w:shd w:val="solid" w:color="000000" w:fill="000000"/>
                <w:fitText w:val="270" w:id="-1161539573"/>
                <w14:textFill>
                  <w14:solidFill>
                    <w14:srgbClr w14:val="000000">
                      <w14:alpha w14:val="100000"/>
                    </w14:srgbClr>
                  </w14:solidFill>
                </w14:textFill>
              </w:rPr>
              <w:t>|</w:t>
            </w:r>
            <w:r w:rsidRPr="00CA23AA">
              <w:t>)</w:t>
            </w:r>
          </w:p>
        </w:tc>
        <w:tc>
          <w:tcPr>
            <w:tcW w:w="833" w:type="pct"/>
          </w:tcPr>
          <w:p w14:paraId="35AA2ABA" w14:textId="515B03F5" w:rsidR="006546F3" w:rsidRPr="00CA23AA" w:rsidRDefault="006546F3" w:rsidP="00582C9C">
            <w:pPr>
              <w:pStyle w:val="TableText"/>
              <w:spacing w:before="0" w:after="0"/>
            </w:pPr>
            <w:r w:rsidRPr="00CA23AA">
              <w:t>$</w:t>
            </w:r>
            <w:r w:rsidR="00594907" w:rsidRPr="00594907">
              <w:rPr>
                <w:color w:val="000000"/>
                <w:spacing w:val="194"/>
                <w:shd w:val="solid" w:color="000000" w:fill="000000"/>
                <w:fitText w:val="280" w:id="-1161539572"/>
                <w14:textFill>
                  <w14:solidFill>
                    <w14:srgbClr w14:val="000000">
                      <w14:alpha w14:val="100000"/>
                    </w14:srgbClr>
                  </w14:solidFill>
                </w14:textFill>
              </w:rPr>
              <w:t>|</w:t>
            </w:r>
            <w:r w:rsidR="00594907" w:rsidRPr="00594907">
              <w:rPr>
                <w:color w:val="000000"/>
                <w:spacing w:val="1"/>
                <w:shd w:val="solid" w:color="000000" w:fill="000000"/>
                <w:fitText w:val="280" w:id="-1161539572"/>
                <w14:textFill>
                  <w14:solidFill>
                    <w14:srgbClr w14:val="000000">
                      <w14:alpha w14:val="100000"/>
                    </w14:srgbClr>
                  </w14:solidFill>
                </w14:textFill>
              </w:rPr>
              <w:t>|</w:t>
            </w:r>
            <w:r w:rsidRPr="00CA23AA">
              <w:t>and the range is $</w:t>
            </w:r>
            <w:r w:rsidR="00594907" w:rsidRPr="00594907">
              <w:rPr>
                <w:color w:val="000000"/>
                <w:spacing w:val="194"/>
                <w:shd w:val="solid" w:color="000000" w:fill="000000"/>
                <w:fitText w:val="280" w:id="-1161539571"/>
                <w14:textFill>
                  <w14:solidFill>
                    <w14:srgbClr w14:val="000000">
                      <w14:alpha w14:val="100000"/>
                    </w14:srgbClr>
                  </w14:solidFill>
                </w14:textFill>
              </w:rPr>
              <w:t>|</w:t>
            </w:r>
            <w:r w:rsidR="00594907" w:rsidRPr="00594907">
              <w:rPr>
                <w:color w:val="000000"/>
                <w:spacing w:val="1"/>
                <w:shd w:val="solid" w:color="000000" w:fill="000000"/>
                <w:fitText w:val="280" w:id="-1161539571"/>
                <w14:textFill>
                  <w14:solidFill>
                    <w14:srgbClr w14:val="000000">
                      <w14:alpha w14:val="100000"/>
                    </w14:srgbClr>
                  </w14:solidFill>
                </w14:textFill>
              </w:rPr>
              <w:t>|</w:t>
            </w:r>
            <w:r w:rsidRPr="00CA23AA">
              <w:t>- $</w:t>
            </w:r>
            <w:r w:rsidR="00594907" w:rsidRPr="00594907">
              <w:rPr>
                <w:color w:val="000000"/>
                <w:spacing w:val="194"/>
                <w:shd w:val="solid" w:color="000000" w:fill="000000"/>
                <w:fitText w:val="280" w:id="-1161539570"/>
                <w14:textFill>
                  <w14:solidFill>
                    <w14:srgbClr w14:val="000000">
                      <w14:alpha w14:val="100000"/>
                    </w14:srgbClr>
                  </w14:solidFill>
                </w14:textFill>
              </w:rPr>
              <w:t>|</w:t>
            </w:r>
            <w:r w:rsidR="00594907" w:rsidRPr="00594907">
              <w:rPr>
                <w:color w:val="000000"/>
                <w:spacing w:val="1"/>
                <w:shd w:val="solid" w:color="000000" w:fill="000000"/>
                <w:fitText w:val="280" w:id="-1161539570"/>
                <w14:textFill>
                  <w14:solidFill>
                    <w14:srgbClr w14:val="000000">
                      <w14:alpha w14:val="100000"/>
                    </w14:srgbClr>
                  </w14:solidFill>
                </w14:textFill>
              </w:rPr>
              <w:t>|</w:t>
            </w:r>
            <w:r w:rsidRPr="00CA23AA">
              <w:t>.</w:t>
            </w:r>
          </w:p>
        </w:tc>
        <w:tc>
          <w:tcPr>
            <w:tcW w:w="834" w:type="pct"/>
          </w:tcPr>
          <w:p w14:paraId="6EAEE1C8" w14:textId="785A9014" w:rsidR="006546F3" w:rsidRPr="00CA23AA" w:rsidRDefault="006546F3" w:rsidP="00582C9C">
            <w:pPr>
              <w:pStyle w:val="TableText"/>
              <w:spacing w:before="0" w:after="0"/>
            </w:pPr>
            <w:r w:rsidRPr="00CA23AA">
              <w:t>NR*</w:t>
            </w:r>
          </w:p>
          <w:p w14:paraId="5C35EB39" w14:textId="62568C42" w:rsidR="006546F3" w:rsidRPr="00CA23AA" w:rsidRDefault="006546F3" w:rsidP="00582C9C">
            <w:pPr>
              <w:pStyle w:val="TableText"/>
              <w:spacing w:before="0" w:after="0"/>
              <w:rPr>
                <w:i/>
                <w:iCs/>
              </w:rPr>
            </w:pPr>
            <w:r w:rsidRPr="00CA23AA">
              <w:rPr>
                <w:i/>
                <w:iCs/>
              </w:rPr>
              <w:t>*</w:t>
            </w:r>
            <w:proofErr w:type="gramStart"/>
            <w:r w:rsidRPr="00CA23AA">
              <w:rPr>
                <w:i/>
                <w:iCs/>
              </w:rPr>
              <w:t>equates</w:t>
            </w:r>
            <w:proofErr w:type="gramEnd"/>
            <w:r w:rsidRPr="00CA23AA">
              <w:rPr>
                <w:i/>
                <w:iCs/>
              </w:rPr>
              <w:t xml:space="preserve"> to $</w:t>
            </w:r>
            <w:r w:rsidR="00594907" w:rsidRPr="00594907">
              <w:rPr>
                <w:i/>
                <w:iCs/>
                <w:color w:val="000000"/>
                <w:spacing w:val="194"/>
                <w:shd w:val="solid" w:color="000000" w:fill="000000"/>
                <w:fitText w:val="280" w:id="-1161539569"/>
                <w14:textFill>
                  <w14:solidFill>
                    <w14:srgbClr w14:val="000000">
                      <w14:alpha w14:val="100000"/>
                    </w14:srgbClr>
                  </w14:solidFill>
                </w14:textFill>
              </w:rPr>
              <w:t>|</w:t>
            </w:r>
            <w:r w:rsidR="00594907" w:rsidRPr="00594907">
              <w:rPr>
                <w:i/>
                <w:iCs/>
                <w:color w:val="000000"/>
                <w:spacing w:val="1"/>
                <w:shd w:val="solid" w:color="000000" w:fill="000000"/>
                <w:fitText w:val="280" w:id="-1161539569"/>
                <w14:textFill>
                  <w14:solidFill>
                    <w14:srgbClr w14:val="000000">
                      <w14:alpha w14:val="100000"/>
                    </w14:srgbClr>
                  </w14:solidFill>
                </w14:textFill>
              </w:rPr>
              <w:t>|</w:t>
            </w:r>
            <w:r w:rsidRPr="00CA23AA">
              <w:rPr>
                <w:i/>
                <w:iCs/>
              </w:rPr>
              <w:t xml:space="preserve">if </w:t>
            </w:r>
            <w:r w:rsidRPr="00CA23AA">
              <w:rPr>
                <w:i/>
                <w:iCs/>
                <w:u w:val="single"/>
              </w:rPr>
              <w:t>average</w:t>
            </w:r>
            <w:r w:rsidRPr="00CA23AA">
              <w:rPr>
                <w:i/>
                <w:iCs/>
              </w:rPr>
              <w:t xml:space="preserve"> TIS cost added.</w:t>
            </w:r>
          </w:p>
        </w:tc>
      </w:tr>
      <w:tr w:rsidR="00BC6003" w:rsidRPr="00CA23AA" w14:paraId="5F646891" w14:textId="77777777" w:rsidTr="009C2532">
        <w:trPr>
          <w:trHeight w:val="300"/>
        </w:trPr>
        <w:tc>
          <w:tcPr>
            <w:tcW w:w="784" w:type="pct"/>
            <w:vMerge/>
          </w:tcPr>
          <w:p w14:paraId="111C5BCF" w14:textId="77777777" w:rsidR="006546F3" w:rsidRPr="00CA23AA" w:rsidRDefault="006546F3" w:rsidP="00582C9C">
            <w:pPr>
              <w:pStyle w:val="TableText"/>
              <w:spacing w:before="0" w:after="0"/>
            </w:pPr>
          </w:p>
        </w:tc>
        <w:tc>
          <w:tcPr>
            <w:tcW w:w="883" w:type="pct"/>
            <w:vMerge/>
            <w:shd w:val="clear" w:color="auto" w:fill="DEEAF6" w:themeFill="accent1" w:themeFillTint="33"/>
          </w:tcPr>
          <w:p w14:paraId="1D0D63DC" w14:textId="77777777" w:rsidR="006546F3" w:rsidRPr="00CA23AA" w:rsidRDefault="006546F3" w:rsidP="00582C9C">
            <w:pPr>
              <w:pStyle w:val="TableText"/>
              <w:spacing w:before="0" w:after="0"/>
            </w:pPr>
          </w:p>
        </w:tc>
        <w:tc>
          <w:tcPr>
            <w:tcW w:w="833" w:type="pct"/>
            <w:vMerge/>
          </w:tcPr>
          <w:p w14:paraId="07FAD59E" w14:textId="71246A42" w:rsidR="006546F3" w:rsidRPr="00CA23AA" w:rsidRDefault="006546F3" w:rsidP="00582C9C">
            <w:pPr>
              <w:pStyle w:val="TableText"/>
              <w:spacing w:before="0" w:after="0"/>
            </w:pPr>
          </w:p>
        </w:tc>
        <w:tc>
          <w:tcPr>
            <w:tcW w:w="2500" w:type="pct"/>
            <w:gridSpan w:val="3"/>
          </w:tcPr>
          <w:p w14:paraId="7F1B8FB1" w14:textId="7D1956C0" w:rsidR="006546F3" w:rsidRPr="00CA23AA" w:rsidRDefault="006546F3" w:rsidP="00582C9C">
            <w:pPr>
              <w:pStyle w:val="TableText"/>
              <w:spacing w:before="0" w:after="0"/>
              <w:jc w:val="center"/>
              <w:rPr>
                <w:i/>
                <w:iCs/>
              </w:rPr>
            </w:pPr>
            <w:r w:rsidRPr="00CA23AA">
              <w:rPr>
                <w:i/>
                <w:iCs/>
              </w:rPr>
              <w:t>(</w:t>
            </w:r>
            <w:proofErr w:type="gramStart"/>
            <w:r w:rsidRPr="00CA23AA">
              <w:rPr>
                <w:i/>
                <w:iCs/>
              </w:rPr>
              <w:t>average</w:t>
            </w:r>
            <w:proofErr w:type="gramEnd"/>
            <w:r w:rsidRPr="00CA23AA">
              <w:rPr>
                <w:i/>
                <w:iCs/>
              </w:rPr>
              <w:t xml:space="preserve"> program cost used in Commentary: $</w:t>
            </w:r>
            <w:r w:rsidR="00594907" w:rsidRPr="00594907">
              <w:rPr>
                <w:i/>
                <w:iCs/>
                <w:color w:val="000000"/>
                <w:shd w:val="solid" w:color="000000" w:fill="000000"/>
                <w14:textFill>
                  <w14:solidFill>
                    <w14:srgbClr w14:val="000000">
                      <w14:alpha w14:val="100000"/>
                    </w14:srgbClr>
                  </w14:solidFill>
                </w14:textFill>
              </w:rPr>
              <w:t>|</w:t>
            </w:r>
            <w:r w:rsidRPr="00CA23AA">
              <w:rPr>
                <w:i/>
                <w:iCs/>
              </w:rPr>
              <w:t>)</w:t>
            </w:r>
          </w:p>
        </w:tc>
      </w:tr>
      <w:tr w:rsidR="00594907" w:rsidRPr="00CA23AA" w14:paraId="0CA6AC1D" w14:textId="77777777" w:rsidTr="00594907">
        <w:trPr>
          <w:trHeight w:val="300"/>
        </w:trPr>
        <w:tc>
          <w:tcPr>
            <w:tcW w:w="784" w:type="pct"/>
          </w:tcPr>
          <w:p w14:paraId="42EB16F7" w14:textId="77777777" w:rsidR="009D04FD" w:rsidRPr="00CA23AA" w:rsidRDefault="009D04FD" w:rsidP="00582C9C">
            <w:pPr>
              <w:pStyle w:val="TableText"/>
              <w:spacing w:before="0" w:after="0"/>
            </w:pPr>
            <w:r w:rsidRPr="00CA23AA">
              <w:t>Additional treatment post CAR-T infusion</w:t>
            </w:r>
          </w:p>
          <w:p w14:paraId="62C7B768" w14:textId="285C80B2" w:rsidR="009D04FD" w:rsidRPr="00CA23AA" w:rsidRDefault="009D04FD" w:rsidP="00582C9C">
            <w:pPr>
              <w:pStyle w:val="TableText"/>
              <w:spacing w:before="0" w:after="0"/>
              <w:rPr>
                <w:b/>
              </w:rPr>
            </w:pPr>
            <w:r w:rsidRPr="00CA23AA">
              <w:t xml:space="preserve">(CAR-T reinfusion, BLN, </w:t>
            </w:r>
            <w:proofErr w:type="spellStart"/>
            <w:r w:rsidR="006546F3" w:rsidRPr="00CA23AA">
              <w:t>a</w:t>
            </w:r>
            <w:r w:rsidRPr="00CA23AA">
              <w:t>HSCT</w:t>
            </w:r>
            <w:proofErr w:type="spellEnd"/>
            <w:r w:rsidRPr="00CA23AA">
              <w:t xml:space="preserve">, </w:t>
            </w:r>
            <w:proofErr w:type="spellStart"/>
            <w:r w:rsidRPr="00CA23AA">
              <w:t>inotuzumab</w:t>
            </w:r>
            <w:proofErr w:type="spellEnd"/>
            <w:r w:rsidRPr="00CA23AA">
              <w:t>, chemotherapy)</w:t>
            </w:r>
          </w:p>
        </w:tc>
        <w:tc>
          <w:tcPr>
            <w:tcW w:w="883" w:type="pct"/>
            <w:shd w:val="clear" w:color="auto" w:fill="DEEAF6" w:themeFill="accent1" w:themeFillTint="33"/>
          </w:tcPr>
          <w:p w14:paraId="0BD0727B" w14:textId="77777777" w:rsidR="009D04FD" w:rsidRPr="00CA23AA" w:rsidRDefault="006546F3" w:rsidP="00582C9C">
            <w:pPr>
              <w:pStyle w:val="TableText"/>
              <w:spacing w:before="0" w:after="0"/>
            </w:pPr>
            <w:r w:rsidRPr="00CA23AA">
              <w:t>Blinatumomab (BLN) in the non-infused</w:t>
            </w:r>
            <w:r w:rsidR="00CB78DE" w:rsidRPr="00CA23AA">
              <w:t>.</w:t>
            </w:r>
          </w:p>
          <w:p w14:paraId="1BA727D1" w14:textId="7B14F697" w:rsidR="00CB78DE" w:rsidRPr="00CA23AA" w:rsidRDefault="00CB78DE" w:rsidP="00582C9C">
            <w:pPr>
              <w:pStyle w:val="TableText"/>
              <w:spacing w:before="0" w:after="0"/>
            </w:pPr>
            <w:r w:rsidRPr="00CA23AA">
              <w:t xml:space="preserve">Fixed </w:t>
            </w:r>
            <w:r w:rsidR="00635245" w:rsidRPr="00CA23AA">
              <w:t xml:space="preserve">ongoing </w:t>
            </w:r>
            <w:r w:rsidRPr="00CA23AA">
              <w:t>cost</w:t>
            </w:r>
            <w:r w:rsidR="00B025D7" w:rsidRPr="00CA23AA">
              <w:t xml:space="preserve"> per moth applied to the health states, EFS: </w:t>
            </w:r>
            <w:r w:rsidR="00635245" w:rsidRPr="00CA23AA">
              <w:t>$773</w:t>
            </w:r>
            <w:r w:rsidR="00B025D7" w:rsidRPr="00CA23AA">
              <w:t xml:space="preserve"> and </w:t>
            </w:r>
            <w:r w:rsidR="00E34565" w:rsidRPr="00CA23AA">
              <w:t>PD: $5,784</w:t>
            </w:r>
          </w:p>
        </w:tc>
        <w:tc>
          <w:tcPr>
            <w:tcW w:w="833" w:type="pct"/>
          </w:tcPr>
          <w:p w14:paraId="3EB4E14B" w14:textId="77777777" w:rsidR="006546F3" w:rsidRPr="00CA23AA" w:rsidRDefault="009D04FD" w:rsidP="00582C9C">
            <w:pPr>
              <w:pStyle w:val="TableText"/>
              <w:spacing w:before="0" w:after="0"/>
            </w:pPr>
            <w:r w:rsidRPr="00CA23AA">
              <w:t>Blinatumomab (BLN) in the non-infused</w:t>
            </w:r>
            <w:r w:rsidR="00E34565" w:rsidRPr="00CA23AA">
              <w:t>.</w:t>
            </w:r>
          </w:p>
          <w:p w14:paraId="22D4024D" w14:textId="294299DA" w:rsidR="00E34565" w:rsidRPr="00CA23AA" w:rsidRDefault="00E34565" w:rsidP="00582C9C">
            <w:pPr>
              <w:pStyle w:val="TableText"/>
              <w:spacing w:before="0" w:after="0"/>
            </w:pPr>
            <w:r w:rsidRPr="00CA23AA">
              <w:t>Fixed ongoing cost per moth applied to the health states, EFS: $773 and PD: $5,784</w:t>
            </w:r>
          </w:p>
        </w:tc>
        <w:tc>
          <w:tcPr>
            <w:tcW w:w="833" w:type="pct"/>
            <w:tcBorders>
              <w:bottom w:val="single" w:sz="4" w:space="0" w:color="auto"/>
            </w:tcBorders>
            <w:shd w:val="solid" w:color="000000" w:fill="000000"/>
          </w:tcPr>
          <w:p w14:paraId="3A68FE91" w14:textId="2D39CAE4" w:rsidR="009D04FD" w:rsidRPr="00CA23AA" w:rsidRDefault="00594907" w:rsidP="00582C9C">
            <w:pPr>
              <w:pStyle w:val="TableText"/>
              <w:spacing w:before="0" w:after="0"/>
              <w:rPr>
                <w:b/>
              </w:rPr>
            </w:pPr>
            <w:r w:rsidRPr="00594907">
              <w:rPr>
                <w:color w:val="000000"/>
                <w:spacing w:val="32"/>
                <w:shd w:val="solid" w:color="000000" w:fill="000000"/>
                <w:fitText w:val="420" w:id="-1161539584"/>
                <w14:textFill>
                  <w14:solidFill>
                    <w14:srgbClr w14:val="000000">
                      <w14:alpha w14:val="100000"/>
                    </w14:srgbClr>
                  </w14:solidFill>
                </w14:textFill>
              </w:rPr>
              <w:t>|||||</w:t>
            </w:r>
            <w:r w:rsidRPr="00594907">
              <w:rPr>
                <w:color w:val="000000"/>
                <w:spacing w:val="5"/>
                <w:shd w:val="solid" w:color="000000" w:fill="000000"/>
                <w:fitText w:val="420" w:id="-1161539584"/>
                <w14:textFill>
                  <w14:solidFill>
                    <w14:srgbClr w14:val="000000">
                      <w14:alpha w14:val="100000"/>
                    </w14:srgbClr>
                  </w14:solidFill>
                </w14:textFill>
              </w:rPr>
              <w:t>|</w:t>
            </w:r>
          </w:p>
        </w:tc>
        <w:tc>
          <w:tcPr>
            <w:tcW w:w="833" w:type="pct"/>
          </w:tcPr>
          <w:p w14:paraId="68FADC29" w14:textId="4BF6F537" w:rsidR="009D04FD" w:rsidRPr="00CA23AA" w:rsidRDefault="009D04FD" w:rsidP="00582C9C">
            <w:pPr>
              <w:pStyle w:val="TableText"/>
              <w:spacing w:before="0" w:after="0"/>
              <w:rPr>
                <w:b/>
              </w:rPr>
            </w:pPr>
            <w:r w:rsidRPr="00CA23AA">
              <w:t xml:space="preserve">Other immunotherapies (BLN, </w:t>
            </w:r>
            <w:proofErr w:type="spellStart"/>
            <w:r w:rsidRPr="00CA23AA">
              <w:t>inotuzumab</w:t>
            </w:r>
            <w:proofErr w:type="spellEnd"/>
            <w:r w:rsidRPr="00CA23AA">
              <w:t>) may be used to achieve remission. Usage not provided.</w:t>
            </w:r>
          </w:p>
        </w:tc>
        <w:tc>
          <w:tcPr>
            <w:tcW w:w="834" w:type="pct"/>
          </w:tcPr>
          <w:p w14:paraId="7ADD08C7" w14:textId="67ABEE73" w:rsidR="009D04FD" w:rsidRPr="00CA23AA" w:rsidRDefault="0020465A" w:rsidP="00582C9C">
            <w:pPr>
              <w:pStyle w:val="TableText"/>
              <w:spacing w:before="0" w:after="0"/>
            </w:pPr>
            <w:r w:rsidRPr="00CA23AA">
              <w:t xml:space="preserve">&lt;5 </w:t>
            </w:r>
            <w:r w:rsidR="009D04FD" w:rsidRPr="00CA23AA">
              <w:t xml:space="preserve">TIS re-infusion and </w:t>
            </w:r>
            <w:r w:rsidRPr="00CA23AA">
              <w:t xml:space="preserve">&lt;5 </w:t>
            </w:r>
            <w:r w:rsidR="009D04FD" w:rsidRPr="00CA23AA">
              <w:t>SCTs, details for use of other immunotherapies not provided</w:t>
            </w:r>
          </w:p>
        </w:tc>
      </w:tr>
      <w:tr w:rsidR="00594907" w:rsidRPr="00CA23AA" w14:paraId="06179BFC" w14:textId="77777777" w:rsidTr="00594907">
        <w:trPr>
          <w:trHeight w:val="300"/>
        </w:trPr>
        <w:tc>
          <w:tcPr>
            <w:tcW w:w="784" w:type="pct"/>
          </w:tcPr>
          <w:p w14:paraId="32D98CA1" w14:textId="373D3206" w:rsidR="009D04FD" w:rsidRPr="00CA23AA" w:rsidRDefault="009D04FD" w:rsidP="00582C9C">
            <w:pPr>
              <w:pStyle w:val="TableText"/>
              <w:spacing w:before="0" w:after="0"/>
            </w:pPr>
            <w:r w:rsidRPr="00CA23AA">
              <w:t>Subsequent TIS doses</w:t>
            </w:r>
          </w:p>
        </w:tc>
        <w:tc>
          <w:tcPr>
            <w:tcW w:w="883" w:type="pct"/>
            <w:shd w:val="clear" w:color="auto" w:fill="DEEAF6" w:themeFill="accent1" w:themeFillTint="33"/>
          </w:tcPr>
          <w:p w14:paraId="2672C35D" w14:textId="62FB1D48" w:rsidR="009D04FD" w:rsidRPr="00CA23AA" w:rsidRDefault="00E53E4D" w:rsidP="00582C9C">
            <w:pPr>
              <w:pStyle w:val="TableText"/>
              <w:spacing w:before="0" w:after="0"/>
            </w:pPr>
            <w:r w:rsidRPr="00CA23AA">
              <w:t>Not modelled</w:t>
            </w:r>
          </w:p>
        </w:tc>
        <w:tc>
          <w:tcPr>
            <w:tcW w:w="833" w:type="pct"/>
            <w:tcBorders>
              <w:bottom w:val="single" w:sz="4" w:space="0" w:color="auto"/>
            </w:tcBorders>
          </w:tcPr>
          <w:p w14:paraId="5EF4D953" w14:textId="2BC1DB3A" w:rsidR="009D04FD" w:rsidRPr="00CA23AA" w:rsidRDefault="00E53E4D" w:rsidP="00582C9C">
            <w:pPr>
              <w:pStyle w:val="TableText"/>
              <w:spacing w:before="0" w:after="0"/>
            </w:pPr>
            <w:r w:rsidRPr="00CA23AA">
              <w:t>Not modelled</w:t>
            </w:r>
          </w:p>
        </w:tc>
        <w:tc>
          <w:tcPr>
            <w:tcW w:w="833" w:type="pct"/>
            <w:shd w:val="solid" w:color="000000" w:fill="000000"/>
          </w:tcPr>
          <w:p w14:paraId="72422103" w14:textId="0DC48CE2" w:rsidR="009D04FD" w:rsidRPr="00CA23AA" w:rsidRDefault="00594907" w:rsidP="00582C9C">
            <w:pPr>
              <w:pStyle w:val="TableText"/>
              <w:spacing w:before="0" w:after="0"/>
            </w:pPr>
            <w:r w:rsidRPr="00594907">
              <w:rPr>
                <w:color w:val="000000"/>
                <w:spacing w:val="32"/>
                <w:shd w:val="solid" w:color="000000" w:fill="000000"/>
                <w:fitText w:val="420" w:id="-1161539582"/>
                <w14:textFill>
                  <w14:solidFill>
                    <w14:srgbClr w14:val="000000">
                      <w14:alpha w14:val="100000"/>
                    </w14:srgbClr>
                  </w14:solidFill>
                </w14:textFill>
              </w:rPr>
              <w:t>|||||</w:t>
            </w:r>
            <w:r w:rsidRPr="00594907">
              <w:rPr>
                <w:color w:val="000000"/>
                <w:spacing w:val="5"/>
                <w:shd w:val="solid" w:color="000000" w:fill="000000"/>
                <w:fitText w:val="420" w:id="-1161539582"/>
                <w14:textFill>
                  <w14:solidFill>
                    <w14:srgbClr w14:val="000000">
                      <w14:alpha w14:val="100000"/>
                    </w14:srgbClr>
                  </w14:solidFill>
                </w14:textFill>
              </w:rPr>
              <w:t>|</w:t>
            </w:r>
          </w:p>
        </w:tc>
        <w:tc>
          <w:tcPr>
            <w:tcW w:w="833" w:type="pct"/>
          </w:tcPr>
          <w:p w14:paraId="6DF96473" w14:textId="26359CBD" w:rsidR="009D04FD" w:rsidRPr="00CA23AA" w:rsidRDefault="0020465A" w:rsidP="00582C9C">
            <w:pPr>
              <w:pStyle w:val="TableText"/>
              <w:spacing w:before="0" w:after="0"/>
            </w:pPr>
            <w:r w:rsidRPr="00CA23AA">
              <w:t xml:space="preserve">&lt;5 </w:t>
            </w:r>
            <w:r w:rsidR="009D04FD" w:rsidRPr="00CA23AA">
              <w:t xml:space="preserve">patients have had a subsequent CAR-T infusion, </w:t>
            </w:r>
            <w:r w:rsidRPr="00CA23AA">
              <w:t xml:space="preserve">&lt;5 </w:t>
            </w:r>
            <w:r w:rsidR="009D04FD" w:rsidRPr="00CA23AA">
              <w:t>patient</w:t>
            </w:r>
            <w:r w:rsidR="005075FA" w:rsidRPr="00CA23AA">
              <w:t>s</w:t>
            </w:r>
            <w:r w:rsidR="009D04FD" w:rsidRPr="00CA23AA">
              <w:t xml:space="preserve"> had 2 subsequent infusions</w:t>
            </w:r>
          </w:p>
        </w:tc>
        <w:tc>
          <w:tcPr>
            <w:tcW w:w="834" w:type="pct"/>
          </w:tcPr>
          <w:p w14:paraId="138F936E" w14:textId="350D7FD9" w:rsidR="009D04FD" w:rsidRPr="00CA23AA" w:rsidRDefault="0020465A" w:rsidP="00582C9C">
            <w:pPr>
              <w:pStyle w:val="TableText"/>
              <w:spacing w:before="0" w:after="0"/>
            </w:pPr>
            <w:r w:rsidRPr="00CA23AA">
              <w:t xml:space="preserve">&lt;5 </w:t>
            </w:r>
            <w:r w:rsidR="009D04FD" w:rsidRPr="00CA23AA">
              <w:t>patient had a subsequent reinfusion</w:t>
            </w:r>
          </w:p>
        </w:tc>
      </w:tr>
      <w:tr w:rsidR="00594907" w:rsidRPr="00CA23AA" w14:paraId="0BA71816" w14:textId="77777777" w:rsidTr="00594907">
        <w:trPr>
          <w:trHeight w:val="300"/>
        </w:trPr>
        <w:tc>
          <w:tcPr>
            <w:tcW w:w="784" w:type="pct"/>
          </w:tcPr>
          <w:p w14:paraId="1FFC0DD1" w14:textId="4766244F" w:rsidR="009D04FD" w:rsidRPr="00CA23AA" w:rsidRDefault="009D04FD" w:rsidP="00582C9C">
            <w:pPr>
              <w:pStyle w:val="TableText"/>
              <w:spacing w:before="0" w:after="0"/>
            </w:pPr>
            <w:r w:rsidRPr="00CA23AA">
              <w:t>Subsequent SCT</w:t>
            </w:r>
          </w:p>
        </w:tc>
        <w:tc>
          <w:tcPr>
            <w:tcW w:w="883" w:type="pct"/>
            <w:shd w:val="clear" w:color="auto" w:fill="DEEAF6" w:themeFill="accent1" w:themeFillTint="33"/>
          </w:tcPr>
          <w:p w14:paraId="4E9B6D49" w14:textId="01E6D0F9" w:rsidR="00D760C9" w:rsidRPr="00CA23AA" w:rsidRDefault="00D760C9" w:rsidP="00582C9C">
            <w:pPr>
              <w:pStyle w:val="TableText"/>
              <w:spacing w:before="0" w:after="0"/>
            </w:pPr>
            <w:r w:rsidRPr="00CA23AA">
              <w:t>19% (based on ELIANA April 2017 data cut-off)</w:t>
            </w:r>
          </w:p>
        </w:tc>
        <w:tc>
          <w:tcPr>
            <w:tcW w:w="833" w:type="pct"/>
            <w:shd w:val="solid" w:color="000000" w:fill="000000"/>
          </w:tcPr>
          <w:p w14:paraId="23AAD914" w14:textId="5EFBF5FC" w:rsidR="009D04FD" w:rsidRPr="00CA23AA" w:rsidRDefault="00594907" w:rsidP="00582C9C">
            <w:pPr>
              <w:pStyle w:val="TableText"/>
              <w:spacing w:before="0" w:after="0"/>
            </w:pPr>
            <w:r w:rsidRPr="00594907">
              <w:rPr>
                <w:color w:val="000000"/>
                <w:spacing w:val="184"/>
                <w:fitText w:val="270" w:id="-1161539581"/>
                <w14:textFill>
                  <w14:solidFill>
                    <w14:srgbClr w14:val="000000">
                      <w14:alpha w14:val="100000"/>
                    </w14:srgbClr>
                  </w14:solidFill>
                </w14:textFill>
              </w:rPr>
              <w:t>|</w:t>
            </w:r>
            <w:r w:rsidRPr="00594907">
              <w:rPr>
                <w:color w:val="000000"/>
                <w:fitText w:val="270" w:id="-1161539581"/>
                <w14:textFill>
                  <w14:solidFill>
                    <w14:srgbClr w14:val="000000">
                      <w14:alpha w14:val="100000"/>
                    </w14:srgbClr>
                  </w14:solidFill>
                </w14:textFill>
              </w:rPr>
              <w:t>|</w:t>
            </w:r>
          </w:p>
        </w:tc>
        <w:tc>
          <w:tcPr>
            <w:tcW w:w="833" w:type="pct"/>
            <w:tcBorders>
              <w:bottom w:val="single" w:sz="4" w:space="0" w:color="auto"/>
            </w:tcBorders>
          </w:tcPr>
          <w:p w14:paraId="6C56A48D" w14:textId="2EFB1D83" w:rsidR="009D04FD" w:rsidRPr="00CA23AA" w:rsidRDefault="00594907" w:rsidP="00582C9C">
            <w:pPr>
              <w:pStyle w:val="TableText"/>
              <w:spacing w:before="0" w:after="0"/>
            </w:pPr>
            <w:r>
              <w:rPr>
                <w:rFonts w:ascii="MS Gothic" w:eastAsia="MS Gothic" w:hAnsi="MS Gothic" w:cs="MS Gothic"/>
                <w:color w:val="000000"/>
                <w:spacing w:val="66"/>
                <w:w w:val="27"/>
                <w:shd w:val="solid" w:color="000000" w:fill="000000"/>
                <w14:textFill>
                  <w14:solidFill>
                    <w14:srgbClr w14:val="000000">
                      <w14:alpha w14:val="100000"/>
                    </w14:srgbClr>
                  </w14:solidFill>
                </w14:textFill>
              </w:rPr>
              <w:t xml:space="preserve">　</w:t>
            </w:r>
            <w:r w:rsidRPr="00594907">
              <w:rPr>
                <w:rFonts w:ascii="MS Gothic" w:eastAsia="MS Gothic" w:hAnsi="MS Gothic" w:cs="MS Gothic"/>
                <w:color w:val="000000"/>
                <w:w w:val="63"/>
                <w:shd w:val="solid" w:color="000000" w:fill="000000"/>
                <w:fitText w:val="1270" w:id="-1161539584"/>
                <w14:textFill>
                  <w14:solidFill>
                    <w14:srgbClr w14:val="000000">
                      <w14:alpha w14:val="100000"/>
                    </w14:srgbClr>
                  </w14:solidFill>
                </w14:textFill>
              </w:rPr>
              <w:t>|||||||||||||||||||</w:t>
            </w:r>
            <w:r w:rsidRPr="00594907">
              <w:rPr>
                <w:rFonts w:ascii="MS Gothic" w:eastAsia="MS Gothic" w:hAnsi="MS Gothic" w:cs="MS Gothic"/>
                <w:color w:val="000000"/>
                <w:spacing w:val="20"/>
                <w:w w:val="63"/>
                <w:shd w:val="solid" w:color="000000" w:fill="000000"/>
                <w:fitText w:val="1270" w:id="-1161539584"/>
                <w14:textFill>
                  <w14:solidFill>
                    <w14:srgbClr w14:val="000000">
                      <w14:alpha w14:val="100000"/>
                    </w14:srgbClr>
                  </w14:solidFill>
                </w14:textFill>
              </w:rPr>
              <w:t>|</w:t>
            </w:r>
          </w:p>
        </w:tc>
        <w:tc>
          <w:tcPr>
            <w:tcW w:w="833" w:type="pct"/>
          </w:tcPr>
          <w:p w14:paraId="45B51611" w14:textId="01D9D5F7" w:rsidR="009D04FD" w:rsidRPr="00CA23AA" w:rsidRDefault="0020465A" w:rsidP="00582C9C">
            <w:pPr>
              <w:pStyle w:val="TableText"/>
              <w:spacing w:before="0" w:after="0"/>
            </w:pPr>
            <w:r w:rsidRPr="00CA23AA">
              <w:t>&lt;5</w:t>
            </w:r>
          </w:p>
          <w:p w14:paraId="52F393F8" w14:textId="39B73D3D" w:rsidR="009D04FD" w:rsidRPr="00CA23AA" w:rsidRDefault="009D04FD" w:rsidP="00582C9C">
            <w:pPr>
              <w:pStyle w:val="TableText"/>
              <w:spacing w:before="0" w:after="0"/>
            </w:pPr>
            <w:r w:rsidRPr="00CA23AA">
              <w:t>(</w:t>
            </w:r>
            <w:proofErr w:type="gramStart"/>
            <w:r w:rsidRPr="00CA23AA">
              <w:t>time</w:t>
            </w:r>
            <w:proofErr w:type="gramEnd"/>
            <w:r w:rsidRPr="00CA23AA">
              <w:t xml:space="preserve"> period not reported)</w:t>
            </w:r>
          </w:p>
        </w:tc>
        <w:tc>
          <w:tcPr>
            <w:tcW w:w="834" w:type="pct"/>
          </w:tcPr>
          <w:p w14:paraId="1C702736" w14:textId="1CF21E94" w:rsidR="009D04FD" w:rsidRPr="00CA23AA" w:rsidRDefault="0020465A" w:rsidP="00582C9C">
            <w:pPr>
              <w:pStyle w:val="TableText"/>
              <w:spacing w:before="0" w:after="0"/>
            </w:pPr>
            <w:r w:rsidRPr="00CA23AA">
              <w:t>&lt;5</w:t>
            </w:r>
          </w:p>
          <w:p w14:paraId="4CCC70E9" w14:textId="77777777" w:rsidR="009D04FD" w:rsidRPr="00CA23AA" w:rsidRDefault="009D04FD" w:rsidP="00582C9C">
            <w:pPr>
              <w:pStyle w:val="TableText"/>
              <w:spacing w:before="0" w:after="0"/>
            </w:pPr>
            <w:r w:rsidRPr="00CA23AA">
              <w:t>(</w:t>
            </w:r>
            <w:proofErr w:type="gramStart"/>
            <w:r w:rsidRPr="00CA23AA">
              <w:t>time</w:t>
            </w:r>
            <w:proofErr w:type="gramEnd"/>
            <w:r w:rsidRPr="00CA23AA">
              <w:t xml:space="preserve"> period not reported) </w:t>
            </w:r>
          </w:p>
          <w:p w14:paraId="65807220" w14:textId="5B746056" w:rsidR="009D04FD" w:rsidRPr="00CA23AA" w:rsidRDefault="005075FA" w:rsidP="00582C9C">
            <w:pPr>
              <w:pStyle w:val="TableText"/>
              <w:spacing w:before="0" w:after="0"/>
            </w:pPr>
            <w:r w:rsidRPr="00CA23AA">
              <w:t>&lt;5</w:t>
            </w:r>
            <w:r w:rsidR="009D04FD" w:rsidRPr="00CA23AA">
              <w:t xml:space="preserve"> was performed for relapse and </w:t>
            </w:r>
            <w:r w:rsidR="00591E35" w:rsidRPr="00CA23AA">
              <w:t>&lt;5</w:t>
            </w:r>
            <w:r w:rsidR="009D04FD" w:rsidRPr="00CA23AA">
              <w:t xml:space="preserve"> was performed pre-emptively for early loss of B cell aplasia</w:t>
            </w:r>
          </w:p>
        </w:tc>
      </w:tr>
      <w:tr w:rsidR="00594907" w:rsidRPr="00CA23AA" w14:paraId="3486A4B3" w14:textId="77777777" w:rsidTr="00594907">
        <w:trPr>
          <w:trHeight w:val="300"/>
        </w:trPr>
        <w:tc>
          <w:tcPr>
            <w:tcW w:w="784" w:type="pct"/>
          </w:tcPr>
          <w:p w14:paraId="00018807" w14:textId="01C3644D" w:rsidR="009D04FD" w:rsidRPr="00CA23AA" w:rsidRDefault="009D04FD" w:rsidP="00582C9C">
            <w:pPr>
              <w:pStyle w:val="TableText"/>
              <w:spacing w:before="0" w:after="0"/>
            </w:pPr>
            <w:r w:rsidRPr="00CA23AA">
              <w:t>Average cost of SCT</w:t>
            </w:r>
          </w:p>
        </w:tc>
        <w:tc>
          <w:tcPr>
            <w:tcW w:w="883" w:type="pct"/>
            <w:shd w:val="clear" w:color="auto" w:fill="DEEAF6" w:themeFill="accent1" w:themeFillTint="33"/>
          </w:tcPr>
          <w:p w14:paraId="5DCBA324" w14:textId="776835D4" w:rsidR="009D04FD" w:rsidRPr="00CA23AA" w:rsidRDefault="00D760C9" w:rsidP="00582C9C">
            <w:pPr>
              <w:pStyle w:val="TableText"/>
              <w:spacing w:before="0" w:after="0"/>
            </w:pPr>
            <w:r w:rsidRPr="00CA23AA">
              <w:t>$227,286</w:t>
            </w:r>
          </w:p>
        </w:tc>
        <w:tc>
          <w:tcPr>
            <w:tcW w:w="833" w:type="pct"/>
          </w:tcPr>
          <w:p w14:paraId="55CC343B" w14:textId="0E012A97" w:rsidR="009D04FD" w:rsidRPr="00CA23AA" w:rsidRDefault="009D04FD" w:rsidP="00582C9C">
            <w:pPr>
              <w:pStyle w:val="TableText"/>
              <w:spacing w:before="0" w:after="0"/>
            </w:pPr>
            <w:r w:rsidRPr="00CA23AA">
              <w:t>$290,695</w:t>
            </w:r>
          </w:p>
        </w:tc>
        <w:tc>
          <w:tcPr>
            <w:tcW w:w="833" w:type="pct"/>
            <w:tcBorders>
              <w:bottom w:val="single" w:sz="4" w:space="0" w:color="auto"/>
            </w:tcBorders>
            <w:shd w:val="solid" w:color="000000" w:fill="000000"/>
          </w:tcPr>
          <w:p w14:paraId="15FCA46A" w14:textId="2657C687" w:rsidR="009D04FD" w:rsidRPr="00CA23AA" w:rsidRDefault="00594907" w:rsidP="00582C9C">
            <w:pPr>
              <w:pStyle w:val="TableText"/>
              <w:spacing w:before="0" w:after="0"/>
            </w:pPr>
            <w:r w:rsidRPr="00594907">
              <w:rPr>
                <w:color w:val="000000"/>
                <w:spacing w:val="184"/>
                <w:fitText w:val="270" w:id="-1161539583"/>
                <w14:textFill>
                  <w14:solidFill>
                    <w14:srgbClr w14:val="000000">
                      <w14:alpha w14:val="100000"/>
                    </w14:srgbClr>
                  </w14:solidFill>
                </w14:textFill>
              </w:rPr>
              <w:t>|</w:t>
            </w:r>
            <w:r w:rsidRPr="00594907">
              <w:rPr>
                <w:color w:val="000000"/>
                <w:fitText w:val="270" w:id="-1161539583"/>
                <w14:textFill>
                  <w14:solidFill>
                    <w14:srgbClr w14:val="000000">
                      <w14:alpha w14:val="100000"/>
                    </w14:srgbClr>
                  </w14:solidFill>
                </w14:textFill>
              </w:rPr>
              <w:t>|</w:t>
            </w:r>
          </w:p>
        </w:tc>
        <w:tc>
          <w:tcPr>
            <w:tcW w:w="833" w:type="pct"/>
          </w:tcPr>
          <w:p w14:paraId="183C23D8" w14:textId="7A065226" w:rsidR="009D04FD" w:rsidRPr="00CA23AA" w:rsidRDefault="009D04FD" w:rsidP="00582C9C">
            <w:pPr>
              <w:pStyle w:val="TableText"/>
              <w:spacing w:before="0" w:after="0"/>
            </w:pPr>
            <w:r w:rsidRPr="00CA23AA">
              <w:t>NR</w:t>
            </w:r>
          </w:p>
        </w:tc>
        <w:tc>
          <w:tcPr>
            <w:tcW w:w="834" w:type="pct"/>
          </w:tcPr>
          <w:p w14:paraId="5637C4D3" w14:textId="722BAD82" w:rsidR="009D04FD" w:rsidRPr="00CA23AA" w:rsidRDefault="009D04FD" w:rsidP="00582C9C">
            <w:pPr>
              <w:pStyle w:val="TableText"/>
              <w:spacing w:before="0" w:after="0"/>
            </w:pPr>
            <w:r w:rsidRPr="00CA23AA">
              <w:t>Cost of this treatment is highly variable depends on patient’s length of stay, observed range $175,000 to $421,000</w:t>
            </w:r>
          </w:p>
        </w:tc>
      </w:tr>
      <w:tr w:rsidR="00594907" w:rsidRPr="00CA23AA" w14:paraId="308F93FB" w14:textId="77777777" w:rsidTr="00594907">
        <w:trPr>
          <w:trHeight w:val="300"/>
        </w:trPr>
        <w:tc>
          <w:tcPr>
            <w:tcW w:w="784" w:type="pct"/>
          </w:tcPr>
          <w:p w14:paraId="038A418F" w14:textId="36F5A42F" w:rsidR="009D04FD" w:rsidRPr="00CA23AA" w:rsidRDefault="009D04FD" w:rsidP="00582C9C">
            <w:pPr>
              <w:pStyle w:val="TableText"/>
              <w:spacing w:before="0" w:after="0"/>
            </w:pPr>
            <w:r w:rsidRPr="00CA23AA">
              <w:t xml:space="preserve">Tocilizumab </w:t>
            </w:r>
          </w:p>
        </w:tc>
        <w:tc>
          <w:tcPr>
            <w:tcW w:w="883" w:type="pct"/>
            <w:shd w:val="clear" w:color="auto" w:fill="DEEAF6" w:themeFill="accent1" w:themeFillTint="33"/>
          </w:tcPr>
          <w:p w14:paraId="290EB2BD" w14:textId="77777777" w:rsidR="009D04FD" w:rsidRPr="00CA23AA" w:rsidRDefault="00D760C9" w:rsidP="00582C9C">
            <w:pPr>
              <w:pStyle w:val="TableText"/>
              <w:spacing w:before="0" w:after="0"/>
            </w:pPr>
            <w:r w:rsidRPr="00CA23AA">
              <w:t>5.7%</w:t>
            </w:r>
          </w:p>
          <w:p w14:paraId="77961930" w14:textId="225C1973" w:rsidR="00D760C9" w:rsidRPr="00CA23AA" w:rsidRDefault="00D760C9" w:rsidP="00582C9C">
            <w:pPr>
              <w:pStyle w:val="TableText"/>
              <w:spacing w:before="0" w:after="0"/>
            </w:pPr>
            <w:r w:rsidRPr="00CA23AA">
              <w:t>Average cost per patient $43</w:t>
            </w:r>
          </w:p>
        </w:tc>
        <w:tc>
          <w:tcPr>
            <w:tcW w:w="833" w:type="pct"/>
          </w:tcPr>
          <w:p w14:paraId="3096FAA7" w14:textId="4A0A87D1" w:rsidR="009D04FD" w:rsidRPr="00CA23AA" w:rsidRDefault="00594907" w:rsidP="00582C9C">
            <w:pPr>
              <w:pStyle w:val="TableText"/>
              <w:spacing w:before="0" w:after="0"/>
            </w:pPr>
            <w:r w:rsidRPr="00594907">
              <w:rPr>
                <w:color w:val="000000"/>
                <w:spacing w:val="184"/>
                <w:shd w:val="solid" w:color="000000" w:fill="000000"/>
                <w:fitText w:val="270" w:id="-1161539582"/>
                <w14:textFill>
                  <w14:solidFill>
                    <w14:srgbClr w14:val="000000">
                      <w14:alpha w14:val="100000"/>
                    </w14:srgbClr>
                  </w14:solidFill>
                </w14:textFill>
              </w:rPr>
              <w:t>|</w:t>
            </w:r>
            <w:r w:rsidRPr="00594907">
              <w:rPr>
                <w:color w:val="000000"/>
                <w:spacing w:val="1"/>
                <w:shd w:val="solid" w:color="000000" w:fill="000000"/>
                <w:fitText w:val="270" w:id="-1161539582"/>
                <w14:textFill>
                  <w14:solidFill>
                    <w14:srgbClr w14:val="000000">
                      <w14:alpha w14:val="100000"/>
                    </w14:srgbClr>
                  </w14:solidFill>
                </w14:textFill>
              </w:rPr>
              <w:t>|</w:t>
            </w:r>
            <w:r w:rsidR="009D04FD" w:rsidRPr="00CA23AA">
              <w:t>%</w:t>
            </w:r>
          </w:p>
          <w:p w14:paraId="6A01B488" w14:textId="03660032" w:rsidR="009D04FD" w:rsidRPr="00CA23AA" w:rsidRDefault="009D04FD" w:rsidP="00582C9C">
            <w:pPr>
              <w:pStyle w:val="TableText"/>
              <w:spacing w:before="0" w:after="0"/>
            </w:pPr>
            <w:r w:rsidRPr="00CA23AA">
              <w:t>Average cost per patient $</w:t>
            </w:r>
            <w:r w:rsidR="00594907" w:rsidRPr="00594907">
              <w:rPr>
                <w:color w:val="000000"/>
                <w:spacing w:val="184"/>
                <w:shd w:val="solid" w:color="000000" w:fill="000000"/>
                <w:fitText w:val="270" w:id="-1161539581"/>
                <w14:textFill>
                  <w14:solidFill>
                    <w14:srgbClr w14:val="000000">
                      <w14:alpha w14:val="100000"/>
                    </w14:srgbClr>
                  </w14:solidFill>
                </w14:textFill>
              </w:rPr>
              <w:t>|</w:t>
            </w:r>
            <w:r w:rsidR="00594907" w:rsidRPr="00594907">
              <w:rPr>
                <w:color w:val="000000"/>
                <w:spacing w:val="1"/>
                <w:shd w:val="solid" w:color="000000" w:fill="000000"/>
                <w:fitText w:val="270" w:id="-1161539581"/>
                <w14:textFill>
                  <w14:solidFill>
                    <w14:srgbClr w14:val="000000">
                      <w14:alpha w14:val="100000"/>
                    </w14:srgbClr>
                  </w14:solidFill>
                </w14:textFill>
              </w:rPr>
              <w:t>|</w:t>
            </w:r>
          </w:p>
        </w:tc>
        <w:tc>
          <w:tcPr>
            <w:tcW w:w="833" w:type="pct"/>
            <w:tcBorders>
              <w:bottom w:val="single" w:sz="4" w:space="0" w:color="auto"/>
            </w:tcBorders>
            <w:shd w:val="solid" w:color="000000" w:fill="000000"/>
          </w:tcPr>
          <w:p w14:paraId="5E77BE57" w14:textId="2C7731BA" w:rsidR="009D04FD" w:rsidRPr="00CA23AA" w:rsidRDefault="00594907" w:rsidP="00582C9C">
            <w:pPr>
              <w:pStyle w:val="TableText"/>
              <w:spacing w:before="0" w:after="0"/>
            </w:pPr>
            <w:r w:rsidRPr="00594907">
              <w:rPr>
                <w:color w:val="000000"/>
                <w:spacing w:val="184"/>
                <w:fitText w:val="270" w:id="-1161539580"/>
                <w14:textFill>
                  <w14:solidFill>
                    <w14:srgbClr w14:val="000000">
                      <w14:alpha w14:val="100000"/>
                    </w14:srgbClr>
                  </w14:solidFill>
                </w14:textFill>
              </w:rPr>
              <w:t>|</w:t>
            </w:r>
            <w:r w:rsidRPr="00594907">
              <w:rPr>
                <w:color w:val="000000"/>
                <w:fitText w:val="270" w:id="-1161539580"/>
                <w14:textFill>
                  <w14:solidFill>
                    <w14:srgbClr w14:val="000000">
                      <w14:alpha w14:val="100000"/>
                    </w14:srgbClr>
                  </w14:solidFill>
                </w14:textFill>
              </w:rPr>
              <w:t>|</w:t>
            </w:r>
          </w:p>
        </w:tc>
        <w:tc>
          <w:tcPr>
            <w:tcW w:w="833" w:type="pct"/>
          </w:tcPr>
          <w:p w14:paraId="55B14FAC" w14:textId="2FD9D7EA" w:rsidR="009D04FD" w:rsidRPr="00CA23AA" w:rsidRDefault="009D04FD" w:rsidP="00582C9C">
            <w:pPr>
              <w:pStyle w:val="TableText"/>
              <w:spacing w:before="0" w:after="0"/>
            </w:pPr>
            <w:r w:rsidRPr="00CA23AA">
              <w:t xml:space="preserve">47% received </w:t>
            </w:r>
            <w:proofErr w:type="gramStart"/>
            <w:r w:rsidRPr="00CA23AA">
              <w:t>tocilizumab</w:t>
            </w:r>
            <w:proofErr w:type="gramEnd"/>
          </w:p>
          <w:p w14:paraId="32CDEFE4" w14:textId="0E4A67DB" w:rsidR="009D04FD" w:rsidRPr="00CA23AA" w:rsidRDefault="009D04FD" w:rsidP="00582C9C">
            <w:pPr>
              <w:pStyle w:val="TableText"/>
              <w:spacing w:before="0" w:after="0"/>
            </w:pPr>
            <w:r w:rsidRPr="00CA23AA">
              <w:t>Cost not reported.</w:t>
            </w:r>
          </w:p>
        </w:tc>
        <w:tc>
          <w:tcPr>
            <w:tcW w:w="834" w:type="pct"/>
          </w:tcPr>
          <w:p w14:paraId="2178C0F7" w14:textId="4A080C3B" w:rsidR="009D04FD" w:rsidRPr="00CA23AA" w:rsidRDefault="009D04FD" w:rsidP="00582C9C">
            <w:pPr>
              <w:pStyle w:val="TableText"/>
              <w:spacing w:before="0" w:after="0"/>
            </w:pPr>
            <w:r w:rsidRPr="00CA23AA">
              <w:t>NR</w:t>
            </w:r>
          </w:p>
        </w:tc>
      </w:tr>
      <w:tr w:rsidR="00594907" w:rsidRPr="00CA23AA" w14:paraId="5E7A92A5" w14:textId="77777777" w:rsidTr="00594907">
        <w:trPr>
          <w:trHeight w:val="300"/>
        </w:trPr>
        <w:tc>
          <w:tcPr>
            <w:tcW w:w="784" w:type="pct"/>
          </w:tcPr>
          <w:p w14:paraId="1F7B632D" w14:textId="659DDCC5" w:rsidR="009D04FD" w:rsidRPr="00CA23AA" w:rsidRDefault="009D04FD" w:rsidP="00582C9C">
            <w:pPr>
              <w:pStyle w:val="TableText"/>
              <w:spacing w:before="0" w:after="0"/>
            </w:pPr>
            <w:r w:rsidRPr="00CA23AA">
              <w:t>Immunoglobulin (Ig) usage and treatment duration</w:t>
            </w:r>
          </w:p>
        </w:tc>
        <w:tc>
          <w:tcPr>
            <w:tcW w:w="883" w:type="pct"/>
            <w:shd w:val="clear" w:color="auto" w:fill="DEEAF6" w:themeFill="accent1" w:themeFillTint="33"/>
          </w:tcPr>
          <w:p w14:paraId="74CCF133" w14:textId="08B48FEB" w:rsidR="009D04FD" w:rsidRPr="00CA23AA" w:rsidRDefault="00D760C9" w:rsidP="00582C9C">
            <w:pPr>
              <w:pStyle w:val="TableText"/>
              <w:spacing w:before="0" w:after="0"/>
            </w:pPr>
            <w:r w:rsidRPr="00CA23AA">
              <w:t>88% receive Ig for 36 months</w:t>
            </w:r>
          </w:p>
        </w:tc>
        <w:tc>
          <w:tcPr>
            <w:tcW w:w="833" w:type="pct"/>
            <w:tcBorders>
              <w:bottom w:val="single" w:sz="4" w:space="0" w:color="auto"/>
            </w:tcBorders>
          </w:tcPr>
          <w:p w14:paraId="5B986CB8" w14:textId="2061221D" w:rsidR="009D04FD" w:rsidRPr="00CA23AA" w:rsidRDefault="00594907" w:rsidP="00582C9C">
            <w:pPr>
              <w:pStyle w:val="TableText"/>
              <w:spacing w:before="0" w:after="0"/>
            </w:pPr>
            <w:r w:rsidRPr="00594907">
              <w:rPr>
                <w:color w:val="000000"/>
                <w:spacing w:val="184"/>
                <w:shd w:val="solid" w:color="000000" w:fill="000000"/>
                <w:fitText w:val="270" w:id="-1161539579"/>
                <w14:textFill>
                  <w14:solidFill>
                    <w14:srgbClr w14:val="000000">
                      <w14:alpha w14:val="100000"/>
                    </w14:srgbClr>
                  </w14:solidFill>
                </w14:textFill>
              </w:rPr>
              <w:t>|</w:t>
            </w:r>
            <w:r w:rsidRPr="00594907">
              <w:rPr>
                <w:color w:val="000000"/>
                <w:spacing w:val="1"/>
                <w:shd w:val="solid" w:color="000000" w:fill="000000"/>
                <w:fitText w:val="270" w:id="-1161539579"/>
                <w14:textFill>
                  <w14:solidFill>
                    <w14:srgbClr w14:val="000000">
                      <w14:alpha w14:val="100000"/>
                    </w14:srgbClr>
                  </w14:solidFill>
                </w14:textFill>
              </w:rPr>
              <w:t>|</w:t>
            </w:r>
            <w:r w:rsidR="009D04FD" w:rsidRPr="00CA23AA">
              <w:t>% receive Ig for 36 months</w:t>
            </w:r>
          </w:p>
        </w:tc>
        <w:tc>
          <w:tcPr>
            <w:tcW w:w="833" w:type="pct"/>
            <w:tcBorders>
              <w:bottom w:val="single" w:sz="4" w:space="0" w:color="auto"/>
            </w:tcBorders>
            <w:shd w:val="solid" w:color="000000" w:fill="000000"/>
          </w:tcPr>
          <w:p w14:paraId="018FB19A" w14:textId="78796AB6" w:rsidR="009D04FD" w:rsidRPr="00CA23AA" w:rsidRDefault="00594907" w:rsidP="00582C9C">
            <w:pPr>
              <w:pStyle w:val="TableText"/>
              <w:spacing w:before="0" w:after="0"/>
            </w:pPr>
            <w:r w:rsidRPr="00594907">
              <w:rPr>
                <w:color w:val="000000"/>
                <w:spacing w:val="184"/>
                <w:fitText w:val="270" w:id="-1161539578"/>
                <w14:textFill>
                  <w14:solidFill>
                    <w14:srgbClr w14:val="000000">
                      <w14:alpha w14:val="100000"/>
                    </w14:srgbClr>
                  </w14:solidFill>
                </w14:textFill>
              </w:rPr>
              <w:t>|</w:t>
            </w:r>
            <w:r w:rsidRPr="00594907">
              <w:rPr>
                <w:color w:val="000000"/>
                <w:fitText w:val="270" w:id="-1161539578"/>
                <w14:textFill>
                  <w14:solidFill>
                    <w14:srgbClr w14:val="000000">
                      <w14:alpha w14:val="100000"/>
                    </w14:srgbClr>
                  </w14:solidFill>
                </w14:textFill>
              </w:rPr>
              <w:t>|</w:t>
            </w:r>
          </w:p>
        </w:tc>
        <w:tc>
          <w:tcPr>
            <w:tcW w:w="833" w:type="pct"/>
          </w:tcPr>
          <w:p w14:paraId="009D23DC" w14:textId="54248FE1" w:rsidR="009D04FD" w:rsidRPr="00CA23AA" w:rsidRDefault="009D04FD" w:rsidP="00582C9C">
            <w:pPr>
              <w:pStyle w:val="TableText"/>
              <w:spacing w:before="0" w:after="0"/>
            </w:pPr>
            <w:r w:rsidRPr="00CA23AA">
              <w:t xml:space="preserve">9 out of 13 patients receiving Ig post infusion. </w:t>
            </w:r>
          </w:p>
        </w:tc>
        <w:tc>
          <w:tcPr>
            <w:tcW w:w="834" w:type="pct"/>
          </w:tcPr>
          <w:p w14:paraId="27756A45" w14:textId="7BAE6E63" w:rsidR="009D04FD" w:rsidRPr="00CA23AA" w:rsidRDefault="0020465A" w:rsidP="00582C9C">
            <w:pPr>
              <w:pStyle w:val="TableText"/>
              <w:spacing w:before="0" w:after="0"/>
            </w:pPr>
            <w:r w:rsidRPr="00CA23AA">
              <w:t>25%</w:t>
            </w:r>
            <w:r w:rsidR="009D04FD" w:rsidRPr="00CA23AA">
              <w:t xml:space="preserve"> of patients receiving Ig post infusion. No comments provided on duration of treatment</w:t>
            </w:r>
          </w:p>
        </w:tc>
      </w:tr>
      <w:tr w:rsidR="00594907" w:rsidRPr="00CA23AA" w14:paraId="177C6CB9" w14:textId="77777777" w:rsidTr="00594907">
        <w:trPr>
          <w:trHeight w:val="300"/>
        </w:trPr>
        <w:tc>
          <w:tcPr>
            <w:tcW w:w="784" w:type="pct"/>
          </w:tcPr>
          <w:p w14:paraId="59EA2045" w14:textId="77777777" w:rsidR="009D04FD" w:rsidRPr="00CA23AA" w:rsidRDefault="009D04FD" w:rsidP="00582C9C">
            <w:pPr>
              <w:pStyle w:val="TableText"/>
              <w:spacing w:before="0" w:after="0"/>
            </w:pPr>
            <w:r w:rsidRPr="00CA23AA">
              <w:t xml:space="preserve">Reported Immunoglobulin </w:t>
            </w:r>
            <w:proofErr w:type="gramStart"/>
            <w:r w:rsidRPr="00CA23AA">
              <w:t>costs</w:t>
            </w:r>
            <w:proofErr w:type="gramEnd"/>
          </w:p>
          <w:p w14:paraId="5274E740" w14:textId="4DBB5580" w:rsidR="009D04FD" w:rsidRPr="00CA23AA" w:rsidRDefault="009D04FD" w:rsidP="00582C9C">
            <w:pPr>
              <w:pStyle w:val="TableText"/>
              <w:spacing w:before="0" w:after="0"/>
            </w:pPr>
            <w:r w:rsidRPr="00CA23AA">
              <w:t>(</w:t>
            </w:r>
            <w:proofErr w:type="gramStart"/>
            <w:r w:rsidRPr="00CA23AA">
              <w:t>product</w:t>
            </w:r>
            <w:proofErr w:type="gramEnd"/>
            <w:r w:rsidRPr="00CA23AA">
              <w:t xml:space="preserve"> and/or administration)</w:t>
            </w:r>
          </w:p>
        </w:tc>
        <w:tc>
          <w:tcPr>
            <w:tcW w:w="883" w:type="pct"/>
            <w:shd w:val="clear" w:color="auto" w:fill="DEEAF6" w:themeFill="accent1" w:themeFillTint="33"/>
          </w:tcPr>
          <w:p w14:paraId="0D10A96F" w14:textId="47615815" w:rsidR="00D760C9" w:rsidRPr="00CA23AA" w:rsidRDefault="00D760C9" w:rsidP="00582C9C">
            <w:pPr>
              <w:pStyle w:val="TableText"/>
              <w:spacing w:before="0" w:after="0"/>
              <w:rPr>
                <w:rStyle w:val="Small"/>
              </w:rPr>
            </w:pPr>
            <w:r w:rsidRPr="00CA23AA">
              <w:rPr>
                <w:rStyle w:val="Small"/>
              </w:rPr>
              <w:t>$</w:t>
            </w:r>
            <w:r w:rsidR="00594907" w:rsidRPr="00594907">
              <w:rPr>
                <w:rStyle w:val="Small"/>
                <w:color w:val="000000"/>
                <w:spacing w:val="194"/>
                <w:shd w:val="solid" w:color="000000" w:fill="000000"/>
                <w:fitText w:val="280" w:id="-1161539577"/>
                <w14:textFill>
                  <w14:solidFill>
                    <w14:srgbClr w14:val="000000">
                      <w14:alpha w14:val="100000"/>
                    </w14:srgbClr>
                  </w14:solidFill>
                </w14:textFill>
              </w:rPr>
              <w:t>|</w:t>
            </w:r>
            <w:proofErr w:type="gramStart"/>
            <w:r w:rsidR="00594907" w:rsidRPr="00594907">
              <w:rPr>
                <w:rStyle w:val="Small"/>
                <w:color w:val="000000"/>
                <w:spacing w:val="1"/>
                <w:shd w:val="solid" w:color="000000" w:fill="000000"/>
                <w:fitText w:val="280" w:id="-1161539577"/>
                <w14:textFill>
                  <w14:solidFill>
                    <w14:srgbClr w14:val="000000">
                      <w14:alpha w14:val="100000"/>
                    </w14:srgbClr>
                  </w14:solidFill>
                </w14:textFill>
              </w:rPr>
              <w:t>|</w:t>
            </w:r>
            <w:r w:rsidRPr="00CA23AA">
              <w:rPr>
                <w:rStyle w:val="Small"/>
              </w:rPr>
              <w:t>(</w:t>
            </w:r>
            <w:proofErr w:type="gramEnd"/>
            <w:r w:rsidRPr="00CA23AA">
              <w:rPr>
                <w:rStyle w:val="Small"/>
              </w:rPr>
              <w:t>annual cost of Ig predicted in the first year of the costs traces in the model).</w:t>
            </w:r>
          </w:p>
          <w:p w14:paraId="328E6ED1" w14:textId="3B4AE686" w:rsidR="009D04FD" w:rsidRPr="00CA23AA" w:rsidRDefault="00D760C9" w:rsidP="00582C9C">
            <w:pPr>
              <w:pStyle w:val="TableText"/>
              <w:spacing w:before="0" w:after="0"/>
              <w:rPr>
                <w:rStyle w:val="Small"/>
              </w:rPr>
            </w:pPr>
            <w:r w:rsidRPr="00CA23AA">
              <w:t xml:space="preserve">Assumed duration of treatment: </w:t>
            </w:r>
            <w:r w:rsidR="00594907" w:rsidRPr="00594907">
              <w:rPr>
                <w:color w:val="000000"/>
                <w:spacing w:val="184"/>
                <w:shd w:val="solid" w:color="000000" w:fill="000000"/>
                <w:fitText w:val="270" w:id="-1161539576"/>
                <w14:textFill>
                  <w14:solidFill>
                    <w14:srgbClr w14:val="000000">
                      <w14:alpha w14:val="100000"/>
                    </w14:srgbClr>
                  </w14:solidFill>
                </w14:textFill>
              </w:rPr>
              <w:t>|</w:t>
            </w:r>
            <w:r w:rsidR="00594907" w:rsidRPr="00594907">
              <w:rPr>
                <w:color w:val="000000"/>
                <w:spacing w:val="1"/>
                <w:shd w:val="solid" w:color="000000" w:fill="000000"/>
                <w:fitText w:val="270" w:id="-1161539576"/>
                <w14:textFill>
                  <w14:solidFill>
                    <w14:srgbClr w14:val="000000">
                      <w14:alpha w14:val="100000"/>
                    </w14:srgbClr>
                  </w14:solidFill>
                </w14:textFill>
              </w:rPr>
              <w:t>|</w:t>
            </w:r>
            <w:r w:rsidRPr="00CA23AA">
              <w:t>months</w:t>
            </w:r>
          </w:p>
        </w:tc>
        <w:tc>
          <w:tcPr>
            <w:tcW w:w="833" w:type="pct"/>
            <w:shd w:val="solid" w:color="000000" w:fill="000000"/>
          </w:tcPr>
          <w:p w14:paraId="69D852CC" w14:textId="3E44662E" w:rsidR="009D04FD" w:rsidRPr="00CA23AA" w:rsidRDefault="00594907" w:rsidP="00582C9C">
            <w:pPr>
              <w:pStyle w:val="TableText"/>
              <w:spacing w:before="0" w:after="0"/>
            </w:pPr>
            <w:r w:rsidRPr="00594907">
              <w:rPr>
                <w:rStyle w:val="Small"/>
                <w:color w:val="000000"/>
                <w:spacing w:val="32"/>
                <w:shd w:val="solid" w:color="000000" w:fill="000000"/>
                <w:fitText w:val="420" w:id="-1161539574"/>
                <w14:textFill>
                  <w14:solidFill>
                    <w14:srgbClr w14:val="000000">
                      <w14:alpha w14:val="100000"/>
                    </w14:srgbClr>
                  </w14:solidFill>
                </w14:textFill>
              </w:rPr>
              <w:t>|||||</w:t>
            </w:r>
            <w:r w:rsidRPr="00594907">
              <w:rPr>
                <w:rStyle w:val="Small"/>
                <w:color w:val="000000"/>
                <w:spacing w:val="5"/>
                <w:shd w:val="solid" w:color="000000" w:fill="000000"/>
                <w:fitText w:val="420" w:id="-1161539574"/>
                <w14:textFill>
                  <w14:solidFill>
                    <w14:srgbClr w14:val="000000">
                      <w14:alpha w14:val="100000"/>
                    </w14:srgbClr>
                  </w14:solidFill>
                </w14:textFill>
              </w:rPr>
              <w:t>|</w:t>
            </w:r>
          </w:p>
        </w:tc>
        <w:tc>
          <w:tcPr>
            <w:tcW w:w="833" w:type="pct"/>
            <w:shd w:val="solid" w:color="000000" w:fill="000000"/>
          </w:tcPr>
          <w:p w14:paraId="2AED4011" w14:textId="5D62AE30" w:rsidR="009D04FD" w:rsidRPr="00CA23AA" w:rsidRDefault="00594907" w:rsidP="00582C9C">
            <w:pPr>
              <w:pStyle w:val="TableText"/>
              <w:spacing w:before="0" w:after="0"/>
            </w:pPr>
            <w:r w:rsidRPr="00594907">
              <w:rPr>
                <w:color w:val="000000"/>
                <w:spacing w:val="184"/>
                <w:fitText w:val="270" w:id="-1161539573"/>
                <w14:textFill>
                  <w14:solidFill>
                    <w14:srgbClr w14:val="000000">
                      <w14:alpha w14:val="100000"/>
                    </w14:srgbClr>
                  </w14:solidFill>
                </w14:textFill>
              </w:rPr>
              <w:t>|</w:t>
            </w:r>
            <w:r w:rsidRPr="00594907">
              <w:rPr>
                <w:color w:val="000000"/>
                <w:fitText w:val="270" w:id="-1161539573"/>
                <w14:textFill>
                  <w14:solidFill>
                    <w14:srgbClr w14:val="000000">
                      <w14:alpha w14:val="100000"/>
                    </w14:srgbClr>
                  </w14:solidFill>
                </w14:textFill>
              </w:rPr>
              <w:t>|</w:t>
            </w:r>
          </w:p>
        </w:tc>
        <w:tc>
          <w:tcPr>
            <w:tcW w:w="833" w:type="pct"/>
          </w:tcPr>
          <w:p w14:paraId="4F2CE8C7" w14:textId="1B1A7E89" w:rsidR="009D04FD" w:rsidRPr="00CA23AA" w:rsidRDefault="009D04FD" w:rsidP="00582C9C">
            <w:pPr>
              <w:pStyle w:val="TableText"/>
              <w:spacing w:before="0" w:after="0"/>
            </w:pPr>
            <w:r w:rsidRPr="00CA23AA">
              <w:t>Estimated cost varied (dependent on the other procedures) with a range between $3,000-$10,000.</w:t>
            </w:r>
          </w:p>
          <w:p w14:paraId="6ABF8B7D" w14:textId="3A110F22" w:rsidR="009D04FD" w:rsidRPr="00CA23AA" w:rsidRDefault="009D04FD" w:rsidP="00582C9C">
            <w:pPr>
              <w:pStyle w:val="TableText"/>
              <w:spacing w:before="0" w:after="0"/>
              <w:rPr>
                <w:i/>
              </w:rPr>
            </w:pPr>
            <w:r w:rsidRPr="00CA23AA">
              <w:rPr>
                <w:i/>
              </w:rPr>
              <w:t>Th</w:t>
            </w:r>
            <w:r w:rsidR="002E308F" w:rsidRPr="00CA23AA">
              <w:rPr>
                <w:i/>
              </w:rPr>
              <w:t>ese</w:t>
            </w:r>
            <w:r w:rsidRPr="00CA23AA">
              <w:rPr>
                <w:i/>
              </w:rPr>
              <w:t xml:space="preserve"> data</w:t>
            </w:r>
            <w:r w:rsidR="002E308F" w:rsidRPr="00CA23AA">
              <w:rPr>
                <w:i/>
              </w:rPr>
              <w:t xml:space="preserve"> are</w:t>
            </w:r>
            <w:r w:rsidRPr="00CA23AA">
              <w:rPr>
                <w:i/>
              </w:rPr>
              <w:t xml:space="preserve"> not reflective of the total Ig cost for each patient. This data is only inclusive of costs at the NSW Health TIS treatment sites; and not ongoing Ig administered by the local hospital/referral centre in NSW and/or interstate</w:t>
            </w:r>
          </w:p>
        </w:tc>
        <w:tc>
          <w:tcPr>
            <w:tcW w:w="834" w:type="pct"/>
          </w:tcPr>
          <w:p w14:paraId="70C93FAB" w14:textId="6E01D23B" w:rsidR="009D04FD" w:rsidRPr="00CA23AA" w:rsidRDefault="009D04FD" w:rsidP="00582C9C">
            <w:pPr>
              <w:pStyle w:val="TableText"/>
              <w:spacing w:before="0" w:after="0"/>
            </w:pPr>
            <w:r w:rsidRPr="00CA23AA">
              <w:t xml:space="preserve">The average cost of SCIg treatments, including product cost, same-day admission, and associated outpatient appointment is around </w:t>
            </w:r>
            <w:proofErr w:type="gramStart"/>
            <w:r w:rsidRPr="00CA23AA">
              <w:t>$6,500</w:t>
            </w:r>
            <w:proofErr w:type="gramEnd"/>
          </w:p>
          <w:p w14:paraId="515726E8" w14:textId="482DBD2F" w:rsidR="009D04FD" w:rsidRPr="00CA23AA" w:rsidRDefault="009D04FD" w:rsidP="00582C9C">
            <w:pPr>
              <w:pStyle w:val="TableText"/>
              <w:spacing w:before="0" w:after="0"/>
              <w:rPr>
                <w:i/>
              </w:rPr>
            </w:pPr>
            <w:r w:rsidRPr="00CA23AA">
              <w:rPr>
                <w:i/>
              </w:rPr>
              <w:t>Duration of treatment captured in this cost is unknown</w:t>
            </w:r>
          </w:p>
        </w:tc>
      </w:tr>
    </w:tbl>
    <w:p w14:paraId="5FA1910B" w14:textId="24F18B2B" w:rsidR="000E5C68" w:rsidRPr="00CA23AA" w:rsidRDefault="00850912" w:rsidP="00C53457">
      <w:pPr>
        <w:pStyle w:val="Tablenotes0"/>
      </w:pPr>
      <w:r w:rsidRPr="00CA23AA">
        <w:t xml:space="preserve">ADAR = Applicant Developed Assessment Report; </w:t>
      </w:r>
      <w:r w:rsidR="00C53457" w:rsidRPr="00CA23AA">
        <w:t xml:space="preserve">BLN = Blinatumomab; </w:t>
      </w:r>
      <w:r w:rsidR="00D45591" w:rsidRPr="00CA23AA">
        <w:t xml:space="preserve">Immunoglobulin = </w:t>
      </w:r>
      <w:r w:rsidR="005B5075" w:rsidRPr="00CA23AA">
        <w:t xml:space="preserve">Ig; </w:t>
      </w:r>
      <w:r w:rsidR="00E34565" w:rsidRPr="00CA23AA">
        <w:t xml:space="preserve">EFS = event free survival; </w:t>
      </w:r>
      <w:r w:rsidR="00C53457" w:rsidRPr="00CA23AA">
        <w:t xml:space="preserve">NR = not reported; </w:t>
      </w:r>
      <w:r w:rsidR="00E34565" w:rsidRPr="00CA23AA">
        <w:t xml:space="preserve">PD = progressive disease; </w:t>
      </w:r>
      <w:r w:rsidR="00C53457" w:rsidRPr="00CA23AA">
        <w:t>SCT = stem cell transplant; TIS = tisagenlecleucel</w:t>
      </w:r>
    </w:p>
    <w:p w14:paraId="2DAA8727" w14:textId="6ED506BB" w:rsidR="00C53457" w:rsidRPr="00CA23AA" w:rsidRDefault="00C53457" w:rsidP="00C53457">
      <w:pPr>
        <w:pStyle w:val="Tablenotes0"/>
      </w:pPr>
      <w:r w:rsidRPr="00CA23AA">
        <w:t xml:space="preserve">Source: </w:t>
      </w:r>
      <w:r w:rsidR="00AF5995" w:rsidRPr="00CA23AA">
        <w:t xml:space="preserve">Table </w:t>
      </w:r>
      <w:r w:rsidRPr="00CA23AA">
        <w:t xml:space="preserve">constructed during the evaluation using data from “TIS </w:t>
      </w:r>
      <w:proofErr w:type="spellStart"/>
      <w:r w:rsidRPr="00CA23AA">
        <w:t>pALL</w:t>
      </w:r>
      <w:proofErr w:type="spellEnd"/>
      <w:r w:rsidRPr="00CA23AA">
        <w:t xml:space="preserve"> CEA (Step 3).xlsx</w:t>
      </w:r>
      <w:r w:rsidR="00AF5995" w:rsidRPr="00CA23AA">
        <w:t>”, Australian Bone Marrow Transplant Recipient Registry (ABMTRR) report version 4, and the reviews submitted by state and territories Departments of Health (provided by Department of Health and Aged Care during the evaluation).</w:t>
      </w:r>
    </w:p>
    <w:p w14:paraId="7D7032B5" w14:textId="36A29320" w:rsidR="006118E8" w:rsidRPr="00CA23AA" w:rsidRDefault="006118E8" w:rsidP="00C53457">
      <w:pPr>
        <w:pStyle w:val="Tablenotes0"/>
      </w:pPr>
      <w:r w:rsidRPr="00CA23AA">
        <w:t xml:space="preserve">Shaded cells represent data previously </w:t>
      </w:r>
      <w:r w:rsidR="00DC64DB" w:rsidRPr="00CA23AA">
        <w:t>seen</w:t>
      </w:r>
      <w:r w:rsidRPr="00CA23AA">
        <w:t xml:space="preserve"> by MSAC</w:t>
      </w:r>
      <w:r w:rsidR="00703B47" w:rsidRPr="00CA23AA">
        <w:t xml:space="preserve"> (ADAR 1519)</w:t>
      </w:r>
    </w:p>
    <w:p w14:paraId="55ECF375" w14:textId="77B5935C" w:rsidR="00666F59" w:rsidRPr="00CA23AA" w:rsidRDefault="00E11214" w:rsidP="00666F59">
      <w:r w:rsidRPr="00CA23AA">
        <w:t xml:space="preserve">As shown in the </w:t>
      </w:r>
      <w:r w:rsidRPr="00CA23AA">
        <w:fldChar w:fldCharType="begin"/>
      </w:r>
      <w:r w:rsidRPr="00CA23AA">
        <w:instrText xml:space="preserve"> REF _Ref131449614 \h </w:instrText>
      </w:r>
      <w:r w:rsidR="00CA23AA">
        <w:instrText xml:space="preserve"> \* MERGEFORMAT </w:instrText>
      </w:r>
      <w:r w:rsidRPr="00CA23AA">
        <w:fldChar w:fldCharType="separate"/>
      </w:r>
      <w:r w:rsidR="00175880" w:rsidRPr="00CA23AA">
        <w:t xml:space="preserve">Table </w:t>
      </w:r>
      <w:r w:rsidR="00175880" w:rsidRPr="00CA23AA">
        <w:rPr>
          <w:noProof/>
        </w:rPr>
        <w:t>15</w:t>
      </w:r>
      <w:r w:rsidRPr="00CA23AA">
        <w:fldChar w:fldCharType="end"/>
      </w:r>
      <w:r w:rsidRPr="00CA23AA">
        <w:t>, h</w:t>
      </w:r>
      <w:r w:rsidR="00666F59" w:rsidRPr="00CA23AA">
        <w:t xml:space="preserve">ealthcare resource utilisation and costs are </w:t>
      </w:r>
      <w:r w:rsidR="00CC0BF3" w:rsidRPr="00CA23AA">
        <w:t>substantially</w:t>
      </w:r>
      <w:r w:rsidR="00666F59" w:rsidRPr="00CA23AA">
        <w:t xml:space="preserve"> underestimated in the updated model. ABMTRR data reported that </w:t>
      </w:r>
      <w:r w:rsidR="00594907" w:rsidRPr="00594907">
        <w:rPr>
          <w:color w:val="000000"/>
          <w:w w:val="88"/>
          <w:shd w:val="solid" w:color="000000" w:fill="000000"/>
          <w:fitText w:val="390" w:id="-1161539572"/>
          <w14:textFill>
            <w14:solidFill>
              <w14:srgbClr w14:val="000000">
                <w14:alpha w14:val="100000"/>
              </w14:srgbClr>
            </w14:solidFill>
          </w14:textFill>
        </w:rPr>
        <w:t>|||</w:t>
      </w:r>
      <w:r w:rsidR="00594907" w:rsidRPr="00594907">
        <w:rPr>
          <w:color w:val="000000"/>
          <w:spacing w:val="2"/>
          <w:w w:val="88"/>
          <w:shd w:val="solid" w:color="000000" w:fill="000000"/>
          <w:fitText w:val="390" w:id="-1161539572"/>
          <w14:textFill>
            <w14:solidFill>
              <w14:srgbClr w14:val="000000">
                <w14:alpha w14:val="100000"/>
              </w14:srgbClr>
            </w14:solidFill>
          </w14:textFill>
        </w:rPr>
        <w:t>|</w:t>
      </w:r>
      <w:r w:rsidR="00666F59" w:rsidRPr="00CA23AA">
        <w:t xml:space="preserve"> patients had a planned </w:t>
      </w:r>
      <w:proofErr w:type="spellStart"/>
      <w:r w:rsidR="008C5435" w:rsidRPr="00CA23AA">
        <w:t>aHSCT</w:t>
      </w:r>
      <w:proofErr w:type="spellEnd"/>
      <w:r w:rsidR="00964A73" w:rsidRPr="00CA23AA">
        <w:t xml:space="preserve"> </w:t>
      </w:r>
      <w:r w:rsidR="00666F59" w:rsidRPr="00CA23AA">
        <w:t xml:space="preserve">which was interpreted incorrectly as number of patients who had subsequent </w:t>
      </w:r>
      <w:proofErr w:type="spellStart"/>
      <w:r w:rsidR="008C5435" w:rsidRPr="00CA23AA">
        <w:t>aHSCT</w:t>
      </w:r>
      <w:proofErr w:type="spellEnd"/>
      <w:r w:rsidR="00964A73" w:rsidRPr="00CA23AA">
        <w:t xml:space="preserve"> </w:t>
      </w:r>
      <w:r w:rsidR="00666F59" w:rsidRPr="00CA23AA">
        <w:t xml:space="preserve">in the model update. Actual number of patients having subsequent </w:t>
      </w:r>
      <w:proofErr w:type="spellStart"/>
      <w:r w:rsidR="008C5435" w:rsidRPr="00CA23AA">
        <w:t>aHSCT</w:t>
      </w:r>
      <w:proofErr w:type="spellEnd"/>
      <w:r w:rsidR="00964A73" w:rsidRPr="00CA23AA">
        <w:t xml:space="preserve"> </w:t>
      </w:r>
      <w:r w:rsidR="00666F59" w:rsidRPr="00CA23AA">
        <w:t xml:space="preserve">is much higher and is observed to be rising with longer follow-up. </w:t>
      </w:r>
      <w:r w:rsidR="00594907" w:rsidRPr="00594907">
        <w:rPr>
          <w:color w:val="000000"/>
          <w:w w:val="86"/>
          <w:shd w:val="solid" w:color="000000" w:fill="000000"/>
          <w:fitText w:val="380" w:id="-1161539571"/>
          <w14:textFill>
            <w14:solidFill>
              <w14:srgbClr w14:val="000000">
                <w14:alpha w14:val="100000"/>
              </w14:srgbClr>
            </w14:solidFill>
          </w14:textFill>
        </w:rPr>
        <w:t>|||</w:t>
      </w:r>
      <w:r w:rsidR="00594907" w:rsidRPr="00594907">
        <w:rPr>
          <w:color w:val="000000"/>
          <w:spacing w:val="1"/>
          <w:w w:val="86"/>
          <w:shd w:val="solid" w:color="000000" w:fill="000000"/>
          <w:fitText w:val="380" w:id="-1161539571"/>
          <w14:textFill>
            <w14:solidFill>
              <w14:srgbClr w14:val="000000">
                <w14:alpha w14:val="100000"/>
              </w14:srgbClr>
            </w14:solidFill>
          </w14:textFill>
        </w:rPr>
        <w:t>|</w:t>
      </w:r>
      <w:r w:rsidR="00666F59" w:rsidRPr="00CA23AA">
        <w:t xml:space="preserve">. NSW Health reported </w:t>
      </w:r>
      <w:r w:rsidR="0013112E" w:rsidRPr="00CA23AA">
        <w:t>&lt;5</w:t>
      </w:r>
      <w:r w:rsidR="00666F59" w:rsidRPr="00CA23AA">
        <w:t xml:space="preserve">/13 patients treated at NSW had a subsequent </w:t>
      </w:r>
      <w:proofErr w:type="spellStart"/>
      <w:r w:rsidR="008C5435" w:rsidRPr="00CA23AA">
        <w:t>aHSCT</w:t>
      </w:r>
      <w:proofErr w:type="spellEnd"/>
      <w:r w:rsidR="00666F59" w:rsidRPr="00CA23AA">
        <w:t xml:space="preserve">. Queensland Health reported </w:t>
      </w:r>
      <w:r w:rsidR="0013112E" w:rsidRPr="00CA23AA">
        <w:t>approximately half of</w:t>
      </w:r>
      <w:r w:rsidR="00666F59" w:rsidRPr="00CA23AA">
        <w:t xml:space="preserve"> patients treated in Queensland had a subsequent </w:t>
      </w:r>
      <w:proofErr w:type="spellStart"/>
      <w:r w:rsidR="008C5435" w:rsidRPr="00CA23AA">
        <w:t>aHSCT</w:t>
      </w:r>
      <w:proofErr w:type="spellEnd"/>
      <w:r w:rsidR="00666F59" w:rsidRPr="00CA23AA">
        <w:t>. This indicates approximately 31-35% (16-18 out of 52) patients</w:t>
      </w:r>
      <w:r w:rsidR="004B788D" w:rsidRPr="00CA23AA">
        <w:t xml:space="preserve"> </w:t>
      </w:r>
      <w:r w:rsidR="00666F59" w:rsidRPr="00CA23AA">
        <w:t xml:space="preserve">had/planned to have </w:t>
      </w:r>
      <w:proofErr w:type="spellStart"/>
      <w:r w:rsidR="008C5435" w:rsidRPr="00CA23AA">
        <w:t>aHSCT</w:t>
      </w:r>
      <w:proofErr w:type="spellEnd"/>
      <w:r w:rsidR="00666F59" w:rsidRPr="00CA23AA">
        <w:t xml:space="preserve"> so far in the follow-up period. </w:t>
      </w:r>
    </w:p>
    <w:p w14:paraId="21E5CF0F" w14:textId="165584E3" w:rsidR="003551B6" w:rsidRPr="00CA23AA" w:rsidRDefault="003551B6" w:rsidP="003551B6">
      <w:r w:rsidRPr="00CA23AA">
        <w:t>There is considerable uncertainty around the cost estimates based on the Australian data for TIS patients as (</w:t>
      </w:r>
      <w:proofErr w:type="spellStart"/>
      <w:r w:rsidRPr="00CA23AA">
        <w:t>i</w:t>
      </w:r>
      <w:proofErr w:type="spellEnd"/>
      <w:r w:rsidRPr="00CA23AA">
        <w:t>) the data are aggregated and it is unclear exactly what resources are captured or the duration of the data collection, (ii) the patient numbers are still relatively small and there is large variability in resource use and (iii) there is no comparative equivalent source of data to inform the comparator arm of the model.</w:t>
      </w:r>
    </w:p>
    <w:p w14:paraId="7E44C3CB" w14:textId="69A47D3B" w:rsidR="00666F59" w:rsidRPr="00CA23AA" w:rsidRDefault="00666F59" w:rsidP="00666F59">
      <w:r w:rsidRPr="00CA23AA">
        <w:t xml:space="preserve">Average cost per patient (including cost of </w:t>
      </w:r>
      <w:r w:rsidR="001E310E" w:rsidRPr="00CA23AA">
        <w:t>TIS</w:t>
      </w:r>
      <w:r w:rsidRPr="00CA23AA">
        <w:t>) was approximately $</w:t>
      </w:r>
      <w:r w:rsidR="00594907" w:rsidRPr="00594907">
        <w:rPr>
          <w:color w:val="000000"/>
          <w:w w:val="88"/>
          <w:shd w:val="solid" w:color="000000" w:fill="000000"/>
          <w:fitText w:val="390" w:id="-1161539570"/>
          <w14:textFill>
            <w14:solidFill>
              <w14:srgbClr w14:val="000000">
                <w14:alpha w14:val="100000"/>
              </w14:srgbClr>
            </w14:solidFill>
          </w14:textFill>
        </w:rPr>
        <w:t>|||</w:t>
      </w:r>
      <w:r w:rsidR="00594907" w:rsidRPr="00594907">
        <w:rPr>
          <w:color w:val="000000"/>
          <w:spacing w:val="2"/>
          <w:w w:val="88"/>
          <w:shd w:val="solid" w:color="000000" w:fill="000000"/>
          <w:fitText w:val="390" w:id="-1161539570"/>
          <w14:textFill>
            <w14:solidFill>
              <w14:srgbClr w14:val="000000">
                <w14:alpha w14:val="100000"/>
              </w14:srgbClr>
            </w14:solidFill>
          </w14:textFill>
        </w:rPr>
        <w:t>|</w:t>
      </w:r>
      <w:r w:rsidRPr="00CA23AA">
        <w:t xml:space="preserve"> for patients treated at NSW (N=13) and </w:t>
      </w:r>
      <w:r w:rsidR="00594907" w:rsidRPr="00594907">
        <w:rPr>
          <w:color w:val="000000"/>
          <w:w w:val="88"/>
          <w:shd w:val="solid" w:color="000000" w:fill="000000"/>
          <w:fitText w:val="390" w:id="-1161539569"/>
          <w14:textFill>
            <w14:solidFill>
              <w14:srgbClr w14:val="000000">
                <w14:alpha w14:val="100000"/>
              </w14:srgbClr>
            </w14:solidFill>
          </w14:textFill>
        </w:rPr>
        <w:t>|||</w:t>
      </w:r>
      <w:r w:rsidR="00594907" w:rsidRPr="00594907">
        <w:rPr>
          <w:color w:val="000000"/>
          <w:spacing w:val="2"/>
          <w:w w:val="88"/>
          <w:shd w:val="solid" w:color="000000" w:fill="000000"/>
          <w:fitText w:val="390" w:id="-1161539569"/>
          <w14:textFill>
            <w14:solidFill>
              <w14:srgbClr w14:val="000000">
                <w14:alpha w14:val="100000"/>
              </w14:srgbClr>
            </w14:solidFill>
          </w14:textFill>
        </w:rPr>
        <w:t>|</w:t>
      </w:r>
      <w:r w:rsidRPr="00CA23AA">
        <w:t xml:space="preserve">. Average cost per patient (excluding cost of </w:t>
      </w:r>
      <w:r w:rsidR="001E310E" w:rsidRPr="00CA23AA">
        <w:t>TIS</w:t>
      </w:r>
      <w:r w:rsidRPr="00CA23AA">
        <w:t xml:space="preserve">) was around $459,000 for </w:t>
      </w:r>
      <w:r w:rsidR="0013112E" w:rsidRPr="00CA23AA">
        <w:t xml:space="preserve">&lt;5 </w:t>
      </w:r>
      <w:r w:rsidRPr="00CA23AA">
        <w:t xml:space="preserve">patients treated at Queensland Children Hospital, which would be closer to the average cost reported by NSW and </w:t>
      </w:r>
      <w:r w:rsidR="00594907" w:rsidRPr="00594907">
        <w:rPr>
          <w:color w:val="000000"/>
          <w:w w:val="88"/>
          <w:shd w:val="solid" w:color="000000" w:fill="000000"/>
          <w:fitText w:val="390" w:id="-1161539568"/>
          <w14:textFill>
            <w14:solidFill>
              <w14:srgbClr w14:val="000000">
                <w14:alpha w14:val="100000"/>
              </w14:srgbClr>
            </w14:solidFill>
          </w14:textFill>
        </w:rPr>
        <w:t>|||</w:t>
      </w:r>
      <w:r w:rsidR="00594907" w:rsidRPr="00594907">
        <w:rPr>
          <w:color w:val="000000"/>
          <w:spacing w:val="2"/>
          <w:w w:val="88"/>
          <w:shd w:val="solid" w:color="000000" w:fill="000000"/>
          <w:fitText w:val="390" w:id="-1161539568"/>
          <w14:textFill>
            <w14:solidFill>
              <w14:srgbClr w14:val="000000">
                <w14:alpha w14:val="100000"/>
              </w14:srgbClr>
            </w14:solidFill>
          </w14:textFill>
        </w:rPr>
        <w:t>|</w:t>
      </w:r>
      <w:r w:rsidRPr="00CA23AA">
        <w:t xml:space="preserve"> when average cost of </w:t>
      </w:r>
      <w:r w:rsidR="001E310E" w:rsidRPr="00CA23AA">
        <w:t>TIS</w:t>
      </w:r>
      <w:r w:rsidRPr="00CA23AA">
        <w:t xml:space="preserve"> ($</w:t>
      </w:r>
      <w:r w:rsidR="00594907" w:rsidRPr="00594907">
        <w:rPr>
          <w:color w:val="000000"/>
          <w:w w:val="88"/>
          <w:shd w:val="solid" w:color="000000" w:fill="000000"/>
          <w:fitText w:val="390" w:id="-1161539584"/>
          <w14:textFill>
            <w14:solidFill>
              <w14:srgbClr w14:val="000000">
                <w14:alpha w14:val="100000"/>
              </w14:srgbClr>
            </w14:solidFill>
          </w14:textFill>
        </w:rPr>
        <w:t>|||</w:t>
      </w:r>
      <w:r w:rsidR="00594907" w:rsidRPr="00594907">
        <w:rPr>
          <w:color w:val="000000"/>
          <w:spacing w:val="2"/>
          <w:w w:val="88"/>
          <w:shd w:val="solid" w:color="000000" w:fill="000000"/>
          <w:fitText w:val="390" w:id="-1161539584"/>
          <w14:textFill>
            <w14:solidFill>
              <w14:srgbClr w14:val="000000">
                <w14:alpha w14:val="100000"/>
              </w14:srgbClr>
            </w14:solidFill>
          </w14:textFill>
        </w:rPr>
        <w:t>|</w:t>
      </w:r>
      <w:r w:rsidRPr="00CA23AA">
        <w:t>) is added to this (~$</w:t>
      </w:r>
      <w:r w:rsidR="00594907" w:rsidRPr="00594907">
        <w:rPr>
          <w:color w:val="000000"/>
          <w:w w:val="88"/>
          <w:shd w:val="solid" w:color="000000" w:fill="000000"/>
          <w:fitText w:val="390" w:id="-1161539583"/>
          <w14:textFill>
            <w14:solidFill>
              <w14:srgbClr w14:val="000000">
                <w14:alpha w14:val="100000"/>
              </w14:srgbClr>
            </w14:solidFill>
          </w14:textFill>
        </w:rPr>
        <w:t>|||</w:t>
      </w:r>
      <w:r w:rsidR="00594907" w:rsidRPr="00594907">
        <w:rPr>
          <w:color w:val="000000"/>
          <w:spacing w:val="2"/>
          <w:w w:val="88"/>
          <w:shd w:val="solid" w:color="000000" w:fill="000000"/>
          <w:fitText w:val="390" w:id="-1161539583"/>
          <w14:textFill>
            <w14:solidFill>
              <w14:srgbClr w14:val="000000">
                <w14:alpha w14:val="100000"/>
              </w14:srgbClr>
            </w14:solidFill>
          </w14:textFill>
        </w:rPr>
        <w:t>|</w:t>
      </w:r>
      <w:r w:rsidRPr="00CA23AA">
        <w:t>).</w:t>
      </w:r>
    </w:p>
    <w:p w14:paraId="2F182FFE" w14:textId="7B67D0AE" w:rsidR="00666F59" w:rsidRPr="00CA23AA" w:rsidRDefault="00B02273" w:rsidP="00666F59">
      <w:r w:rsidRPr="00CA23AA">
        <w:t>D</w:t>
      </w:r>
      <w:r w:rsidR="00666F59" w:rsidRPr="00CA23AA">
        <w:t>ata provided by</w:t>
      </w:r>
      <w:r w:rsidR="00960141" w:rsidRPr="00CA23AA">
        <w:t xml:space="preserve"> the </w:t>
      </w:r>
      <w:r w:rsidR="00666F59" w:rsidRPr="00CA23AA">
        <w:t xml:space="preserve">three states clearly indicate that the costs adjunctive to TIS program are significantly underestimated in the updated model. These high costs may be attributed to the various treatment steps and associated inpatient and outpatient episodes involved for </w:t>
      </w:r>
      <w:r w:rsidR="00AF74DA" w:rsidRPr="00CA23AA">
        <w:t>TIS</w:t>
      </w:r>
      <w:r w:rsidR="00666F59" w:rsidRPr="00CA23AA">
        <w:t xml:space="preserve"> infusion, complex adverse event profile and management of these patients, and subsequent re-infusion of </w:t>
      </w:r>
      <w:r w:rsidR="00AF74DA" w:rsidRPr="00CA23AA">
        <w:t>TIS</w:t>
      </w:r>
      <w:r w:rsidR="00666F59" w:rsidRPr="00CA23AA">
        <w:t xml:space="preserve"> or other treatment and/or </w:t>
      </w:r>
      <w:proofErr w:type="spellStart"/>
      <w:r w:rsidR="00666F59" w:rsidRPr="00CA23AA">
        <w:t>aHSCT</w:t>
      </w:r>
      <w:proofErr w:type="spellEnd"/>
      <w:r w:rsidR="00666F59" w:rsidRPr="00CA23AA">
        <w:t>. The possibility of late onset, severe and expensive adverse effects also could not be excluded given the preliminary nature of the clinical evidence provided</w:t>
      </w:r>
      <w:r w:rsidR="00AF74DA" w:rsidRPr="00CA23AA">
        <w:t xml:space="preserve"> and small number of patients enrolled in the program</w:t>
      </w:r>
      <w:r w:rsidR="00666F59" w:rsidRPr="00CA23AA">
        <w:t>.</w:t>
      </w:r>
    </w:p>
    <w:p w14:paraId="5D258481" w14:textId="4B364616" w:rsidR="00D42355" w:rsidRPr="00CA23AA" w:rsidRDefault="00666F59" w:rsidP="00666F59">
      <w:r w:rsidRPr="00CA23AA">
        <w:t xml:space="preserve">IVIg usage: Duration of treatment with Ig post receiving </w:t>
      </w:r>
      <w:r w:rsidR="001E310E" w:rsidRPr="00CA23AA">
        <w:t>TIS</w:t>
      </w:r>
      <w:r w:rsidRPr="00CA23AA">
        <w:t xml:space="preserve"> is assumed to be 36 months in the model (unchanged from the previous version of the model). </w:t>
      </w:r>
      <w:r w:rsidR="00594907" w:rsidRPr="00594907">
        <w:rPr>
          <w:color w:val="000000"/>
          <w:w w:val="88"/>
          <w:shd w:val="solid" w:color="000000" w:fill="000000"/>
          <w:fitText w:val="390" w:id="-1161539582"/>
          <w14:textFill>
            <w14:solidFill>
              <w14:srgbClr w14:val="000000">
                <w14:alpha w14:val="100000"/>
              </w14:srgbClr>
            </w14:solidFill>
          </w14:textFill>
        </w:rPr>
        <w:t>|||</w:t>
      </w:r>
      <w:r w:rsidR="00594907" w:rsidRPr="00594907">
        <w:rPr>
          <w:color w:val="000000"/>
          <w:spacing w:val="2"/>
          <w:w w:val="88"/>
          <w:shd w:val="solid" w:color="000000" w:fill="000000"/>
          <w:fitText w:val="390" w:id="-1161539582"/>
          <w14:textFill>
            <w14:solidFill>
              <w14:srgbClr w14:val="000000">
                <w14:alpha w14:val="100000"/>
              </w14:srgbClr>
            </w14:solidFill>
          </w14:textFill>
        </w:rPr>
        <w:t>|</w:t>
      </w:r>
    </w:p>
    <w:p w14:paraId="31279C5D" w14:textId="0B69E08C" w:rsidR="00F32E9A" w:rsidRPr="00CA23AA" w:rsidRDefault="000C6320" w:rsidP="00666F59">
      <w:pPr>
        <w:rPr>
          <w:b/>
        </w:rPr>
      </w:pPr>
      <w:r w:rsidRPr="00CA23AA">
        <w:rPr>
          <w:b/>
        </w:rPr>
        <w:t>Results</w:t>
      </w:r>
    </w:p>
    <w:p w14:paraId="77D815FA" w14:textId="2BDD3E57" w:rsidR="000C6320" w:rsidRPr="00CA23AA" w:rsidRDefault="000C6320" w:rsidP="00666F59">
      <w:r w:rsidRPr="00CA23AA">
        <w:t xml:space="preserve">A summary of discounted results of the three steps of the revised models </w:t>
      </w:r>
      <w:r w:rsidR="00D96A68" w:rsidRPr="00CA23AA">
        <w:t xml:space="preserve">as estimated in ADAR </w:t>
      </w:r>
      <w:r w:rsidRPr="00CA23AA">
        <w:t>is provided</w:t>
      </w:r>
      <w:r w:rsidR="00D96A68" w:rsidRPr="00CA23AA">
        <w:t xml:space="preserve"> in </w:t>
      </w:r>
      <w:r w:rsidR="00721254" w:rsidRPr="00CA23AA">
        <w:fldChar w:fldCharType="begin"/>
      </w:r>
      <w:r w:rsidR="00721254" w:rsidRPr="00CA23AA">
        <w:instrText xml:space="preserve"> REF _Ref131497233 \h </w:instrText>
      </w:r>
      <w:r w:rsidR="00CA23AA">
        <w:instrText xml:space="preserve"> \* MERGEFORMAT </w:instrText>
      </w:r>
      <w:r w:rsidR="00721254" w:rsidRPr="00CA23AA">
        <w:fldChar w:fldCharType="separate"/>
      </w:r>
      <w:r w:rsidR="00175880" w:rsidRPr="00CA23AA">
        <w:t xml:space="preserve">Table </w:t>
      </w:r>
      <w:r w:rsidR="00175880" w:rsidRPr="00CA23AA">
        <w:rPr>
          <w:noProof/>
        </w:rPr>
        <w:t>16</w:t>
      </w:r>
      <w:r w:rsidR="00721254" w:rsidRPr="00CA23AA">
        <w:fldChar w:fldCharType="end"/>
      </w:r>
      <w:r w:rsidR="00721254" w:rsidRPr="00CA23AA">
        <w:t>.</w:t>
      </w:r>
    </w:p>
    <w:p w14:paraId="4DE093D9" w14:textId="5C231B47" w:rsidR="00721254" w:rsidRPr="00CA23AA" w:rsidRDefault="00721254" w:rsidP="00582C9C">
      <w:pPr>
        <w:pStyle w:val="TableHeading0"/>
        <w:keepLines/>
      </w:pPr>
      <w:bookmarkStart w:id="61" w:name="_Ref131497233"/>
      <w:r w:rsidRPr="00CA23AA">
        <w:t xml:space="preserve">Table </w:t>
      </w:r>
      <w:r w:rsidRPr="00CA23AA">
        <w:fldChar w:fldCharType="begin"/>
      </w:r>
      <w:r w:rsidRPr="00CA23AA">
        <w:instrText>SEQ Table \* ARABIC</w:instrText>
      </w:r>
      <w:r w:rsidRPr="00CA23AA">
        <w:fldChar w:fldCharType="separate"/>
      </w:r>
      <w:r w:rsidR="00175880" w:rsidRPr="00CA23AA">
        <w:rPr>
          <w:noProof/>
        </w:rPr>
        <w:t>16</w:t>
      </w:r>
      <w:r w:rsidRPr="00CA23AA">
        <w:fldChar w:fldCharType="end"/>
      </w:r>
      <w:bookmarkEnd w:id="61"/>
      <w:r w:rsidRPr="00CA23AA">
        <w:tab/>
        <w:t>Summary of discounted results of the stepped evaluation</w:t>
      </w:r>
    </w:p>
    <w:tbl>
      <w:tblPr>
        <w:tblStyle w:val="Summarybox1"/>
        <w:tblW w:w="5000" w:type="pct"/>
        <w:tblLook w:val="04A0" w:firstRow="1" w:lastRow="0" w:firstColumn="1" w:lastColumn="0" w:noHBand="0" w:noVBand="1"/>
      </w:tblPr>
      <w:tblGrid>
        <w:gridCol w:w="763"/>
        <w:gridCol w:w="901"/>
        <w:gridCol w:w="902"/>
        <w:gridCol w:w="1040"/>
        <w:gridCol w:w="902"/>
        <w:gridCol w:w="902"/>
        <w:gridCol w:w="902"/>
        <w:gridCol w:w="905"/>
        <w:gridCol w:w="905"/>
        <w:gridCol w:w="894"/>
      </w:tblGrid>
      <w:tr w:rsidR="003C3FE7" w:rsidRPr="00CA23AA" w14:paraId="0DAEC37C" w14:textId="77777777" w:rsidTr="003C3FE7">
        <w:tc>
          <w:tcPr>
            <w:tcW w:w="5000" w:type="pct"/>
            <w:gridSpan w:val="10"/>
          </w:tcPr>
          <w:p w14:paraId="61E0F1F2" w14:textId="391D0D35" w:rsidR="003C3FE7" w:rsidRPr="00CA23AA" w:rsidRDefault="000346AF" w:rsidP="00582C9C">
            <w:pPr>
              <w:pStyle w:val="TableText"/>
              <w:keepNext/>
              <w:keepLines/>
              <w:rPr>
                <w:b/>
              </w:rPr>
            </w:pPr>
            <w:r w:rsidRPr="00CA23AA">
              <w:rPr>
                <w:b/>
              </w:rPr>
              <w:t xml:space="preserve">Results presented in </w:t>
            </w:r>
            <w:r w:rsidR="003C3FE7" w:rsidRPr="00CA23AA">
              <w:rPr>
                <w:b/>
              </w:rPr>
              <w:t>ADAR 1748</w:t>
            </w:r>
          </w:p>
        </w:tc>
      </w:tr>
      <w:tr w:rsidR="00D96A68" w:rsidRPr="00CA23AA" w14:paraId="0A1CFAA5" w14:textId="77777777" w:rsidTr="00BC6003">
        <w:tc>
          <w:tcPr>
            <w:tcW w:w="423" w:type="pct"/>
          </w:tcPr>
          <w:p w14:paraId="36C7A18C" w14:textId="77777777" w:rsidR="00D96A68" w:rsidRPr="00CA23AA" w:rsidRDefault="00D96A68" w:rsidP="00582C9C">
            <w:pPr>
              <w:pStyle w:val="TableText"/>
              <w:keepNext/>
              <w:keepLines/>
            </w:pPr>
          </w:p>
        </w:tc>
        <w:tc>
          <w:tcPr>
            <w:tcW w:w="1576" w:type="pct"/>
            <w:gridSpan w:val="3"/>
            <w:shd w:val="clear" w:color="auto" w:fill="DEEAF6" w:themeFill="accent1" w:themeFillTint="33"/>
          </w:tcPr>
          <w:p w14:paraId="238D4556" w14:textId="77777777" w:rsidR="00D96A68" w:rsidRPr="00CA23AA" w:rsidRDefault="00D96A68" w:rsidP="00582C9C">
            <w:pPr>
              <w:pStyle w:val="TableText"/>
              <w:keepNext/>
              <w:keepLines/>
              <w:rPr>
                <w:b/>
                <w:bCs/>
              </w:rPr>
            </w:pPr>
            <w:r w:rsidRPr="00CA23AA">
              <w:rPr>
                <w:b/>
                <w:bCs/>
              </w:rPr>
              <w:t>STEP 1 - Base case</w:t>
            </w:r>
          </w:p>
        </w:tc>
        <w:tc>
          <w:tcPr>
            <w:tcW w:w="1499" w:type="pct"/>
            <w:gridSpan w:val="3"/>
          </w:tcPr>
          <w:p w14:paraId="7DA9C709" w14:textId="77777777" w:rsidR="00D96A68" w:rsidRPr="00CA23AA" w:rsidRDefault="00D96A68" w:rsidP="00582C9C">
            <w:pPr>
              <w:pStyle w:val="TableText"/>
              <w:keepNext/>
              <w:keepLines/>
              <w:rPr>
                <w:b/>
                <w:bCs/>
              </w:rPr>
            </w:pPr>
            <w:r w:rsidRPr="00CA23AA">
              <w:rPr>
                <w:b/>
                <w:bCs/>
              </w:rPr>
              <w:t>STEP 2 - Trial update</w:t>
            </w:r>
          </w:p>
        </w:tc>
        <w:tc>
          <w:tcPr>
            <w:tcW w:w="1502" w:type="pct"/>
            <w:gridSpan w:val="3"/>
          </w:tcPr>
          <w:p w14:paraId="75459974" w14:textId="77777777" w:rsidR="00D96A68" w:rsidRPr="00CA23AA" w:rsidRDefault="00D96A68" w:rsidP="00582C9C">
            <w:pPr>
              <w:pStyle w:val="TableText"/>
              <w:keepNext/>
              <w:keepLines/>
              <w:rPr>
                <w:b/>
                <w:bCs/>
              </w:rPr>
            </w:pPr>
            <w:r w:rsidRPr="00CA23AA">
              <w:rPr>
                <w:b/>
                <w:bCs/>
              </w:rPr>
              <w:t>STEP 3 – Comp. update</w:t>
            </w:r>
          </w:p>
        </w:tc>
      </w:tr>
      <w:tr w:rsidR="00C829E8" w:rsidRPr="00CA23AA" w14:paraId="024A9CC7" w14:textId="77777777" w:rsidTr="00594907">
        <w:tc>
          <w:tcPr>
            <w:tcW w:w="423" w:type="pct"/>
          </w:tcPr>
          <w:p w14:paraId="14C83707" w14:textId="77777777" w:rsidR="00D96A68" w:rsidRPr="00CA23AA" w:rsidRDefault="00D96A68" w:rsidP="00582C9C">
            <w:pPr>
              <w:pStyle w:val="TableText"/>
              <w:keepNext/>
              <w:keepLines/>
            </w:pPr>
          </w:p>
        </w:tc>
        <w:tc>
          <w:tcPr>
            <w:tcW w:w="500" w:type="pct"/>
            <w:tcBorders>
              <w:bottom w:val="single" w:sz="4" w:space="0" w:color="auto"/>
            </w:tcBorders>
            <w:shd w:val="clear" w:color="auto" w:fill="DEEAF6" w:themeFill="accent1" w:themeFillTint="33"/>
          </w:tcPr>
          <w:p w14:paraId="5FF3CC07" w14:textId="77777777" w:rsidR="00D96A68" w:rsidRPr="00CA23AA" w:rsidRDefault="00D96A68" w:rsidP="00582C9C">
            <w:pPr>
              <w:pStyle w:val="TableText"/>
              <w:keepNext/>
              <w:keepLines/>
              <w:jc w:val="center"/>
            </w:pPr>
            <w:r w:rsidRPr="00CA23AA">
              <w:t>TIS</w:t>
            </w:r>
          </w:p>
        </w:tc>
        <w:tc>
          <w:tcPr>
            <w:tcW w:w="500" w:type="pct"/>
            <w:shd w:val="clear" w:color="auto" w:fill="DEEAF6" w:themeFill="accent1" w:themeFillTint="33"/>
          </w:tcPr>
          <w:p w14:paraId="26E70322" w14:textId="77777777" w:rsidR="00D96A68" w:rsidRPr="00CA23AA" w:rsidRDefault="00D96A68" w:rsidP="00582C9C">
            <w:pPr>
              <w:pStyle w:val="TableText"/>
              <w:keepNext/>
              <w:keepLines/>
              <w:jc w:val="center"/>
            </w:pPr>
            <w:r w:rsidRPr="00CA23AA">
              <w:t>BLN</w:t>
            </w:r>
          </w:p>
        </w:tc>
        <w:tc>
          <w:tcPr>
            <w:tcW w:w="577" w:type="pct"/>
            <w:shd w:val="clear" w:color="auto" w:fill="DEEAF6" w:themeFill="accent1" w:themeFillTint="33"/>
          </w:tcPr>
          <w:p w14:paraId="076FF9FC" w14:textId="77777777" w:rsidR="00D96A68" w:rsidRPr="00CA23AA" w:rsidRDefault="00D96A68" w:rsidP="00582C9C">
            <w:pPr>
              <w:pStyle w:val="TableText"/>
              <w:keepNext/>
              <w:keepLines/>
              <w:jc w:val="center"/>
            </w:pPr>
            <w:r w:rsidRPr="00CA23AA">
              <w:t>INCR.</w:t>
            </w:r>
          </w:p>
        </w:tc>
        <w:tc>
          <w:tcPr>
            <w:tcW w:w="500" w:type="pct"/>
            <w:tcBorders>
              <w:bottom w:val="single" w:sz="4" w:space="0" w:color="auto"/>
            </w:tcBorders>
          </w:tcPr>
          <w:p w14:paraId="6DD5E8B9" w14:textId="77777777" w:rsidR="00D96A68" w:rsidRPr="00CA23AA" w:rsidRDefault="00D96A68" w:rsidP="00582C9C">
            <w:pPr>
              <w:pStyle w:val="TableText"/>
              <w:keepNext/>
              <w:keepLines/>
              <w:jc w:val="center"/>
            </w:pPr>
            <w:r w:rsidRPr="00CA23AA">
              <w:t>TIS</w:t>
            </w:r>
          </w:p>
        </w:tc>
        <w:tc>
          <w:tcPr>
            <w:tcW w:w="500" w:type="pct"/>
          </w:tcPr>
          <w:p w14:paraId="424DF98B" w14:textId="77777777" w:rsidR="00D96A68" w:rsidRPr="00CA23AA" w:rsidRDefault="00D96A68" w:rsidP="00582C9C">
            <w:pPr>
              <w:pStyle w:val="TableText"/>
              <w:keepNext/>
              <w:keepLines/>
              <w:jc w:val="center"/>
            </w:pPr>
            <w:r w:rsidRPr="00CA23AA">
              <w:t>BLN</w:t>
            </w:r>
          </w:p>
        </w:tc>
        <w:tc>
          <w:tcPr>
            <w:tcW w:w="500" w:type="pct"/>
            <w:tcBorders>
              <w:bottom w:val="single" w:sz="4" w:space="0" w:color="auto"/>
            </w:tcBorders>
          </w:tcPr>
          <w:p w14:paraId="446B188C" w14:textId="77777777" w:rsidR="00D96A68" w:rsidRPr="00CA23AA" w:rsidRDefault="00D96A68" w:rsidP="00582C9C">
            <w:pPr>
              <w:pStyle w:val="TableText"/>
              <w:keepNext/>
              <w:keepLines/>
              <w:jc w:val="center"/>
            </w:pPr>
            <w:r w:rsidRPr="00CA23AA">
              <w:t>INCR.</w:t>
            </w:r>
          </w:p>
        </w:tc>
        <w:tc>
          <w:tcPr>
            <w:tcW w:w="500" w:type="pct"/>
            <w:tcBorders>
              <w:bottom w:val="single" w:sz="4" w:space="0" w:color="auto"/>
            </w:tcBorders>
          </w:tcPr>
          <w:p w14:paraId="5B997E89" w14:textId="77777777" w:rsidR="00D96A68" w:rsidRPr="00CA23AA" w:rsidRDefault="00D96A68" w:rsidP="00582C9C">
            <w:pPr>
              <w:pStyle w:val="TableText"/>
              <w:keepNext/>
              <w:keepLines/>
              <w:jc w:val="center"/>
            </w:pPr>
            <w:r w:rsidRPr="00CA23AA">
              <w:t>TIS</w:t>
            </w:r>
          </w:p>
        </w:tc>
        <w:tc>
          <w:tcPr>
            <w:tcW w:w="502" w:type="pct"/>
          </w:tcPr>
          <w:p w14:paraId="2A983925" w14:textId="77777777" w:rsidR="00D96A68" w:rsidRPr="00CA23AA" w:rsidRDefault="00D96A68" w:rsidP="00582C9C">
            <w:pPr>
              <w:pStyle w:val="TableText"/>
              <w:keepNext/>
              <w:keepLines/>
              <w:jc w:val="center"/>
            </w:pPr>
            <w:r w:rsidRPr="00CA23AA">
              <w:t>BLN</w:t>
            </w:r>
          </w:p>
        </w:tc>
        <w:tc>
          <w:tcPr>
            <w:tcW w:w="500" w:type="pct"/>
            <w:tcBorders>
              <w:bottom w:val="single" w:sz="4" w:space="0" w:color="auto"/>
            </w:tcBorders>
          </w:tcPr>
          <w:p w14:paraId="2CD4FF15" w14:textId="77777777" w:rsidR="00D96A68" w:rsidRPr="00CA23AA" w:rsidRDefault="00D96A68" w:rsidP="00582C9C">
            <w:pPr>
              <w:pStyle w:val="TableText"/>
              <w:keepNext/>
              <w:keepLines/>
              <w:jc w:val="center"/>
            </w:pPr>
            <w:r w:rsidRPr="00CA23AA">
              <w:t>INCR.</w:t>
            </w:r>
          </w:p>
        </w:tc>
      </w:tr>
      <w:tr w:rsidR="00C829E8" w:rsidRPr="00CA23AA" w14:paraId="351CDF8F" w14:textId="77777777" w:rsidTr="00594907">
        <w:tc>
          <w:tcPr>
            <w:tcW w:w="423" w:type="pct"/>
          </w:tcPr>
          <w:p w14:paraId="036D3119" w14:textId="77777777" w:rsidR="00D96A68" w:rsidRPr="00CA23AA" w:rsidRDefault="00D96A68" w:rsidP="00582C9C">
            <w:pPr>
              <w:pStyle w:val="TableText"/>
              <w:keepNext/>
              <w:keepLines/>
              <w:rPr>
                <w:b/>
                <w:bCs/>
              </w:rPr>
            </w:pPr>
            <w:r w:rsidRPr="00CA23AA">
              <w:rPr>
                <w:b/>
                <w:bCs/>
              </w:rPr>
              <w:t xml:space="preserve">Cost </w:t>
            </w:r>
          </w:p>
        </w:tc>
        <w:tc>
          <w:tcPr>
            <w:tcW w:w="500" w:type="pct"/>
            <w:shd w:val="solid" w:color="000000" w:fill="000000"/>
          </w:tcPr>
          <w:p w14:paraId="0F014568" w14:textId="13E90B2C" w:rsidR="00D96A68" w:rsidRPr="00CA23AA" w:rsidRDefault="00594907" w:rsidP="00582C9C">
            <w:pPr>
              <w:pStyle w:val="TableText"/>
              <w:keepNext/>
              <w:keepLines/>
              <w:jc w:val="center"/>
            </w:pPr>
            <w:r w:rsidRPr="00594907">
              <w:rPr>
                <w:rFonts w:hint="eastAsia"/>
                <w:color w:val="000000"/>
                <w:w w:val="24"/>
                <w:fitText w:val="110" w:id="-1161539581"/>
                <w14:textFill>
                  <w14:solidFill>
                    <w14:srgbClr w14:val="000000">
                      <w14:alpha w14:val="100000"/>
                    </w14:srgbClr>
                  </w14:solidFill>
                </w14:textFill>
              </w:rPr>
              <w:t xml:space="preserve">　</w:t>
            </w:r>
            <w:r w:rsidRPr="00594907">
              <w:rPr>
                <w:color w:val="000000"/>
                <w:w w:val="24"/>
                <w:fitText w:val="110" w:id="-1161539581"/>
                <w14:textFill>
                  <w14:solidFill>
                    <w14:srgbClr w14:val="000000">
                      <w14:alpha w14:val="100000"/>
                    </w14:srgbClr>
                  </w14:solidFill>
                </w14:textFill>
              </w:rPr>
              <w:t>|</w:t>
            </w:r>
            <w:r w:rsidRPr="00594907">
              <w:rPr>
                <w:rFonts w:hint="eastAsia"/>
                <w:color w:val="000000"/>
                <w:w w:val="24"/>
                <w:fitText w:val="110" w:id="-1161539581"/>
                <w14:textFill>
                  <w14:solidFill>
                    <w14:srgbClr w14:val="000000">
                      <w14:alpha w14:val="100000"/>
                    </w14:srgbClr>
                  </w14:solidFill>
                </w14:textFill>
              </w:rPr>
              <w:t xml:space="preserve">　</w:t>
            </w:r>
          </w:p>
        </w:tc>
        <w:tc>
          <w:tcPr>
            <w:tcW w:w="500" w:type="pct"/>
            <w:shd w:val="clear" w:color="auto" w:fill="DEEAF6" w:themeFill="accent1" w:themeFillTint="33"/>
          </w:tcPr>
          <w:p w14:paraId="3ED06F87" w14:textId="77777777" w:rsidR="00D96A68" w:rsidRPr="00CA23AA" w:rsidRDefault="00D96A68" w:rsidP="00582C9C">
            <w:pPr>
              <w:pStyle w:val="TableText"/>
              <w:keepNext/>
              <w:keepLines/>
              <w:jc w:val="center"/>
            </w:pPr>
            <w:r w:rsidRPr="00CA23AA">
              <w:t>$283,812</w:t>
            </w:r>
          </w:p>
        </w:tc>
        <w:tc>
          <w:tcPr>
            <w:tcW w:w="577" w:type="pct"/>
            <w:shd w:val="clear" w:color="auto" w:fill="DEEAF6" w:themeFill="accent1" w:themeFillTint="33"/>
          </w:tcPr>
          <w:p w14:paraId="5D5366F2" w14:textId="1F946D15" w:rsidR="00D96A68" w:rsidRPr="00CA23AA" w:rsidRDefault="00D96A68" w:rsidP="00582C9C">
            <w:pPr>
              <w:pStyle w:val="TableText"/>
              <w:keepNext/>
              <w:keepLines/>
              <w:jc w:val="center"/>
            </w:pPr>
            <w:r w:rsidRPr="00CA23AA">
              <w:t>$</w:t>
            </w:r>
            <w:r w:rsidR="00594907" w:rsidRPr="00594907">
              <w:rPr>
                <w:rFonts w:hint="eastAsia"/>
                <w:color w:val="000000"/>
                <w:w w:val="20"/>
                <w:shd w:val="solid" w:color="000000" w:fill="000000"/>
                <w:fitText w:val="90" w:id="-1161539580"/>
                <w14:textFill>
                  <w14:solidFill>
                    <w14:srgbClr w14:val="000000">
                      <w14:alpha w14:val="100000"/>
                    </w14:srgbClr>
                  </w14:solidFill>
                </w14:textFill>
              </w:rPr>
              <w:t xml:space="preserve">　</w:t>
            </w:r>
            <w:r w:rsidR="00594907" w:rsidRPr="00594907">
              <w:rPr>
                <w:color w:val="000000"/>
                <w:w w:val="20"/>
                <w:shd w:val="solid" w:color="000000" w:fill="000000"/>
                <w:fitText w:val="90" w:id="-1161539580"/>
                <w14:textFill>
                  <w14:solidFill>
                    <w14:srgbClr w14:val="000000">
                      <w14:alpha w14:val="100000"/>
                    </w14:srgbClr>
                  </w14:solidFill>
                </w14:textFill>
              </w:rPr>
              <w:t>|</w:t>
            </w:r>
            <w:r w:rsidR="00594907" w:rsidRPr="00594907">
              <w:rPr>
                <w:rFonts w:hint="eastAsia"/>
                <w:color w:val="000000"/>
                <w:spacing w:val="3"/>
                <w:w w:val="20"/>
                <w:shd w:val="solid" w:color="000000" w:fill="000000"/>
                <w:fitText w:val="90" w:id="-1161539580"/>
                <w14:textFill>
                  <w14:solidFill>
                    <w14:srgbClr w14:val="000000">
                      <w14:alpha w14:val="100000"/>
                    </w14:srgbClr>
                  </w14:solidFill>
                </w14:textFill>
              </w:rPr>
              <w:t xml:space="preserve">　</w:t>
            </w:r>
          </w:p>
        </w:tc>
        <w:tc>
          <w:tcPr>
            <w:tcW w:w="500" w:type="pct"/>
            <w:shd w:val="solid" w:color="000000" w:fill="000000"/>
          </w:tcPr>
          <w:p w14:paraId="63A12C6D" w14:textId="25C3A6E3" w:rsidR="00D96A68" w:rsidRPr="00CA23AA" w:rsidRDefault="00594907" w:rsidP="00582C9C">
            <w:pPr>
              <w:pStyle w:val="TableText"/>
              <w:keepNext/>
              <w:keepLines/>
              <w:jc w:val="center"/>
            </w:pPr>
            <w:r w:rsidRPr="00594907">
              <w:rPr>
                <w:rFonts w:hint="eastAsia"/>
                <w:color w:val="000000"/>
                <w:w w:val="27"/>
                <w:fitText w:val="120" w:id="-1161539579"/>
                <w14:textFill>
                  <w14:solidFill>
                    <w14:srgbClr w14:val="000000">
                      <w14:alpha w14:val="100000"/>
                    </w14:srgbClr>
                  </w14:solidFill>
                </w14:textFill>
              </w:rPr>
              <w:t xml:space="preserve">　</w:t>
            </w:r>
            <w:r w:rsidRPr="00594907">
              <w:rPr>
                <w:color w:val="000000"/>
                <w:w w:val="27"/>
                <w:fitText w:val="120" w:id="-1161539579"/>
                <w14:textFill>
                  <w14:solidFill>
                    <w14:srgbClr w14:val="000000">
                      <w14:alpha w14:val="100000"/>
                    </w14:srgbClr>
                  </w14:solidFill>
                </w14:textFill>
              </w:rPr>
              <w:t>|</w:t>
            </w:r>
            <w:r w:rsidRPr="00594907">
              <w:rPr>
                <w:rFonts w:hint="eastAsia"/>
                <w:color w:val="000000"/>
                <w:w w:val="27"/>
                <w:fitText w:val="120" w:id="-1161539579"/>
                <w14:textFill>
                  <w14:solidFill>
                    <w14:srgbClr w14:val="000000">
                      <w14:alpha w14:val="100000"/>
                    </w14:srgbClr>
                  </w14:solidFill>
                </w14:textFill>
              </w:rPr>
              <w:t xml:space="preserve">　</w:t>
            </w:r>
          </w:p>
        </w:tc>
        <w:tc>
          <w:tcPr>
            <w:tcW w:w="500" w:type="pct"/>
          </w:tcPr>
          <w:p w14:paraId="39323B9F" w14:textId="77777777" w:rsidR="00D96A68" w:rsidRPr="00CA23AA" w:rsidRDefault="00D96A68" w:rsidP="00582C9C">
            <w:pPr>
              <w:pStyle w:val="TableText"/>
              <w:keepNext/>
              <w:keepLines/>
              <w:jc w:val="center"/>
            </w:pPr>
            <w:r w:rsidRPr="00CA23AA">
              <w:t>$283,795</w:t>
            </w:r>
          </w:p>
        </w:tc>
        <w:tc>
          <w:tcPr>
            <w:tcW w:w="500" w:type="pct"/>
            <w:shd w:val="solid" w:color="000000" w:fill="000000"/>
          </w:tcPr>
          <w:p w14:paraId="57261D6D" w14:textId="12D0F6A3" w:rsidR="00D96A68" w:rsidRPr="00CA23AA" w:rsidRDefault="00594907" w:rsidP="00582C9C">
            <w:pPr>
              <w:pStyle w:val="TableText"/>
              <w:keepNext/>
              <w:keepLines/>
              <w:jc w:val="center"/>
            </w:pPr>
            <w:r w:rsidRPr="00594907">
              <w:rPr>
                <w:rFonts w:hint="eastAsia"/>
                <w:color w:val="000000"/>
                <w:w w:val="27"/>
                <w:fitText w:val="120" w:id="-1161539578"/>
                <w14:textFill>
                  <w14:solidFill>
                    <w14:srgbClr w14:val="000000">
                      <w14:alpha w14:val="100000"/>
                    </w14:srgbClr>
                  </w14:solidFill>
                </w14:textFill>
              </w:rPr>
              <w:t xml:space="preserve">　</w:t>
            </w:r>
            <w:r w:rsidRPr="00594907">
              <w:rPr>
                <w:color w:val="000000"/>
                <w:w w:val="27"/>
                <w:fitText w:val="120" w:id="-1161539578"/>
                <w14:textFill>
                  <w14:solidFill>
                    <w14:srgbClr w14:val="000000">
                      <w14:alpha w14:val="100000"/>
                    </w14:srgbClr>
                  </w14:solidFill>
                </w14:textFill>
              </w:rPr>
              <w:t>|</w:t>
            </w:r>
            <w:r w:rsidRPr="00594907">
              <w:rPr>
                <w:rFonts w:hint="eastAsia"/>
                <w:color w:val="000000"/>
                <w:w w:val="27"/>
                <w:fitText w:val="120" w:id="-1161539578"/>
                <w14:textFill>
                  <w14:solidFill>
                    <w14:srgbClr w14:val="000000">
                      <w14:alpha w14:val="100000"/>
                    </w14:srgbClr>
                  </w14:solidFill>
                </w14:textFill>
              </w:rPr>
              <w:t xml:space="preserve">　</w:t>
            </w:r>
          </w:p>
        </w:tc>
        <w:tc>
          <w:tcPr>
            <w:tcW w:w="500" w:type="pct"/>
            <w:shd w:val="solid" w:color="000000" w:fill="000000"/>
          </w:tcPr>
          <w:p w14:paraId="6C43B031" w14:textId="2F2AFBAB" w:rsidR="00D96A68" w:rsidRPr="00CA23AA" w:rsidRDefault="00594907" w:rsidP="00582C9C">
            <w:pPr>
              <w:pStyle w:val="TableText"/>
              <w:keepNext/>
              <w:keepLines/>
              <w:jc w:val="center"/>
            </w:pPr>
            <w:r w:rsidRPr="00594907">
              <w:rPr>
                <w:rFonts w:hint="eastAsia"/>
                <w:color w:val="000000"/>
                <w:w w:val="27"/>
                <w:fitText w:val="120" w:id="-1161539577"/>
                <w14:textFill>
                  <w14:solidFill>
                    <w14:srgbClr w14:val="000000">
                      <w14:alpha w14:val="100000"/>
                    </w14:srgbClr>
                  </w14:solidFill>
                </w14:textFill>
              </w:rPr>
              <w:t xml:space="preserve">　</w:t>
            </w:r>
            <w:r w:rsidRPr="00594907">
              <w:rPr>
                <w:color w:val="000000"/>
                <w:w w:val="27"/>
                <w:fitText w:val="120" w:id="-1161539577"/>
                <w14:textFill>
                  <w14:solidFill>
                    <w14:srgbClr w14:val="000000">
                      <w14:alpha w14:val="100000"/>
                    </w14:srgbClr>
                  </w14:solidFill>
                </w14:textFill>
              </w:rPr>
              <w:t>|</w:t>
            </w:r>
            <w:r w:rsidRPr="00594907">
              <w:rPr>
                <w:rFonts w:hint="eastAsia"/>
                <w:color w:val="000000"/>
                <w:w w:val="27"/>
                <w:fitText w:val="120" w:id="-1161539577"/>
                <w14:textFill>
                  <w14:solidFill>
                    <w14:srgbClr w14:val="000000">
                      <w14:alpha w14:val="100000"/>
                    </w14:srgbClr>
                  </w14:solidFill>
                </w14:textFill>
              </w:rPr>
              <w:t xml:space="preserve">　</w:t>
            </w:r>
          </w:p>
        </w:tc>
        <w:tc>
          <w:tcPr>
            <w:tcW w:w="502" w:type="pct"/>
          </w:tcPr>
          <w:p w14:paraId="7BCB4095" w14:textId="77777777" w:rsidR="00D96A68" w:rsidRPr="00CA23AA" w:rsidRDefault="00D96A68" w:rsidP="00582C9C">
            <w:pPr>
              <w:pStyle w:val="TableText"/>
              <w:keepNext/>
              <w:keepLines/>
              <w:jc w:val="center"/>
            </w:pPr>
            <w:r w:rsidRPr="00CA23AA">
              <w:t>$283,795</w:t>
            </w:r>
          </w:p>
        </w:tc>
        <w:tc>
          <w:tcPr>
            <w:tcW w:w="500" w:type="pct"/>
            <w:shd w:val="solid" w:color="000000" w:fill="000000"/>
          </w:tcPr>
          <w:p w14:paraId="3F798CD7" w14:textId="5CA45258" w:rsidR="00D96A68" w:rsidRPr="00CA23AA" w:rsidRDefault="00594907" w:rsidP="00582C9C">
            <w:pPr>
              <w:pStyle w:val="TableText"/>
              <w:keepNext/>
              <w:keepLines/>
              <w:jc w:val="center"/>
            </w:pPr>
            <w:r w:rsidRPr="00594907">
              <w:rPr>
                <w:rFonts w:hint="eastAsia"/>
                <w:color w:val="000000"/>
                <w:w w:val="24"/>
                <w:fitText w:val="110" w:id="-1161539576"/>
                <w14:textFill>
                  <w14:solidFill>
                    <w14:srgbClr w14:val="000000">
                      <w14:alpha w14:val="100000"/>
                    </w14:srgbClr>
                  </w14:solidFill>
                </w14:textFill>
              </w:rPr>
              <w:t xml:space="preserve">　</w:t>
            </w:r>
            <w:r w:rsidRPr="00594907">
              <w:rPr>
                <w:color w:val="000000"/>
                <w:w w:val="24"/>
                <w:fitText w:val="110" w:id="-1161539576"/>
                <w14:textFill>
                  <w14:solidFill>
                    <w14:srgbClr w14:val="000000">
                      <w14:alpha w14:val="100000"/>
                    </w14:srgbClr>
                  </w14:solidFill>
                </w14:textFill>
              </w:rPr>
              <w:t>|</w:t>
            </w:r>
            <w:r w:rsidRPr="00594907">
              <w:rPr>
                <w:rFonts w:hint="eastAsia"/>
                <w:color w:val="000000"/>
                <w:w w:val="24"/>
                <w:fitText w:val="110" w:id="-1161539576"/>
                <w14:textFill>
                  <w14:solidFill>
                    <w14:srgbClr w14:val="000000">
                      <w14:alpha w14:val="100000"/>
                    </w14:srgbClr>
                  </w14:solidFill>
                </w14:textFill>
              </w:rPr>
              <w:t xml:space="preserve">　</w:t>
            </w:r>
          </w:p>
        </w:tc>
      </w:tr>
      <w:tr w:rsidR="00C829E8" w:rsidRPr="00CA23AA" w14:paraId="38C644CC" w14:textId="77777777" w:rsidTr="00BC6003">
        <w:tc>
          <w:tcPr>
            <w:tcW w:w="423" w:type="pct"/>
          </w:tcPr>
          <w:p w14:paraId="2FB9476B" w14:textId="77777777" w:rsidR="00D96A68" w:rsidRPr="00CA23AA" w:rsidRDefault="00D96A68" w:rsidP="00582C9C">
            <w:pPr>
              <w:pStyle w:val="TableText"/>
              <w:keepNext/>
              <w:keepLines/>
              <w:rPr>
                <w:b/>
                <w:bCs/>
              </w:rPr>
            </w:pPr>
            <w:r w:rsidRPr="00CA23AA">
              <w:rPr>
                <w:b/>
                <w:bCs/>
              </w:rPr>
              <w:t>LYs</w:t>
            </w:r>
          </w:p>
        </w:tc>
        <w:tc>
          <w:tcPr>
            <w:tcW w:w="500" w:type="pct"/>
            <w:shd w:val="clear" w:color="auto" w:fill="DEEAF6" w:themeFill="accent1" w:themeFillTint="33"/>
          </w:tcPr>
          <w:p w14:paraId="71F59EDF" w14:textId="77777777" w:rsidR="00D96A68" w:rsidRPr="00CA23AA" w:rsidRDefault="00D96A68" w:rsidP="00582C9C">
            <w:pPr>
              <w:pStyle w:val="TableText"/>
              <w:keepNext/>
              <w:keepLines/>
              <w:jc w:val="center"/>
            </w:pPr>
            <w:r w:rsidRPr="00CA23AA">
              <w:t>7.450</w:t>
            </w:r>
          </w:p>
        </w:tc>
        <w:tc>
          <w:tcPr>
            <w:tcW w:w="500" w:type="pct"/>
            <w:shd w:val="clear" w:color="auto" w:fill="DEEAF6" w:themeFill="accent1" w:themeFillTint="33"/>
          </w:tcPr>
          <w:p w14:paraId="76DCCA64" w14:textId="77777777" w:rsidR="00D96A68" w:rsidRPr="00CA23AA" w:rsidRDefault="00D96A68" w:rsidP="00582C9C">
            <w:pPr>
              <w:pStyle w:val="TableText"/>
              <w:keepNext/>
              <w:keepLines/>
              <w:jc w:val="center"/>
            </w:pPr>
            <w:r w:rsidRPr="00CA23AA">
              <w:t>2.250</w:t>
            </w:r>
          </w:p>
        </w:tc>
        <w:tc>
          <w:tcPr>
            <w:tcW w:w="577" w:type="pct"/>
            <w:shd w:val="clear" w:color="auto" w:fill="DEEAF6" w:themeFill="accent1" w:themeFillTint="33"/>
          </w:tcPr>
          <w:p w14:paraId="0F4D686D" w14:textId="77777777" w:rsidR="00D96A68" w:rsidRPr="00CA23AA" w:rsidRDefault="00D96A68" w:rsidP="00582C9C">
            <w:pPr>
              <w:pStyle w:val="TableText"/>
              <w:keepNext/>
              <w:keepLines/>
              <w:jc w:val="center"/>
            </w:pPr>
            <w:r w:rsidRPr="00CA23AA">
              <w:t>5.200</w:t>
            </w:r>
          </w:p>
        </w:tc>
        <w:tc>
          <w:tcPr>
            <w:tcW w:w="500" w:type="pct"/>
          </w:tcPr>
          <w:p w14:paraId="27ABC815" w14:textId="77777777" w:rsidR="00D96A68" w:rsidRPr="00CA23AA" w:rsidRDefault="00D96A68" w:rsidP="00582C9C">
            <w:pPr>
              <w:pStyle w:val="TableText"/>
              <w:keepNext/>
              <w:keepLines/>
              <w:jc w:val="center"/>
            </w:pPr>
            <w:r w:rsidRPr="00CA23AA">
              <w:t>8.042</w:t>
            </w:r>
          </w:p>
        </w:tc>
        <w:tc>
          <w:tcPr>
            <w:tcW w:w="500" w:type="pct"/>
          </w:tcPr>
          <w:p w14:paraId="0427A719" w14:textId="77777777" w:rsidR="00D96A68" w:rsidRPr="00CA23AA" w:rsidRDefault="00D96A68" w:rsidP="00582C9C">
            <w:pPr>
              <w:pStyle w:val="TableText"/>
              <w:keepNext/>
              <w:keepLines/>
              <w:jc w:val="center"/>
            </w:pPr>
            <w:r w:rsidRPr="00CA23AA">
              <w:t>2.250</w:t>
            </w:r>
          </w:p>
        </w:tc>
        <w:tc>
          <w:tcPr>
            <w:tcW w:w="500" w:type="pct"/>
          </w:tcPr>
          <w:p w14:paraId="004218EB" w14:textId="77777777" w:rsidR="00D96A68" w:rsidRPr="00CA23AA" w:rsidRDefault="00D96A68" w:rsidP="00582C9C">
            <w:pPr>
              <w:pStyle w:val="TableText"/>
              <w:keepNext/>
              <w:keepLines/>
              <w:jc w:val="center"/>
            </w:pPr>
            <w:r w:rsidRPr="00CA23AA">
              <w:t>5.792</w:t>
            </w:r>
          </w:p>
        </w:tc>
        <w:tc>
          <w:tcPr>
            <w:tcW w:w="500" w:type="pct"/>
          </w:tcPr>
          <w:p w14:paraId="02C290A5" w14:textId="77777777" w:rsidR="00D96A68" w:rsidRPr="00CA23AA" w:rsidRDefault="00D96A68" w:rsidP="00582C9C">
            <w:pPr>
              <w:pStyle w:val="TableText"/>
              <w:keepNext/>
              <w:keepLines/>
              <w:jc w:val="center"/>
            </w:pPr>
            <w:r w:rsidRPr="00CA23AA">
              <w:t>7.990</w:t>
            </w:r>
          </w:p>
        </w:tc>
        <w:tc>
          <w:tcPr>
            <w:tcW w:w="502" w:type="pct"/>
          </w:tcPr>
          <w:p w14:paraId="7D33AFEE" w14:textId="77777777" w:rsidR="00D96A68" w:rsidRPr="00CA23AA" w:rsidRDefault="00D96A68" w:rsidP="00582C9C">
            <w:pPr>
              <w:pStyle w:val="TableText"/>
              <w:keepNext/>
              <w:keepLines/>
              <w:jc w:val="center"/>
            </w:pPr>
            <w:r w:rsidRPr="00CA23AA">
              <w:t>2.240</w:t>
            </w:r>
          </w:p>
        </w:tc>
        <w:tc>
          <w:tcPr>
            <w:tcW w:w="500" w:type="pct"/>
          </w:tcPr>
          <w:p w14:paraId="42F12932" w14:textId="77777777" w:rsidR="00D96A68" w:rsidRPr="00CA23AA" w:rsidRDefault="00D96A68" w:rsidP="00582C9C">
            <w:pPr>
              <w:pStyle w:val="TableText"/>
              <w:keepNext/>
              <w:keepLines/>
              <w:jc w:val="center"/>
            </w:pPr>
            <w:r w:rsidRPr="00CA23AA">
              <w:t>5.750</w:t>
            </w:r>
          </w:p>
        </w:tc>
      </w:tr>
      <w:tr w:rsidR="00C829E8" w:rsidRPr="00CA23AA" w14:paraId="0CA270A6" w14:textId="77777777" w:rsidTr="00594907">
        <w:tc>
          <w:tcPr>
            <w:tcW w:w="423" w:type="pct"/>
          </w:tcPr>
          <w:p w14:paraId="294A1396" w14:textId="77777777" w:rsidR="00D96A68" w:rsidRPr="00CA23AA" w:rsidRDefault="00D96A68" w:rsidP="00582C9C">
            <w:pPr>
              <w:pStyle w:val="TableText"/>
              <w:keepNext/>
              <w:keepLines/>
              <w:rPr>
                <w:b/>
                <w:bCs/>
              </w:rPr>
            </w:pPr>
            <w:r w:rsidRPr="00CA23AA">
              <w:rPr>
                <w:b/>
                <w:bCs/>
              </w:rPr>
              <w:t>QALYs</w:t>
            </w:r>
          </w:p>
        </w:tc>
        <w:tc>
          <w:tcPr>
            <w:tcW w:w="500" w:type="pct"/>
            <w:tcBorders>
              <w:bottom w:val="single" w:sz="4" w:space="0" w:color="auto"/>
            </w:tcBorders>
            <w:shd w:val="clear" w:color="auto" w:fill="DEEAF6" w:themeFill="accent1" w:themeFillTint="33"/>
          </w:tcPr>
          <w:p w14:paraId="19DE344A" w14:textId="77777777" w:rsidR="00D96A68" w:rsidRPr="00CA23AA" w:rsidRDefault="00D96A68" w:rsidP="00582C9C">
            <w:pPr>
              <w:pStyle w:val="TableText"/>
              <w:keepNext/>
              <w:keepLines/>
              <w:jc w:val="center"/>
            </w:pPr>
            <w:r w:rsidRPr="00CA23AA">
              <w:t>4.972</w:t>
            </w:r>
          </w:p>
        </w:tc>
        <w:tc>
          <w:tcPr>
            <w:tcW w:w="500" w:type="pct"/>
            <w:tcBorders>
              <w:bottom w:val="single" w:sz="4" w:space="0" w:color="auto"/>
            </w:tcBorders>
            <w:shd w:val="clear" w:color="auto" w:fill="DEEAF6" w:themeFill="accent1" w:themeFillTint="33"/>
          </w:tcPr>
          <w:p w14:paraId="7C88C9B4" w14:textId="77777777" w:rsidR="00D96A68" w:rsidRPr="00CA23AA" w:rsidRDefault="00D96A68" w:rsidP="00582C9C">
            <w:pPr>
              <w:pStyle w:val="TableText"/>
              <w:keepNext/>
              <w:keepLines/>
              <w:jc w:val="center"/>
            </w:pPr>
            <w:r w:rsidRPr="00CA23AA">
              <w:t>1.269</w:t>
            </w:r>
          </w:p>
        </w:tc>
        <w:tc>
          <w:tcPr>
            <w:tcW w:w="577" w:type="pct"/>
            <w:tcBorders>
              <w:bottom w:val="single" w:sz="4" w:space="0" w:color="auto"/>
            </w:tcBorders>
            <w:shd w:val="clear" w:color="auto" w:fill="DEEAF6" w:themeFill="accent1" w:themeFillTint="33"/>
          </w:tcPr>
          <w:p w14:paraId="26AF01E4" w14:textId="77777777" w:rsidR="00D96A68" w:rsidRPr="00CA23AA" w:rsidRDefault="00D96A68" w:rsidP="00582C9C">
            <w:pPr>
              <w:pStyle w:val="TableText"/>
              <w:keepNext/>
              <w:keepLines/>
              <w:jc w:val="center"/>
            </w:pPr>
            <w:r w:rsidRPr="00CA23AA">
              <w:t>3.703</w:t>
            </w:r>
          </w:p>
        </w:tc>
        <w:tc>
          <w:tcPr>
            <w:tcW w:w="500" w:type="pct"/>
            <w:tcBorders>
              <w:bottom w:val="single" w:sz="4" w:space="0" w:color="auto"/>
            </w:tcBorders>
          </w:tcPr>
          <w:p w14:paraId="22E85947" w14:textId="77777777" w:rsidR="00D96A68" w:rsidRPr="00CA23AA" w:rsidRDefault="00D96A68" w:rsidP="00582C9C">
            <w:pPr>
              <w:pStyle w:val="TableText"/>
              <w:keepNext/>
              <w:keepLines/>
              <w:jc w:val="center"/>
            </w:pPr>
            <w:r w:rsidRPr="00CA23AA">
              <w:t>5.335</w:t>
            </w:r>
          </w:p>
        </w:tc>
        <w:tc>
          <w:tcPr>
            <w:tcW w:w="500" w:type="pct"/>
            <w:tcBorders>
              <w:bottom w:val="single" w:sz="4" w:space="0" w:color="auto"/>
            </w:tcBorders>
          </w:tcPr>
          <w:p w14:paraId="46B5BD47" w14:textId="77777777" w:rsidR="00D96A68" w:rsidRPr="00CA23AA" w:rsidRDefault="00D96A68" w:rsidP="00582C9C">
            <w:pPr>
              <w:pStyle w:val="TableText"/>
              <w:keepNext/>
              <w:keepLines/>
              <w:jc w:val="center"/>
            </w:pPr>
            <w:r w:rsidRPr="00CA23AA">
              <w:t>1.269</w:t>
            </w:r>
          </w:p>
        </w:tc>
        <w:tc>
          <w:tcPr>
            <w:tcW w:w="500" w:type="pct"/>
            <w:tcBorders>
              <w:bottom w:val="single" w:sz="4" w:space="0" w:color="auto"/>
            </w:tcBorders>
          </w:tcPr>
          <w:p w14:paraId="452B2762" w14:textId="77777777" w:rsidR="00D96A68" w:rsidRPr="00CA23AA" w:rsidRDefault="00D96A68" w:rsidP="00582C9C">
            <w:pPr>
              <w:pStyle w:val="TableText"/>
              <w:keepNext/>
              <w:keepLines/>
              <w:jc w:val="center"/>
            </w:pPr>
            <w:r w:rsidRPr="00CA23AA">
              <w:t>4.066</w:t>
            </w:r>
          </w:p>
        </w:tc>
        <w:tc>
          <w:tcPr>
            <w:tcW w:w="500" w:type="pct"/>
            <w:tcBorders>
              <w:bottom w:val="single" w:sz="4" w:space="0" w:color="auto"/>
            </w:tcBorders>
          </w:tcPr>
          <w:p w14:paraId="2392A53B" w14:textId="77777777" w:rsidR="00D96A68" w:rsidRPr="00CA23AA" w:rsidRDefault="00D96A68" w:rsidP="00582C9C">
            <w:pPr>
              <w:pStyle w:val="TableText"/>
              <w:keepNext/>
              <w:keepLines/>
              <w:jc w:val="center"/>
            </w:pPr>
            <w:r w:rsidRPr="00CA23AA">
              <w:t>5.395</w:t>
            </w:r>
          </w:p>
        </w:tc>
        <w:tc>
          <w:tcPr>
            <w:tcW w:w="502" w:type="pct"/>
            <w:tcBorders>
              <w:bottom w:val="single" w:sz="4" w:space="0" w:color="auto"/>
            </w:tcBorders>
          </w:tcPr>
          <w:p w14:paraId="4BD99EFA" w14:textId="77777777" w:rsidR="00D96A68" w:rsidRPr="00CA23AA" w:rsidRDefault="00D96A68" w:rsidP="00582C9C">
            <w:pPr>
              <w:pStyle w:val="TableText"/>
              <w:keepNext/>
              <w:keepLines/>
              <w:jc w:val="center"/>
            </w:pPr>
            <w:r w:rsidRPr="00CA23AA">
              <w:t>1.264</w:t>
            </w:r>
          </w:p>
        </w:tc>
        <w:tc>
          <w:tcPr>
            <w:tcW w:w="500" w:type="pct"/>
            <w:tcBorders>
              <w:bottom w:val="single" w:sz="4" w:space="0" w:color="auto"/>
            </w:tcBorders>
          </w:tcPr>
          <w:p w14:paraId="76B4AECA" w14:textId="77777777" w:rsidR="00D96A68" w:rsidRPr="00CA23AA" w:rsidRDefault="00D96A68" w:rsidP="00582C9C">
            <w:pPr>
              <w:pStyle w:val="TableText"/>
              <w:keepNext/>
              <w:keepLines/>
              <w:jc w:val="center"/>
            </w:pPr>
            <w:r w:rsidRPr="00CA23AA">
              <w:t>4.131</w:t>
            </w:r>
          </w:p>
        </w:tc>
      </w:tr>
      <w:tr w:rsidR="00D96A68" w:rsidRPr="00CA23AA" w14:paraId="2DE2F003" w14:textId="77777777" w:rsidTr="00594907">
        <w:tc>
          <w:tcPr>
            <w:tcW w:w="423" w:type="pct"/>
          </w:tcPr>
          <w:p w14:paraId="4EC84E1F" w14:textId="77777777" w:rsidR="00D96A68" w:rsidRPr="00CA23AA" w:rsidRDefault="00D96A68" w:rsidP="00582C9C">
            <w:pPr>
              <w:pStyle w:val="TableText"/>
              <w:keepNext/>
              <w:keepLines/>
              <w:rPr>
                <w:b/>
                <w:bCs/>
              </w:rPr>
            </w:pPr>
            <w:r w:rsidRPr="00CA23AA">
              <w:rPr>
                <w:b/>
                <w:bCs/>
              </w:rPr>
              <w:t>Cost/</w:t>
            </w:r>
          </w:p>
          <w:p w14:paraId="7569CF7A" w14:textId="77777777" w:rsidR="00D96A68" w:rsidRPr="00CA23AA" w:rsidRDefault="00D96A68" w:rsidP="00582C9C">
            <w:pPr>
              <w:pStyle w:val="TableText"/>
              <w:keepNext/>
              <w:keepLines/>
              <w:rPr>
                <w:b/>
                <w:bCs/>
              </w:rPr>
            </w:pPr>
            <w:r w:rsidRPr="00CA23AA">
              <w:rPr>
                <w:b/>
                <w:bCs/>
              </w:rPr>
              <w:t>QALY</w:t>
            </w:r>
          </w:p>
        </w:tc>
        <w:tc>
          <w:tcPr>
            <w:tcW w:w="1576" w:type="pct"/>
            <w:gridSpan w:val="3"/>
            <w:shd w:val="solid" w:color="000000" w:fill="000000"/>
            <w:vAlign w:val="center"/>
          </w:tcPr>
          <w:p w14:paraId="774981D0" w14:textId="405B37FB" w:rsidR="00D96A68" w:rsidRPr="00CA23AA" w:rsidRDefault="00594907" w:rsidP="00582C9C">
            <w:pPr>
              <w:pStyle w:val="TableText"/>
              <w:keepNext/>
              <w:keepLines/>
              <w:jc w:val="center"/>
              <w:rPr>
                <w:b/>
                <w:bCs/>
              </w:rPr>
            </w:pPr>
            <w:r w:rsidRPr="00594907">
              <w:rPr>
                <w:b/>
                <w:bCs/>
                <w:color w:val="000000"/>
                <w14:textFill>
                  <w14:solidFill>
                    <w14:srgbClr w14:val="000000">
                      <w14:alpha w14:val="100000"/>
                    </w14:srgbClr>
                  </w14:solidFill>
                </w14:textFill>
              </w:rPr>
              <w:t>|</w:t>
            </w:r>
          </w:p>
        </w:tc>
        <w:tc>
          <w:tcPr>
            <w:tcW w:w="1499" w:type="pct"/>
            <w:gridSpan w:val="3"/>
            <w:shd w:val="solid" w:color="000000" w:fill="000000"/>
            <w:vAlign w:val="center"/>
          </w:tcPr>
          <w:p w14:paraId="5A060A90" w14:textId="3F12BD97" w:rsidR="00D96A68" w:rsidRPr="00CA23AA" w:rsidRDefault="00594907" w:rsidP="00582C9C">
            <w:pPr>
              <w:pStyle w:val="TableText"/>
              <w:keepNext/>
              <w:keepLines/>
              <w:jc w:val="center"/>
              <w:rPr>
                <w:b/>
                <w:bCs/>
                <w:vertAlign w:val="superscript"/>
              </w:rPr>
            </w:pPr>
            <w:r w:rsidRPr="00594907">
              <w:rPr>
                <w:b/>
                <w:bCs/>
                <w:color w:val="000000"/>
                <w14:textFill>
                  <w14:solidFill>
                    <w14:srgbClr w14:val="000000">
                      <w14:alpha w14:val="100000"/>
                    </w14:srgbClr>
                  </w14:solidFill>
                </w14:textFill>
              </w:rPr>
              <w:t>|</w:t>
            </w:r>
          </w:p>
        </w:tc>
        <w:tc>
          <w:tcPr>
            <w:tcW w:w="1502" w:type="pct"/>
            <w:gridSpan w:val="3"/>
            <w:shd w:val="solid" w:color="000000" w:fill="000000"/>
            <w:vAlign w:val="center"/>
          </w:tcPr>
          <w:p w14:paraId="34D015D9" w14:textId="24E332FC" w:rsidR="00D96A68" w:rsidRPr="00CA23AA" w:rsidRDefault="00594907" w:rsidP="00582C9C">
            <w:pPr>
              <w:pStyle w:val="TableText"/>
              <w:keepNext/>
              <w:keepLines/>
              <w:jc w:val="center"/>
              <w:rPr>
                <w:b/>
                <w:bCs/>
                <w:vertAlign w:val="superscript"/>
              </w:rPr>
            </w:pPr>
            <w:r w:rsidRPr="00594907">
              <w:rPr>
                <w:b/>
                <w:bCs/>
                <w:color w:val="000000"/>
                <w14:textFill>
                  <w14:solidFill>
                    <w14:srgbClr w14:val="000000">
                      <w14:alpha w14:val="100000"/>
                    </w14:srgbClr>
                  </w14:solidFill>
                </w14:textFill>
              </w:rPr>
              <w:t>|</w:t>
            </w:r>
          </w:p>
        </w:tc>
      </w:tr>
      <w:tr w:rsidR="003C3FE7" w:rsidRPr="00CA23AA" w14:paraId="5F75ED4B" w14:textId="77777777" w:rsidTr="00105DDF">
        <w:tc>
          <w:tcPr>
            <w:tcW w:w="5000" w:type="pct"/>
            <w:gridSpan w:val="10"/>
          </w:tcPr>
          <w:p w14:paraId="5BE4469D" w14:textId="0A695007" w:rsidR="003C3FE7" w:rsidRPr="00CA23AA" w:rsidRDefault="000346AF" w:rsidP="00582C9C">
            <w:pPr>
              <w:pStyle w:val="TableText"/>
              <w:keepNext/>
              <w:keepLines/>
              <w:rPr>
                <w:b/>
                <w:vertAlign w:val="superscript"/>
              </w:rPr>
            </w:pPr>
            <w:r w:rsidRPr="00CA23AA">
              <w:rPr>
                <w:b/>
              </w:rPr>
              <w:t xml:space="preserve">Results obtained </w:t>
            </w:r>
            <w:r w:rsidR="003C3FE7" w:rsidRPr="00CA23AA">
              <w:rPr>
                <w:b/>
              </w:rPr>
              <w:t xml:space="preserve">with </w:t>
            </w:r>
            <w:r w:rsidR="008026DB" w:rsidRPr="00CA23AA">
              <w:rPr>
                <w:b/>
              </w:rPr>
              <w:t>revised application of cure</w:t>
            </w:r>
            <w:r w:rsidR="00C925A7" w:rsidRPr="00CA23AA">
              <w:rPr>
                <w:b/>
              </w:rPr>
              <w:t xml:space="preserve"> and</w:t>
            </w:r>
            <w:r w:rsidR="003C3FE7" w:rsidRPr="00CA23AA">
              <w:rPr>
                <w:b/>
              </w:rPr>
              <w:t xml:space="preserve"> </w:t>
            </w:r>
            <w:r w:rsidR="00545A66" w:rsidRPr="00CA23AA">
              <w:rPr>
                <w:b/>
              </w:rPr>
              <w:t>c</w:t>
            </w:r>
            <w:r w:rsidR="0086176A" w:rsidRPr="00CA23AA">
              <w:rPr>
                <w:b/>
              </w:rPr>
              <w:t xml:space="preserve">alculation </w:t>
            </w:r>
            <w:r w:rsidR="003C3FE7" w:rsidRPr="00CA23AA">
              <w:rPr>
                <w:b/>
              </w:rPr>
              <w:t>corrections applied during the evaluation</w:t>
            </w:r>
            <w:r w:rsidRPr="00CA23AA">
              <w:rPr>
                <w:b/>
                <w:vertAlign w:val="superscript"/>
              </w:rPr>
              <w:t>1</w:t>
            </w:r>
            <w:r w:rsidR="00FC2AE2" w:rsidRPr="00CA23AA">
              <w:rPr>
                <w:b/>
                <w:vertAlign w:val="superscript"/>
              </w:rPr>
              <w:t>, 2</w:t>
            </w:r>
          </w:p>
        </w:tc>
      </w:tr>
      <w:tr w:rsidR="003C3FE7" w:rsidRPr="00CA23AA" w14:paraId="0FC71679" w14:textId="77777777" w:rsidTr="00BC6003">
        <w:tc>
          <w:tcPr>
            <w:tcW w:w="423" w:type="pct"/>
          </w:tcPr>
          <w:p w14:paraId="4A1D448A" w14:textId="77777777" w:rsidR="003C3FE7" w:rsidRPr="00CA23AA" w:rsidRDefault="003C3FE7" w:rsidP="00582C9C">
            <w:pPr>
              <w:pStyle w:val="TableText"/>
              <w:keepNext/>
              <w:keepLines/>
            </w:pPr>
          </w:p>
        </w:tc>
        <w:tc>
          <w:tcPr>
            <w:tcW w:w="1576" w:type="pct"/>
            <w:gridSpan w:val="3"/>
            <w:shd w:val="clear" w:color="auto" w:fill="DEEAF6" w:themeFill="accent1" w:themeFillTint="33"/>
          </w:tcPr>
          <w:p w14:paraId="5FDB4A5B" w14:textId="77777777" w:rsidR="003C3FE7" w:rsidRPr="00CA23AA" w:rsidRDefault="003C3FE7" w:rsidP="00582C9C">
            <w:pPr>
              <w:pStyle w:val="TableText"/>
              <w:keepNext/>
              <w:keepLines/>
              <w:rPr>
                <w:b/>
                <w:bCs/>
              </w:rPr>
            </w:pPr>
            <w:r w:rsidRPr="00CA23AA">
              <w:rPr>
                <w:b/>
                <w:bCs/>
              </w:rPr>
              <w:t>STEP 1 - Base case</w:t>
            </w:r>
          </w:p>
        </w:tc>
        <w:tc>
          <w:tcPr>
            <w:tcW w:w="1499" w:type="pct"/>
            <w:gridSpan w:val="3"/>
          </w:tcPr>
          <w:p w14:paraId="7AC0784C" w14:textId="77777777" w:rsidR="003C3FE7" w:rsidRPr="00CA23AA" w:rsidRDefault="003C3FE7" w:rsidP="00582C9C">
            <w:pPr>
              <w:pStyle w:val="TableText"/>
              <w:keepNext/>
              <w:keepLines/>
              <w:rPr>
                <w:b/>
                <w:bCs/>
              </w:rPr>
            </w:pPr>
            <w:r w:rsidRPr="00CA23AA">
              <w:rPr>
                <w:b/>
                <w:bCs/>
              </w:rPr>
              <w:t>STEP 2 - Trial update</w:t>
            </w:r>
          </w:p>
        </w:tc>
        <w:tc>
          <w:tcPr>
            <w:tcW w:w="1502" w:type="pct"/>
            <w:gridSpan w:val="3"/>
          </w:tcPr>
          <w:p w14:paraId="44D3E363" w14:textId="77777777" w:rsidR="003C3FE7" w:rsidRPr="00CA23AA" w:rsidRDefault="003C3FE7" w:rsidP="00582C9C">
            <w:pPr>
              <w:pStyle w:val="TableText"/>
              <w:keepNext/>
              <w:keepLines/>
              <w:rPr>
                <w:b/>
                <w:bCs/>
              </w:rPr>
            </w:pPr>
            <w:r w:rsidRPr="00CA23AA">
              <w:rPr>
                <w:b/>
                <w:bCs/>
              </w:rPr>
              <w:t>STEP 3 – Comp. update</w:t>
            </w:r>
          </w:p>
        </w:tc>
      </w:tr>
      <w:tr w:rsidR="00C829E8" w:rsidRPr="00CA23AA" w14:paraId="174619F6" w14:textId="77777777" w:rsidTr="00594907">
        <w:tc>
          <w:tcPr>
            <w:tcW w:w="423" w:type="pct"/>
          </w:tcPr>
          <w:p w14:paraId="63B5DAB3" w14:textId="77777777" w:rsidR="003C3FE7" w:rsidRPr="00CA23AA" w:rsidRDefault="003C3FE7" w:rsidP="00582C9C">
            <w:pPr>
              <w:pStyle w:val="TableText"/>
              <w:keepNext/>
              <w:keepLines/>
            </w:pPr>
          </w:p>
        </w:tc>
        <w:tc>
          <w:tcPr>
            <w:tcW w:w="500" w:type="pct"/>
            <w:tcBorders>
              <w:bottom w:val="single" w:sz="4" w:space="0" w:color="auto"/>
            </w:tcBorders>
            <w:shd w:val="clear" w:color="auto" w:fill="DEEAF6" w:themeFill="accent1" w:themeFillTint="33"/>
          </w:tcPr>
          <w:p w14:paraId="5293EE73" w14:textId="77777777" w:rsidR="003C3FE7" w:rsidRPr="00CA23AA" w:rsidRDefault="003C3FE7" w:rsidP="00582C9C">
            <w:pPr>
              <w:pStyle w:val="TableText"/>
              <w:keepNext/>
              <w:keepLines/>
              <w:jc w:val="center"/>
            </w:pPr>
            <w:r w:rsidRPr="00CA23AA">
              <w:t>TIS</w:t>
            </w:r>
          </w:p>
        </w:tc>
        <w:tc>
          <w:tcPr>
            <w:tcW w:w="500" w:type="pct"/>
            <w:shd w:val="clear" w:color="auto" w:fill="DEEAF6" w:themeFill="accent1" w:themeFillTint="33"/>
          </w:tcPr>
          <w:p w14:paraId="102FA16C" w14:textId="77777777" w:rsidR="003C3FE7" w:rsidRPr="00CA23AA" w:rsidRDefault="003C3FE7" w:rsidP="00582C9C">
            <w:pPr>
              <w:pStyle w:val="TableText"/>
              <w:keepNext/>
              <w:keepLines/>
              <w:jc w:val="center"/>
            </w:pPr>
            <w:r w:rsidRPr="00CA23AA">
              <w:t>BLN</w:t>
            </w:r>
          </w:p>
        </w:tc>
        <w:tc>
          <w:tcPr>
            <w:tcW w:w="577" w:type="pct"/>
            <w:tcBorders>
              <w:bottom w:val="single" w:sz="4" w:space="0" w:color="auto"/>
            </w:tcBorders>
            <w:shd w:val="clear" w:color="auto" w:fill="DEEAF6" w:themeFill="accent1" w:themeFillTint="33"/>
          </w:tcPr>
          <w:p w14:paraId="0E507871" w14:textId="77777777" w:rsidR="003C3FE7" w:rsidRPr="00CA23AA" w:rsidRDefault="003C3FE7" w:rsidP="00582C9C">
            <w:pPr>
              <w:pStyle w:val="TableText"/>
              <w:keepNext/>
              <w:keepLines/>
              <w:jc w:val="center"/>
            </w:pPr>
            <w:r w:rsidRPr="00CA23AA">
              <w:t>INCR.</w:t>
            </w:r>
          </w:p>
        </w:tc>
        <w:tc>
          <w:tcPr>
            <w:tcW w:w="500" w:type="pct"/>
            <w:tcBorders>
              <w:bottom w:val="single" w:sz="4" w:space="0" w:color="auto"/>
            </w:tcBorders>
          </w:tcPr>
          <w:p w14:paraId="4029301D" w14:textId="77777777" w:rsidR="003C3FE7" w:rsidRPr="00CA23AA" w:rsidRDefault="003C3FE7" w:rsidP="00582C9C">
            <w:pPr>
              <w:pStyle w:val="TableText"/>
              <w:keepNext/>
              <w:keepLines/>
              <w:jc w:val="center"/>
            </w:pPr>
            <w:r w:rsidRPr="00CA23AA">
              <w:t>TIS</w:t>
            </w:r>
          </w:p>
        </w:tc>
        <w:tc>
          <w:tcPr>
            <w:tcW w:w="500" w:type="pct"/>
          </w:tcPr>
          <w:p w14:paraId="072790B2" w14:textId="77777777" w:rsidR="003C3FE7" w:rsidRPr="00CA23AA" w:rsidRDefault="003C3FE7" w:rsidP="00582C9C">
            <w:pPr>
              <w:pStyle w:val="TableText"/>
              <w:keepNext/>
              <w:keepLines/>
              <w:jc w:val="center"/>
            </w:pPr>
            <w:r w:rsidRPr="00CA23AA">
              <w:t>BLN</w:t>
            </w:r>
          </w:p>
        </w:tc>
        <w:tc>
          <w:tcPr>
            <w:tcW w:w="500" w:type="pct"/>
            <w:tcBorders>
              <w:bottom w:val="single" w:sz="4" w:space="0" w:color="auto"/>
            </w:tcBorders>
          </w:tcPr>
          <w:p w14:paraId="13E6AD12" w14:textId="77777777" w:rsidR="003C3FE7" w:rsidRPr="00CA23AA" w:rsidRDefault="003C3FE7" w:rsidP="00582C9C">
            <w:pPr>
              <w:pStyle w:val="TableText"/>
              <w:keepNext/>
              <w:keepLines/>
              <w:jc w:val="center"/>
            </w:pPr>
            <w:r w:rsidRPr="00CA23AA">
              <w:t>INCR.</w:t>
            </w:r>
          </w:p>
        </w:tc>
        <w:tc>
          <w:tcPr>
            <w:tcW w:w="500" w:type="pct"/>
            <w:tcBorders>
              <w:bottom w:val="single" w:sz="4" w:space="0" w:color="auto"/>
            </w:tcBorders>
          </w:tcPr>
          <w:p w14:paraId="138A4C0E" w14:textId="77777777" w:rsidR="003C3FE7" w:rsidRPr="00CA23AA" w:rsidRDefault="003C3FE7" w:rsidP="00582C9C">
            <w:pPr>
              <w:pStyle w:val="TableText"/>
              <w:keepNext/>
              <w:keepLines/>
              <w:jc w:val="center"/>
            </w:pPr>
            <w:r w:rsidRPr="00CA23AA">
              <w:t>TIS</w:t>
            </w:r>
          </w:p>
        </w:tc>
        <w:tc>
          <w:tcPr>
            <w:tcW w:w="502" w:type="pct"/>
          </w:tcPr>
          <w:p w14:paraId="3B94779F" w14:textId="77777777" w:rsidR="003C3FE7" w:rsidRPr="00CA23AA" w:rsidRDefault="003C3FE7" w:rsidP="00582C9C">
            <w:pPr>
              <w:pStyle w:val="TableText"/>
              <w:keepNext/>
              <w:keepLines/>
              <w:jc w:val="center"/>
            </w:pPr>
            <w:r w:rsidRPr="00CA23AA">
              <w:t>BLN</w:t>
            </w:r>
          </w:p>
        </w:tc>
        <w:tc>
          <w:tcPr>
            <w:tcW w:w="500" w:type="pct"/>
            <w:tcBorders>
              <w:bottom w:val="single" w:sz="4" w:space="0" w:color="auto"/>
            </w:tcBorders>
          </w:tcPr>
          <w:p w14:paraId="49BDF3FD" w14:textId="77777777" w:rsidR="003C3FE7" w:rsidRPr="00CA23AA" w:rsidRDefault="003C3FE7" w:rsidP="00582C9C">
            <w:pPr>
              <w:pStyle w:val="TableText"/>
              <w:keepNext/>
              <w:keepLines/>
              <w:jc w:val="center"/>
            </w:pPr>
            <w:r w:rsidRPr="00CA23AA">
              <w:t>INCR.</w:t>
            </w:r>
          </w:p>
        </w:tc>
      </w:tr>
      <w:tr w:rsidR="00C829E8" w:rsidRPr="00CA23AA" w14:paraId="42193CB0" w14:textId="77777777" w:rsidTr="00594907">
        <w:tc>
          <w:tcPr>
            <w:tcW w:w="423" w:type="pct"/>
          </w:tcPr>
          <w:p w14:paraId="775EBF2A" w14:textId="77777777" w:rsidR="00A030FD" w:rsidRPr="00CA23AA" w:rsidRDefault="00A030FD" w:rsidP="00582C9C">
            <w:pPr>
              <w:pStyle w:val="TableText"/>
              <w:keepNext/>
              <w:keepLines/>
              <w:rPr>
                <w:b/>
                <w:bCs/>
              </w:rPr>
            </w:pPr>
            <w:r w:rsidRPr="00CA23AA">
              <w:rPr>
                <w:b/>
                <w:bCs/>
              </w:rPr>
              <w:t xml:space="preserve">Cost </w:t>
            </w:r>
          </w:p>
        </w:tc>
        <w:tc>
          <w:tcPr>
            <w:tcW w:w="500" w:type="pct"/>
            <w:shd w:val="solid" w:color="000000" w:fill="000000"/>
          </w:tcPr>
          <w:p w14:paraId="08D8B56F" w14:textId="5533CCE2" w:rsidR="00A030FD" w:rsidRPr="00CA23AA" w:rsidRDefault="00594907" w:rsidP="00582C9C">
            <w:pPr>
              <w:pStyle w:val="TableText"/>
              <w:keepNext/>
              <w:keepLines/>
              <w:jc w:val="center"/>
            </w:pPr>
            <w:r w:rsidRPr="00594907">
              <w:rPr>
                <w:rFonts w:hint="eastAsia"/>
                <w:color w:val="000000"/>
                <w:w w:val="24"/>
                <w:fitText w:val="110" w:id="-1161539575"/>
                <w14:textFill>
                  <w14:solidFill>
                    <w14:srgbClr w14:val="000000">
                      <w14:alpha w14:val="100000"/>
                    </w14:srgbClr>
                  </w14:solidFill>
                </w14:textFill>
              </w:rPr>
              <w:t xml:space="preserve">　</w:t>
            </w:r>
            <w:r w:rsidRPr="00594907">
              <w:rPr>
                <w:color w:val="000000"/>
                <w:w w:val="24"/>
                <w:fitText w:val="110" w:id="-1161539575"/>
                <w14:textFill>
                  <w14:solidFill>
                    <w14:srgbClr w14:val="000000">
                      <w14:alpha w14:val="100000"/>
                    </w14:srgbClr>
                  </w14:solidFill>
                </w14:textFill>
              </w:rPr>
              <w:t>|</w:t>
            </w:r>
            <w:r w:rsidRPr="00594907">
              <w:rPr>
                <w:rFonts w:hint="eastAsia"/>
                <w:color w:val="000000"/>
                <w:w w:val="24"/>
                <w:fitText w:val="110" w:id="-1161539575"/>
                <w14:textFill>
                  <w14:solidFill>
                    <w14:srgbClr w14:val="000000">
                      <w14:alpha w14:val="100000"/>
                    </w14:srgbClr>
                  </w14:solidFill>
                </w14:textFill>
              </w:rPr>
              <w:t xml:space="preserve">　</w:t>
            </w:r>
          </w:p>
        </w:tc>
        <w:tc>
          <w:tcPr>
            <w:tcW w:w="500" w:type="pct"/>
            <w:shd w:val="clear" w:color="auto" w:fill="DEEAF6" w:themeFill="accent1" w:themeFillTint="33"/>
          </w:tcPr>
          <w:p w14:paraId="7CB50A82" w14:textId="3C76C448" w:rsidR="00A030FD" w:rsidRPr="00CA23AA" w:rsidRDefault="00A030FD" w:rsidP="00582C9C">
            <w:pPr>
              <w:pStyle w:val="TableText"/>
              <w:keepNext/>
              <w:keepLines/>
              <w:jc w:val="center"/>
            </w:pPr>
            <w:r w:rsidRPr="00CA23AA">
              <w:t>$283,812</w:t>
            </w:r>
          </w:p>
        </w:tc>
        <w:tc>
          <w:tcPr>
            <w:tcW w:w="577" w:type="pct"/>
            <w:shd w:val="solid" w:color="000000" w:fill="000000"/>
          </w:tcPr>
          <w:p w14:paraId="48611D5B" w14:textId="37AC74B8" w:rsidR="00A030FD" w:rsidRPr="00CA23AA" w:rsidRDefault="00594907" w:rsidP="00582C9C">
            <w:pPr>
              <w:pStyle w:val="TableText"/>
              <w:keepNext/>
              <w:keepLines/>
              <w:jc w:val="center"/>
            </w:pPr>
            <w:r w:rsidRPr="00594907">
              <w:rPr>
                <w:rFonts w:hint="eastAsia"/>
                <w:color w:val="000000"/>
                <w:w w:val="15"/>
                <w:fitText w:val="40" w:id="-1161539574"/>
                <w14:textFill>
                  <w14:solidFill>
                    <w14:srgbClr w14:val="000000">
                      <w14:alpha w14:val="100000"/>
                    </w14:srgbClr>
                  </w14:solidFill>
                </w14:textFill>
              </w:rPr>
              <w:t xml:space="preserve">　</w:t>
            </w:r>
            <w:r w:rsidRPr="00594907">
              <w:rPr>
                <w:color w:val="000000"/>
                <w:w w:val="15"/>
                <w:fitText w:val="40" w:id="-1161539574"/>
                <w14:textFill>
                  <w14:solidFill>
                    <w14:srgbClr w14:val="000000">
                      <w14:alpha w14:val="100000"/>
                    </w14:srgbClr>
                  </w14:solidFill>
                </w14:textFill>
              </w:rPr>
              <w:t>|</w:t>
            </w:r>
            <w:r w:rsidRPr="00594907">
              <w:rPr>
                <w:rFonts w:hint="eastAsia"/>
                <w:color w:val="000000"/>
                <w:spacing w:val="-25"/>
                <w:w w:val="15"/>
                <w:fitText w:val="40" w:id="-1161539574"/>
                <w14:textFill>
                  <w14:solidFill>
                    <w14:srgbClr w14:val="000000">
                      <w14:alpha w14:val="100000"/>
                    </w14:srgbClr>
                  </w14:solidFill>
                </w14:textFill>
              </w:rPr>
              <w:t xml:space="preserve">　</w:t>
            </w:r>
          </w:p>
        </w:tc>
        <w:tc>
          <w:tcPr>
            <w:tcW w:w="500" w:type="pct"/>
            <w:shd w:val="solid" w:color="000000" w:fill="000000"/>
          </w:tcPr>
          <w:p w14:paraId="50AFF6E9" w14:textId="19DADB9B" w:rsidR="00A030FD" w:rsidRPr="00CA23AA" w:rsidRDefault="00594907" w:rsidP="00582C9C">
            <w:pPr>
              <w:pStyle w:val="TableText"/>
              <w:keepNext/>
              <w:keepLines/>
              <w:jc w:val="center"/>
            </w:pPr>
            <w:r w:rsidRPr="00594907">
              <w:rPr>
                <w:rFonts w:hint="eastAsia"/>
                <w:color w:val="000000"/>
                <w:w w:val="27"/>
                <w:fitText w:val="120" w:id="-1161539573"/>
                <w14:textFill>
                  <w14:solidFill>
                    <w14:srgbClr w14:val="000000">
                      <w14:alpha w14:val="100000"/>
                    </w14:srgbClr>
                  </w14:solidFill>
                </w14:textFill>
              </w:rPr>
              <w:t xml:space="preserve">　</w:t>
            </w:r>
            <w:r w:rsidRPr="00594907">
              <w:rPr>
                <w:color w:val="000000"/>
                <w:w w:val="27"/>
                <w:fitText w:val="120" w:id="-1161539573"/>
                <w14:textFill>
                  <w14:solidFill>
                    <w14:srgbClr w14:val="000000">
                      <w14:alpha w14:val="100000"/>
                    </w14:srgbClr>
                  </w14:solidFill>
                </w14:textFill>
              </w:rPr>
              <w:t>|</w:t>
            </w:r>
            <w:r w:rsidRPr="00594907">
              <w:rPr>
                <w:rFonts w:hint="eastAsia"/>
                <w:color w:val="000000"/>
                <w:w w:val="27"/>
                <w:fitText w:val="120" w:id="-1161539573"/>
                <w14:textFill>
                  <w14:solidFill>
                    <w14:srgbClr w14:val="000000">
                      <w14:alpha w14:val="100000"/>
                    </w14:srgbClr>
                  </w14:solidFill>
                </w14:textFill>
              </w:rPr>
              <w:t xml:space="preserve">　</w:t>
            </w:r>
          </w:p>
        </w:tc>
        <w:tc>
          <w:tcPr>
            <w:tcW w:w="500" w:type="pct"/>
          </w:tcPr>
          <w:p w14:paraId="09A03418" w14:textId="53B03331" w:rsidR="00A030FD" w:rsidRPr="00CA23AA" w:rsidRDefault="00A030FD" w:rsidP="00582C9C">
            <w:pPr>
              <w:pStyle w:val="TableText"/>
              <w:keepNext/>
              <w:keepLines/>
              <w:jc w:val="center"/>
            </w:pPr>
            <w:r w:rsidRPr="00CA23AA">
              <w:t>$283,795</w:t>
            </w:r>
          </w:p>
        </w:tc>
        <w:tc>
          <w:tcPr>
            <w:tcW w:w="500" w:type="pct"/>
            <w:shd w:val="solid" w:color="000000" w:fill="000000"/>
          </w:tcPr>
          <w:p w14:paraId="61FB4253" w14:textId="34648D21" w:rsidR="00A030FD" w:rsidRPr="00CA23AA" w:rsidRDefault="00594907" w:rsidP="00582C9C">
            <w:pPr>
              <w:pStyle w:val="TableText"/>
              <w:keepNext/>
              <w:keepLines/>
              <w:jc w:val="center"/>
            </w:pPr>
            <w:r w:rsidRPr="00594907">
              <w:rPr>
                <w:rFonts w:hint="eastAsia"/>
                <w:color w:val="000000"/>
                <w:w w:val="27"/>
                <w:fitText w:val="120" w:id="-1161539572"/>
                <w14:textFill>
                  <w14:solidFill>
                    <w14:srgbClr w14:val="000000">
                      <w14:alpha w14:val="100000"/>
                    </w14:srgbClr>
                  </w14:solidFill>
                </w14:textFill>
              </w:rPr>
              <w:t xml:space="preserve">　</w:t>
            </w:r>
            <w:r w:rsidRPr="00594907">
              <w:rPr>
                <w:color w:val="000000"/>
                <w:w w:val="27"/>
                <w:fitText w:val="120" w:id="-1161539572"/>
                <w14:textFill>
                  <w14:solidFill>
                    <w14:srgbClr w14:val="000000">
                      <w14:alpha w14:val="100000"/>
                    </w14:srgbClr>
                  </w14:solidFill>
                </w14:textFill>
              </w:rPr>
              <w:t>|</w:t>
            </w:r>
            <w:r w:rsidRPr="00594907">
              <w:rPr>
                <w:rFonts w:hint="eastAsia"/>
                <w:color w:val="000000"/>
                <w:w w:val="27"/>
                <w:fitText w:val="120" w:id="-1161539572"/>
                <w14:textFill>
                  <w14:solidFill>
                    <w14:srgbClr w14:val="000000">
                      <w14:alpha w14:val="100000"/>
                    </w14:srgbClr>
                  </w14:solidFill>
                </w14:textFill>
              </w:rPr>
              <w:t xml:space="preserve">　</w:t>
            </w:r>
          </w:p>
        </w:tc>
        <w:tc>
          <w:tcPr>
            <w:tcW w:w="502" w:type="pct"/>
            <w:shd w:val="solid" w:color="000000" w:fill="000000"/>
          </w:tcPr>
          <w:p w14:paraId="7F2C6089" w14:textId="0E0DD3AF" w:rsidR="00A030FD" w:rsidRPr="00CA23AA" w:rsidRDefault="00594907" w:rsidP="00582C9C">
            <w:pPr>
              <w:pStyle w:val="TableText"/>
              <w:keepNext/>
              <w:keepLines/>
              <w:jc w:val="center"/>
            </w:pPr>
            <w:r w:rsidRPr="00594907">
              <w:rPr>
                <w:rFonts w:hint="eastAsia"/>
                <w:color w:val="000000"/>
                <w:w w:val="27"/>
                <w:fitText w:val="120" w:id="-1161539571"/>
                <w14:textFill>
                  <w14:solidFill>
                    <w14:srgbClr w14:val="000000">
                      <w14:alpha w14:val="100000"/>
                    </w14:srgbClr>
                  </w14:solidFill>
                </w14:textFill>
              </w:rPr>
              <w:t xml:space="preserve">　</w:t>
            </w:r>
            <w:r w:rsidRPr="00594907">
              <w:rPr>
                <w:color w:val="000000"/>
                <w:w w:val="27"/>
                <w:fitText w:val="120" w:id="-1161539571"/>
                <w14:textFill>
                  <w14:solidFill>
                    <w14:srgbClr w14:val="000000">
                      <w14:alpha w14:val="100000"/>
                    </w14:srgbClr>
                  </w14:solidFill>
                </w14:textFill>
              </w:rPr>
              <w:t>|</w:t>
            </w:r>
            <w:r w:rsidRPr="00594907">
              <w:rPr>
                <w:rFonts w:hint="eastAsia"/>
                <w:color w:val="000000"/>
                <w:w w:val="27"/>
                <w:fitText w:val="120" w:id="-1161539571"/>
                <w14:textFill>
                  <w14:solidFill>
                    <w14:srgbClr w14:val="000000">
                      <w14:alpha w14:val="100000"/>
                    </w14:srgbClr>
                  </w14:solidFill>
                </w14:textFill>
              </w:rPr>
              <w:t xml:space="preserve">　</w:t>
            </w:r>
          </w:p>
        </w:tc>
        <w:tc>
          <w:tcPr>
            <w:tcW w:w="500" w:type="pct"/>
          </w:tcPr>
          <w:p w14:paraId="648067AC" w14:textId="0A4BED7A" w:rsidR="00A030FD" w:rsidRPr="00CA23AA" w:rsidRDefault="00AE0161" w:rsidP="00582C9C">
            <w:pPr>
              <w:pStyle w:val="TableText"/>
              <w:keepNext/>
              <w:keepLines/>
              <w:jc w:val="center"/>
            </w:pPr>
            <w:r w:rsidRPr="00CA23AA">
              <w:t>$239,072</w:t>
            </w:r>
          </w:p>
        </w:tc>
        <w:tc>
          <w:tcPr>
            <w:tcW w:w="500" w:type="pct"/>
            <w:shd w:val="solid" w:color="000000" w:fill="000000"/>
          </w:tcPr>
          <w:p w14:paraId="2D160DB9" w14:textId="3604EE2A" w:rsidR="00A030FD" w:rsidRPr="00CA23AA" w:rsidRDefault="00594907" w:rsidP="00582C9C">
            <w:pPr>
              <w:pStyle w:val="TableText"/>
              <w:keepNext/>
              <w:keepLines/>
              <w:jc w:val="center"/>
            </w:pPr>
            <w:r w:rsidRPr="00594907">
              <w:rPr>
                <w:rFonts w:hint="eastAsia"/>
                <w:color w:val="000000"/>
                <w:w w:val="24"/>
                <w:fitText w:val="110" w:id="-1161539570"/>
                <w14:textFill>
                  <w14:solidFill>
                    <w14:srgbClr w14:val="000000">
                      <w14:alpha w14:val="100000"/>
                    </w14:srgbClr>
                  </w14:solidFill>
                </w14:textFill>
              </w:rPr>
              <w:t xml:space="preserve">　</w:t>
            </w:r>
            <w:r w:rsidRPr="00594907">
              <w:rPr>
                <w:color w:val="000000"/>
                <w:w w:val="24"/>
                <w:fitText w:val="110" w:id="-1161539570"/>
                <w14:textFill>
                  <w14:solidFill>
                    <w14:srgbClr w14:val="000000">
                      <w14:alpha w14:val="100000"/>
                    </w14:srgbClr>
                  </w14:solidFill>
                </w14:textFill>
              </w:rPr>
              <w:t>|</w:t>
            </w:r>
            <w:r w:rsidRPr="00594907">
              <w:rPr>
                <w:rFonts w:hint="eastAsia"/>
                <w:color w:val="000000"/>
                <w:w w:val="24"/>
                <w:fitText w:val="110" w:id="-1161539570"/>
                <w14:textFill>
                  <w14:solidFill>
                    <w14:srgbClr w14:val="000000">
                      <w14:alpha w14:val="100000"/>
                    </w14:srgbClr>
                  </w14:solidFill>
                </w14:textFill>
              </w:rPr>
              <w:t xml:space="preserve">　</w:t>
            </w:r>
          </w:p>
        </w:tc>
      </w:tr>
      <w:tr w:rsidR="00C829E8" w:rsidRPr="00CA23AA" w14:paraId="1A1B175B" w14:textId="77777777" w:rsidTr="00BC6003">
        <w:tc>
          <w:tcPr>
            <w:tcW w:w="423" w:type="pct"/>
          </w:tcPr>
          <w:p w14:paraId="5D39F48B" w14:textId="77777777" w:rsidR="00A030FD" w:rsidRPr="00CA23AA" w:rsidRDefault="00A030FD" w:rsidP="00582C9C">
            <w:pPr>
              <w:pStyle w:val="TableText"/>
              <w:keepNext/>
              <w:keepLines/>
              <w:rPr>
                <w:b/>
                <w:bCs/>
              </w:rPr>
            </w:pPr>
            <w:r w:rsidRPr="00CA23AA">
              <w:rPr>
                <w:b/>
                <w:bCs/>
              </w:rPr>
              <w:t>LYs</w:t>
            </w:r>
          </w:p>
        </w:tc>
        <w:tc>
          <w:tcPr>
            <w:tcW w:w="500" w:type="pct"/>
            <w:shd w:val="clear" w:color="auto" w:fill="DEEAF6" w:themeFill="accent1" w:themeFillTint="33"/>
          </w:tcPr>
          <w:p w14:paraId="136752B6" w14:textId="3354CF61" w:rsidR="00A030FD" w:rsidRPr="00CA23AA" w:rsidRDefault="00A030FD" w:rsidP="00582C9C">
            <w:pPr>
              <w:pStyle w:val="TableText"/>
              <w:keepNext/>
              <w:keepLines/>
              <w:jc w:val="center"/>
            </w:pPr>
            <w:r w:rsidRPr="00CA23AA">
              <w:t>7.450</w:t>
            </w:r>
          </w:p>
        </w:tc>
        <w:tc>
          <w:tcPr>
            <w:tcW w:w="500" w:type="pct"/>
            <w:shd w:val="clear" w:color="auto" w:fill="DEEAF6" w:themeFill="accent1" w:themeFillTint="33"/>
          </w:tcPr>
          <w:p w14:paraId="7DDCDE44" w14:textId="57A4922E" w:rsidR="00A030FD" w:rsidRPr="00CA23AA" w:rsidRDefault="00A030FD" w:rsidP="00582C9C">
            <w:pPr>
              <w:pStyle w:val="TableText"/>
              <w:keepNext/>
              <w:keepLines/>
              <w:jc w:val="center"/>
            </w:pPr>
            <w:r w:rsidRPr="00CA23AA">
              <w:t>2.250</w:t>
            </w:r>
          </w:p>
        </w:tc>
        <w:tc>
          <w:tcPr>
            <w:tcW w:w="577" w:type="pct"/>
            <w:shd w:val="clear" w:color="auto" w:fill="DEEAF6" w:themeFill="accent1" w:themeFillTint="33"/>
          </w:tcPr>
          <w:p w14:paraId="1D47C1DA" w14:textId="084C87EA" w:rsidR="00A030FD" w:rsidRPr="00CA23AA" w:rsidRDefault="00A030FD" w:rsidP="00582C9C">
            <w:pPr>
              <w:pStyle w:val="TableText"/>
              <w:keepNext/>
              <w:keepLines/>
              <w:jc w:val="center"/>
            </w:pPr>
            <w:r w:rsidRPr="00CA23AA">
              <w:t>5.200</w:t>
            </w:r>
          </w:p>
        </w:tc>
        <w:tc>
          <w:tcPr>
            <w:tcW w:w="500" w:type="pct"/>
          </w:tcPr>
          <w:p w14:paraId="64E49871" w14:textId="4910B9A1" w:rsidR="00A030FD" w:rsidRPr="00CA23AA" w:rsidRDefault="00A030FD" w:rsidP="00582C9C">
            <w:pPr>
              <w:pStyle w:val="TableText"/>
              <w:keepNext/>
              <w:keepLines/>
              <w:jc w:val="center"/>
            </w:pPr>
            <w:r w:rsidRPr="00CA23AA">
              <w:t>8.042</w:t>
            </w:r>
          </w:p>
        </w:tc>
        <w:tc>
          <w:tcPr>
            <w:tcW w:w="500" w:type="pct"/>
          </w:tcPr>
          <w:p w14:paraId="30B9157F" w14:textId="21AE2E95" w:rsidR="00A030FD" w:rsidRPr="00CA23AA" w:rsidRDefault="00A030FD" w:rsidP="00582C9C">
            <w:pPr>
              <w:pStyle w:val="TableText"/>
              <w:keepNext/>
              <w:keepLines/>
              <w:jc w:val="center"/>
            </w:pPr>
            <w:r w:rsidRPr="00CA23AA">
              <w:t>2.250</w:t>
            </w:r>
          </w:p>
        </w:tc>
        <w:tc>
          <w:tcPr>
            <w:tcW w:w="500" w:type="pct"/>
          </w:tcPr>
          <w:p w14:paraId="477A78EF" w14:textId="323DBC7B" w:rsidR="00A030FD" w:rsidRPr="00CA23AA" w:rsidRDefault="00A030FD" w:rsidP="00582C9C">
            <w:pPr>
              <w:pStyle w:val="TableText"/>
              <w:keepNext/>
              <w:keepLines/>
              <w:jc w:val="center"/>
            </w:pPr>
            <w:r w:rsidRPr="00CA23AA">
              <w:t>5.792</w:t>
            </w:r>
          </w:p>
        </w:tc>
        <w:tc>
          <w:tcPr>
            <w:tcW w:w="502" w:type="pct"/>
          </w:tcPr>
          <w:p w14:paraId="407E53D2" w14:textId="085E0417" w:rsidR="00A030FD" w:rsidRPr="00CA23AA" w:rsidRDefault="00AE0161" w:rsidP="00582C9C">
            <w:pPr>
              <w:pStyle w:val="TableText"/>
              <w:keepNext/>
              <w:keepLines/>
              <w:jc w:val="center"/>
            </w:pPr>
            <w:r w:rsidRPr="00CA23AA">
              <w:t>7.409</w:t>
            </w:r>
          </w:p>
        </w:tc>
        <w:tc>
          <w:tcPr>
            <w:tcW w:w="500" w:type="pct"/>
          </w:tcPr>
          <w:p w14:paraId="496287D0" w14:textId="4E417B8C" w:rsidR="00A030FD" w:rsidRPr="00CA23AA" w:rsidRDefault="00AE0161" w:rsidP="00582C9C">
            <w:pPr>
              <w:pStyle w:val="TableText"/>
              <w:keepNext/>
              <w:keepLines/>
              <w:jc w:val="center"/>
            </w:pPr>
            <w:r w:rsidRPr="00CA23AA">
              <w:t>1.829</w:t>
            </w:r>
          </w:p>
        </w:tc>
        <w:tc>
          <w:tcPr>
            <w:tcW w:w="500" w:type="pct"/>
          </w:tcPr>
          <w:p w14:paraId="64011F4F" w14:textId="185373E3" w:rsidR="00A030FD" w:rsidRPr="00CA23AA" w:rsidRDefault="00DD4F77" w:rsidP="00582C9C">
            <w:pPr>
              <w:pStyle w:val="TableText"/>
              <w:keepNext/>
              <w:keepLines/>
              <w:jc w:val="center"/>
            </w:pPr>
            <w:r w:rsidRPr="00CA23AA">
              <w:t>5.580</w:t>
            </w:r>
          </w:p>
        </w:tc>
      </w:tr>
      <w:tr w:rsidR="00C829E8" w:rsidRPr="00CA23AA" w14:paraId="54825A19" w14:textId="77777777" w:rsidTr="00594907">
        <w:tc>
          <w:tcPr>
            <w:tcW w:w="423" w:type="pct"/>
          </w:tcPr>
          <w:p w14:paraId="1C5BC8FD" w14:textId="77777777" w:rsidR="00A030FD" w:rsidRPr="00CA23AA" w:rsidRDefault="00A030FD" w:rsidP="00582C9C">
            <w:pPr>
              <w:pStyle w:val="TableText"/>
              <w:keepNext/>
              <w:keepLines/>
              <w:rPr>
                <w:b/>
                <w:bCs/>
              </w:rPr>
            </w:pPr>
            <w:r w:rsidRPr="00CA23AA">
              <w:rPr>
                <w:b/>
                <w:bCs/>
              </w:rPr>
              <w:t>QALYs</w:t>
            </w:r>
          </w:p>
        </w:tc>
        <w:tc>
          <w:tcPr>
            <w:tcW w:w="500" w:type="pct"/>
            <w:tcBorders>
              <w:bottom w:val="single" w:sz="4" w:space="0" w:color="auto"/>
            </w:tcBorders>
            <w:shd w:val="clear" w:color="auto" w:fill="DEEAF6" w:themeFill="accent1" w:themeFillTint="33"/>
          </w:tcPr>
          <w:p w14:paraId="083A5DF7" w14:textId="5F88D5A9" w:rsidR="00A030FD" w:rsidRPr="00CA23AA" w:rsidRDefault="00A030FD" w:rsidP="00582C9C">
            <w:pPr>
              <w:pStyle w:val="TableText"/>
              <w:keepNext/>
              <w:keepLines/>
              <w:jc w:val="center"/>
            </w:pPr>
            <w:r w:rsidRPr="00CA23AA">
              <w:t>4.972</w:t>
            </w:r>
          </w:p>
        </w:tc>
        <w:tc>
          <w:tcPr>
            <w:tcW w:w="500" w:type="pct"/>
            <w:tcBorders>
              <w:bottom w:val="single" w:sz="4" w:space="0" w:color="auto"/>
            </w:tcBorders>
            <w:shd w:val="clear" w:color="auto" w:fill="DEEAF6" w:themeFill="accent1" w:themeFillTint="33"/>
          </w:tcPr>
          <w:p w14:paraId="42338E38" w14:textId="1F79A444" w:rsidR="00A030FD" w:rsidRPr="00CA23AA" w:rsidRDefault="00A030FD" w:rsidP="00582C9C">
            <w:pPr>
              <w:pStyle w:val="TableText"/>
              <w:keepNext/>
              <w:keepLines/>
              <w:jc w:val="center"/>
            </w:pPr>
            <w:r w:rsidRPr="00CA23AA">
              <w:t>1.269</w:t>
            </w:r>
          </w:p>
        </w:tc>
        <w:tc>
          <w:tcPr>
            <w:tcW w:w="577" w:type="pct"/>
            <w:tcBorders>
              <w:bottom w:val="single" w:sz="4" w:space="0" w:color="auto"/>
            </w:tcBorders>
            <w:shd w:val="clear" w:color="auto" w:fill="DEEAF6" w:themeFill="accent1" w:themeFillTint="33"/>
          </w:tcPr>
          <w:p w14:paraId="4EE3CABE" w14:textId="5177A104" w:rsidR="00A030FD" w:rsidRPr="00CA23AA" w:rsidRDefault="00A030FD" w:rsidP="00582C9C">
            <w:pPr>
              <w:pStyle w:val="TableText"/>
              <w:keepNext/>
              <w:keepLines/>
              <w:jc w:val="center"/>
            </w:pPr>
            <w:r w:rsidRPr="00CA23AA">
              <w:t>3.703</w:t>
            </w:r>
          </w:p>
        </w:tc>
        <w:tc>
          <w:tcPr>
            <w:tcW w:w="500" w:type="pct"/>
            <w:tcBorders>
              <w:bottom w:val="single" w:sz="4" w:space="0" w:color="auto"/>
            </w:tcBorders>
          </w:tcPr>
          <w:p w14:paraId="13E5B10B" w14:textId="057496ED" w:rsidR="00A030FD" w:rsidRPr="00CA23AA" w:rsidRDefault="00A030FD" w:rsidP="00582C9C">
            <w:pPr>
              <w:pStyle w:val="TableText"/>
              <w:keepNext/>
              <w:keepLines/>
              <w:jc w:val="center"/>
            </w:pPr>
            <w:r w:rsidRPr="00CA23AA">
              <w:t>5.335</w:t>
            </w:r>
          </w:p>
        </w:tc>
        <w:tc>
          <w:tcPr>
            <w:tcW w:w="500" w:type="pct"/>
            <w:tcBorders>
              <w:bottom w:val="single" w:sz="4" w:space="0" w:color="auto"/>
            </w:tcBorders>
          </w:tcPr>
          <w:p w14:paraId="6DC5BA8D" w14:textId="64CEA636" w:rsidR="00A030FD" w:rsidRPr="00CA23AA" w:rsidRDefault="00A030FD" w:rsidP="00582C9C">
            <w:pPr>
              <w:pStyle w:val="TableText"/>
              <w:keepNext/>
              <w:keepLines/>
              <w:jc w:val="center"/>
            </w:pPr>
            <w:r w:rsidRPr="00CA23AA">
              <w:t>1.269</w:t>
            </w:r>
          </w:p>
        </w:tc>
        <w:tc>
          <w:tcPr>
            <w:tcW w:w="500" w:type="pct"/>
            <w:tcBorders>
              <w:bottom w:val="single" w:sz="4" w:space="0" w:color="auto"/>
            </w:tcBorders>
          </w:tcPr>
          <w:p w14:paraId="55929EF8" w14:textId="66CB5495" w:rsidR="00A030FD" w:rsidRPr="00CA23AA" w:rsidRDefault="00A030FD" w:rsidP="00582C9C">
            <w:pPr>
              <w:pStyle w:val="TableText"/>
              <w:keepNext/>
              <w:keepLines/>
              <w:jc w:val="center"/>
            </w:pPr>
            <w:r w:rsidRPr="00CA23AA">
              <w:t>4.066</w:t>
            </w:r>
          </w:p>
        </w:tc>
        <w:tc>
          <w:tcPr>
            <w:tcW w:w="502" w:type="pct"/>
            <w:tcBorders>
              <w:bottom w:val="single" w:sz="4" w:space="0" w:color="auto"/>
            </w:tcBorders>
          </w:tcPr>
          <w:p w14:paraId="74E971B9" w14:textId="412D8F16" w:rsidR="00A030FD" w:rsidRPr="00CA23AA" w:rsidRDefault="00DD4F77" w:rsidP="00582C9C">
            <w:pPr>
              <w:pStyle w:val="TableText"/>
              <w:keepNext/>
              <w:keepLines/>
              <w:jc w:val="center"/>
            </w:pPr>
            <w:r w:rsidRPr="00CA23AA">
              <w:t>5.241</w:t>
            </w:r>
          </w:p>
        </w:tc>
        <w:tc>
          <w:tcPr>
            <w:tcW w:w="500" w:type="pct"/>
            <w:tcBorders>
              <w:bottom w:val="single" w:sz="4" w:space="0" w:color="auto"/>
            </w:tcBorders>
          </w:tcPr>
          <w:p w14:paraId="3ABCBA0C" w14:textId="0BD7280C" w:rsidR="00A030FD" w:rsidRPr="00CA23AA" w:rsidRDefault="00DD4F77" w:rsidP="00582C9C">
            <w:pPr>
              <w:pStyle w:val="TableText"/>
              <w:keepNext/>
              <w:keepLines/>
              <w:jc w:val="center"/>
            </w:pPr>
            <w:r w:rsidRPr="00CA23AA">
              <w:t>1.130</w:t>
            </w:r>
          </w:p>
        </w:tc>
        <w:tc>
          <w:tcPr>
            <w:tcW w:w="500" w:type="pct"/>
            <w:tcBorders>
              <w:bottom w:val="single" w:sz="4" w:space="0" w:color="auto"/>
            </w:tcBorders>
          </w:tcPr>
          <w:p w14:paraId="753A314D" w14:textId="549193EB" w:rsidR="00A030FD" w:rsidRPr="00CA23AA" w:rsidRDefault="00DD4F77" w:rsidP="00582C9C">
            <w:pPr>
              <w:pStyle w:val="TableText"/>
              <w:keepNext/>
              <w:keepLines/>
              <w:jc w:val="center"/>
            </w:pPr>
            <w:r w:rsidRPr="00CA23AA">
              <w:t>4.110</w:t>
            </w:r>
          </w:p>
        </w:tc>
      </w:tr>
      <w:tr w:rsidR="00A030FD" w:rsidRPr="00CA23AA" w14:paraId="4AB8E77A" w14:textId="77777777" w:rsidTr="00594907">
        <w:tc>
          <w:tcPr>
            <w:tcW w:w="423" w:type="pct"/>
          </w:tcPr>
          <w:p w14:paraId="27C74621" w14:textId="77777777" w:rsidR="00A030FD" w:rsidRPr="00CA23AA" w:rsidRDefault="00A030FD" w:rsidP="00582C9C">
            <w:pPr>
              <w:pStyle w:val="TableText"/>
              <w:keepNext/>
              <w:keepLines/>
              <w:rPr>
                <w:b/>
                <w:bCs/>
              </w:rPr>
            </w:pPr>
            <w:r w:rsidRPr="00CA23AA">
              <w:rPr>
                <w:b/>
                <w:bCs/>
              </w:rPr>
              <w:t>Cost/</w:t>
            </w:r>
          </w:p>
          <w:p w14:paraId="22DA19AF" w14:textId="77777777" w:rsidR="00A030FD" w:rsidRPr="00CA23AA" w:rsidRDefault="00A030FD" w:rsidP="00582C9C">
            <w:pPr>
              <w:pStyle w:val="TableText"/>
              <w:keepNext/>
              <w:keepLines/>
              <w:rPr>
                <w:b/>
                <w:bCs/>
              </w:rPr>
            </w:pPr>
            <w:r w:rsidRPr="00CA23AA">
              <w:rPr>
                <w:b/>
                <w:bCs/>
              </w:rPr>
              <w:t>QALY</w:t>
            </w:r>
          </w:p>
        </w:tc>
        <w:tc>
          <w:tcPr>
            <w:tcW w:w="1576" w:type="pct"/>
            <w:gridSpan w:val="3"/>
            <w:shd w:val="solid" w:color="000000" w:fill="000000"/>
            <w:vAlign w:val="center"/>
          </w:tcPr>
          <w:p w14:paraId="2418232C" w14:textId="4BCBE3AA" w:rsidR="00A030FD" w:rsidRPr="00CA23AA" w:rsidRDefault="00594907" w:rsidP="00582C9C">
            <w:pPr>
              <w:pStyle w:val="TableText"/>
              <w:keepNext/>
              <w:keepLines/>
              <w:jc w:val="center"/>
              <w:rPr>
                <w:b/>
                <w:vertAlign w:val="superscript"/>
              </w:rPr>
            </w:pPr>
            <w:r w:rsidRPr="00594907">
              <w:rPr>
                <w:b/>
                <w:bCs/>
                <w:color w:val="000000"/>
                <w14:textFill>
                  <w14:solidFill>
                    <w14:srgbClr w14:val="000000">
                      <w14:alpha w14:val="100000"/>
                    </w14:srgbClr>
                  </w14:solidFill>
                </w14:textFill>
              </w:rPr>
              <w:t>|</w:t>
            </w:r>
          </w:p>
        </w:tc>
        <w:tc>
          <w:tcPr>
            <w:tcW w:w="1499" w:type="pct"/>
            <w:gridSpan w:val="3"/>
            <w:shd w:val="solid" w:color="000000" w:fill="000000"/>
            <w:vAlign w:val="center"/>
          </w:tcPr>
          <w:p w14:paraId="4D0A053B" w14:textId="3D551A85" w:rsidR="00A030FD" w:rsidRPr="00CA23AA" w:rsidRDefault="00594907" w:rsidP="00582C9C">
            <w:pPr>
              <w:pStyle w:val="TableText"/>
              <w:keepNext/>
              <w:keepLines/>
              <w:jc w:val="center"/>
              <w:rPr>
                <w:b/>
                <w:bCs/>
                <w:vertAlign w:val="superscript"/>
              </w:rPr>
            </w:pPr>
            <w:r w:rsidRPr="00594907">
              <w:rPr>
                <w:b/>
                <w:bCs/>
                <w:color w:val="000000"/>
                <w14:textFill>
                  <w14:solidFill>
                    <w14:srgbClr w14:val="000000">
                      <w14:alpha w14:val="100000"/>
                    </w14:srgbClr>
                  </w14:solidFill>
                </w14:textFill>
              </w:rPr>
              <w:t>|</w:t>
            </w:r>
          </w:p>
        </w:tc>
        <w:tc>
          <w:tcPr>
            <w:tcW w:w="1502" w:type="pct"/>
            <w:gridSpan w:val="3"/>
            <w:shd w:val="solid" w:color="000000" w:fill="000000"/>
            <w:vAlign w:val="center"/>
          </w:tcPr>
          <w:p w14:paraId="147795C2" w14:textId="02401AC7" w:rsidR="00A030FD" w:rsidRPr="00CA23AA" w:rsidRDefault="00594907" w:rsidP="00582C9C">
            <w:pPr>
              <w:pStyle w:val="TableText"/>
              <w:keepNext/>
              <w:keepLines/>
              <w:jc w:val="center"/>
              <w:rPr>
                <w:b/>
                <w:bCs/>
                <w:vertAlign w:val="superscript"/>
              </w:rPr>
            </w:pPr>
            <w:r w:rsidRPr="00594907">
              <w:rPr>
                <w:b/>
                <w:color w:val="000000"/>
                <w14:textFill>
                  <w14:solidFill>
                    <w14:srgbClr w14:val="000000">
                      <w14:alpha w14:val="100000"/>
                    </w14:srgbClr>
                  </w14:solidFill>
                </w14:textFill>
              </w:rPr>
              <w:t>|</w:t>
            </w:r>
          </w:p>
        </w:tc>
      </w:tr>
    </w:tbl>
    <w:p w14:paraId="5D203639" w14:textId="609E3D8A" w:rsidR="00D96A68" w:rsidRPr="00CA23AA" w:rsidRDefault="00D96A68" w:rsidP="00582C9C">
      <w:pPr>
        <w:pStyle w:val="Tablenotes0"/>
        <w:keepNext/>
        <w:keepLines/>
      </w:pPr>
      <w:r w:rsidRPr="00CA23AA">
        <w:t>BLN = blinatumomab; INCR = increment; Life year = life year; QALY = quality adjusted life year; TIS = tisagenlecleucel</w:t>
      </w:r>
    </w:p>
    <w:p w14:paraId="31ABD41D" w14:textId="0D98A751" w:rsidR="00721254" w:rsidRPr="00CA23AA" w:rsidRDefault="00721254" w:rsidP="00582C9C">
      <w:pPr>
        <w:pStyle w:val="Tablenotes0"/>
        <w:keepNext/>
        <w:keepLines/>
      </w:pPr>
      <w:r w:rsidRPr="00CA23AA">
        <w:t xml:space="preserve">Source: Table 3.3-1 of the </w:t>
      </w:r>
      <w:r w:rsidR="006118E8" w:rsidRPr="00CA23AA">
        <w:t xml:space="preserve">MSAC 1748 </w:t>
      </w:r>
      <w:proofErr w:type="spellStart"/>
      <w:r w:rsidR="006118E8" w:rsidRPr="00CA23AA">
        <w:t>ADAR+inline</w:t>
      </w:r>
      <w:proofErr w:type="spellEnd"/>
      <w:r w:rsidR="006118E8" w:rsidRPr="00CA23AA">
        <w:t xml:space="preserve"> commentary</w:t>
      </w:r>
      <w:r w:rsidR="00FC2AE2" w:rsidRPr="00CA23AA">
        <w:t xml:space="preserve"> and “TIS </w:t>
      </w:r>
      <w:proofErr w:type="spellStart"/>
      <w:r w:rsidR="00FC2AE2" w:rsidRPr="00CA23AA">
        <w:t>pALL</w:t>
      </w:r>
      <w:proofErr w:type="spellEnd"/>
      <w:r w:rsidR="00FC2AE2" w:rsidRPr="00CA23AA">
        <w:t xml:space="preserve"> CEA (Step 3)- Critique May 2023 -ADAR base case with Technical corrections.xlsx”</w:t>
      </w:r>
    </w:p>
    <w:p w14:paraId="00348FA5" w14:textId="77777777" w:rsidR="00DA4BB9" w:rsidRPr="00CA23AA" w:rsidRDefault="006328CB" w:rsidP="00582C9C">
      <w:pPr>
        <w:pStyle w:val="Tablenotes0"/>
        <w:keepNext/>
        <w:keepLines/>
      </w:pPr>
      <w:r w:rsidRPr="00CA23AA">
        <w:rPr>
          <w:vertAlign w:val="superscript"/>
        </w:rPr>
        <w:t xml:space="preserve">1 </w:t>
      </w:r>
      <w:r w:rsidR="00DA4BB9" w:rsidRPr="00CA23AA">
        <w:t>Fixing</w:t>
      </w:r>
      <w:r w:rsidR="003C3FE7" w:rsidRPr="00CA23AA">
        <w:t xml:space="preserve"> incorrect formulas in the cost calculations for proportion of patients infused</w:t>
      </w:r>
      <w:r w:rsidR="00274D94" w:rsidRPr="00CA23AA">
        <w:t xml:space="preserve"> (Step 1–3)</w:t>
      </w:r>
      <w:r w:rsidR="003C3FE7" w:rsidRPr="00CA23AA">
        <w:t>,</w:t>
      </w:r>
    </w:p>
    <w:p w14:paraId="7B7D061D" w14:textId="32C742FF" w:rsidR="006118E8" w:rsidRPr="00CA23AA" w:rsidRDefault="00DA4C9C" w:rsidP="00582C9C">
      <w:pPr>
        <w:pStyle w:val="Tablenotes0"/>
        <w:keepNext/>
        <w:keepLines/>
      </w:pPr>
      <w:r w:rsidRPr="00CA23AA">
        <w:rPr>
          <w:vertAlign w:val="superscript"/>
        </w:rPr>
        <w:t xml:space="preserve">2 </w:t>
      </w:r>
      <w:bookmarkStart w:id="62" w:name="_Hlk134054853"/>
      <w:r w:rsidR="003A034C" w:rsidRPr="00CA23AA">
        <w:t>R</w:t>
      </w:r>
      <w:r w:rsidRPr="00CA23AA">
        <w:t>evision</w:t>
      </w:r>
      <w:r w:rsidR="003A034C" w:rsidRPr="00CA23AA">
        <w:t>s</w:t>
      </w:r>
      <w:r w:rsidRPr="00CA23AA">
        <w:t xml:space="preserve"> were made to the Step 3 model to </w:t>
      </w:r>
      <w:r w:rsidR="00AE2BB2" w:rsidRPr="00CA23AA">
        <w:t>apply the cure function to the EFS health state rather than the OS curve,</w:t>
      </w:r>
      <w:r w:rsidR="00C44CD7" w:rsidRPr="00CA23AA">
        <w:t xml:space="preserve"> by stopping </w:t>
      </w:r>
      <w:r w:rsidR="00156C67" w:rsidRPr="00CA23AA">
        <w:t xml:space="preserve">further </w:t>
      </w:r>
      <w:r w:rsidR="00C44CD7" w:rsidRPr="00CA23AA">
        <w:t>transition</w:t>
      </w:r>
      <w:r w:rsidR="00156C67" w:rsidRPr="00CA23AA">
        <w:t>s</w:t>
      </w:r>
      <w:r w:rsidR="00C44CD7" w:rsidRPr="00CA23AA">
        <w:t xml:space="preserve"> to progression</w:t>
      </w:r>
      <w:r w:rsidR="00156C67" w:rsidRPr="00CA23AA">
        <w:t xml:space="preserve"> at five </w:t>
      </w:r>
      <w:r w:rsidR="009E1982" w:rsidRPr="00CA23AA">
        <w:t>y</w:t>
      </w:r>
      <w:r w:rsidR="00156C67" w:rsidRPr="00CA23AA">
        <w:t>ears</w:t>
      </w:r>
      <w:r w:rsidR="007E6F68" w:rsidRPr="00CA23AA">
        <w:t xml:space="preserve">. </w:t>
      </w:r>
      <w:r w:rsidR="00781014" w:rsidRPr="00CA23AA">
        <w:t xml:space="preserve">These </w:t>
      </w:r>
      <w:proofErr w:type="gramStart"/>
      <w:r w:rsidR="008E5090" w:rsidRPr="00CA23AA">
        <w:t>include:</w:t>
      </w:r>
      <w:proofErr w:type="gramEnd"/>
      <w:r w:rsidR="008E5090" w:rsidRPr="00CA23AA">
        <w:t xml:space="preserve"> </w:t>
      </w:r>
      <w:r w:rsidR="00781014" w:rsidRPr="00CA23AA">
        <w:t>h</w:t>
      </w:r>
      <w:r w:rsidR="008E5090" w:rsidRPr="00CA23AA">
        <w:t>ard</w:t>
      </w:r>
      <w:r w:rsidR="00781014" w:rsidRPr="00CA23AA">
        <w:t>-</w:t>
      </w:r>
      <w:r w:rsidR="008E5090" w:rsidRPr="00CA23AA">
        <w:t xml:space="preserve">entered EFS estimates </w:t>
      </w:r>
      <w:r w:rsidR="00DE1D4A" w:rsidRPr="00CA23AA">
        <w:t>were converted</w:t>
      </w:r>
      <w:r w:rsidR="008E5090" w:rsidRPr="00CA23AA">
        <w:t xml:space="preserve"> to live calculations</w:t>
      </w:r>
      <w:r w:rsidR="00190F3E" w:rsidRPr="00CA23AA">
        <w:t xml:space="preserve"> to </w:t>
      </w:r>
      <w:r w:rsidR="00CC29FA" w:rsidRPr="00CA23AA">
        <w:t>prevent</w:t>
      </w:r>
      <w:r w:rsidR="008E5090" w:rsidRPr="00CA23AA">
        <w:t xml:space="preserve"> </w:t>
      </w:r>
      <w:r w:rsidR="00190F3E" w:rsidRPr="00CA23AA">
        <w:t xml:space="preserve">the </w:t>
      </w:r>
      <w:r w:rsidR="00023276" w:rsidRPr="00CA23AA">
        <w:t>proportion</w:t>
      </w:r>
      <w:r w:rsidR="008E5090" w:rsidRPr="00CA23AA">
        <w:t xml:space="preserve"> of patients in the EFS state to be </w:t>
      </w:r>
      <w:r w:rsidR="004A1FFE" w:rsidRPr="00CA23AA">
        <w:t xml:space="preserve">higher than the proportion of </w:t>
      </w:r>
      <w:r w:rsidR="008E5090" w:rsidRPr="00CA23AA">
        <w:t>OS.</w:t>
      </w:r>
      <w:bookmarkEnd w:id="62"/>
    </w:p>
    <w:p w14:paraId="0FD7BF94" w14:textId="194CAF93" w:rsidR="00D96A68" w:rsidRPr="00CA23AA" w:rsidRDefault="00721254" w:rsidP="00D96A68">
      <w:r w:rsidRPr="00CA23AA">
        <w:t>Step 1 of the analysis was the basis of MSAC’s recommendation in April 2019 and the results of this analysis remain unchanged. Step 2 used the latest pooled data for ELIANA and ENSIGN, extending the duration of observed EFS and OS from 24 months to 48 months. There was a small reduction in the ICER to $</w:t>
      </w:r>
      <w:r w:rsidR="00594907" w:rsidRPr="00594907">
        <w:rPr>
          <w:color w:val="000000"/>
          <w:w w:val="88"/>
          <w:shd w:val="solid" w:color="000000" w:fill="000000"/>
          <w:fitText w:val="390" w:id="-1161539569"/>
          <w14:textFill>
            <w14:solidFill>
              <w14:srgbClr w14:val="000000">
                <w14:alpha w14:val="100000"/>
              </w14:srgbClr>
            </w14:solidFill>
          </w14:textFill>
        </w:rPr>
        <w:t>|||</w:t>
      </w:r>
      <w:r w:rsidR="00594907" w:rsidRPr="00594907">
        <w:rPr>
          <w:color w:val="000000"/>
          <w:spacing w:val="2"/>
          <w:w w:val="88"/>
          <w:shd w:val="solid" w:color="000000" w:fill="000000"/>
          <w:fitText w:val="390" w:id="-1161539569"/>
          <w14:textFill>
            <w14:solidFill>
              <w14:srgbClr w14:val="000000">
                <w14:alpha w14:val="100000"/>
              </w14:srgbClr>
            </w14:solidFill>
          </w14:textFill>
        </w:rPr>
        <w:t>|</w:t>
      </w:r>
      <w:r w:rsidRPr="00CA23AA">
        <w:t xml:space="preserve">per QALY due to slight increase in QALYs associated with TIS. </w:t>
      </w:r>
    </w:p>
    <w:p w14:paraId="228FAB00" w14:textId="0472885A" w:rsidR="00721254" w:rsidRPr="00CA23AA" w:rsidRDefault="00721254" w:rsidP="00D96A68">
      <w:r w:rsidRPr="00CA23AA">
        <w:t xml:space="preserve">In Step 3, updates to healthcare resource utilisation using ABMTRR data and updated 2022 PBS, MBS and hospital costs were used. These changes resulted in a reduction in the lifetime treatment costs primarily driven by lower percentage of subsequent </w:t>
      </w:r>
      <w:proofErr w:type="spellStart"/>
      <w:r w:rsidR="008C5435" w:rsidRPr="00CA23AA">
        <w:t>aHSCT</w:t>
      </w:r>
      <w:r w:rsidRPr="00CA23AA">
        <w:t>s</w:t>
      </w:r>
      <w:proofErr w:type="spellEnd"/>
      <w:r w:rsidRPr="00CA23AA">
        <w:t xml:space="preserve"> interpreted by the ADAR from ABMTRR data. Step 3 also included </w:t>
      </w:r>
      <w:r w:rsidR="00594907" w:rsidRPr="00594907">
        <w:rPr>
          <w:color w:val="000000"/>
          <w:w w:val="88"/>
          <w:shd w:val="solid" w:color="000000" w:fill="000000"/>
          <w:fitText w:val="390" w:id="-1161539568"/>
          <w14:textFill>
            <w14:solidFill>
              <w14:srgbClr w14:val="000000">
                <w14:alpha w14:val="100000"/>
              </w14:srgbClr>
            </w14:solidFill>
          </w14:textFill>
        </w:rPr>
        <w:t>|||</w:t>
      </w:r>
      <w:r w:rsidR="00594907" w:rsidRPr="00594907">
        <w:rPr>
          <w:color w:val="000000"/>
          <w:spacing w:val="2"/>
          <w:w w:val="88"/>
          <w:shd w:val="solid" w:color="000000" w:fill="000000"/>
          <w:fitText w:val="390" w:id="-1161539568"/>
          <w14:textFill>
            <w14:solidFill>
              <w14:srgbClr w14:val="000000">
                <w14:alpha w14:val="100000"/>
              </w14:srgbClr>
            </w14:solidFill>
          </w14:textFill>
        </w:rPr>
        <w:t>|</w:t>
      </w:r>
      <w:r w:rsidRPr="00CA23AA">
        <w:t>. These changes indicated a reduction in the discounted ICER from the original $</w:t>
      </w:r>
      <w:r w:rsidR="00594907" w:rsidRPr="00594907">
        <w:rPr>
          <w:color w:val="000000"/>
          <w:w w:val="88"/>
          <w:shd w:val="solid" w:color="000000" w:fill="000000"/>
          <w:fitText w:val="390" w:id="-1161539584"/>
          <w14:textFill>
            <w14:solidFill>
              <w14:srgbClr w14:val="000000">
                <w14:alpha w14:val="100000"/>
              </w14:srgbClr>
            </w14:solidFill>
          </w14:textFill>
        </w:rPr>
        <w:t>|||</w:t>
      </w:r>
      <w:r w:rsidR="00594907" w:rsidRPr="00594907">
        <w:rPr>
          <w:color w:val="000000"/>
          <w:spacing w:val="2"/>
          <w:w w:val="88"/>
          <w:shd w:val="solid" w:color="000000" w:fill="000000"/>
          <w:fitText w:val="390" w:id="-1161539584"/>
          <w14:textFill>
            <w14:solidFill>
              <w14:srgbClr w14:val="000000">
                <w14:alpha w14:val="100000"/>
              </w14:srgbClr>
            </w14:solidFill>
          </w14:textFill>
        </w:rPr>
        <w:t>|</w:t>
      </w:r>
      <w:r w:rsidRPr="00CA23AA">
        <w:t>per QALY (Step 1) to $</w:t>
      </w:r>
      <w:r w:rsidR="00594907" w:rsidRPr="00594907">
        <w:rPr>
          <w:color w:val="000000"/>
          <w:w w:val="88"/>
          <w:shd w:val="solid" w:color="000000" w:fill="000000"/>
          <w:fitText w:val="390" w:id="-1161539583"/>
          <w14:textFill>
            <w14:solidFill>
              <w14:srgbClr w14:val="000000">
                <w14:alpha w14:val="100000"/>
              </w14:srgbClr>
            </w14:solidFill>
          </w14:textFill>
        </w:rPr>
        <w:t>|||</w:t>
      </w:r>
      <w:r w:rsidR="00594907" w:rsidRPr="00594907">
        <w:rPr>
          <w:color w:val="000000"/>
          <w:spacing w:val="2"/>
          <w:w w:val="88"/>
          <w:shd w:val="solid" w:color="000000" w:fill="000000"/>
          <w:fitText w:val="390" w:id="-1161539583"/>
          <w14:textFill>
            <w14:solidFill>
              <w14:srgbClr w14:val="000000">
                <w14:alpha w14:val="100000"/>
              </w14:srgbClr>
            </w14:solidFill>
          </w14:textFill>
        </w:rPr>
        <w:t>|</w:t>
      </w:r>
      <w:r w:rsidRPr="00CA23AA">
        <w:t>per QALY (Step 3).</w:t>
      </w:r>
    </w:p>
    <w:p w14:paraId="1FFA2D5C" w14:textId="0CC2F5CF" w:rsidR="00721254" w:rsidRPr="00CA23AA" w:rsidRDefault="005049B4" w:rsidP="0093182C">
      <w:r w:rsidRPr="00CA23AA">
        <w:t xml:space="preserve">Estimated revised ICER in Step 3 (updated using ABMTRR data) of the economic evaluation are lower than previously estimated, </w:t>
      </w:r>
      <w:bookmarkStart w:id="63" w:name="_Hlk134054978"/>
      <w:r w:rsidRPr="00CA23AA">
        <w:t xml:space="preserve">however this is due to </w:t>
      </w:r>
      <w:r w:rsidR="00EA28AB" w:rsidRPr="00CA23AA">
        <w:t>multiple</w:t>
      </w:r>
      <w:r w:rsidR="0065722A" w:rsidRPr="00CA23AA">
        <w:t xml:space="preserve"> </w:t>
      </w:r>
      <w:r w:rsidRPr="00CA23AA">
        <w:t>underestimation</w:t>
      </w:r>
      <w:r w:rsidR="0034626C" w:rsidRPr="00CA23AA">
        <w:t>s</w:t>
      </w:r>
      <w:r w:rsidRPr="00CA23AA">
        <w:t xml:space="preserve"> of </w:t>
      </w:r>
      <w:bookmarkEnd w:id="63"/>
      <w:r w:rsidRPr="00CA23AA">
        <w:t xml:space="preserve">resource use and costs in the intervention arm. Although a higher-than-expected EFS and OS benefits for TIS were observed in the Australian data, </w:t>
      </w:r>
      <w:r w:rsidR="00DA2F44" w:rsidRPr="00CA23AA">
        <w:t>this is likely confounded, since</w:t>
      </w:r>
      <w:r w:rsidRPr="00CA23AA">
        <w:t xml:space="preserve"> </w:t>
      </w:r>
      <w:r w:rsidR="007329AA" w:rsidRPr="00CA23AA">
        <w:t>several</w:t>
      </w:r>
      <w:r w:rsidRPr="00CA23AA">
        <w:t xml:space="preserve"> patients had additional subsequent treatments, and it is likely that the remission</w:t>
      </w:r>
      <w:r w:rsidR="00594907" w:rsidRPr="00594907">
        <w:rPr>
          <w:color w:val="000000"/>
          <w:w w:val="86"/>
          <w:shd w:val="solid" w:color="000000" w:fill="000000"/>
          <w:fitText w:val="380" w:id="-1161539582"/>
          <w14:textFill>
            <w14:solidFill>
              <w14:srgbClr w14:val="000000">
                <w14:alpha w14:val="100000"/>
              </w14:srgbClr>
            </w14:solidFill>
          </w14:textFill>
        </w:rPr>
        <w:t>|||</w:t>
      </w:r>
      <w:r w:rsidR="00594907" w:rsidRPr="00594907">
        <w:rPr>
          <w:color w:val="000000"/>
          <w:spacing w:val="1"/>
          <w:w w:val="86"/>
          <w:shd w:val="solid" w:color="000000" w:fill="000000"/>
          <w:fitText w:val="380" w:id="-1161539582"/>
          <w14:textFill>
            <w14:solidFill>
              <w14:srgbClr w14:val="000000">
                <w14:alpha w14:val="100000"/>
              </w14:srgbClr>
            </w14:solidFill>
          </w14:textFill>
        </w:rPr>
        <w:t>|</w:t>
      </w:r>
      <w:r w:rsidRPr="00CA23AA">
        <w:t>was due to subsequent treatment in these patients.</w:t>
      </w:r>
      <w:r w:rsidR="0093182C" w:rsidRPr="00CA23AA">
        <w:t xml:space="preserve"> Also, as discussed earlier, the implementation of </w:t>
      </w:r>
      <w:r w:rsidR="00F84CA7" w:rsidRPr="00CA23AA">
        <w:t>cure</w:t>
      </w:r>
      <w:r w:rsidR="0093182C" w:rsidRPr="00CA23AA">
        <w:t xml:space="preserve"> in the </w:t>
      </w:r>
      <w:r w:rsidR="00B15FBF" w:rsidRPr="00CA23AA">
        <w:t xml:space="preserve">ADAR </w:t>
      </w:r>
      <w:r w:rsidR="0093182C" w:rsidRPr="00CA23AA">
        <w:t xml:space="preserve">model </w:t>
      </w:r>
      <w:r w:rsidR="00DE1E17" w:rsidRPr="00CA23AA">
        <w:t>w</w:t>
      </w:r>
      <w:r w:rsidR="00B15FBF" w:rsidRPr="00CA23AA">
        <w:t>as</w:t>
      </w:r>
      <w:r w:rsidR="0093182C" w:rsidRPr="00CA23AA">
        <w:t xml:space="preserve"> problematic and </w:t>
      </w:r>
      <w:r w:rsidR="00D87192" w:rsidRPr="00CA23AA">
        <w:t>revisions were made to the Step 3 model to rectify</w:t>
      </w:r>
      <w:r w:rsidR="00C420DF" w:rsidRPr="00CA23AA">
        <w:t xml:space="preserve"> th</w:t>
      </w:r>
      <w:r w:rsidR="00726776" w:rsidRPr="00CA23AA">
        <w:t>is</w:t>
      </w:r>
      <w:r w:rsidR="001F76D3" w:rsidRPr="00CA23AA">
        <w:t xml:space="preserve"> </w:t>
      </w:r>
      <w:r w:rsidR="00D87192" w:rsidRPr="00CA23AA">
        <w:t>issue</w:t>
      </w:r>
      <w:r w:rsidR="006621DB" w:rsidRPr="00CA23AA">
        <w:t>, and the Commentary</w:t>
      </w:r>
      <w:r w:rsidR="00DD30C6" w:rsidRPr="00CA23AA">
        <w:t>-revised</w:t>
      </w:r>
      <w:r w:rsidR="00287F4A" w:rsidRPr="00CA23AA">
        <w:t xml:space="preserve"> model was used for the sensitivity analyses</w:t>
      </w:r>
      <w:r w:rsidR="00DD30C6" w:rsidRPr="00CA23AA">
        <w:t xml:space="preserve"> </w:t>
      </w:r>
      <w:r w:rsidR="00171C51" w:rsidRPr="00CA23AA">
        <w:t>presented below</w:t>
      </w:r>
      <w:r w:rsidR="00287F4A" w:rsidRPr="00CA23AA">
        <w:t>.</w:t>
      </w:r>
    </w:p>
    <w:p w14:paraId="3E0A66F1" w14:textId="61AD5F41" w:rsidR="00DC2DCF" w:rsidRPr="00CA23AA" w:rsidRDefault="00B11989" w:rsidP="0093182C">
      <w:r w:rsidRPr="00CA23AA">
        <w:t xml:space="preserve">Univariate and multivariate sensitivity analyses are presented in </w:t>
      </w:r>
      <w:r w:rsidRPr="00CA23AA">
        <w:fldChar w:fldCharType="begin"/>
      </w:r>
      <w:r w:rsidRPr="00CA23AA">
        <w:instrText xml:space="preserve"> REF _Ref131519618 \h </w:instrText>
      </w:r>
      <w:r w:rsidR="00CA23AA">
        <w:instrText xml:space="preserve"> \* MERGEFORMAT </w:instrText>
      </w:r>
      <w:r w:rsidRPr="00CA23AA">
        <w:fldChar w:fldCharType="separate"/>
      </w:r>
      <w:r w:rsidR="00175880" w:rsidRPr="00CA23AA">
        <w:t xml:space="preserve">Table </w:t>
      </w:r>
      <w:r w:rsidR="00175880" w:rsidRPr="00CA23AA">
        <w:rPr>
          <w:noProof/>
        </w:rPr>
        <w:t>17</w:t>
      </w:r>
      <w:r w:rsidRPr="00CA23AA">
        <w:fldChar w:fldCharType="end"/>
      </w:r>
      <w:r w:rsidRPr="00CA23AA">
        <w:t xml:space="preserve"> to highlight some of the uncertainties associated with the model inputs. </w:t>
      </w:r>
      <w:r w:rsidR="006206DA" w:rsidRPr="00CA23AA">
        <w:t>The alternative input</w:t>
      </w:r>
      <w:r w:rsidR="00361D90" w:rsidRPr="00CA23AA">
        <w:t xml:space="preserve"> value</w:t>
      </w:r>
      <w:r w:rsidR="006206DA" w:rsidRPr="00CA23AA">
        <w:t xml:space="preserve">s presented in the table below </w:t>
      </w:r>
      <w:r w:rsidR="00D629FC" w:rsidRPr="00CA23AA">
        <w:t xml:space="preserve">are all </w:t>
      </w:r>
      <w:r w:rsidR="006206DA" w:rsidRPr="00CA23AA">
        <w:t xml:space="preserve">plausible, and </w:t>
      </w:r>
      <w:r w:rsidR="00D629FC" w:rsidRPr="00CA23AA">
        <w:t xml:space="preserve">shaded inputs represent </w:t>
      </w:r>
      <w:r w:rsidR="00CB0D68" w:rsidRPr="00CA23AA">
        <w:t xml:space="preserve">preferred </w:t>
      </w:r>
      <w:r w:rsidR="006206DA" w:rsidRPr="00CA23AA">
        <w:t>estimates of input</w:t>
      </w:r>
      <w:r w:rsidR="003D1665" w:rsidRPr="00CA23AA">
        <w:t xml:space="preserve"> value</w:t>
      </w:r>
      <w:r w:rsidR="006206DA" w:rsidRPr="00CA23AA">
        <w:t xml:space="preserve">s identified during the Commentary. </w:t>
      </w:r>
      <w:r w:rsidR="00220697" w:rsidRPr="00CA23AA">
        <w:t xml:space="preserve">The </w:t>
      </w:r>
      <w:r w:rsidRPr="00CA23AA">
        <w:t xml:space="preserve">ICER is sensitive to the program costs and proportion </w:t>
      </w:r>
      <w:r w:rsidR="00287F4A" w:rsidRPr="00CA23AA">
        <w:t xml:space="preserve">of </w:t>
      </w:r>
      <w:r w:rsidRPr="00CA23AA">
        <w:t xml:space="preserve">patients receiving </w:t>
      </w:r>
      <w:proofErr w:type="spellStart"/>
      <w:r w:rsidR="008C5435" w:rsidRPr="00CA23AA">
        <w:t>aH</w:t>
      </w:r>
      <w:r w:rsidRPr="00CA23AA">
        <w:t>SCT</w:t>
      </w:r>
      <w:proofErr w:type="spellEnd"/>
      <w:r w:rsidRPr="00CA23AA">
        <w:t>.</w:t>
      </w:r>
    </w:p>
    <w:p w14:paraId="5841D008" w14:textId="31DED249" w:rsidR="00290CB4" w:rsidRPr="00CA23AA" w:rsidRDefault="00290CB4" w:rsidP="00180310">
      <w:pPr>
        <w:pStyle w:val="TableHeading0"/>
        <w:rPr>
          <w:vertAlign w:val="superscript"/>
        </w:rPr>
      </w:pPr>
      <w:bookmarkStart w:id="64" w:name="_Ref131519618"/>
      <w:r w:rsidRPr="00CA23AA">
        <w:t xml:space="preserve">Table </w:t>
      </w:r>
      <w:r w:rsidRPr="00CA23AA">
        <w:fldChar w:fldCharType="begin"/>
      </w:r>
      <w:r w:rsidRPr="00CA23AA">
        <w:instrText>SEQ Table \* ARABIC</w:instrText>
      </w:r>
      <w:r w:rsidRPr="00CA23AA">
        <w:fldChar w:fldCharType="separate"/>
      </w:r>
      <w:r w:rsidR="00175880" w:rsidRPr="00CA23AA">
        <w:rPr>
          <w:noProof/>
        </w:rPr>
        <w:t>17</w:t>
      </w:r>
      <w:r w:rsidRPr="00CA23AA">
        <w:fldChar w:fldCharType="end"/>
      </w:r>
      <w:bookmarkEnd w:id="64"/>
      <w:r w:rsidRPr="00CA23AA">
        <w:tab/>
        <w:t xml:space="preserve">Sensitivity analysis using Step 3- comprehensive update model as base </w:t>
      </w:r>
      <w:proofErr w:type="gramStart"/>
      <w:r w:rsidRPr="00CA23AA">
        <w:t>case</w:t>
      </w:r>
      <w:r w:rsidR="00AE20A8" w:rsidRPr="00CA23AA">
        <w:rPr>
          <w:vertAlign w:val="superscript"/>
        </w:rPr>
        <w:t>1</w:t>
      </w:r>
      <w:proofErr w:type="gramEnd"/>
    </w:p>
    <w:tbl>
      <w:tblPr>
        <w:tblStyle w:val="Summarybox1"/>
        <w:tblW w:w="9016" w:type="dxa"/>
        <w:tblInd w:w="-10" w:type="dxa"/>
        <w:tblLayout w:type="fixed"/>
        <w:tblLook w:val="04A0" w:firstRow="1" w:lastRow="0" w:firstColumn="1" w:lastColumn="0" w:noHBand="0" w:noVBand="1"/>
        <w:tblCaption w:val="Sensitivity analysis using Step 3- comprehensive update model as base case"/>
        <w:tblDescription w:val="Sensitivity analysis using Step 3- comprehensive update model as base case"/>
      </w:tblPr>
      <w:tblGrid>
        <w:gridCol w:w="2977"/>
        <w:gridCol w:w="1985"/>
        <w:gridCol w:w="1275"/>
        <w:gridCol w:w="1560"/>
        <w:gridCol w:w="1219"/>
      </w:tblGrid>
      <w:tr w:rsidR="007F159D" w:rsidRPr="00CA23AA" w14:paraId="007CA7F5" w14:textId="77777777" w:rsidTr="00594907">
        <w:trPr>
          <w:trHeight w:val="525"/>
          <w:tblHeader/>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46E1FD" w14:textId="77777777" w:rsidR="00290CB4" w:rsidRPr="00CA23AA" w:rsidRDefault="00290CB4" w:rsidP="00EB36EE">
            <w:pPr>
              <w:pStyle w:val="Tabletext0"/>
              <w:spacing w:before="0" w:after="0"/>
              <w:rPr>
                <w:rFonts w:cs="Calibri"/>
                <w:b/>
              </w:rPr>
            </w:pPr>
            <w:r w:rsidRPr="00CA23AA">
              <w:rPr>
                <w:b/>
              </w:rPr>
              <w:t>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53588B9D" w14:textId="77777777" w:rsidR="00290CB4" w:rsidRPr="00CA23AA" w:rsidRDefault="00290CB4" w:rsidP="00EB36EE">
            <w:pPr>
              <w:pStyle w:val="Tabletext0"/>
              <w:spacing w:before="0" w:after="0"/>
              <w:rPr>
                <w:rFonts w:cs="Calibri"/>
                <w:b/>
              </w:rPr>
            </w:pPr>
            <w:r w:rsidRPr="00CA23AA">
              <w:rPr>
                <w:b/>
              </w:rPr>
              <w:t>Increment in cost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6F0E4AC" w14:textId="77777777" w:rsidR="00290CB4" w:rsidRPr="00CA23AA" w:rsidRDefault="00290CB4" w:rsidP="00EB36EE">
            <w:pPr>
              <w:pStyle w:val="Tabletext0"/>
              <w:spacing w:before="0" w:after="0"/>
              <w:rPr>
                <w:rFonts w:cs="Calibri"/>
                <w:b/>
              </w:rPr>
            </w:pPr>
            <w:r w:rsidRPr="00CA23AA">
              <w:rPr>
                <w:b/>
              </w:rPr>
              <w:t>Increment in QALYs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2815DC5" w14:textId="77777777" w:rsidR="00290CB4" w:rsidRPr="00CA23AA" w:rsidRDefault="00290CB4" w:rsidP="00EB36EE">
            <w:pPr>
              <w:pStyle w:val="Tabletext0"/>
              <w:spacing w:before="0" w:after="0"/>
              <w:rPr>
                <w:rFonts w:cs="Calibri"/>
                <w:b/>
              </w:rPr>
            </w:pPr>
            <w:r w:rsidRPr="00CA23AA">
              <w:rPr>
                <w:b/>
              </w:rPr>
              <w:t>Cost/QALY</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14:paraId="17F72CC1" w14:textId="77777777" w:rsidR="00290CB4" w:rsidRPr="00CA23AA" w:rsidRDefault="00290CB4" w:rsidP="00EB36EE">
            <w:pPr>
              <w:pStyle w:val="Tabletext0"/>
              <w:spacing w:before="0" w:after="0"/>
              <w:rPr>
                <w:rFonts w:cs="Calibri"/>
                <w:b/>
              </w:rPr>
            </w:pPr>
            <w:r w:rsidRPr="00CA23AA">
              <w:rPr>
                <w:b/>
              </w:rPr>
              <w:t>%change</w:t>
            </w:r>
          </w:p>
        </w:tc>
      </w:tr>
      <w:tr w:rsidR="007F159D" w:rsidRPr="00CA23AA" w14:paraId="6CD7B27F" w14:textId="77777777" w:rsidTr="00594907">
        <w:trPr>
          <w:trHeight w:val="525"/>
          <w:tblHead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9440C30" w14:textId="1A1CE8EF" w:rsidR="00290CB4" w:rsidRPr="00CA23AA" w:rsidRDefault="00B05389" w:rsidP="00EB36EE">
            <w:pPr>
              <w:pStyle w:val="Tabletext0"/>
              <w:spacing w:before="0" w:after="0"/>
              <w:rPr>
                <w:rFonts w:cs="Calibri"/>
                <w:b/>
              </w:rPr>
            </w:pPr>
            <w:r w:rsidRPr="00CA23AA">
              <w:rPr>
                <w:b/>
              </w:rPr>
              <w:t xml:space="preserve">ADAR </w:t>
            </w:r>
            <w:r w:rsidR="00F17848" w:rsidRPr="00CA23AA">
              <w:t>b</w:t>
            </w:r>
            <w:r w:rsidR="00290CB4" w:rsidRPr="00CA23AA">
              <w:rPr>
                <w:rFonts w:cs="Calibri"/>
                <w:b/>
              </w:rPr>
              <w:t>ase case (Step 3)</w:t>
            </w:r>
          </w:p>
        </w:tc>
        <w:tc>
          <w:tcPr>
            <w:tcW w:w="1985" w:type="dxa"/>
            <w:tcBorders>
              <w:top w:val="single" w:sz="8" w:space="0" w:color="auto"/>
              <w:left w:val="nil"/>
              <w:bottom w:val="single" w:sz="8" w:space="0" w:color="auto"/>
              <w:right w:val="single" w:sz="8" w:space="0" w:color="auto"/>
            </w:tcBorders>
            <w:shd w:val="solid" w:color="000000" w:fill="000000"/>
            <w:vAlign w:val="center"/>
            <w:hideMark/>
          </w:tcPr>
          <w:p w14:paraId="52947164" w14:textId="75A44B7B" w:rsidR="00290CB4" w:rsidRPr="00CA23AA" w:rsidRDefault="00594907" w:rsidP="00EB36EE">
            <w:pPr>
              <w:pStyle w:val="Tabletext0"/>
              <w:spacing w:before="0" w:after="0"/>
              <w:jc w:val="center"/>
              <w:rPr>
                <w:rFonts w:cs="Calibri"/>
                <w:b/>
              </w:rPr>
            </w:pPr>
            <w:r w:rsidRPr="00594907">
              <w:rPr>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vAlign w:val="center"/>
            <w:hideMark/>
          </w:tcPr>
          <w:p w14:paraId="23CEFA79" w14:textId="77777777" w:rsidR="00290CB4" w:rsidRPr="00CA23AA" w:rsidRDefault="00290CB4" w:rsidP="00EB36EE">
            <w:pPr>
              <w:pStyle w:val="Tabletext0"/>
              <w:spacing w:before="0" w:after="0"/>
              <w:jc w:val="center"/>
              <w:rPr>
                <w:rFonts w:cs="Calibri"/>
                <w:b/>
              </w:rPr>
            </w:pPr>
            <w:r w:rsidRPr="00CA23AA">
              <w:t>4.131</w:t>
            </w:r>
          </w:p>
        </w:tc>
        <w:tc>
          <w:tcPr>
            <w:tcW w:w="1560" w:type="dxa"/>
            <w:tcBorders>
              <w:top w:val="single" w:sz="8" w:space="0" w:color="auto"/>
              <w:left w:val="nil"/>
              <w:bottom w:val="single" w:sz="8" w:space="0" w:color="auto"/>
              <w:right w:val="single" w:sz="8" w:space="0" w:color="auto"/>
            </w:tcBorders>
            <w:shd w:val="solid" w:color="000000" w:fill="000000"/>
            <w:vAlign w:val="center"/>
            <w:hideMark/>
          </w:tcPr>
          <w:p w14:paraId="566BB212" w14:textId="2FF41398" w:rsidR="00290CB4" w:rsidRPr="00CA23AA" w:rsidRDefault="00594907" w:rsidP="00EB36EE">
            <w:pPr>
              <w:pStyle w:val="Tabletext0"/>
              <w:spacing w:before="0" w:after="0"/>
              <w:jc w:val="center"/>
              <w:rPr>
                <w:rFonts w:cs="Calibri"/>
                <w:b/>
              </w:rPr>
            </w:pPr>
            <w:r w:rsidRPr="00594907">
              <w:rPr>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vAlign w:val="center"/>
            <w:hideMark/>
          </w:tcPr>
          <w:p w14:paraId="7C9B4CA1" w14:textId="5E1D0099" w:rsidR="00290CB4" w:rsidRPr="00CA23AA" w:rsidRDefault="00290CB4" w:rsidP="00EB36EE">
            <w:pPr>
              <w:pStyle w:val="Tabletext0"/>
              <w:spacing w:before="0" w:after="0"/>
              <w:jc w:val="center"/>
              <w:rPr>
                <w:rFonts w:cs="Calibri"/>
              </w:rPr>
            </w:pPr>
          </w:p>
        </w:tc>
      </w:tr>
      <w:tr w:rsidR="00105DDF" w:rsidRPr="00CA23AA" w14:paraId="71528BBA" w14:textId="77777777" w:rsidTr="00594907">
        <w:trPr>
          <w:trHeight w:val="525"/>
          <w:tblHeader/>
        </w:trPr>
        <w:tc>
          <w:tcPr>
            <w:tcW w:w="2977" w:type="dxa"/>
            <w:tcBorders>
              <w:top w:val="single" w:sz="8" w:space="0" w:color="auto"/>
              <w:left w:val="single" w:sz="8" w:space="0" w:color="auto"/>
              <w:bottom w:val="single" w:sz="8" w:space="0" w:color="auto"/>
              <w:right w:val="single" w:sz="4" w:space="0" w:color="auto"/>
            </w:tcBorders>
            <w:shd w:val="clear" w:color="auto" w:fill="auto"/>
            <w:vAlign w:val="center"/>
          </w:tcPr>
          <w:p w14:paraId="2B05805F" w14:textId="49BA9BC4" w:rsidR="00283134" w:rsidRPr="00CA23AA" w:rsidDel="00B05389" w:rsidRDefault="00806D33" w:rsidP="00EB36EE">
            <w:pPr>
              <w:pStyle w:val="Tabletext0"/>
              <w:spacing w:before="0" w:after="0"/>
              <w:rPr>
                <w:b/>
                <w:vertAlign w:val="superscript"/>
              </w:rPr>
            </w:pPr>
            <w:r w:rsidRPr="00CA23AA">
              <w:rPr>
                <w:b/>
              </w:rPr>
              <w:t xml:space="preserve">Commentary </w:t>
            </w:r>
            <w:r w:rsidR="00C4093F" w:rsidRPr="00CA23AA">
              <w:rPr>
                <w:b/>
              </w:rPr>
              <w:t xml:space="preserve">base case (Step 3 after </w:t>
            </w:r>
            <w:r w:rsidR="00F62C3C" w:rsidRPr="00CA23AA">
              <w:rPr>
                <w:b/>
              </w:rPr>
              <w:t xml:space="preserve">structural </w:t>
            </w:r>
            <w:r w:rsidR="00050853" w:rsidRPr="00CA23AA">
              <w:rPr>
                <w:b/>
              </w:rPr>
              <w:t xml:space="preserve">and </w:t>
            </w:r>
            <w:r w:rsidR="00C4093F" w:rsidRPr="00CA23AA">
              <w:rPr>
                <w:b/>
              </w:rPr>
              <w:t>technical corrections in the model)</w:t>
            </w:r>
            <w:r w:rsidR="003218E4" w:rsidRPr="00CA23AA">
              <w:rPr>
                <w:b/>
                <w:vertAlign w:val="superscript"/>
              </w:rPr>
              <w:t>1</w:t>
            </w:r>
          </w:p>
        </w:tc>
        <w:tc>
          <w:tcPr>
            <w:tcW w:w="1985" w:type="dxa"/>
            <w:tcBorders>
              <w:top w:val="single" w:sz="8" w:space="0" w:color="auto"/>
              <w:left w:val="single" w:sz="4" w:space="0" w:color="auto"/>
              <w:bottom w:val="single" w:sz="8" w:space="0" w:color="auto"/>
              <w:right w:val="single" w:sz="4" w:space="0" w:color="auto"/>
            </w:tcBorders>
            <w:shd w:val="solid" w:color="000000" w:fill="000000"/>
          </w:tcPr>
          <w:p w14:paraId="0D1A7802" w14:textId="0716D269" w:rsidR="00283134" w:rsidRPr="00CA23AA" w:rsidRDefault="00594907" w:rsidP="00EB36EE">
            <w:pPr>
              <w:pStyle w:val="Tabletext0"/>
              <w:spacing w:before="0" w:after="0"/>
              <w:jc w:val="center"/>
            </w:pPr>
            <w:r w:rsidRPr="00594907">
              <w:rPr>
                <w:color w:val="000000"/>
                <w14:textFill>
                  <w14:solidFill>
                    <w14:srgbClr w14:val="000000">
                      <w14:alpha w14:val="100000"/>
                    </w14:srgbClr>
                  </w14:solidFill>
                </w14:textFill>
              </w:rPr>
              <w: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B7AA0BE" w14:textId="41AF4ECD" w:rsidR="00283134" w:rsidRPr="00CA23AA" w:rsidRDefault="00080B30" w:rsidP="00EB36EE">
            <w:pPr>
              <w:pStyle w:val="Tabletext0"/>
              <w:spacing w:before="0" w:after="0"/>
              <w:jc w:val="center"/>
            </w:pPr>
            <w:r w:rsidRPr="00CA23AA">
              <w:t>4.110</w:t>
            </w:r>
          </w:p>
        </w:tc>
        <w:tc>
          <w:tcPr>
            <w:tcW w:w="1560" w:type="dxa"/>
            <w:tcBorders>
              <w:top w:val="single" w:sz="8" w:space="0" w:color="auto"/>
              <w:left w:val="single" w:sz="4" w:space="0" w:color="auto"/>
              <w:bottom w:val="single" w:sz="8" w:space="0" w:color="auto"/>
              <w:right w:val="single" w:sz="4" w:space="0" w:color="auto"/>
            </w:tcBorders>
            <w:shd w:val="solid" w:color="000000" w:fill="000000"/>
          </w:tcPr>
          <w:p w14:paraId="3A7585D2" w14:textId="53A7FA60" w:rsidR="00283134" w:rsidRPr="00CA23AA" w:rsidRDefault="00594907" w:rsidP="00EB36EE">
            <w:pPr>
              <w:pStyle w:val="Tabletext0"/>
              <w:spacing w:before="0" w:after="0"/>
              <w:jc w:val="center"/>
            </w:pPr>
            <w:r w:rsidRPr="00594907">
              <w:rPr>
                <w:color w:val="000000"/>
                <w14:textFill>
                  <w14:solidFill>
                    <w14:srgbClr w14:val="000000">
                      <w14:alpha w14:val="100000"/>
                    </w14:srgbClr>
                  </w14:solidFill>
                </w14:textFill>
              </w:rPr>
              <w:t>|</w:t>
            </w:r>
          </w:p>
        </w:tc>
        <w:tc>
          <w:tcPr>
            <w:tcW w:w="1219" w:type="dxa"/>
            <w:tcBorders>
              <w:top w:val="single" w:sz="8" w:space="0" w:color="auto"/>
              <w:left w:val="single" w:sz="4" w:space="0" w:color="auto"/>
              <w:bottom w:val="single" w:sz="8" w:space="0" w:color="auto"/>
              <w:right w:val="single" w:sz="8" w:space="0" w:color="auto"/>
            </w:tcBorders>
            <w:shd w:val="clear" w:color="auto" w:fill="auto"/>
            <w:vAlign w:val="center"/>
          </w:tcPr>
          <w:p w14:paraId="499B993D" w14:textId="77777777" w:rsidR="00283134" w:rsidRPr="00CA23AA" w:rsidRDefault="00283134" w:rsidP="00EB36EE">
            <w:pPr>
              <w:pStyle w:val="Tabletext0"/>
              <w:spacing w:before="0" w:after="0"/>
              <w:jc w:val="center"/>
            </w:pPr>
          </w:p>
        </w:tc>
      </w:tr>
      <w:tr w:rsidR="0037595A" w:rsidRPr="00CA23AA" w14:paraId="392FFFAA" w14:textId="77777777" w:rsidTr="00C46B2F">
        <w:trPr>
          <w:trHeight w:val="315"/>
        </w:trPr>
        <w:tc>
          <w:tcPr>
            <w:tcW w:w="9016" w:type="dxa"/>
            <w:gridSpan w:val="5"/>
            <w:tcBorders>
              <w:top w:val="nil"/>
              <w:left w:val="single" w:sz="8" w:space="0" w:color="auto"/>
              <w:bottom w:val="single" w:sz="8" w:space="0" w:color="auto"/>
              <w:right w:val="single" w:sz="8" w:space="0" w:color="auto"/>
            </w:tcBorders>
            <w:shd w:val="clear" w:color="auto" w:fill="auto"/>
            <w:noWrap/>
            <w:vAlign w:val="center"/>
            <w:hideMark/>
          </w:tcPr>
          <w:p w14:paraId="29E7B5A3" w14:textId="47B2D7AF" w:rsidR="00290CB4" w:rsidRPr="00CA23AA" w:rsidRDefault="00290CB4" w:rsidP="00EB36EE">
            <w:pPr>
              <w:pStyle w:val="Tabletext0"/>
              <w:spacing w:before="0" w:after="0"/>
              <w:rPr>
                <w:rFonts w:cs="Calibri"/>
              </w:rPr>
            </w:pPr>
            <w:r w:rsidRPr="00CA23AA">
              <w:t xml:space="preserve">Proportion of enrolled patients who had successful infusion (base case: </w:t>
            </w:r>
            <w:proofErr w:type="gramStart"/>
            <w:r w:rsidR="00594907" w:rsidRPr="00594907">
              <w:rPr>
                <w:color w:val="000000"/>
                <w:spacing w:val="24"/>
                <w:shd w:val="solid" w:color="000000" w:fill="000000"/>
                <w:fitText w:val="250" w:id="-1161539581"/>
                <w14:textFill>
                  <w14:solidFill>
                    <w14:srgbClr w14:val="000000">
                      <w14:alpha w14:val="100000"/>
                    </w14:srgbClr>
                  </w14:solidFill>
                </w14:textFill>
              </w:rPr>
              <w:t xml:space="preserve">|  </w:t>
            </w:r>
            <w:r w:rsidR="00594907" w:rsidRPr="00594907">
              <w:rPr>
                <w:color w:val="000000"/>
                <w:spacing w:val="2"/>
                <w:shd w:val="solid" w:color="000000" w:fill="000000"/>
                <w:fitText w:val="250" w:id="-1161539581"/>
                <w14:textFill>
                  <w14:solidFill>
                    <w14:srgbClr w14:val="000000">
                      <w14:alpha w14:val="100000"/>
                    </w14:srgbClr>
                  </w14:solidFill>
                </w14:textFill>
              </w:rPr>
              <w:t>|</w:t>
            </w:r>
            <w:proofErr w:type="gramEnd"/>
            <w:r w:rsidRPr="00CA23AA">
              <w:t>%)</w:t>
            </w:r>
          </w:p>
        </w:tc>
      </w:tr>
      <w:tr w:rsidR="007F159D" w:rsidRPr="00CA23AA" w14:paraId="2E566996" w14:textId="77777777" w:rsidTr="00594907">
        <w:trPr>
          <w:trHeight w:val="315"/>
        </w:trPr>
        <w:tc>
          <w:tcPr>
            <w:tcW w:w="2977" w:type="dxa"/>
            <w:tcBorders>
              <w:top w:val="nil"/>
              <w:left w:val="single" w:sz="8" w:space="0" w:color="auto"/>
              <w:bottom w:val="single" w:sz="8" w:space="0" w:color="auto"/>
              <w:right w:val="single" w:sz="8" w:space="0" w:color="auto"/>
            </w:tcBorders>
            <w:shd w:val="clear" w:color="auto" w:fill="auto"/>
            <w:hideMark/>
          </w:tcPr>
          <w:p w14:paraId="016FE13F" w14:textId="592FECD0" w:rsidR="00BF1AF3" w:rsidRPr="00CA23AA" w:rsidRDefault="00BF1AF3" w:rsidP="00EB36EE">
            <w:pPr>
              <w:pStyle w:val="Tabletext0"/>
              <w:spacing w:before="0" w:after="0"/>
              <w:rPr>
                <w:rFonts w:cs="Calibri"/>
              </w:rPr>
            </w:pPr>
            <w:r w:rsidRPr="00CA23AA">
              <w:t xml:space="preserve">Weighted </w:t>
            </w:r>
            <w:r w:rsidRPr="00CA23AA">
              <w:rPr>
                <w:rFonts w:cs="Calibri"/>
              </w:rPr>
              <w:t xml:space="preserve">data based on MSAC quarterly report: </w:t>
            </w:r>
            <w:proofErr w:type="gramStart"/>
            <w:r w:rsidR="00594907" w:rsidRPr="00594907">
              <w:rPr>
                <w:rFonts w:cs="Calibri"/>
                <w:color w:val="000000"/>
                <w:spacing w:val="27"/>
                <w:shd w:val="solid" w:color="000000" w:fill="000000"/>
                <w:fitText w:val="260" w:id="-1161539580"/>
                <w14:textFill>
                  <w14:solidFill>
                    <w14:srgbClr w14:val="000000">
                      <w14:alpha w14:val="100000"/>
                    </w14:srgbClr>
                  </w14:solidFill>
                </w14:textFill>
              </w:rPr>
              <w:t xml:space="preserve">|  </w:t>
            </w:r>
            <w:r w:rsidR="00594907" w:rsidRPr="00594907">
              <w:rPr>
                <w:rFonts w:cs="Calibri"/>
                <w:color w:val="000000"/>
                <w:spacing w:val="3"/>
                <w:shd w:val="solid" w:color="000000" w:fill="000000"/>
                <w:fitText w:val="260" w:id="-1161539580"/>
                <w14:textFill>
                  <w14:solidFill>
                    <w14:srgbClr w14:val="000000">
                      <w14:alpha w14:val="100000"/>
                    </w14:srgbClr>
                  </w14:solidFill>
                </w14:textFill>
              </w:rPr>
              <w:t>|</w:t>
            </w:r>
            <w:proofErr w:type="gramEnd"/>
            <w:r w:rsidRPr="00CA23AA">
              <w:rPr>
                <w:rFonts w:cs="Calibri"/>
              </w:rPr>
              <w:t>%</w:t>
            </w:r>
          </w:p>
        </w:tc>
        <w:tc>
          <w:tcPr>
            <w:tcW w:w="1985" w:type="dxa"/>
            <w:tcBorders>
              <w:top w:val="nil"/>
              <w:left w:val="nil"/>
              <w:bottom w:val="single" w:sz="8" w:space="0" w:color="auto"/>
              <w:right w:val="single" w:sz="8" w:space="0" w:color="auto"/>
            </w:tcBorders>
            <w:shd w:val="solid" w:color="000000" w:fill="000000"/>
            <w:hideMark/>
          </w:tcPr>
          <w:p w14:paraId="3C20E21D" w14:textId="7C6319DF"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548F3D2A" w14:textId="5A00EAAF" w:rsidR="00BF1AF3" w:rsidRPr="00CA23AA" w:rsidRDefault="001E3928" w:rsidP="00EB36EE">
            <w:pPr>
              <w:pStyle w:val="Tabletext0"/>
              <w:spacing w:before="0" w:after="0"/>
              <w:jc w:val="center"/>
              <w:rPr>
                <w:rFonts w:cs="Calibri"/>
              </w:rPr>
            </w:pPr>
            <w:r w:rsidRPr="00CA23AA">
              <w:t>4.110</w:t>
            </w:r>
          </w:p>
        </w:tc>
        <w:tc>
          <w:tcPr>
            <w:tcW w:w="1560" w:type="dxa"/>
            <w:tcBorders>
              <w:top w:val="nil"/>
              <w:left w:val="nil"/>
              <w:bottom w:val="single" w:sz="8" w:space="0" w:color="auto"/>
              <w:right w:val="single" w:sz="8" w:space="0" w:color="auto"/>
            </w:tcBorders>
            <w:shd w:val="solid" w:color="000000" w:fill="000000"/>
            <w:hideMark/>
          </w:tcPr>
          <w:p w14:paraId="162A5644" w14:textId="11473DA8"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713C38A8" w14:textId="31022B18" w:rsidR="00BF1AF3" w:rsidRPr="00CA23AA" w:rsidRDefault="00E42C65" w:rsidP="00EB36EE">
            <w:pPr>
              <w:pStyle w:val="Tabletext0"/>
              <w:spacing w:before="0" w:after="0"/>
              <w:jc w:val="center"/>
              <w:rPr>
                <w:rFonts w:cs="Calibri"/>
              </w:rPr>
            </w:pPr>
            <w:r w:rsidRPr="00CA23AA">
              <w:t>+</w:t>
            </w:r>
            <w:r w:rsidR="001E3928" w:rsidRPr="00CA23AA">
              <w:t>9%</w:t>
            </w:r>
          </w:p>
        </w:tc>
      </w:tr>
      <w:tr w:rsidR="00D80AB2" w:rsidRPr="00CA23AA" w14:paraId="2E9657ED" w14:textId="77777777" w:rsidTr="00594907">
        <w:trPr>
          <w:trHeight w:val="315"/>
        </w:trPr>
        <w:tc>
          <w:tcPr>
            <w:tcW w:w="2977" w:type="dxa"/>
            <w:tcBorders>
              <w:top w:val="nil"/>
              <w:left w:val="single" w:sz="8" w:space="0" w:color="auto"/>
              <w:bottom w:val="single" w:sz="8" w:space="0" w:color="auto"/>
              <w:right w:val="single" w:sz="8" w:space="0" w:color="auto"/>
            </w:tcBorders>
            <w:shd w:val="clear" w:color="auto" w:fill="DEEAF6" w:themeFill="accent1" w:themeFillTint="33"/>
            <w:hideMark/>
          </w:tcPr>
          <w:p w14:paraId="441D7057" w14:textId="36714DEF" w:rsidR="00BF1AF3" w:rsidRPr="00CA23AA" w:rsidRDefault="00BF1AF3" w:rsidP="00EB36EE">
            <w:pPr>
              <w:pStyle w:val="Tabletext0"/>
              <w:spacing w:before="0" w:after="0"/>
              <w:rPr>
                <w:rFonts w:cs="Calibri"/>
                <w:vertAlign w:val="superscript"/>
              </w:rPr>
            </w:pPr>
            <w:r w:rsidRPr="00CA23AA">
              <w:t>Collated State hospital data: 100%</w:t>
            </w:r>
            <w:r w:rsidR="00CC7FE7" w:rsidRPr="00CA23AA">
              <w:rPr>
                <w:vertAlign w:val="superscript"/>
              </w:rPr>
              <w:t>5</w:t>
            </w:r>
          </w:p>
        </w:tc>
        <w:tc>
          <w:tcPr>
            <w:tcW w:w="1985" w:type="dxa"/>
            <w:tcBorders>
              <w:top w:val="single" w:sz="8" w:space="0" w:color="auto"/>
              <w:left w:val="nil"/>
              <w:bottom w:val="single" w:sz="8" w:space="0" w:color="auto"/>
              <w:right w:val="single" w:sz="8" w:space="0" w:color="auto"/>
            </w:tcBorders>
            <w:shd w:val="solid" w:color="000000" w:fill="000000"/>
            <w:hideMark/>
          </w:tcPr>
          <w:p w14:paraId="386B9312" w14:textId="4A06C917"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DEEAF6" w:themeFill="accent1" w:themeFillTint="33"/>
            <w:hideMark/>
          </w:tcPr>
          <w:p w14:paraId="11F5EEBC" w14:textId="07D12B46" w:rsidR="00BF1AF3" w:rsidRPr="00CA23AA" w:rsidRDefault="001E3928" w:rsidP="00EB36EE">
            <w:pPr>
              <w:pStyle w:val="Tabletext0"/>
              <w:spacing w:before="0" w:after="0"/>
              <w:jc w:val="center"/>
              <w:rPr>
                <w:rFonts w:cs="Calibri"/>
              </w:rPr>
            </w:pPr>
            <w:r w:rsidRPr="00CA23AA">
              <w:t>4.110</w:t>
            </w:r>
          </w:p>
        </w:tc>
        <w:tc>
          <w:tcPr>
            <w:tcW w:w="1560" w:type="dxa"/>
            <w:tcBorders>
              <w:top w:val="single" w:sz="8" w:space="0" w:color="auto"/>
              <w:left w:val="nil"/>
              <w:bottom w:val="single" w:sz="8" w:space="0" w:color="auto"/>
              <w:right w:val="single" w:sz="8" w:space="0" w:color="auto"/>
            </w:tcBorders>
            <w:shd w:val="solid" w:color="000000" w:fill="000000"/>
            <w:hideMark/>
          </w:tcPr>
          <w:p w14:paraId="22D469EE" w14:textId="5D3F1786"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DEEAF6" w:themeFill="accent1" w:themeFillTint="33"/>
            <w:hideMark/>
          </w:tcPr>
          <w:p w14:paraId="49F09BD0" w14:textId="65E7CB11" w:rsidR="00BF1AF3" w:rsidRPr="00CA23AA" w:rsidRDefault="00E42C65" w:rsidP="00EB36EE">
            <w:pPr>
              <w:pStyle w:val="Tabletext0"/>
              <w:spacing w:before="0" w:after="0"/>
              <w:jc w:val="center"/>
              <w:rPr>
                <w:rFonts w:cs="Calibri"/>
              </w:rPr>
            </w:pPr>
            <w:r w:rsidRPr="00CA23AA">
              <w:t>+</w:t>
            </w:r>
            <w:r w:rsidR="001E3928" w:rsidRPr="00CA23AA">
              <w:t>17%</w:t>
            </w:r>
          </w:p>
        </w:tc>
      </w:tr>
      <w:tr w:rsidR="00E700AD" w:rsidRPr="00CA23AA" w14:paraId="63673D90" w14:textId="77777777" w:rsidTr="00C46B2F">
        <w:trPr>
          <w:trHeight w:val="315"/>
        </w:trPr>
        <w:tc>
          <w:tcPr>
            <w:tcW w:w="9016"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C04F7" w14:textId="696CF1AF" w:rsidR="00BF1AF3" w:rsidRPr="00CA23AA" w:rsidRDefault="00BF1AF3" w:rsidP="00EB36EE">
            <w:pPr>
              <w:pStyle w:val="Tabletext0"/>
              <w:spacing w:before="0" w:after="0"/>
              <w:rPr>
                <w:rFonts w:cs="Calibri"/>
              </w:rPr>
            </w:pPr>
            <w:r w:rsidRPr="00CA23AA">
              <w:t xml:space="preserve">Subsequent </w:t>
            </w:r>
            <w:proofErr w:type="spellStart"/>
            <w:r w:rsidRPr="00CA23AA">
              <w:t>aHSCT</w:t>
            </w:r>
            <w:proofErr w:type="spellEnd"/>
            <w:r w:rsidRPr="00CA23AA">
              <w:t xml:space="preserve"> (</w:t>
            </w:r>
            <w:r w:rsidR="00DF553B" w:rsidRPr="00CA23AA">
              <w:rPr>
                <w:rFonts w:cs="Calibri"/>
              </w:rPr>
              <w:t>ADAR</w:t>
            </w:r>
            <w:r w:rsidRPr="00CA23AA">
              <w:rPr>
                <w:rFonts w:cs="Calibri"/>
              </w:rPr>
              <w:t xml:space="preserve"> estimate: </w:t>
            </w:r>
            <w:proofErr w:type="gramStart"/>
            <w:r w:rsidR="00594907" w:rsidRPr="00594907">
              <w:rPr>
                <w:rFonts w:cs="Calibri"/>
                <w:color w:val="000000"/>
                <w:spacing w:val="27"/>
                <w:shd w:val="solid" w:color="000000" w:fill="000000"/>
                <w:fitText w:val="260" w:id="-1161539579"/>
                <w14:textFill>
                  <w14:solidFill>
                    <w14:srgbClr w14:val="000000">
                      <w14:alpha w14:val="100000"/>
                    </w14:srgbClr>
                  </w14:solidFill>
                </w14:textFill>
              </w:rPr>
              <w:t xml:space="preserve">|  </w:t>
            </w:r>
            <w:r w:rsidR="00594907" w:rsidRPr="00594907">
              <w:rPr>
                <w:rFonts w:cs="Calibri"/>
                <w:color w:val="000000"/>
                <w:spacing w:val="3"/>
                <w:shd w:val="solid" w:color="000000" w:fill="000000"/>
                <w:fitText w:val="260" w:id="-1161539579"/>
                <w14:textFill>
                  <w14:solidFill>
                    <w14:srgbClr w14:val="000000">
                      <w14:alpha w14:val="100000"/>
                    </w14:srgbClr>
                  </w14:solidFill>
                </w14:textFill>
              </w:rPr>
              <w:t>|</w:t>
            </w:r>
            <w:proofErr w:type="gramEnd"/>
            <w:r w:rsidRPr="00CA23AA">
              <w:rPr>
                <w:rFonts w:cs="Calibri"/>
              </w:rPr>
              <w:t>%)</w:t>
            </w:r>
          </w:p>
        </w:tc>
      </w:tr>
      <w:tr w:rsidR="008F31C3" w:rsidRPr="00CA23AA" w14:paraId="2D663644" w14:textId="77777777" w:rsidTr="00594907">
        <w:trPr>
          <w:trHeight w:val="315"/>
        </w:trPr>
        <w:tc>
          <w:tcPr>
            <w:tcW w:w="2977" w:type="dxa"/>
            <w:tcBorders>
              <w:top w:val="nil"/>
              <w:left w:val="single" w:sz="8" w:space="0" w:color="auto"/>
              <w:bottom w:val="single" w:sz="8" w:space="0" w:color="auto"/>
              <w:right w:val="single" w:sz="8" w:space="0" w:color="auto"/>
            </w:tcBorders>
            <w:shd w:val="clear" w:color="auto" w:fill="auto"/>
            <w:hideMark/>
          </w:tcPr>
          <w:p w14:paraId="0AB1A23F" w14:textId="30C37642" w:rsidR="00BF1AF3" w:rsidRPr="00CA23AA" w:rsidRDefault="00BF1AF3" w:rsidP="00EB36EE">
            <w:pPr>
              <w:pStyle w:val="Tabletext0"/>
              <w:spacing w:before="0" w:after="0"/>
              <w:rPr>
                <w:rFonts w:cs="Calibri"/>
              </w:rPr>
            </w:pPr>
            <w:r w:rsidRPr="00CA23AA">
              <w:t xml:space="preserve">ABMTRR clarification: </w:t>
            </w:r>
            <w:proofErr w:type="gramStart"/>
            <w:r w:rsidR="00594907" w:rsidRPr="00594907">
              <w:rPr>
                <w:color w:val="000000"/>
                <w:spacing w:val="24"/>
                <w:shd w:val="solid" w:color="000000" w:fill="000000"/>
                <w:fitText w:val="250" w:id="-1161539578"/>
                <w14:textFill>
                  <w14:solidFill>
                    <w14:srgbClr w14:val="000000">
                      <w14:alpha w14:val="100000"/>
                    </w14:srgbClr>
                  </w14:solidFill>
                </w14:textFill>
              </w:rPr>
              <w:t xml:space="preserve">|  </w:t>
            </w:r>
            <w:r w:rsidR="00594907" w:rsidRPr="00594907">
              <w:rPr>
                <w:color w:val="000000"/>
                <w:spacing w:val="2"/>
                <w:shd w:val="solid" w:color="000000" w:fill="000000"/>
                <w:fitText w:val="250" w:id="-1161539578"/>
                <w14:textFill>
                  <w14:solidFill>
                    <w14:srgbClr w14:val="000000">
                      <w14:alpha w14:val="100000"/>
                    </w14:srgbClr>
                  </w14:solidFill>
                </w14:textFill>
              </w:rPr>
              <w:t>|</w:t>
            </w:r>
            <w:proofErr w:type="gramEnd"/>
            <w:r w:rsidRPr="00CA23AA">
              <w:t>%</w:t>
            </w:r>
          </w:p>
        </w:tc>
        <w:tc>
          <w:tcPr>
            <w:tcW w:w="1985" w:type="dxa"/>
            <w:tcBorders>
              <w:top w:val="nil"/>
              <w:left w:val="nil"/>
              <w:bottom w:val="single" w:sz="8" w:space="0" w:color="auto"/>
              <w:right w:val="single" w:sz="8" w:space="0" w:color="auto"/>
            </w:tcBorders>
            <w:shd w:val="solid" w:color="000000" w:fill="000000"/>
            <w:hideMark/>
          </w:tcPr>
          <w:p w14:paraId="5BA9F1B3" w14:textId="3DDFB285"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21AA3D51" w14:textId="7391F890" w:rsidR="00BF1AF3" w:rsidRPr="00CA23AA" w:rsidRDefault="001E3928" w:rsidP="00EB36EE">
            <w:pPr>
              <w:pStyle w:val="Tabletext0"/>
              <w:spacing w:before="0" w:after="0"/>
              <w:jc w:val="center"/>
              <w:rPr>
                <w:rFonts w:cs="Calibri"/>
              </w:rPr>
            </w:pPr>
            <w:r w:rsidRPr="00CA23AA">
              <w:t>4.019</w:t>
            </w:r>
          </w:p>
        </w:tc>
        <w:tc>
          <w:tcPr>
            <w:tcW w:w="1560" w:type="dxa"/>
            <w:tcBorders>
              <w:top w:val="nil"/>
              <w:left w:val="nil"/>
              <w:bottom w:val="single" w:sz="8" w:space="0" w:color="auto"/>
              <w:right w:val="single" w:sz="8" w:space="0" w:color="auto"/>
            </w:tcBorders>
            <w:shd w:val="solid" w:color="000000" w:fill="000000"/>
            <w:hideMark/>
          </w:tcPr>
          <w:p w14:paraId="1AFF0560" w14:textId="47A135DA"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447DE926" w14:textId="03677510" w:rsidR="00BF1AF3" w:rsidRPr="00CA23AA" w:rsidRDefault="00E42C65" w:rsidP="00EB36EE">
            <w:pPr>
              <w:pStyle w:val="Tabletext0"/>
              <w:spacing w:before="0" w:after="0"/>
              <w:jc w:val="center"/>
              <w:rPr>
                <w:rFonts w:cs="Calibri"/>
              </w:rPr>
            </w:pPr>
            <w:r w:rsidRPr="00CA23AA">
              <w:t>+</w:t>
            </w:r>
            <w:r w:rsidR="001E3928" w:rsidRPr="00CA23AA">
              <w:t>14%</w:t>
            </w:r>
          </w:p>
        </w:tc>
      </w:tr>
      <w:tr w:rsidR="00D80AB2" w:rsidRPr="00CA23AA" w14:paraId="732123F1" w14:textId="77777777" w:rsidTr="00594907">
        <w:trPr>
          <w:trHeight w:val="315"/>
        </w:trPr>
        <w:tc>
          <w:tcPr>
            <w:tcW w:w="2977" w:type="dxa"/>
            <w:tcBorders>
              <w:top w:val="nil"/>
              <w:left w:val="single" w:sz="8" w:space="0" w:color="auto"/>
              <w:bottom w:val="single" w:sz="8" w:space="0" w:color="auto"/>
              <w:right w:val="single" w:sz="8" w:space="0" w:color="auto"/>
            </w:tcBorders>
            <w:shd w:val="clear" w:color="auto" w:fill="DEEAF6" w:themeFill="accent1" w:themeFillTint="33"/>
            <w:hideMark/>
          </w:tcPr>
          <w:p w14:paraId="453C91EA" w14:textId="11C6D228" w:rsidR="00BF1AF3" w:rsidRPr="00CA23AA" w:rsidRDefault="00BF1AF3" w:rsidP="00EB36EE">
            <w:pPr>
              <w:pStyle w:val="Tabletext0"/>
              <w:spacing w:before="0" w:after="0"/>
              <w:rPr>
                <w:rFonts w:cs="Calibri"/>
              </w:rPr>
            </w:pPr>
            <w:r w:rsidRPr="00CA23AA">
              <w:t>Collated State Hospital data: 31%</w:t>
            </w:r>
          </w:p>
        </w:tc>
        <w:tc>
          <w:tcPr>
            <w:tcW w:w="1985" w:type="dxa"/>
            <w:tcBorders>
              <w:top w:val="single" w:sz="8" w:space="0" w:color="auto"/>
              <w:left w:val="nil"/>
              <w:bottom w:val="single" w:sz="8" w:space="0" w:color="auto"/>
              <w:right w:val="single" w:sz="8" w:space="0" w:color="auto"/>
            </w:tcBorders>
            <w:shd w:val="solid" w:color="000000" w:fill="000000"/>
            <w:hideMark/>
          </w:tcPr>
          <w:p w14:paraId="3FB6953A" w14:textId="4D25FAC5"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DEEAF6" w:themeFill="accent1" w:themeFillTint="33"/>
            <w:hideMark/>
          </w:tcPr>
          <w:p w14:paraId="5A879607" w14:textId="05A69D67" w:rsidR="00BF1AF3" w:rsidRPr="00CA23AA" w:rsidRDefault="001E3928" w:rsidP="00EB36EE">
            <w:pPr>
              <w:pStyle w:val="Tabletext0"/>
              <w:spacing w:before="0" w:after="0"/>
              <w:jc w:val="center"/>
              <w:rPr>
                <w:rFonts w:cs="Calibri"/>
              </w:rPr>
            </w:pPr>
            <w:r w:rsidRPr="00CA23AA">
              <w:t>3.957</w:t>
            </w:r>
          </w:p>
        </w:tc>
        <w:tc>
          <w:tcPr>
            <w:tcW w:w="1560" w:type="dxa"/>
            <w:tcBorders>
              <w:top w:val="single" w:sz="8" w:space="0" w:color="auto"/>
              <w:left w:val="nil"/>
              <w:bottom w:val="single" w:sz="8" w:space="0" w:color="auto"/>
              <w:right w:val="single" w:sz="8" w:space="0" w:color="auto"/>
            </w:tcBorders>
            <w:shd w:val="solid" w:color="000000" w:fill="000000"/>
            <w:hideMark/>
          </w:tcPr>
          <w:p w14:paraId="1E938115" w14:textId="4278AEE2" w:rsidR="00BF1AF3" w:rsidRPr="00CA23AA" w:rsidRDefault="00594907" w:rsidP="00EB36EE">
            <w:pPr>
              <w:pStyle w:val="Tabletext0"/>
              <w:spacing w:before="0" w:after="0"/>
              <w:jc w:val="center"/>
              <w:rPr>
                <w:rFonts w:cs="Calibri"/>
              </w:rPr>
            </w:pPr>
            <w:r w:rsidRPr="00594907">
              <w:rPr>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DEEAF6" w:themeFill="accent1" w:themeFillTint="33"/>
            <w:hideMark/>
          </w:tcPr>
          <w:p w14:paraId="1BCBC3BE" w14:textId="1DF588FF" w:rsidR="00BF1AF3" w:rsidRPr="00CA23AA" w:rsidRDefault="00E42C65" w:rsidP="00EB36EE">
            <w:pPr>
              <w:pStyle w:val="Tabletext0"/>
              <w:spacing w:before="0" w:after="0"/>
              <w:jc w:val="center"/>
              <w:rPr>
                <w:rFonts w:cs="Calibri"/>
              </w:rPr>
            </w:pPr>
            <w:r w:rsidRPr="00CA23AA">
              <w:t>+</w:t>
            </w:r>
            <w:r w:rsidR="001E3928" w:rsidRPr="00CA23AA">
              <w:t>24%</w:t>
            </w:r>
          </w:p>
        </w:tc>
      </w:tr>
      <w:tr w:rsidR="007D198C" w:rsidRPr="00CA23AA" w14:paraId="381319C6" w14:textId="77777777" w:rsidTr="00C46B2F">
        <w:trPr>
          <w:trHeight w:val="315"/>
        </w:trPr>
        <w:tc>
          <w:tcPr>
            <w:tcW w:w="9016" w:type="dxa"/>
            <w:gridSpan w:val="5"/>
            <w:tcBorders>
              <w:top w:val="nil"/>
              <w:left w:val="single" w:sz="8" w:space="0" w:color="auto"/>
              <w:bottom w:val="single" w:sz="8" w:space="0" w:color="auto"/>
              <w:right w:val="single" w:sz="8" w:space="0" w:color="auto"/>
            </w:tcBorders>
            <w:shd w:val="clear" w:color="auto" w:fill="auto"/>
            <w:noWrap/>
            <w:vAlign w:val="center"/>
            <w:hideMark/>
          </w:tcPr>
          <w:p w14:paraId="2658CF3D" w14:textId="77777777" w:rsidR="00290CB4" w:rsidRPr="00CA23AA" w:rsidRDefault="00290CB4" w:rsidP="00EB36EE">
            <w:pPr>
              <w:pStyle w:val="Tabletext0"/>
              <w:spacing w:before="0" w:after="0"/>
              <w:rPr>
                <w:rFonts w:cs="Calibri"/>
              </w:rPr>
            </w:pPr>
            <w:r w:rsidRPr="00CA23AA">
              <w:t>Program costs, excluding TIS product cost and IVIg cost (base case: $132,865)</w:t>
            </w:r>
          </w:p>
        </w:tc>
      </w:tr>
      <w:tr w:rsidR="008F31C3" w:rsidRPr="00CA23AA" w14:paraId="2762215E" w14:textId="77777777" w:rsidTr="00594907">
        <w:trPr>
          <w:trHeight w:val="518"/>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FD086C3" w14:textId="14565F61" w:rsidR="00290CB4" w:rsidRPr="00CA23AA" w:rsidRDefault="00290CB4" w:rsidP="00EB36EE">
            <w:pPr>
              <w:pStyle w:val="Tabletext0"/>
              <w:spacing w:before="0" w:after="0"/>
              <w:jc w:val="left"/>
              <w:rPr>
                <w:rFonts w:cs="Calibri"/>
                <w:vertAlign w:val="superscript"/>
              </w:rPr>
            </w:pPr>
            <w:r w:rsidRPr="00CA23AA">
              <w:t>Infused</w:t>
            </w:r>
            <w:r w:rsidR="00BF1AF3" w:rsidRPr="00CA23AA">
              <w:rPr>
                <w:rFonts w:cs="Calibri"/>
              </w:rPr>
              <w:t xml:space="preserve"> </w:t>
            </w:r>
            <w:r w:rsidRPr="00CA23AA">
              <w:rPr>
                <w:rFonts w:cs="Calibri"/>
              </w:rPr>
              <w:t>(</w:t>
            </w:r>
            <w:r w:rsidR="00594907" w:rsidRPr="00594907">
              <w:rPr>
                <w:rFonts w:cs="Calibri"/>
                <w:color w:val="000000"/>
                <w:spacing w:val="184"/>
                <w:shd w:val="solid" w:color="000000" w:fill="000000"/>
                <w:fitText w:val="270" w:id="-1161539577"/>
                <w14:textFill>
                  <w14:solidFill>
                    <w14:srgbClr w14:val="000000">
                      <w14:alpha w14:val="100000"/>
                    </w14:srgbClr>
                  </w14:solidFill>
                </w14:textFill>
              </w:rPr>
              <w:t>|</w:t>
            </w:r>
            <w:r w:rsidR="00594907" w:rsidRPr="00594907">
              <w:rPr>
                <w:rFonts w:cs="Calibri"/>
                <w:color w:val="000000"/>
                <w:spacing w:val="1"/>
                <w:shd w:val="solid" w:color="000000" w:fill="000000"/>
                <w:fitText w:val="270" w:id="-1161539577"/>
                <w14:textFill>
                  <w14:solidFill>
                    <w14:srgbClr w14:val="000000">
                      <w14:alpha w14:val="100000"/>
                    </w14:srgbClr>
                  </w14:solidFill>
                </w14:textFill>
              </w:rPr>
              <w:t>|</w:t>
            </w:r>
            <w:r w:rsidRPr="00CA23AA">
              <w:rPr>
                <w:rFonts w:cs="Calibri"/>
              </w:rPr>
              <w:t xml:space="preserve">%): </w:t>
            </w:r>
            <w:r w:rsidR="001332A5" w:rsidRPr="00CA23AA">
              <w:rPr>
                <w:rFonts w:cs="Calibri"/>
              </w:rPr>
              <w:t xml:space="preserve">cost </w:t>
            </w:r>
            <w:r w:rsidRPr="00CA23AA">
              <w:rPr>
                <w:rFonts w:cs="Calibri"/>
              </w:rPr>
              <w:t>$457,656</w:t>
            </w:r>
            <w:r w:rsidR="00371D70" w:rsidRPr="00CA23AA">
              <w:rPr>
                <w:rFonts w:cs="Calibri"/>
                <w:vertAlign w:val="superscript"/>
              </w:rPr>
              <w:t>4</w:t>
            </w:r>
            <w:r w:rsidRPr="00CA23AA">
              <w:rPr>
                <w:rFonts w:cs="Calibri"/>
              </w:rPr>
              <w:t>, non-infused (</w:t>
            </w:r>
            <w:r w:rsidR="00594907" w:rsidRPr="00594907">
              <w:rPr>
                <w:rFonts w:cs="Calibri"/>
                <w:color w:val="000000"/>
                <w:spacing w:val="184"/>
                <w:shd w:val="solid" w:color="000000" w:fill="000000"/>
                <w:fitText w:val="270" w:id="-1161539576"/>
                <w14:textFill>
                  <w14:solidFill>
                    <w14:srgbClr w14:val="000000">
                      <w14:alpha w14:val="100000"/>
                    </w14:srgbClr>
                  </w14:solidFill>
                </w14:textFill>
              </w:rPr>
              <w:t>|</w:t>
            </w:r>
            <w:r w:rsidR="00594907" w:rsidRPr="00594907">
              <w:rPr>
                <w:rFonts w:cs="Calibri"/>
                <w:color w:val="000000"/>
                <w:spacing w:val="1"/>
                <w:shd w:val="solid" w:color="000000" w:fill="000000"/>
                <w:fitText w:val="270" w:id="-1161539576"/>
                <w14:textFill>
                  <w14:solidFill>
                    <w14:srgbClr w14:val="000000">
                      <w14:alpha w14:val="100000"/>
                    </w14:srgbClr>
                  </w14:solidFill>
                </w14:textFill>
              </w:rPr>
              <w:t>|</w:t>
            </w:r>
            <w:r w:rsidRPr="00CA23AA">
              <w:rPr>
                <w:rFonts w:cs="Calibri"/>
              </w:rPr>
              <w:t xml:space="preserve">%): </w:t>
            </w:r>
            <w:r w:rsidR="001332A5" w:rsidRPr="00CA23AA">
              <w:rPr>
                <w:rFonts w:cs="Calibri"/>
              </w:rPr>
              <w:t xml:space="preserve">cost </w:t>
            </w:r>
            <w:r w:rsidRPr="00CA23AA">
              <w:rPr>
                <w:rFonts w:cs="Calibri"/>
              </w:rPr>
              <w:t>$</w:t>
            </w:r>
            <w:r w:rsidR="00594907" w:rsidRPr="00594907">
              <w:rPr>
                <w:rFonts w:cs="Calibri"/>
                <w:color w:val="000000"/>
                <w:spacing w:val="184"/>
                <w:shd w:val="solid" w:color="000000" w:fill="000000"/>
                <w:fitText w:val="270" w:id="-1161539575"/>
                <w14:textFill>
                  <w14:solidFill>
                    <w14:srgbClr w14:val="000000">
                      <w14:alpha w14:val="100000"/>
                    </w14:srgbClr>
                  </w14:solidFill>
                </w14:textFill>
              </w:rPr>
              <w:t>|</w:t>
            </w:r>
            <w:r w:rsidR="00594907" w:rsidRPr="00594907">
              <w:rPr>
                <w:rFonts w:cs="Calibri"/>
                <w:color w:val="000000"/>
                <w:spacing w:val="1"/>
                <w:shd w:val="solid" w:color="000000" w:fill="000000"/>
                <w:fitText w:val="270" w:id="-1161539575"/>
                <w14:textFill>
                  <w14:solidFill>
                    <w14:srgbClr w14:val="000000">
                      <w14:alpha w14:val="100000"/>
                    </w14:srgbClr>
                  </w14:solidFill>
                </w14:textFill>
              </w:rPr>
              <w:t>|</w:t>
            </w:r>
            <w:r w:rsidR="0013112E" w:rsidRPr="00CA23AA">
              <w:rPr>
                <w:rFonts w:cs="Calibri"/>
              </w:rPr>
              <w:t xml:space="preserve"> </w:t>
            </w:r>
            <w:r w:rsidR="00AE20A8" w:rsidRPr="00CA23AA">
              <w:rPr>
                <w:rFonts w:cs="Calibri"/>
                <w:vertAlign w:val="superscript"/>
              </w:rPr>
              <w:t>2</w:t>
            </w:r>
          </w:p>
        </w:tc>
        <w:tc>
          <w:tcPr>
            <w:tcW w:w="1985" w:type="dxa"/>
            <w:tcBorders>
              <w:top w:val="nil"/>
              <w:left w:val="nil"/>
              <w:bottom w:val="single" w:sz="8" w:space="0" w:color="auto"/>
              <w:right w:val="single" w:sz="8" w:space="0" w:color="auto"/>
            </w:tcBorders>
            <w:shd w:val="solid" w:color="000000" w:fill="000000"/>
            <w:hideMark/>
          </w:tcPr>
          <w:p w14:paraId="0DCECBC6" w14:textId="2401EED3"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516C11BE" w14:textId="626ACF3E" w:rsidR="00290CB4" w:rsidRPr="00CA23AA" w:rsidRDefault="00FB3FFC" w:rsidP="00EB36EE">
            <w:pPr>
              <w:pStyle w:val="Tabletext0"/>
              <w:spacing w:before="0" w:after="0"/>
              <w:jc w:val="center"/>
              <w:rPr>
                <w:rFonts w:cs="Calibri"/>
              </w:rPr>
            </w:pPr>
            <w:r w:rsidRPr="00CA23AA">
              <w:rPr>
                <w:rFonts w:cs="Arial Narrow"/>
              </w:rPr>
              <w:t>4.110</w:t>
            </w:r>
          </w:p>
        </w:tc>
        <w:tc>
          <w:tcPr>
            <w:tcW w:w="1560" w:type="dxa"/>
            <w:tcBorders>
              <w:top w:val="nil"/>
              <w:left w:val="nil"/>
              <w:bottom w:val="single" w:sz="8" w:space="0" w:color="auto"/>
              <w:right w:val="single" w:sz="8" w:space="0" w:color="auto"/>
            </w:tcBorders>
            <w:shd w:val="solid" w:color="000000" w:fill="000000"/>
            <w:hideMark/>
          </w:tcPr>
          <w:p w14:paraId="39F1834F" w14:textId="243B7299"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01474D03" w14:textId="67FB7B41" w:rsidR="00290CB4" w:rsidRPr="00CA23AA" w:rsidRDefault="00E42C65" w:rsidP="00EB36EE">
            <w:pPr>
              <w:pStyle w:val="Tabletext0"/>
              <w:spacing w:before="0" w:after="0"/>
              <w:jc w:val="center"/>
              <w:rPr>
                <w:rFonts w:cs="Calibri"/>
              </w:rPr>
            </w:pPr>
            <w:r w:rsidRPr="00CA23AA">
              <w:rPr>
                <w:rFonts w:cs="Arial Narrow"/>
              </w:rPr>
              <w:t>+</w:t>
            </w:r>
            <w:r w:rsidR="00FB3FFC" w:rsidRPr="00CA23AA">
              <w:rPr>
                <w:rFonts w:cs="Arial Narrow"/>
              </w:rPr>
              <w:t>98%</w:t>
            </w:r>
          </w:p>
        </w:tc>
      </w:tr>
      <w:tr w:rsidR="00D80AB2" w:rsidRPr="00CA23AA" w14:paraId="66FEF672" w14:textId="77777777" w:rsidTr="00594907">
        <w:trPr>
          <w:trHeight w:val="526"/>
        </w:trPr>
        <w:tc>
          <w:tcPr>
            <w:tcW w:w="2977"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14:paraId="7AA6CC3E" w14:textId="2ED8D574" w:rsidR="00290CB4" w:rsidRPr="00CA23AA" w:rsidRDefault="00290CB4" w:rsidP="00EB36EE">
            <w:pPr>
              <w:pStyle w:val="Tabletext0"/>
              <w:spacing w:before="0" w:after="0"/>
              <w:jc w:val="left"/>
              <w:rPr>
                <w:rFonts w:cs="Calibri"/>
                <w:vertAlign w:val="superscript"/>
              </w:rPr>
            </w:pPr>
            <w:r w:rsidRPr="00CA23AA">
              <w:t>Infused (</w:t>
            </w:r>
            <w:r w:rsidR="00982219" w:rsidRPr="00982219">
              <w:rPr>
                <w:color w:val="000000"/>
                <w:spacing w:val="184"/>
                <w:shd w:val="solid" w:color="000000" w:fill="000000"/>
                <w:fitText w:val="270" w:id="-1157969655"/>
                <w14:textFill>
                  <w14:solidFill>
                    <w14:srgbClr w14:val="000000">
                      <w14:alpha w14:val="100000"/>
                    </w14:srgbClr>
                  </w14:solidFill>
                </w14:textFill>
              </w:rPr>
              <w:t>|</w:t>
            </w:r>
            <w:r w:rsidR="00982219" w:rsidRPr="00982219">
              <w:rPr>
                <w:color w:val="000000"/>
                <w:spacing w:val="1"/>
                <w:shd w:val="solid" w:color="000000" w:fill="000000"/>
                <w:fitText w:val="270" w:id="-1157969655"/>
                <w14:textFill>
                  <w14:solidFill>
                    <w14:srgbClr w14:val="000000">
                      <w14:alpha w14:val="100000"/>
                    </w14:srgbClr>
                  </w14:solidFill>
                </w14:textFill>
              </w:rPr>
              <w:t>|</w:t>
            </w:r>
            <w:r w:rsidRPr="00CA23AA">
              <w:t xml:space="preserve">%): </w:t>
            </w:r>
            <w:r w:rsidR="001332A5" w:rsidRPr="00CA23AA">
              <w:t xml:space="preserve">cost </w:t>
            </w:r>
            <w:r w:rsidRPr="00CA23AA">
              <w:t>$457,656</w:t>
            </w:r>
            <w:r w:rsidR="00371D70" w:rsidRPr="00CA23AA">
              <w:rPr>
                <w:vertAlign w:val="superscript"/>
              </w:rPr>
              <w:t>4</w:t>
            </w:r>
            <w:r w:rsidRPr="00CA23AA">
              <w:t xml:space="preserve">, non-infused </w:t>
            </w:r>
            <w:r w:rsidRPr="00CA23AA">
              <w:rPr>
                <w:rFonts w:cs="Calibri"/>
              </w:rPr>
              <w:t>(</w:t>
            </w:r>
            <w:r w:rsidR="00982219" w:rsidRPr="00982219">
              <w:rPr>
                <w:rFonts w:cs="Calibri"/>
                <w:color w:val="000000"/>
                <w:spacing w:val="184"/>
                <w:shd w:val="solid" w:color="000000" w:fill="000000"/>
                <w:fitText w:val="270" w:id="-1157969654"/>
                <w14:textFill>
                  <w14:solidFill>
                    <w14:srgbClr w14:val="000000">
                      <w14:alpha w14:val="100000"/>
                    </w14:srgbClr>
                  </w14:solidFill>
                </w14:textFill>
              </w:rPr>
              <w:t>|</w:t>
            </w:r>
            <w:r w:rsidR="00982219" w:rsidRPr="00982219">
              <w:rPr>
                <w:rFonts w:cs="Calibri"/>
                <w:color w:val="000000"/>
                <w:spacing w:val="1"/>
                <w:shd w:val="solid" w:color="000000" w:fill="000000"/>
                <w:fitText w:val="270" w:id="-1157969654"/>
                <w14:textFill>
                  <w14:solidFill>
                    <w14:srgbClr w14:val="000000">
                      <w14:alpha w14:val="100000"/>
                    </w14:srgbClr>
                  </w14:solidFill>
                </w14:textFill>
              </w:rPr>
              <w:t>|</w:t>
            </w:r>
            <w:r w:rsidRPr="00CA23AA">
              <w:rPr>
                <w:rFonts w:cs="Calibri"/>
              </w:rPr>
              <w:t xml:space="preserve">%): </w:t>
            </w:r>
            <w:r w:rsidR="001332A5" w:rsidRPr="00CA23AA">
              <w:rPr>
                <w:rFonts w:cs="Calibri"/>
              </w:rPr>
              <w:t xml:space="preserve">cost </w:t>
            </w:r>
            <w:r w:rsidR="0013112E" w:rsidRPr="00CA23AA">
              <w:rPr>
                <w:rFonts w:cs="Calibri"/>
              </w:rPr>
              <w:t xml:space="preserve">$207,027 </w:t>
            </w:r>
            <w:r w:rsidR="0013112E" w:rsidRPr="00CA23AA">
              <w:rPr>
                <w:rFonts w:cs="Calibri"/>
                <w:vertAlign w:val="superscript"/>
              </w:rPr>
              <w:t>2</w:t>
            </w:r>
          </w:p>
        </w:tc>
        <w:tc>
          <w:tcPr>
            <w:tcW w:w="1985" w:type="dxa"/>
            <w:tcBorders>
              <w:top w:val="single" w:sz="8" w:space="0" w:color="auto"/>
              <w:left w:val="nil"/>
              <w:bottom w:val="single" w:sz="8" w:space="0" w:color="auto"/>
              <w:right w:val="single" w:sz="8" w:space="0" w:color="auto"/>
            </w:tcBorders>
            <w:shd w:val="solid" w:color="000000" w:fill="000000"/>
            <w:hideMark/>
          </w:tcPr>
          <w:p w14:paraId="6BF65B99" w14:textId="05A4E7DF"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DEEAF6" w:themeFill="accent1" w:themeFillTint="33"/>
            <w:hideMark/>
          </w:tcPr>
          <w:p w14:paraId="6524E28F" w14:textId="4EF2C7B6" w:rsidR="00290CB4" w:rsidRPr="00CA23AA" w:rsidRDefault="00FB3FFC" w:rsidP="00EB36EE">
            <w:pPr>
              <w:pStyle w:val="Tabletext0"/>
              <w:spacing w:before="0" w:after="0"/>
              <w:jc w:val="center"/>
              <w:rPr>
                <w:rFonts w:cs="Calibri"/>
              </w:rPr>
            </w:pPr>
            <w:r w:rsidRPr="00CA23AA">
              <w:rPr>
                <w:rFonts w:cs="Arial Narrow"/>
              </w:rPr>
              <w:t>4.110</w:t>
            </w:r>
          </w:p>
        </w:tc>
        <w:tc>
          <w:tcPr>
            <w:tcW w:w="1560" w:type="dxa"/>
            <w:tcBorders>
              <w:top w:val="single" w:sz="8" w:space="0" w:color="auto"/>
              <w:left w:val="nil"/>
              <w:bottom w:val="single" w:sz="8" w:space="0" w:color="auto"/>
              <w:right w:val="single" w:sz="8" w:space="0" w:color="auto"/>
            </w:tcBorders>
            <w:shd w:val="solid" w:color="000000" w:fill="000000"/>
            <w:hideMark/>
          </w:tcPr>
          <w:p w14:paraId="53146A08" w14:textId="2BDC663A"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DEEAF6" w:themeFill="accent1" w:themeFillTint="33"/>
            <w:hideMark/>
          </w:tcPr>
          <w:p w14:paraId="513485D4" w14:textId="2FB517F1" w:rsidR="00290CB4" w:rsidRPr="00CA23AA" w:rsidRDefault="00E42C65" w:rsidP="00EB36EE">
            <w:pPr>
              <w:pStyle w:val="Tabletext0"/>
              <w:spacing w:before="0" w:after="0"/>
              <w:jc w:val="center"/>
              <w:rPr>
                <w:rFonts w:cs="Calibri"/>
              </w:rPr>
            </w:pPr>
            <w:r w:rsidRPr="00CA23AA">
              <w:rPr>
                <w:rFonts w:cs="Arial Narrow"/>
              </w:rPr>
              <w:t>+</w:t>
            </w:r>
            <w:r w:rsidR="00FB3FFC" w:rsidRPr="00CA23AA">
              <w:rPr>
                <w:rFonts w:cs="Arial Narrow"/>
              </w:rPr>
              <w:t>108%</w:t>
            </w:r>
          </w:p>
        </w:tc>
      </w:tr>
      <w:tr w:rsidR="008F31C3" w:rsidRPr="00CA23AA" w14:paraId="4D83723A" w14:textId="77777777" w:rsidTr="00594907">
        <w:trPr>
          <w:trHeight w:val="40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5E416AD9" w14:textId="0556ECC4" w:rsidR="00290CB4" w:rsidRPr="00CA23AA" w:rsidRDefault="00290CB4" w:rsidP="00EB36EE">
            <w:pPr>
              <w:pStyle w:val="Tabletext0"/>
              <w:spacing w:before="0" w:after="0"/>
              <w:rPr>
                <w:rFonts w:cs="Calibri"/>
                <w:vertAlign w:val="superscript"/>
              </w:rPr>
            </w:pPr>
            <w:r w:rsidRPr="00CA23AA">
              <w:t>Infused (100%): $457,656</w:t>
            </w:r>
            <w:r w:rsidR="00371D70" w:rsidRPr="00CA23AA">
              <w:rPr>
                <w:vertAlign w:val="superscript"/>
              </w:rPr>
              <w:t>4</w:t>
            </w:r>
          </w:p>
        </w:tc>
        <w:tc>
          <w:tcPr>
            <w:tcW w:w="1985" w:type="dxa"/>
            <w:tcBorders>
              <w:top w:val="single" w:sz="8" w:space="0" w:color="auto"/>
              <w:left w:val="nil"/>
              <w:bottom w:val="single" w:sz="8" w:space="0" w:color="auto"/>
              <w:right w:val="single" w:sz="8" w:space="0" w:color="auto"/>
            </w:tcBorders>
            <w:shd w:val="solid" w:color="000000" w:fill="000000"/>
            <w:hideMark/>
          </w:tcPr>
          <w:p w14:paraId="0EACF534" w14:textId="5D996B09"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1C4794B9" w14:textId="1029DE78" w:rsidR="00290CB4" w:rsidRPr="00CA23AA" w:rsidRDefault="00FB3FFC" w:rsidP="00EB36EE">
            <w:pPr>
              <w:pStyle w:val="Tabletext0"/>
              <w:spacing w:before="0" w:after="0"/>
              <w:jc w:val="center"/>
              <w:rPr>
                <w:rFonts w:cs="Calibri"/>
              </w:rPr>
            </w:pPr>
            <w:r w:rsidRPr="00CA23AA">
              <w:rPr>
                <w:rFonts w:cs="Arial Narrow"/>
              </w:rPr>
              <w:t>4.110</w:t>
            </w:r>
          </w:p>
        </w:tc>
        <w:tc>
          <w:tcPr>
            <w:tcW w:w="1560" w:type="dxa"/>
            <w:tcBorders>
              <w:top w:val="single" w:sz="8" w:space="0" w:color="auto"/>
              <w:left w:val="nil"/>
              <w:bottom w:val="single" w:sz="8" w:space="0" w:color="auto"/>
              <w:right w:val="single" w:sz="8" w:space="0" w:color="auto"/>
            </w:tcBorders>
            <w:shd w:val="solid" w:color="000000" w:fill="000000"/>
            <w:hideMark/>
          </w:tcPr>
          <w:p w14:paraId="012145F7" w14:textId="41625678"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7485D684" w14:textId="0377BDE5" w:rsidR="00290CB4" w:rsidRPr="00CA23AA" w:rsidRDefault="00E42C65" w:rsidP="00EB36EE">
            <w:pPr>
              <w:pStyle w:val="Tabletext0"/>
              <w:spacing w:before="0" w:after="0"/>
              <w:jc w:val="center"/>
              <w:rPr>
                <w:rFonts w:cs="Calibri"/>
              </w:rPr>
            </w:pPr>
            <w:r w:rsidRPr="00CA23AA">
              <w:rPr>
                <w:rFonts w:cs="Arial Narrow"/>
              </w:rPr>
              <w:t>+</w:t>
            </w:r>
            <w:r w:rsidR="00FB3FFC" w:rsidRPr="00CA23AA">
              <w:rPr>
                <w:rFonts w:cs="Arial Narrow"/>
              </w:rPr>
              <w:t>119%</w:t>
            </w:r>
          </w:p>
        </w:tc>
      </w:tr>
      <w:tr w:rsidR="008F31C3" w:rsidRPr="00CA23AA" w14:paraId="1FCE7B91" w14:textId="77777777" w:rsidTr="00594907">
        <w:trPr>
          <w:trHeight w:val="315"/>
        </w:trPr>
        <w:tc>
          <w:tcPr>
            <w:tcW w:w="2977" w:type="dxa"/>
            <w:tcBorders>
              <w:top w:val="single" w:sz="8" w:space="0" w:color="auto"/>
              <w:left w:val="single" w:sz="8" w:space="0" w:color="auto"/>
              <w:bottom w:val="single" w:sz="8" w:space="0" w:color="auto"/>
            </w:tcBorders>
            <w:shd w:val="clear" w:color="auto" w:fill="auto"/>
            <w:noWrap/>
            <w:vAlign w:val="center"/>
            <w:hideMark/>
          </w:tcPr>
          <w:p w14:paraId="46C1EC38" w14:textId="23BC9A43" w:rsidR="00290CB4" w:rsidRPr="00CA23AA" w:rsidRDefault="00290CB4" w:rsidP="00EB36EE">
            <w:pPr>
              <w:pStyle w:val="Tabletext0"/>
              <w:spacing w:before="0" w:after="0"/>
              <w:rPr>
                <w:rFonts w:cs="Calibri"/>
                <w:b/>
                <w:bCs/>
                <w:u w:val="single"/>
                <w:vertAlign w:val="superscript"/>
              </w:rPr>
            </w:pPr>
            <w:r w:rsidRPr="00CA23AA">
              <w:rPr>
                <w:b/>
                <w:bCs/>
                <w:u w:val="single"/>
              </w:rPr>
              <w:t xml:space="preserve">Multivariate </w:t>
            </w:r>
            <w:r w:rsidRPr="00CA23AA">
              <w:rPr>
                <w:rFonts w:cs="Calibri"/>
                <w:b/>
                <w:bCs/>
                <w:u w:val="single"/>
              </w:rPr>
              <w:t>analysis</w:t>
            </w:r>
            <w:r w:rsidR="0080466D" w:rsidRPr="00CA23AA">
              <w:rPr>
                <w:rFonts w:cs="Calibri"/>
                <w:b/>
                <w:bCs/>
                <w:u w:val="single"/>
                <w:vertAlign w:val="superscript"/>
              </w:rPr>
              <w:t>3</w:t>
            </w:r>
          </w:p>
        </w:tc>
        <w:tc>
          <w:tcPr>
            <w:tcW w:w="1985" w:type="dxa"/>
            <w:tcBorders>
              <w:top w:val="single" w:sz="8" w:space="0" w:color="auto"/>
              <w:bottom w:val="single" w:sz="8" w:space="0" w:color="auto"/>
            </w:tcBorders>
            <w:shd w:val="clear" w:color="auto" w:fill="auto"/>
            <w:vAlign w:val="center"/>
          </w:tcPr>
          <w:p w14:paraId="188FEF52" w14:textId="3FCB29ED" w:rsidR="00290CB4" w:rsidRPr="00CA23AA" w:rsidRDefault="00290CB4" w:rsidP="00EB36EE">
            <w:pPr>
              <w:pStyle w:val="Tabletext0"/>
              <w:spacing w:before="0" w:after="0"/>
              <w:rPr>
                <w:rFonts w:cs="Calibri"/>
              </w:rPr>
            </w:pPr>
          </w:p>
        </w:tc>
        <w:tc>
          <w:tcPr>
            <w:tcW w:w="1275" w:type="dxa"/>
            <w:tcBorders>
              <w:top w:val="single" w:sz="8" w:space="0" w:color="auto"/>
              <w:bottom w:val="single" w:sz="8" w:space="0" w:color="auto"/>
            </w:tcBorders>
            <w:shd w:val="clear" w:color="auto" w:fill="auto"/>
            <w:vAlign w:val="center"/>
          </w:tcPr>
          <w:p w14:paraId="64DCE17F" w14:textId="1AF839B9" w:rsidR="00290CB4" w:rsidRPr="00CA23AA" w:rsidRDefault="00290CB4" w:rsidP="00EB36EE">
            <w:pPr>
              <w:pStyle w:val="Tabletext0"/>
              <w:spacing w:before="0" w:after="0"/>
              <w:rPr>
                <w:rFonts w:cs="Calibri"/>
              </w:rPr>
            </w:pPr>
          </w:p>
        </w:tc>
        <w:tc>
          <w:tcPr>
            <w:tcW w:w="1560" w:type="dxa"/>
            <w:tcBorders>
              <w:top w:val="single" w:sz="8" w:space="0" w:color="auto"/>
              <w:bottom w:val="single" w:sz="8" w:space="0" w:color="auto"/>
            </w:tcBorders>
            <w:shd w:val="clear" w:color="auto" w:fill="auto"/>
            <w:vAlign w:val="center"/>
          </w:tcPr>
          <w:p w14:paraId="08C3B4A2" w14:textId="6AAA1BC5" w:rsidR="00290CB4" w:rsidRPr="00CA23AA" w:rsidRDefault="00290CB4" w:rsidP="00EB36EE">
            <w:pPr>
              <w:pStyle w:val="Tabletext0"/>
              <w:spacing w:before="0" w:after="0"/>
              <w:rPr>
                <w:rFonts w:cs="Calibri"/>
              </w:rPr>
            </w:pPr>
          </w:p>
        </w:tc>
        <w:tc>
          <w:tcPr>
            <w:tcW w:w="1219" w:type="dxa"/>
            <w:tcBorders>
              <w:top w:val="single" w:sz="8" w:space="0" w:color="auto"/>
              <w:bottom w:val="single" w:sz="8" w:space="0" w:color="auto"/>
              <w:right w:val="single" w:sz="8" w:space="0" w:color="auto"/>
            </w:tcBorders>
            <w:shd w:val="clear" w:color="auto" w:fill="auto"/>
            <w:vAlign w:val="center"/>
            <w:hideMark/>
          </w:tcPr>
          <w:p w14:paraId="56F5691E" w14:textId="77777777" w:rsidR="00290CB4" w:rsidRPr="00CA23AA" w:rsidRDefault="00290CB4" w:rsidP="00EB36EE">
            <w:pPr>
              <w:pStyle w:val="Tabletext0"/>
              <w:spacing w:before="0" w:after="0"/>
              <w:rPr>
                <w:rFonts w:cs="Calibri"/>
              </w:rPr>
            </w:pPr>
            <w:r w:rsidRPr="00CA23AA">
              <w:t> </w:t>
            </w:r>
          </w:p>
        </w:tc>
      </w:tr>
      <w:tr w:rsidR="008F31C3" w:rsidRPr="00CA23AA" w14:paraId="0AFE1B3A" w14:textId="77777777" w:rsidTr="00594907">
        <w:trPr>
          <w:trHeight w:val="64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F673115" w14:textId="01B70DA2" w:rsidR="00290CB4" w:rsidRPr="00CA23AA" w:rsidRDefault="00290CB4" w:rsidP="00EB36EE">
            <w:pPr>
              <w:pStyle w:val="Tabletext0"/>
              <w:spacing w:before="0" w:after="0"/>
              <w:jc w:val="left"/>
              <w:rPr>
                <w:rFonts w:cs="Calibri"/>
              </w:rPr>
            </w:pPr>
            <w:r w:rsidRPr="00CA23AA">
              <w:t xml:space="preserve">Infused: </w:t>
            </w:r>
            <w:r w:rsidR="00594907" w:rsidRPr="00594907">
              <w:rPr>
                <w:color w:val="000000"/>
                <w:spacing w:val="184"/>
                <w:shd w:val="solid" w:color="000000" w:fill="000000"/>
                <w:fitText w:val="270" w:id="-1161539574"/>
                <w14:textFill>
                  <w14:solidFill>
                    <w14:srgbClr w14:val="000000">
                      <w14:alpha w14:val="100000"/>
                    </w14:srgbClr>
                  </w14:solidFill>
                </w14:textFill>
              </w:rPr>
              <w:t>|</w:t>
            </w:r>
            <w:r w:rsidR="00594907" w:rsidRPr="00594907">
              <w:rPr>
                <w:color w:val="000000"/>
                <w:spacing w:val="1"/>
                <w:shd w:val="solid" w:color="000000" w:fill="000000"/>
                <w:fitText w:val="270" w:id="-1161539574"/>
                <w14:textFill>
                  <w14:solidFill>
                    <w14:srgbClr w14:val="000000">
                      <w14:alpha w14:val="100000"/>
                    </w14:srgbClr>
                  </w14:solidFill>
                </w14:textFill>
              </w:rPr>
              <w:t>|</w:t>
            </w:r>
            <w:r w:rsidRPr="00CA23AA">
              <w:t xml:space="preserve">%, subsequent </w:t>
            </w:r>
            <w:proofErr w:type="spellStart"/>
            <w:r w:rsidR="00D50E8F" w:rsidRPr="00CA23AA">
              <w:rPr>
                <w:rFonts w:cs="Calibri"/>
              </w:rPr>
              <w:t>aH</w:t>
            </w:r>
            <w:r w:rsidRPr="00CA23AA">
              <w:rPr>
                <w:rFonts w:cs="Calibri"/>
              </w:rPr>
              <w:t>SCT</w:t>
            </w:r>
            <w:proofErr w:type="spellEnd"/>
            <w:r w:rsidRPr="00CA23AA">
              <w:rPr>
                <w:rFonts w:cs="Calibri"/>
              </w:rPr>
              <w:t xml:space="preserve">: </w:t>
            </w:r>
            <w:r w:rsidR="00594907" w:rsidRPr="00594907">
              <w:rPr>
                <w:rFonts w:cs="Calibri"/>
                <w:color w:val="000000"/>
                <w:spacing w:val="184"/>
                <w:shd w:val="solid" w:color="000000" w:fill="000000"/>
                <w:fitText w:val="270" w:id="-1161539573"/>
                <w14:textFill>
                  <w14:solidFill>
                    <w14:srgbClr w14:val="000000">
                      <w14:alpha w14:val="100000"/>
                    </w14:srgbClr>
                  </w14:solidFill>
                </w14:textFill>
              </w:rPr>
              <w:t>|</w:t>
            </w:r>
            <w:r w:rsidR="00594907" w:rsidRPr="00594907">
              <w:rPr>
                <w:rFonts w:cs="Calibri"/>
                <w:color w:val="000000"/>
                <w:spacing w:val="1"/>
                <w:shd w:val="solid" w:color="000000" w:fill="000000"/>
                <w:fitText w:val="270" w:id="-1161539573"/>
                <w14:textFill>
                  <w14:solidFill>
                    <w14:srgbClr w14:val="000000">
                      <w14:alpha w14:val="100000"/>
                    </w14:srgbClr>
                  </w14:solidFill>
                </w14:textFill>
              </w:rPr>
              <w:t>|</w:t>
            </w:r>
            <w:r w:rsidRPr="00CA23AA">
              <w:rPr>
                <w:rFonts w:cs="Calibri"/>
              </w:rPr>
              <w:t>%, non-infused costs: $</w:t>
            </w:r>
            <w:r w:rsidR="00594907" w:rsidRPr="00594907">
              <w:rPr>
                <w:rFonts w:cs="Calibri"/>
                <w:color w:val="000000"/>
                <w:spacing w:val="184"/>
                <w:shd w:val="solid" w:color="000000" w:fill="000000"/>
                <w:fitText w:val="270" w:id="-1161539572"/>
                <w14:textFill>
                  <w14:solidFill>
                    <w14:srgbClr w14:val="000000">
                      <w14:alpha w14:val="100000"/>
                    </w14:srgbClr>
                  </w14:solidFill>
                </w14:textFill>
              </w:rPr>
              <w:t>|</w:t>
            </w:r>
            <w:r w:rsidR="00594907" w:rsidRPr="00594907">
              <w:rPr>
                <w:rFonts w:cs="Calibri"/>
                <w:color w:val="000000"/>
                <w:spacing w:val="1"/>
                <w:shd w:val="solid" w:color="000000" w:fill="000000"/>
                <w:fitText w:val="270" w:id="-1161539572"/>
                <w14:textFill>
                  <w14:solidFill>
                    <w14:srgbClr w14:val="000000">
                      <w14:alpha w14:val="100000"/>
                    </w14:srgbClr>
                  </w14:solidFill>
                </w14:textFill>
              </w:rPr>
              <w:t>|</w:t>
            </w:r>
            <w:r w:rsidRPr="00CA23AA">
              <w:rPr>
                <w:rFonts w:cs="Calibri"/>
              </w:rPr>
              <w:t>, infused program cost: $457,656</w:t>
            </w:r>
          </w:p>
        </w:tc>
        <w:tc>
          <w:tcPr>
            <w:tcW w:w="1985" w:type="dxa"/>
            <w:tcBorders>
              <w:top w:val="single" w:sz="8" w:space="0" w:color="auto"/>
              <w:left w:val="nil"/>
              <w:bottom w:val="single" w:sz="8" w:space="0" w:color="auto"/>
              <w:right w:val="single" w:sz="8" w:space="0" w:color="auto"/>
            </w:tcBorders>
            <w:shd w:val="solid" w:color="000000" w:fill="000000"/>
            <w:hideMark/>
          </w:tcPr>
          <w:p w14:paraId="44D2D070" w14:textId="49A23AB9"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66934269" w14:textId="1563FFBD" w:rsidR="00290CB4" w:rsidRPr="00CA23AA" w:rsidRDefault="00E42C65" w:rsidP="00EB36EE">
            <w:pPr>
              <w:pStyle w:val="Tabletext0"/>
              <w:spacing w:before="0" w:after="0"/>
              <w:jc w:val="center"/>
              <w:rPr>
                <w:rFonts w:cs="Calibri"/>
              </w:rPr>
            </w:pPr>
            <w:r w:rsidRPr="00CA23AA">
              <w:rPr>
                <w:rFonts w:cs="Arial Narrow"/>
              </w:rPr>
              <w:t>4.019</w:t>
            </w:r>
          </w:p>
        </w:tc>
        <w:tc>
          <w:tcPr>
            <w:tcW w:w="1560" w:type="dxa"/>
            <w:tcBorders>
              <w:top w:val="single" w:sz="8" w:space="0" w:color="auto"/>
              <w:left w:val="nil"/>
              <w:bottom w:val="single" w:sz="8" w:space="0" w:color="auto"/>
              <w:right w:val="single" w:sz="8" w:space="0" w:color="auto"/>
            </w:tcBorders>
            <w:shd w:val="solid" w:color="000000" w:fill="000000"/>
            <w:hideMark/>
          </w:tcPr>
          <w:p w14:paraId="3A679B4C" w14:textId="02958765"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33BD94B1" w14:textId="09B2C768" w:rsidR="00290CB4" w:rsidRPr="00CA23AA" w:rsidRDefault="00E42C65" w:rsidP="00EB36EE">
            <w:pPr>
              <w:pStyle w:val="Tabletext0"/>
              <w:spacing w:before="0" w:after="0"/>
              <w:jc w:val="center"/>
              <w:rPr>
                <w:rFonts w:cs="Calibri"/>
              </w:rPr>
            </w:pPr>
            <w:r w:rsidRPr="00CA23AA">
              <w:rPr>
                <w:rFonts w:cs="Arial Narrow"/>
              </w:rPr>
              <w:t>+113%</w:t>
            </w:r>
          </w:p>
        </w:tc>
      </w:tr>
      <w:tr w:rsidR="00F04DED" w:rsidRPr="00CA23AA" w14:paraId="7E380889" w14:textId="77777777" w:rsidTr="00594907">
        <w:trPr>
          <w:trHeight w:val="78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51673A24" w14:textId="0F315BF0" w:rsidR="00290CB4" w:rsidRPr="00CA23AA" w:rsidRDefault="00290CB4" w:rsidP="00EB36EE">
            <w:pPr>
              <w:pStyle w:val="Tabletext0"/>
              <w:spacing w:before="0" w:after="0"/>
              <w:jc w:val="left"/>
              <w:rPr>
                <w:rFonts w:cs="Calibri"/>
              </w:rPr>
            </w:pPr>
            <w:r w:rsidRPr="00CA23AA">
              <w:t xml:space="preserve">Infused: </w:t>
            </w:r>
            <w:r w:rsidR="00594907" w:rsidRPr="00594907">
              <w:rPr>
                <w:color w:val="000000"/>
                <w:spacing w:val="184"/>
                <w:shd w:val="solid" w:color="000000" w:fill="000000"/>
                <w:fitText w:val="270" w:id="-1161539571"/>
                <w14:textFill>
                  <w14:solidFill>
                    <w14:srgbClr w14:val="000000">
                      <w14:alpha w14:val="100000"/>
                    </w14:srgbClr>
                  </w14:solidFill>
                </w14:textFill>
              </w:rPr>
              <w:t>|</w:t>
            </w:r>
            <w:r w:rsidR="00594907" w:rsidRPr="00594907">
              <w:rPr>
                <w:color w:val="000000"/>
                <w:spacing w:val="1"/>
                <w:shd w:val="solid" w:color="000000" w:fill="000000"/>
                <w:fitText w:val="270" w:id="-1161539571"/>
                <w14:textFill>
                  <w14:solidFill>
                    <w14:srgbClr w14:val="000000">
                      <w14:alpha w14:val="100000"/>
                    </w14:srgbClr>
                  </w14:solidFill>
                </w14:textFill>
              </w:rPr>
              <w:t>|</w:t>
            </w:r>
            <w:r w:rsidRPr="00CA23AA">
              <w:t xml:space="preserve">%, subsequent </w:t>
            </w:r>
            <w:proofErr w:type="spellStart"/>
            <w:r w:rsidR="00D50E8F" w:rsidRPr="00CA23AA">
              <w:rPr>
                <w:rFonts w:cs="Calibri"/>
              </w:rPr>
              <w:t>aH</w:t>
            </w:r>
            <w:r w:rsidRPr="00CA23AA">
              <w:rPr>
                <w:rFonts w:cs="Calibri"/>
              </w:rPr>
              <w:t>SCT</w:t>
            </w:r>
            <w:proofErr w:type="spellEnd"/>
            <w:r w:rsidRPr="00CA23AA">
              <w:rPr>
                <w:rFonts w:cs="Calibri"/>
              </w:rPr>
              <w:t>: 31%, non-infused costs: $</w:t>
            </w:r>
            <w:r w:rsidR="00594907" w:rsidRPr="00594907">
              <w:rPr>
                <w:rFonts w:cs="Calibri"/>
                <w:color w:val="000000"/>
                <w:spacing w:val="184"/>
                <w:shd w:val="solid" w:color="000000" w:fill="000000"/>
                <w:fitText w:val="270" w:id="-1161539570"/>
                <w14:textFill>
                  <w14:solidFill>
                    <w14:srgbClr w14:val="000000">
                      <w14:alpha w14:val="100000"/>
                    </w14:srgbClr>
                  </w14:solidFill>
                </w14:textFill>
              </w:rPr>
              <w:t>|</w:t>
            </w:r>
            <w:r w:rsidR="00594907" w:rsidRPr="00594907">
              <w:rPr>
                <w:rFonts w:cs="Calibri"/>
                <w:color w:val="000000"/>
                <w:spacing w:val="1"/>
                <w:shd w:val="solid" w:color="000000" w:fill="000000"/>
                <w:fitText w:val="270" w:id="-1161539570"/>
                <w14:textFill>
                  <w14:solidFill>
                    <w14:srgbClr w14:val="000000">
                      <w14:alpha w14:val="100000"/>
                    </w14:srgbClr>
                  </w14:solidFill>
                </w14:textFill>
              </w:rPr>
              <w:t>|</w:t>
            </w:r>
            <w:r w:rsidRPr="00CA23AA">
              <w:rPr>
                <w:rFonts w:cs="Calibri"/>
              </w:rPr>
              <w:t>, infused program cost: $457,656</w:t>
            </w:r>
          </w:p>
        </w:tc>
        <w:tc>
          <w:tcPr>
            <w:tcW w:w="1985" w:type="dxa"/>
            <w:tcBorders>
              <w:top w:val="single" w:sz="8" w:space="0" w:color="auto"/>
              <w:left w:val="nil"/>
              <w:bottom w:val="single" w:sz="8" w:space="0" w:color="auto"/>
              <w:right w:val="single" w:sz="8" w:space="0" w:color="auto"/>
            </w:tcBorders>
            <w:shd w:val="solid" w:color="000000" w:fill="000000"/>
            <w:hideMark/>
          </w:tcPr>
          <w:p w14:paraId="002E4828" w14:textId="00A17E0A"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0A92C82D" w14:textId="62883B7D" w:rsidR="00290CB4" w:rsidRPr="00CA23AA" w:rsidRDefault="00E42C65" w:rsidP="00EB36EE">
            <w:pPr>
              <w:pStyle w:val="Tabletext0"/>
              <w:spacing w:before="0" w:after="0"/>
              <w:jc w:val="center"/>
              <w:rPr>
                <w:rFonts w:cs="Calibri"/>
              </w:rPr>
            </w:pPr>
            <w:r w:rsidRPr="00CA23AA">
              <w:rPr>
                <w:rFonts w:cs="Arial Narrow"/>
              </w:rPr>
              <w:t>3.957</w:t>
            </w:r>
          </w:p>
        </w:tc>
        <w:tc>
          <w:tcPr>
            <w:tcW w:w="1560" w:type="dxa"/>
            <w:tcBorders>
              <w:top w:val="single" w:sz="8" w:space="0" w:color="auto"/>
              <w:left w:val="nil"/>
              <w:bottom w:val="single" w:sz="8" w:space="0" w:color="auto"/>
              <w:right w:val="single" w:sz="8" w:space="0" w:color="auto"/>
            </w:tcBorders>
            <w:shd w:val="solid" w:color="000000" w:fill="000000"/>
            <w:hideMark/>
          </w:tcPr>
          <w:p w14:paraId="3C162F2E" w14:textId="261944C5"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3A1CCED8" w14:textId="5DE60F54" w:rsidR="00290CB4" w:rsidRPr="00CA23AA" w:rsidRDefault="00E42C65" w:rsidP="00EB36EE">
            <w:pPr>
              <w:pStyle w:val="Tabletext0"/>
              <w:spacing w:before="0" w:after="0"/>
              <w:jc w:val="center"/>
              <w:rPr>
                <w:rFonts w:cs="Calibri"/>
              </w:rPr>
            </w:pPr>
            <w:r w:rsidRPr="00CA23AA">
              <w:rPr>
                <w:rFonts w:cs="Arial Narrow"/>
              </w:rPr>
              <w:t>+116%</w:t>
            </w:r>
          </w:p>
        </w:tc>
      </w:tr>
      <w:tr w:rsidR="00D80AB2" w:rsidRPr="00CA23AA" w14:paraId="61515A79" w14:textId="77777777" w:rsidTr="00594907">
        <w:trPr>
          <w:trHeight w:val="780"/>
        </w:trPr>
        <w:tc>
          <w:tcPr>
            <w:tcW w:w="2977" w:type="dxa"/>
            <w:tcBorders>
              <w:top w:val="nil"/>
              <w:left w:val="single" w:sz="8" w:space="0" w:color="auto"/>
              <w:bottom w:val="single" w:sz="8" w:space="0" w:color="auto"/>
              <w:right w:val="single" w:sz="8" w:space="0" w:color="auto"/>
            </w:tcBorders>
            <w:shd w:val="clear" w:color="auto" w:fill="DEEAF6" w:themeFill="accent1" w:themeFillTint="33"/>
          </w:tcPr>
          <w:p w14:paraId="64FA43D9" w14:textId="589A35FB" w:rsidR="00F46E34" w:rsidRPr="00CA23AA" w:rsidRDefault="00F46E34" w:rsidP="00EB36EE">
            <w:pPr>
              <w:pStyle w:val="Tabletext0"/>
              <w:spacing w:before="0" w:after="0"/>
              <w:jc w:val="left"/>
              <w:rPr>
                <w:iCs/>
              </w:rPr>
            </w:pPr>
            <w:r w:rsidRPr="00CA23AA">
              <w:rPr>
                <w:rFonts w:cs="Arial Narrow"/>
              </w:rPr>
              <w:t xml:space="preserve">Infused: </w:t>
            </w:r>
            <w:r w:rsidR="00594907" w:rsidRPr="00594907">
              <w:rPr>
                <w:rFonts w:cs="Arial Narrow"/>
                <w:color w:val="000000"/>
                <w:spacing w:val="184"/>
                <w:shd w:val="solid" w:color="000000" w:fill="000000"/>
                <w:fitText w:val="270" w:id="-1161539569"/>
                <w14:textFill>
                  <w14:solidFill>
                    <w14:srgbClr w14:val="000000">
                      <w14:alpha w14:val="100000"/>
                    </w14:srgbClr>
                  </w14:solidFill>
                </w14:textFill>
              </w:rPr>
              <w:t>|</w:t>
            </w:r>
            <w:r w:rsidR="00594907" w:rsidRPr="00594907">
              <w:rPr>
                <w:rFonts w:cs="Arial Narrow"/>
                <w:color w:val="000000"/>
                <w:spacing w:val="1"/>
                <w:shd w:val="solid" w:color="000000" w:fill="000000"/>
                <w:fitText w:val="270" w:id="-1161539569"/>
                <w14:textFill>
                  <w14:solidFill>
                    <w14:srgbClr w14:val="000000">
                      <w14:alpha w14:val="100000"/>
                    </w14:srgbClr>
                  </w14:solidFill>
                </w14:textFill>
              </w:rPr>
              <w:t>|</w:t>
            </w:r>
            <w:r w:rsidRPr="00CA23AA">
              <w:rPr>
                <w:rFonts w:cs="Arial Narrow"/>
              </w:rPr>
              <w:t>%, subsequent SCT: 31%, non-infused costs: $</w:t>
            </w:r>
            <w:r w:rsidR="00594907" w:rsidRPr="00594907">
              <w:rPr>
                <w:rFonts w:cs="Arial Narrow"/>
                <w:color w:val="000000"/>
                <w:spacing w:val="184"/>
                <w:shd w:val="solid" w:color="000000" w:fill="000000"/>
                <w:fitText w:val="270" w:id="-1161539568"/>
                <w14:textFill>
                  <w14:solidFill>
                    <w14:srgbClr w14:val="000000">
                      <w14:alpha w14:val="100000"/>
                    </w14:srgbClr>
                  </w14:solidFill>
                </w14:textFill>
              </w:rPr>
              <w:t>|</w:t>
            </w:r>
            <w:r w:rsidR="00594907" w:rsidRPr="00594907">
              <w:rPr>
                <w:rFonts w:cs="Arial Narrow"/>
                <w:color w:val="000000"/>
                <w:spacing w:val="1"/>
                <w:shd w:val="solid" w:color="000000" w:fill="000000"/>
                <w:fitText w:val="270" w:id="-1161539568"/>
                <w14:textFill>
                  <w14:solidFill>
                    <w14:srgbClr w14:val="000000">
                      <w14:alpha w14:val="100000"/>
                    </w14:srgbClr>
                  </w14:solidFill>
                </w14:textFill>
              </w:rPr>
              <w:t>|</w:t>
            </w:r>
            <w:r w:rsidRPr="00CA23AA">
              <w:rPr>
                <w:rFonts w:cs="Arial Narrow"/>
              </w:rPr>
              <w:t>, infused program cost: $457,656), TIS cost: $</w:t>
            </w:r>
            <w:r w:rsidR="00594907" w:rsidRPr="00982219">
              <w:rPr>
                <w:rFonts w:cs="Arial Narrow"/>
                <w:color w:val="000000"/>
                <w:spacing w:val="194"/>
                <w:shd w:val="solid" w:color="000000" w:fill="000000"/>
                <w:fitText w:val="280" w:id="-1161539584"/>
                <w14:textFill>
                  <w14:solidFill>
                    <w14:srgbClr w14:val="000000">
                      <w14:alpha w14:val="100000"/>
                    </w14:srgbClr>
                  </w14:solidFill>
                </w14:textFill>
              </w:rPr>
              <w:t>|</w:t>
            </w:r>
            <w:r w:rsidR="00594907" w:rsidRPr="00982219">
              <w:rPr>
                <w:rFonts w:cs="Arial Narrow"/>
                <w:color w:val="000000"/>
                <w:spacing w:val="1"/>
                <w:shd w:val="solid" w:color="000000" w:fill="000000"/>
                <w:fitText w:val="280" w:id="-1161539584"/>
                <w14:textFill>
                  <w14:solidFill>
                    <w14:srgbClr w14:val="000000">
                      <w14:alpha w14:val="100000"/>
                    </w14:srgbClr>
                  </w14:solidFill>
                </w14:textFill>
              </w:rPr>
              <w:t>|</w:t>
            </w:r>
          </w:p>
        </w:tc>
        <w:tc>
          <w:tcPr>
            <w:tcW w:w="1985" w:type="dxa"/>
            <w:tcBorders>
              <w:top w:val="single" w:sz="8" w:space="0" w:color="auto"/>
              <w:left w:val="nil"/>
              <w:bottom w:val="single" w:sz="8" w:space="0" w:color="auto"/>
              <w:right w:val="single" w:sz="8" w:space="0" w:color="auto"/>
            </w:tcBorders>
            <w:shd w:val="solid" w:color="000000" w:fill="000000"/>
          </w:tcPr>
          <w:p w14:paraId="7009BA9D" w14:textId="5BE1586A" w:rsidR="00F46E34" w:rsidRPr="00CA23AA" w:rsidRDefault="00594907" w:rsidP="00EB36EE">
            <w:pPr>
              <w:pStyle w:val="Tabletext0"/>
              <w:spacing w:before="0" w:after="0"/>
              <w:jc w:val="center"/>
              <w:rPr>
                <w:rFonts w:cs="Arial Narrow"/>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DEEAF6" w:themeFill="accent1" w:themeFillTint="33"/>
          </w:tcPr>
          <w:p w14:paraId="4049109F" w14:textId="70C0784A" w:rsidR="00F46E34" w:rsidRPr="00CA23AA" w:rsidRDefault="00F46E34" w:rsidP="00EB36EE">
            <w:pPr>
              <w:pStyle w:val="Tabletext0"/>
              <w:spacing w:before="0" w:after="0"/>
              <w:jc w:val="center"/>
              <w:rPr>
                <w:rFonts w:cs="Arial Narrow"/>
              </w:rPr>
            </w:pPr>
            <w:r w:rsidRPr="00CA23AA">
              <w:rPr>
                <w:rFonts w:cs="Arial Narrow"/>
              </w:rPr>
              <w:t>3.957</w:t>
            </w:r>
          </w:p>
        </w:tc>
        <w:tc>
          <w:tcPr>
            <w:tcW w:w="1560" w:type="dxa"/>
            <w:tcBorders>
              <w:top w:val="single" w:sz="8" w:space="0" w:color="auto"/>
              <w:left w:val="nil"/>
              <w:bottom w:val="single" w:sz="8" w:space="0" w:color="auto"/>
              <w:right w:val="single" w:sz="8" w:space="0" w:color="auto"/>
            </w:tcBorders>
            <w:shd w:val="solid" w:color="000000" w:fill="000000"/>
          </w:tcPr>
          <w:p w14:paraId="4E0F79B4" w14:textId="6C6ED9CE" w:rsidR="00F46E34" w:rsidRPr="00CA23AA" w:rsidRDefault="00594907" w:rsidP="00EB36EE">
            <w:pPr>
              <w:pStyle w:val="Tabletext0"/>
              <w:spacing w:before="0" w:after="0"/>
              <w:jc w:val="center"/>
              <w:rPr>
                <w:rFonts w:cs="Arial Narrow"/>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DEEAF6" w:themeFill="accent1" w:themeFillTint="33"/>
          </w:tcPr>
          <w:p w14:paraId="42BCD558" w14:textId="14F4354D" w:rsidR="00F46E34" w:rsidRPr="00CA23AA" w:rsidRDefault="006A1504" w:rsidP="00EB36EE">
            <w:pPr>
              <w:pStyle w:val="Tabletext0"/>
              <w:spacing w:before="0" w:after="0"/>
              <w:jc w:val="center"/>
              <w:rPr>
                <w:rFonts w:cs="Arial Narrow"/>
              </w:rPr>
            </w:pPr>
            <w:r w:rsidRPr="00CA23AA">
              <w:rPr>
                <w:rFonts w:cs="Arial Narrow"/>
              </w:rPr>
              <w:t>+</w:t>
            </w:r>
            <w:r w:rsidR="00F46E34" w:rsidRPr="00CA23AA">
              <w:rPr>
                <w:rFonts w:cs="Arial Narrow"/>
              </w:rPr>
              <w:t>108%</w:t>
            </w:r>
          </w:p>
        </w:tc>
      </w:tr>
      <w:tr w:rsidR="00D80AB2" w:rsidRPr="00CA23AA" w14:paraId="26BDEC75" w14:textId="77777777" w:rsidTr="00594907">
        <w:trPr>
          <w:trHeight w:val="780"/>
        </w:trPr>
        <w:tc>
          <w:tcPr>
            <w:tcW w:w="2977"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7B2EE5A5" w14:textId="171E5C51" w:rsidR="00E30D96" w:rsidRPr="00CA23AA" w:rsidRDefault="00E30D96" w:rsidP="00EB36EE">
            <w:pPr>
              <w:pStyle w:val="Tabletext0"/>
              <w:spacing w:before="0" w:after="0"/>
              <w:jc w:val="left"/>
              <w:rPr>
                <w:color w:val="000000" w:themeColor="text1"/>
                <w:vertAlign w:val="superscript"/>
              </w:rPr>
            </w:pPr>
            <w:r w:rsidRPr="00CA23AA">
              <w:rPr>
                <w:rFonts w:cs="Arial Narrow"/>
                <w:color w:val="000000" w:themeColor="text1"/>
              </w:rPr>
              <w:t xml:space="preserve">Infused: </w:t>
            </w:r>
            <w:r w:rsidR="00594907" w:rsidRPr="00594907">
              <w:rPr>
                <w:rFonts w:cs="Arial Narrow"/>
                <w:color w:val="000000" w:themeColor="text1"/>
                <w:spacing w:val="184"/>
                <w:shd w:val="solid" w:color="000000" w:fill="000000"/>
                <w:fitText w:val="270" w:id="-1161539583"/>
                <w14:textFill>
                  <w14:solidFill>
                    <w14:schemeClr w14:val="tx1">
                      <w14:alpha w14:val="100000"/>
                    </w14:schemeClr>
                  </w14:solidFill>
                </w14:textFill>
              </w:rPr>
              <w:t>|</w:t>
            </w:r>
            <w:r w:rsidR="00594907" w:rsidRPr="00594907">
              <w:rPr>
                <w:rFonts w:cs="Arial Narrow"/>
                <w:color w:val="000000" w:themeColor="text1"/>
                <w:spacing w:val="1"/>
                <w:shd w:val="solid" w:color="000000" w:fill="000000"/>
                <w:fitText w:val="270" w:id="-1161539583"/>
                <w14:textFill>
                  <w14:solidFill>
                    <w14:schemeClr w14:val="tx1">
                      <w14:alpha w14:val="100000"/>
                    </w14:schemeClr>
                  </w14:solidFill>
                </w14:textFill>
              </w:rPr>
              <w:t>|</w:t>
            </w:r>
            <w:r w:rsidRPr="00CA23AA">
              <w:rPr>
                <w:rFonts w:cs="Arial Narrow"/>
                <w:color w:val="000000" w:themeColor="text1"/>
              </w:rPr>
              <w:t>%, subsequent SCT: 31%, non-infused costs: $</w:t>
            </w:r>
            <w:r w:rsidR="00594907" w:rsidRPr="00594907">
              <w:rPr>
                <w:rFonts w:cs="Arial Narrow"/>
                <w:color w:val="000000" w:themeColor="text1"/>
                <w:spacing w:val="184"/>
                <w:shd w:val="solid" w:color="000000" w:fill="000000"/>
                <w:fitText w:val="270" w:id="-1161539328"/>
                <w14:textFill>
                  <w14:solidFill>
                    <w14:schemeClr w14:val="tx1">
                      <w14:alpha w14:val="100000"/>
                    </w14:schemeClr>
                  </w14:solidFill>
                </w14:textFill>
              </w:rPr>
              <w:t>|</w:t>
            </w:r>
            <w:r w:rsidR="00594907" w:rsidRPr="00594907">
              <w:rPr>
                <w:rFonts w:cs="Arial Narrow"/>
                <w:color w:val="000000" w:themeColor="text1"/>
                <w:spacing w:val="1"/>
                <w:shd w:val="solid" w:color="000000" w:fill="000000"/>
                <w:fitText w:val="270" w:id="-1161539328"/>
                <w14:textFill>
                  <w14:solidFill>
                    <w14:schemeClr w14:val="tx1">
                      <w14:alpha w14:val="100000"/>
                    </w14:schemeClr>
                  </w14:solidFill>
                </w14:textFill>
              </w:rPr>
              <w:t>|</w:t>
            </w:r>
            <w:r w:rsidRPr="00CA23AA">
              <w:rPr>
                <w:rFonts w:cs="Arial Narrow"/>
                <w:color w:val="000000" w:themeColor="text1"/>
              </w:rPr>
              <w:t>, infused program cost: $457,656), TIS cost: $</w:t>
            </w:r>
            <w:r w:rsidR="00594907" w:rsidRPr="00982219">
              <w:rPr>
                <w:rFonts w:cs="Arial Narrow"/>
                <w:color w:val="000000" w:themeColor="text1"/>
                <w:spacing w:val="194"/>
                <w:shd w:val="solid" w:color="000000" w:fill="000000"/>
                <w:fitText w:val="280" w:id="-1161539327"/>
                <w14:textFill>
                  <w14:solidFill>
                    <w14:schemeClr w14:val="tx1">
                      <w14:alpha w14:val="100000"/>
                    </w14:schemeClr>
                  </w14:solidFill>
                </w14:textFill>
              </w:rPr>
              <w:t>|</w:t>
            </w:r>
            <w:r w:rsidR="00594907" w:rsidRPr="00982219">
              <w:rPr>
                <w:rFonts w:cs="Arial Narrow"/>
                <w:color w:val="000000" w:themeColor="text1"/>
                <w:spacing w:val="1"/>
                <w:shd w:val="solid" w:color="000000" w:fill="000000"/>
                <w:fitText w:val="280" w:id="-1161539327"/>
                <w14:textFill>
                  <w14:solidFill>
                    <w14:schemeClr w14:val="tx1">
                      <w14:alpha w14:val="100000"/>
                    </w14:schemeClr>
                  </w14:solidFill>
                </w14:textFill>
              </w:rPr>
              <w:t>|</w:t>
            </w:r>
          </w:p>
        </w:tc>
        <w:tc>
          <w:tcPr>
            <w:tcW w:w="1985" w:type="dxa"/>
            <w:tcBorders>
              <w:top w:val="single" w:sz="8" w:space="0" w:color="auto"/>
              <w:left w:val="nil"/>
              <w:bottom w:val="single" w:sz="8" w:space="0" w:color="auto"/>
              <w:right w:val="single" w:sz="8" w:space="0" w:color="auto"/>
            </w:tcBorders>
            <w:shd w:val="solid" w:color="000000" w:fill="000000"/>
            <w:vAlign w:val="center"/>
          </w:tcPr>
          <w:p w14:paraId="512CF75B" w14:textId="18AC24FA" w:rsidR="00E30D96" w:rsidRPr="00CA23AA" w:rsidRDefault="00594907" w:rsidP="00EB36EE">
            <w:pPr>
              <w:pStyle w:val="Tabletext0"/>
              <w:spacing w:before="0" w:after="0"/>
              <w:jc w:val="center"/>
              <w:rPr>
                <w:rFonts w:cs="Arial Narrow"/>
                <w:color w:val="000000" w:themeColor="text1"/>
              </w:rPr>
            </w:pPr>
            <w:r w:rsidRPr="00594907">
              <w:rPr>
                <w:rFonts w:cs="Calibri"/>
                <w:color w:val="000000" w:themeColor="text1"/>
                <w14:textFill>
                  <w14:solidFill>
                    <w14:schemeClr w14:val="tx1">
                      <w14:alpha w14:val="100000"/>
                    </w14:schemeClr>
                  </w14:solidFill>
                </w14:textFill>
              </w:rPr>
              <w:t>|</w:t>
            </w:r>
          </w:p>
        </w:tc>
        <w:tc>
          <w:tcPr>
            <w:tcW w:w="1275" w:type="dxa"/>
            <w:tcBorders>
              <w:top w:val="nil"/>
              <w:left w:val="nil"/>
              <w:bottom w:val="single" w:sz="8" w:space="0" w:color="auto"/>
              <w:right w:val="single" w:sz="8" w:space="0" w:color="auto"/>
            </w:tcBorders>
            <w:shd w:val="clear" w:color="auto" w:fill="DEEAF6" w:themeFill="accent1" w:themeFillTint="33"/>
            <w:vAlign w:val="center"/>
          </w:tcPr>
          <w:p w14:paraId="451A472F" w14:textId="7158A941" w:rsidR="00E30D96" w:rsidRPr="00CA23AA" w:rsidRDefault="00E30D96" w:rsidP="00EB36EE">
            <w:pPr>
              <w:pStyle w:val="Tabletext0"/>
              <w:spacing w:before="0" w:after="0"/>
              <w:jc w:val="center"/>
              <w:rPr>
                <w:rFonts w:cs="Arial Narrow"/>
                <w:color w:val="000000" w:themeColor="text1"/>
              </w:rPr>
            </w:pPr>
            <w:r w:rsidRPr="00CA23AA">
              <w:rPr>
                <w:rFonts w:cs="Calibri"/>
                <w:color w:val="000000" w:themeColor="text1"/>
              </w:rPr>
              <w:t>3.957</w:t>
            </w:r>
          </w:p>
        </w:tc>
        <w:tc>
          <w:tcPr>
            <w:tcW w:w="1560" w:type="dxa"/>
            <w:tcBorders>
              <w:top w:val="single" w:sz="8" w:space="0" w:color="auto"/>
              <w:left w:val="nil"/>
              <w:bottom w:val="single" w:sz="8" w:space="0" w:color="auto"/>
              <w:right w:val="single" w:sz="8" w:space="0" w:color="auto"/>
            </w:tcBorders>
            <w:shd w:val="solid" w:color="000000" w:fill="000000"/>
            <w:vAlign w:val="center"/>
          </w:tcPr>
          <w:p w14:paraId="1C29A9D9" w14:textId="69F47722" w:rsidR="00E30D96" w:rsidRPr="00CA23AA" w:rsidRDefault="00594907" w:rsidP="00EB36EE">
            <w:pPr>
              <w:pStyle w:val="Tabletext0"/>
              <w:spacing w:before="0" w:after="0"/>
              <w:jc w:val="center"/>
              <w:rPr>
                <w:rFonts w:cs="Arial Narrow"/>
                <w:color w:val="000000" w:themeColor="text1"/>
              </w:rPr>
            </w:pPr>
            <w:r w:rsidRPr="00594907">
              <w:rPr>
                <w:rFonts w:cs="Calibri"/>
                <w:color w:val="000000" w:themeColor="text1"/>
                <w14:textFill>
                  <w14:solidFill>
                    <w14:schemeClr w14:val="tx1">
                      <w14:alpha w14:val="100000"/>
                    </w14:schemeClr>
                  </w14:solidFill>
                </w14:textFill>
              </w:rPr>
              <w:t>|</w:t>
            </w:r>
          </w:p>
        </w:tc>
        <w:tc>
          <w:tcPr>
            <w:tcW w:w="1219" w:type="dxa"/>
            <w:tcBorders>
              <w:top w:val="nil"/>
              <w:left w:val="nil"/>
              <w:bottom w:val="single" w:sz="8" w:space="0" w:color="auto"/>
              <w:right w:val="single" w:sz="8" w:space="0" w:color="auto"/>
            </w:tcBorders>
            <w:shd w:val="clear" w:color="auto" w:fill="DEEAF6" w:themeFill="accent1" w:themeFillTint="33"/>
            <w:vAlign w:val="center"/>
          </w:tcPr>
          <w:p w14:paraId="0565A029" w14:textId="1C6CA717" w:rsidR="00E30D96" w:rsidRPr="00CA23AA" w:rsidRDefault="006A1504" w:rsidP="00EB36EE">
            <w:pPr>
              <w:pStyle w:val="Tabletext0"/>
              <w:spacing w:before="0" w:after="0"/>
              <w:jc w:val="center"/>
              <w:rPr>
                <w:rFonts w:cs="Arial Narrow"/>
                <w:color w:val="000000" w:themeColor="text1"/>
              </w:rPr>
            </w:pPr>
            <w:r w:rsidRPr="00CA23AA">
              <w:rPr>
                <w:rFonts w:cs="Calibri"/>
                <w:color w:val="000000" w:themeColor="text1"/>
              </w:rPr>
              <w:t>+26%</w:t>
            </w:r>
          </w:p>
        </w:tc>
      </w:tr>
      <w:tr w:rsidR="008F31C3" w:rsidRPr="00CA23AA" w14:paraId="6F5AA970" w14:textId="77777777" w:rsidTr="00594907">
        <w:trPr>
          <w:trHeight w:val="78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6AC6854" w14:textId="4E571E08" w:rsidR="00290CB4" w:rsidRPr="00CA23AA" w:rsidRDefault="00290CB4" w:rsidP="00EB36EE">
            <w:pPr>
              <w:pStyle w:val="Tabletext0"/>
              <w:spacing w:before="0" w:after="0"/>
              <w:jc w:val="left"/>
              <w:rPr>
                <w:rFonts w:cs="Calibri"/>
              </w:rPr>
            </w:pPr>
            <w:r w:rsidRPr="00CA23AA">
              <w:t xml:space="preserve">Infused: </w:t>
            </w:r>
            <w:r w:rsidR="00594907" w:rsidRPr="00594907">
              <w:rPr>
                <w:color w:val="000000"/>
                <w:spacing w:val="184"/>
                <w:shd w:val="solid" w:color="000000" w:fill="000000"/>
                <w:fitText w:val="270" w:id="-1161539326"/>
                <w14:textFill>
                  <w14:solidFill>
                    <w14:srgbClr w14:val="000000">
                      <w14:alpha w14:val="100000"/>
                    </w14:srgbClr>
                  </w14:solidFill>
                </w14:textFill>
              </w:rPr>
              <w:t>|</w:t>
            </w:r>
            <w:r w:rsidR="00594907" w:rsidRPr="00594907">
              <w:rPr>
                <w:color w:val="000000"/>
                <w:spacing w:val="1"/>
                <w:shd w:val="solid" w:color="000000" w:fill="000000"/>
                <w:fitText w:val="270" w:id="-1161539326"/>
                <w14:textFill>
                  <w14:solidFill>
                    <w14:srgbClr w14:val="000000">
                      <w14:alpha w14:val="100000"/>
                    </w14:srgbClr>
                  </w14:solidFill>
                </w14:textFill>
              </w:rPr>
              <w:t>|</w:t>
            </w:r>
            <w:r w:rsidRPr="00CA23AA">
              <w:t xml:space="preserve">%, subsequent </w:t>
            </w:r>
            <w:proofErr w:type="spellStart"/>
            <w:r w:rsidR="00D50E8F" w:rsidRPr="00CA23AA">
              <w:rPr>
                <w:rFonts w:cs="Calibri"/>
              </w:rPr>
              <w:t>aH</w:t>
            </w:r>
            <w:r w:rsidRPr="00CA23AA">
              <w:rPr>
                <w:rFonts w:cs="Calibri"/>
              </w:rPr>
              <w:t>SCT</w:t>
            </w:r>
            <w:proofErr w:type="spellEnd"/>
            <w:r w:rsidRPr="00CA23AA">
              <w:rPr>
                <w:rFonts w:cs="Calibri"/>
              </w:rPr>
              <w:t>: 20%, infused program cost: $457,656</w:t>
            </w:r>
          </w:p>
        </w:tc>
        <w:tc>
          <w:tcPr>
            <w:tcW w:w="1985" w:type="dxa"/>
            <w:tcBorders>
              <w:top w:val="single" w:sz="8" w:space="0" w:color="auto"/>
              <w:left w:val="nil"/>
              <w:bottom w:val="single" w:sz="8" w:space="0" w:color="auto"/>
              <w:right w:val="single" w:sz="8" w:space="0" w:color="auto"/>
            </w:tcBorders>
            <w:shd w:val="solid" w:color="000000" w:fill="000000"/>
            <w:hideMark/>
          </w:tcPr>
          <w:p w14:paraId="5F2B4265" w14:textId="0763416C"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199EFB67" w14:textId="58481EB0" w:rsidR="00290CB4" w:rsidRPr="00CA23AA" w:rsidRDefault="00E42C65" w:rsidP="00EB36EE">
            <w:pPr>
              <w:pStyle w:val="Tabletext0"/>
              <w:spacing w:before="0" w:after="0"/>
              <w:jc w:val="center"/>
              <w:rPr>
                <w:rFonts w:cs="Calibri"/>
              </w:rPr>
            </w:pPr>
            <w:r w:rsidRPr="00CA23AA">
              <w:rPr>
                <w:rFonts w:cs="Arial Narrow"/>
              </w:rPr>
              <w:t>4.019</w:t>
            </w:r>
          </w:p>
        </w:tc>
        <w:tc>
          <w:tcPr>
            <w:tcW w:w="1560" w:type="dxa"/>
            <w:tcBorders>
              <w:top w:val="single" w:sz="8" w:space="0" w:color="auto"/>
              <w:left w:val="nil"/>
              <w:bottom w:val="single" w:sz="8" w:space="0" w:color="auto"/>
              <w:right w:val="single" w:sz="8" w:space="0" w:color="auto"/>
            </w:tcBorders>
            <w:shd w:val="solid" w:color="000000" w:fill="000000"/>
            <w:hideMark/>
          </w:tcPr>
          <w:p w14:paraId="031F68AD" w14:textId="1AB0F038"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66FF688C" w14:textId="23C01507" w:rsidR="00290CB4" w:rsidRPr="00CA23AA" w:rsidRDefault="00E42C65" w:rsidP="00EB36EE">
            <w:pPr>
              <w:pStyle w:val="Tabletext0"/>
              <w:spacing w:before="0" w:after="0"/>
              <w:jc w:val="center"/>
              <w:rPr>
                <w:rFonts w:cs="Calibri"/>
              </w:rPr>
            </w:pPr>
            <w:r w:rsidRPr="00CA23AA">
              <w:rPr>
                <w:rFonts w:cs="Arial Narrow"/>
              </w:rPr>
              <w:t>+124%</w:t>
            </w:r>
          </w:p>
        </w:tc>
      </w:tr>
      <w:tr w:rsidR="008F31C3" w:rsidRPr="00CA23AA" w14:paraId="4D0773A1" w14:textId="77777777" w:rsidTr="00594907">
        <w:trPr>
          <w:trHeight w:val="78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042311B9" w14:textId="61C985B2" w:rsidR="00290CB4" w:rsidRPr="00CA23AA" w:rsidRDefault="00290CB4" w:rsidP="00EB36EE">
            <w:pPr>
              <w:pStyle w:val="Tabletext0"/>
              <w:spacing w:before="0" w:after="0"/>
              <w:jc w:val="left"/>
              <w:rPr>
                <w:rFonts w:cs="Calibri"/>
              </w:rPr>
            </w:pPr>
            <w:r w:rsidRPr="00CA23AA">
              <w:t xml:space="preserve">Infused: </w:t>
            </w:r>
            <w:r w:rsidR="00594907" w:rsidRPr="00594907">
              <w:rPr>
                <w:color w:val="000000"/>
                <w:spacing w:val="184"/>
                <w:shd w:val="solid" w:color="000000" w:fill="000000"/>
                <w:fitText w:val="270" w:id="-1161539325"/>
                <w14:textFill>
                  <w14:solidFill>
                    <w14:srgbClr w14:val="000000">
                      <w14:alpha w14:val="100000"/>
                    </w14:srgbClr>
                  </w14:solidFill>
                </w14:textFill>
              </w:rPr>
              <w:t>|</w:t>
            </w:r>
            <w:r w:rsidR="00594907" w:rsidRPr="00594907">
              <w:rPr>
                <w:color w:val="000000"/>
                <w:spacing w:val="1"/>
                <w:shd w:val="solid" w:color="000000" w:fill="000000"/>
                <w:fitText w:val="270" w:id="-1161539325"/>
                <w14:textFill>
                  <w14:solidFill>
                    <w14:srgbClr w14:val="000000">
                      <w14:alpha w14:val="100000"/>
                    </w14:srgbClr>
                  </w14:solidFill>
                </w14:textFill>
              </w:rPr>
              <w:t>|</w:t>
            </w:r>
            <w:r w:rsidRPr="00CA23AA">
              <w:t xml:space="preserve">%, subsequent </w:t>
            </w:r>
            <w:proofErr w:type="spellStart"/>
            <w:r w:rsidR="00D50E8F" w:rsidRPr="00CA23AA">
              <w:rPr>
                <w:rFonts w:cs="Calibri"/>
              </w:rPr>
              <w:t>aH</w:t>
            </w:r>
            <w:r w:rsidRPr="00CA23AA">
              <w:rPr>
                <w:rFonts w:cs="Calibri"/>
              </w:rPr>
              <w:t>SCT</w:t>
            </w:r>
            <w:proofErr w:type="spellEnd"/>
            <w:r w:rsidRPr="00CA23AA">
              <w:rPr>
                <w:rFonts w:cs="Calibri"/>
              </w:rPr>
              <w:t>: 31%, infused program cost: $457,656</w:t>
            </w:r>
          </w:p>
        </w:tc>
        <w:tc>
          <w:tcPr>
            <w:tcW w:w="1985" w:type="dxa"/>
            <w:tcBorders>
              <w:top w:val="single" w:sz="8" w:space="0" w:color="auto"/>
              <w:left w:val="nil"/>
              <w:bottom w:val="single" w:sz="8" w:space="0" w:color="auto"/>
              <w:right w:val="single" w:sz="8" w:space="0" w:color="auto"/>
            </w:tcBorders>
            <w:shd w:val="solid" w:color="000000" w:fill="000000"/>
            <w:hideMark/>
          </w:tcPr>
          <w:p w14:paraId="506B8633" w14:textId="028587AA"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480841DF" w14:textId="52C84A56" w:rsidR="00290CB4" w:rsidRPr="00CA23AA" w:rsidRDefault="00E42C65" w:rsidP="00EB36EE">
            <w:pPr>
              <w:pStyle w:val="Tabletext0"/>
              <w:spacing w:before="0" w:after="0"/>
              <w:jc w:val="center"/>
              <w:rPr>
                <w:rFonts w:cs="Calibri"/>
              </w:rPr>
            </w:pPr>
            <w:r w:rsidRPr="00CA23AA">
              <w:rPr>
                <w:rFonts w:cs="Arial Narrow"/>
              </w:rPr>
              <w:t>3.957</w:t>
            </w:r>
          </w:p>
        </w:tc>
        <w:tc>
          <w:tcPr>
            <w:tcW w:w="1560" w:type="dxa"/>
            <w:tcBorders>
              <w:top w:val="single" w:sz="8" w:space="0" w:color="auto"/>
              <w:left w:val="nil"/>
              <w:bottom w:val="single" w:sz="8" w:space="0" w:color="auto"/>
              <w:right w:val="single" w:sz="8" w:space="0" w:color="auto"/>
            </w:tcBorders>
            <w:shd w:val="solid" w:color="000000" w:fill="000000"/>
            <w:hideMark/>
          </w:tcPr>
          <w:p w14:paraId="7FD3DEB3" w14:textId="1D3C9D6D"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7E137F4C" w14:textId="4411DF2C" w:rsidR="00290CB4" w:rsidRPr="00CA23AA" w:rsidRDefault="00E42C65" w:rsidP="00EB36EE">
            <w:pPr>
              <w:pStyle w:val="Tabletext0"/>
              <w:spacing w:before="0" w:after="0"/>
              <w:jc w:val="center"/>
              <w:rPr>
                <w:rFonts w:cs="Calibri"/>
              </w:rPr>
            </w:pPr>
            <w:r w:rsidRPr="00CA23AA">
              <w:rPr>
                <w:rFonts w:cs="Arial Narrow"/>
              </w:rPr>
              <w:t>+128%</w:t>
            </w:r>
          </w:p>
        </w:tc>
      </w:tr>
      <w:tr w:rsidR="008F31C3" w:rsidRPr="00CA23AA" w14:paraId="4CCE4DEC" w14:textId="77777777" w:rsidTr="00594907">
        <w:trPr>
          <w:trHeight w:val="103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1EBCC6B" w14:textId="2DD9AF0D" w:rsidR="00290CB4" w:rsidRPr="00CA23AA" w:rsidRDefault="00290CB4" w:rsidP="00EB36EE">
            <w:pPr>
              <w:pStyle w:val="Tabletext0"/>
              <w:spacing w:before="0" w:after="0"/>
              <w:jc w:val="left"/>
              <w:rPr>
                <w:rFonts w:cs="Calibri"/>
              </w:rPr>
            </w:pPr>
            <w:r w:rsidRPr="00CA23AA">
              <w:t xml:space="preserve">Infused: </w:t>
            </w:r>
            <w:r w:rsidR="00594907" w:rsidRPr="00594907">
              <w:rPr>
                <w:color w:val="000000"/>
                <w:spacing w:val="184"/>
                <w:shd w:val="solid" w:color="000000" w:fill="000000"/>
                <w:fitText w:val="270" w:id="-1161539324"/>
                <w14:textFill>
                  <w14:solidFill>
                    <w14:srgbClr w14:val="000000">
                      <w14:alpha w14:val="100000"/>
                    </w14:srgbClr>
                  </w14:solidFill>
                </w14:textFill>
              </w:rPr>
              <w:t>|</w:t>
            </w:r>
            <w:r w:rsidR="00594907" w:rsidRPr="00594907">
              <w:rPr>
                <w:color w:val="000000"/>
                <w:spacing w:val="1"/>
                <w:shd w:val="solid" w:color="000000" w:fill="000000"/>
                <w:fitText w:val="270" w:id="-1161539324"/>
                <w14:textFill>
                  <w14:solidFill>
                    <w14:srgbClr w14:val="000000">
                      <w14:alpha w14:val="100000"/>
                    </w14:srgbClr>
                  </w14:solidFill>
                </w14:textFill>
              </w:rPr>
              <w:t>|</w:t>
            </w:r>
            <w:r w:rsidRPr="00CA23AA">
              <w:t xml:space="preserve">%, subsequent </w:t>
            </w:r>
            <w:proofErr w:type="spellStart"/>
            <w:r w:rsidR="00D50E8F" w:rsidRPr="00CA23AA">
              <w:rPr>
                <w:rFonts w:cs="Calibri"/>
              </w:rPr>
              <w:t>aH</w:t>
            </w:r>
            <w:r w:rsidRPr="00CA23AA">
              <w:rPr>
                <w:rFonts w:cs="Calibri"/>
              </w:rPr>
              <w:t>SCT</w:t>
            </w:r>
            <w:proofErr w:type="spellEnd"/>
            <w:r w:rsidRPr="00CA23AA">
              <w:rPr>
                <w:rFonts w:cs="Calibri"/>
              </w:rPr>
              <w:t>: 31%, infused program cost: $457,656; TIS cost: $</w:t>
            </w:r>
            <w:r w:rsidR="00594907" w:rsidRPr="00594907">
              <w:rPr>
                <w:rFonts w:cs="Calibri"/>
                <w:color w:val="000000"/>
                <w:spacing w:val="184"/>
                <w:shd w:val="solid" w:color="000000" w:fill="000000"/>
                <w:fitText w:val="270" w:id="-1161539323"/>
                <w14:textFill>
                  <w14:solidFill>
                    <w14:srgbClr w14:val="000000">
                      <w14:alpha w14:val="100000"/>
                    </w14:srgbClr>
                  </w14:solidFill>
                </w14:textFill>
              </w:rPr>
              <w:t>|</w:t>
            </w:r>
            <w:r w:rsidR="00594907" w:rsidRPr="00594907">
              <w:rPr>
                <w:rFonts w:cs="Calibri"/>
                <w:color w:val="000000"/>
                <w:spacing w:val="1"/>
                <w:shd w:val="solid" w:color="000000" w:fill="000000"/>
                <w:fitText w:val="270" w:id="-1161539323"/>
                <w14:textFill>
                  <w14:solidFill>
                    <w14:srgbClr w14:val="000000">
                      <w14:alpha w14:val="100000"/>
                    </w14:srgbClr>
                  </w14:solidFill>
                </w14:textFill>
              </w:rPr>
              <w:t>|</w:t>
            </w:r>
            <w:r w:rsidRPr="00CA23AA">
              <w:rPr>
                <w:rFonts w:cs="Calibri"/>
              </w:rPr>
              <w:t>)</w:t>
            </w:r>
          </w:p>
        </w:tc>
        <w:tc>
          <w:tcPr>
            <w:tcW w:w="1985" w:type="dxa"/>
            <w:tcBorders>
              <w:top w:val="single" w:sz="8" w:space="0" w:color="auto"/>
              <w:left w:val="nil"/>
              <w:bottom w:val="single" w:sz="8" w:space="0" w:color="auto"/>
              <w:right w:val="single" w:sz="8" w:space="0" w:color="auto"/>
            </w:tcBorders>
            <w:shd w:val="solid" w:color="000000" w:fill="000000"/>
            <w:hideMark/>
          </w:tcPr>
          <w:p w14:paraId="3E0DF20C" w14:textId="21077FDE"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75" w:type="dxa"/>
            <w:tcBorders>
              <w:top w:val="nil"/>
              <w:left w:val="nil"/>
              <w:bottom w:val="single" w:sz="8" w:space="0" w:color="auto"/>
              <w:right w:val="single" w:sz="8" w:space="0" w:color="auto"/>
            </w:tcBorders>
            <w:shd w:val="clear" w:color="auto" w:fill="auto"/>
            <w:hideMark/>
          </w:tcPr>
          <w:p w14:paraId="380B93A5" w14:textId="6FFED429" w:rsidR="00290CB4" w:rsidRPr="00CA23AA" w:rsidRDefault="00E42C65" w:rsidP="00EB36EE">
            <w:pPr>
              <w:pStyle w:val="Tabletext0"/>
              <w:spacing w:before="0" w:after="0"/>
              <w:jc w:val="center"/>
              <w:rPr>
                <w:rFonts w:cs="Calibri"/>
              </w:rPr>
            </w:pPr>
            <w:r w:rsidRPr="00CA23AA">
              <w:rPr>
                <w:rFonts w:cs="Arial Narrow"/>
              </w:rPr>
              <w:t>3.957</w:t>
            </w:r>
          </w:p>
        </w:tc>
        <w:tc>
          <w:tcPr>
            <w:tcW w:w="1560" w:type="dxa"/>
            <w:tcBorders>
              <w:top w:val="single" w:sz="8" w:space="0" w:color="auto"/>
              <w:left w:val="nil"/>
              <w:bottom w:val="single" w:sz="8" w:space="0" w:color="auto"/>
              <w:right w:val="single" w:sz="8" w:space="0" w:color="auto"/>
            </w:tcBorders>
            <w:shd w:val="solid" w:color="000000" w:fill="000000"/>
            <w:hideMark/>
          </w:tcPr>
          <w:p w14:paraId="2F2C0040" w14:textId="78627472" w:rsidR="00290CB4" w:rsidRPr="00CA23AA" w:rsidRDefault="00594907" w:rsidP="00EB36EE">
            <w:pPr>
              <w:pStyle w:val="Tabletext0"/>
              <w:spacing w:before="0" w:after="0"/>
              <w:jc w:val="center"/>
              <w:rPr>
                <w:rFonts w:cs="Calibri"/>
              </w:rPr>
            </w:pPr>
            <w:r w:rsidRPr="00594907">
              <w:rPr>
                <w:rFonts w:cs="Arial Narrow"/>
                <w:color w:val="000000"/>
                <w14:textFill>
                  <w14:solidFill>
                    <w14:srgbClr w14:val="000000">
                      <w14:alpha w14:val="100000"/>
                    </w14:srgbClr>
                  </w14:solidFill>
                </w14:textFill>
              </w:rPr>
              <w:t>|</w:t>
            </w:r>
          </w:p>
        </w:tc>
        <w:tc>
          <w:tcPr>
            <w:tcW w:w="1219" w:type="dxa"/>
            <w:tcBorders>
              <w:top w:val="nil"/>
              <w:left w:val="nil"/>
              <w:bottom w:val="single" w:sz="8" w:space="0" w:color="auto"/>
              <w:right w:val="single" w:sz="8" w:space="0" w:color="auto"/>
            </w:tcBorders>
            <w:shd w:val="clear" w:color="auto" w:fill="auto"/>
            <w:hideMark/>
          </w:tcPr>
          <w:p w14:paraId="461272E3" w14:textId="3B7569E6" w:rsidR="00290CB4" w:rsidRPr="00CA23AA" w:rsidRDefault="00E42C65" w:rsidP="00EB36EE">
            <w:pPr>
              <w:pStyle w:val="Tabletext0"/>
              <w:spacing w:before="0" w:after="0"/>
              <w:jc w:val="center"/>
              <w:rPr>
                <w:rFonts w:cs="Calibri"/>
              </w:rPr>
            </w:pPr>
            <w:r w:rsidRPr="00CA23AA">
              <w:rPr>
                <w:rFonts w:cs="Arial Narrow"/>
              </w:rPr>
              <w:t>+119%</w:t>
            </w:r>
          </w:p>
        </w:tc>
      </w:tr>
    </w:tbl>
    <w:p w14:paraId="36156B04" w14:textId="6425B55E" w:rsidR="00290CB4" w:rsidRPr="00CA23AA" w:rsidRDefault="00D50E8F" w:rsidP="00290CB4">
      <w:pPr>
        <w:spacing w:before="0" w:after="0" w:line="240" w:lineRule="auto"/>
        <w:rPr>
          <w:rFonts w:ascii="Arial Narrow" w:hAnsi="Arial Narrow"/>
          <w:sz w:val="18"/>
          <w:szCs w:val="18"/>
        </w:rPr>
      </w:pPr>
      <w:bookmarkStart w:id="65" w:name="_Hlk131519666"/>
      <w:proofErr w:type="spellStart"/>
      <w:r w:rsidRPr="00CA23AA">
        <w:rPr>
          <w:rFonts w:ascii="Arial Narrow" w:hAnsi="Arial Narrow"/>
          <w:sz w:val="18"/>
          <w:szCs w:val="18"/>
        </w:rPr>
        <w:t>aH</w:t>
      </w:r>
      <w:r w:rsidR="00B87748" w:rsidRPr="00CA23AA">
        <w:rPr>
          <w:rFonts w:ascii="Arial Narrow" w:hAnsi="Arial Narrow"/>
          <w:sz w:val="18"/>
          <w:szCs w:val="18"/>
        </w:rPr>
        <w:t>SCT</w:t>
      </w:r>
      <w:proofErr w:type="spellEnd"/>
      <w:r w:rsidR="00B87748" w:rsidRPr="00CA23AA">
        <w:rPr>
          <w:rFonts w:ascii="Arial Narrow" w:hAnsi="Arial Narrow"/>
          <w:sz w:val="18"/>
          <w:szCs w:val="18"/>
        </w:rPr>
        <w:t xml:space="preserve"> = </w:t>
      </w:r>
      <w:r w:rsidRPr="00CA23AA">
        <w:rPr>
          <w:rFonts w:ascii="Arial Narrow" w:hAnsi="Arial Narrow"/>
          <w:sz w:val="18"/>
          <w:szCs w:val="18"/>
        </w:rPr>
        <w:t xml:space="preserve">allogenic haemopoietic </w:t>
      </w:r>
      <w:r w:rsidR="00B87748" w:rsidRPr="00CA23AA">
        <w:rPr>
          <w:rFonts w:ascii="Arial Narrow" w:hAnsi="Arial Narrow"/>
          <w:sz w:val="18"/>
          <w:szCs w:val="18"/>
        </w:rPr>
        <w:t xml:space="preserve">stem cell transplant; </w:t>
      </w:r>
      <w:r w:rsidR="00290CB4" w:rsidRPr="00CA23AA">
        <w:rPr>
          <w:rFonts w:ascii="Arial Narrow" w:hAnsi="Arial Narrow"/>
          <w:sz w:val="18"/>
          <w:szCs w:val="18"/>
        </w:rPr>
        <w:t>QALY = quality adjusted life year; TIS = tisagenlecleucel</w:t>
      </w:r>
    </w:p>
    <w:bookmarkEnd w:id="65"/>
    <w:p w14:paraId="23BCF8A1" w14:textId="69E8EAC7" w:rsidR="003218E4" w:rsidRPr="00CA23AA" w:rsidRDefault="00994572" w:rsidP="00180310">
      <w:pPr>
        <w:pStyle w:val="Tablenotes0"/>
        <w:spacing w:after="0"/>
      </w:pPr>
      <w:r w:rsidRPr="00CA23AA">
        <w:rPr>
          <w:szCs w:val="18"/>
          <w:vertAlign w:val="superscript"/>
        </w:rPr>
        <w:t xml:space="preserve">1 </w:t>
      </w:r>
      <w:bookmarkStart w:id="66" w:name="_Hlk134056227"/>
      <w:r w:rsidR="00781014" w:rsidRPr="00CA23AA">
        <w:t xml:space="preserve">Revisions were made to the Step 3 model to apply the cure function to the EFS health state rather than the OS curve, by stopping further transitions to progression at five years. These </w:t>
      </w:r>
      <w:proofErr w:type="gramStart"/>
      <w:r w:rsidR="00781014" w:rsidRPr="00CA23AA">
        <w:t>include;</w:t>
      </w:r>
      <w:proofErr w:type="gramEnd"/>
      <w:r w:rsidR="00781014" w:rsidRPr="00CA23AA">
        <w:t xml:space="preserve"> hard-entered EFS estimates were converted to live calculations to prevent the proportion of patients in the EFS state to be higher than the proportion of OS.</w:t>
      </w:r>
      <w:bookmarkEnd w:id="66"/>
    </w:p>
    <w:p w14:paraId="6528D97E" w14:textId="53B24F13" w:rsidR="00EE2945" w:rsidRPr="00CA23AA" w:rsidRDefault="00994572" w:rsidP="00D50E8F">
      <w:pPr>
        <w:spacing w:before="0" w:after="0" w:line="240" w:lineRule="auto"/>
        <w:rPr>
          <w:rFonts w:ascii="Arial Narrow" w:hAnsi="Arial Narrow"/>
          <w:sz w:val="18"/>
          <w:szCs w:val="18"/>
        </w:rPr>
      </w:pPr>
      <w:r w:rsidRPr="00CA23AA">
        <w:rPr>
          <w:rFonts w:ascii="Arial Narrow" w:hAnsi="Arial Narrow"/>
          <w:sz w:val="18"/>
          <w:szCs w:val="18"/>
          <w:vertAlign w:val="superscript"/>
        </w:rPr>
        <w:t>2</w:t>
      </w:r>
      <w:r w:rsidR="00EE2945" w:rsidRPr="00CA23AA">
        <w:rPr>
          <w:rFonts w:ascii="Arial Narrow" w:hAnsi="Arial Narrow"/>
          <w:sz w:val="18"/>
          <w:szCs w:val="18"/>
        </w:rPr>
        <w:t xml:space="preserve"> According to MSAC Quarterly report </w:t>
      </w:r>
      <w:r w:rsidR="00594907" w:rsidRPr="00982219">
        <w:rPr>
          <w:rFonts w:ascii="Arial Narrow" w:hAnsi="Arial Narrow"/>
          <w:color w:val="000000"/>
          <w:spacing w:val="173"/>
          <w:sz w:val="18"/>
          <w:szCs w:val="18"/>
          <w:shd w:val="solid" w:color="000000" w:fill="000000"/>
          <w:fitText w:val="250" w:id="-1161539322"/>
          <w14:textFill>
            <w14:solidFill>
              <w14:srgbClr w14:val="000000">
                <w14:alpha w14:val="100000"/>
              </w14:srgbClr>
            </w14:solidFill>
          </w14:textFill>
        </w:rPr>
        <w:t>|</w:t>
      </w:r>
      <w:r w:rsidR="00594907" w:rsidRPr="00982219">
        <w:rPr>
          <w:rFonts w:ascii="Arial Narrow" w:hAnsi="Arial Narrow"/>
          <w:color w:val="000000"/>
          <w:spacing w:val="1"/>
          <w:sz w:val="18"/>
          <w:szCs w:val="18"/>
          <w:shd w:val="solid" w:color="000000" w:fill="000000"/>
          <w:fitText w:val="250" w:id="-1161539322"/>
          <w14:textFill>
            <w14:solidFill>
              <w14:srgbClr w14:val="000000">
                <w14:alpha w14:val="100000"/>
              </w14:srgbClr>
            </w14:solidFill>
          </w14:textFill>
        </w:rPr>
        <w:t>|</w:t>
      </w:r>
      <w:r w:rsidR="00EE2945" w:rsidRPr="00CA23AA">
        <w:rPr>
          <w:rFonts w:ascii="Arial Narrow" w:hAnsi="Arial Narrow"/>
          <w:sz w:val="18"/>
          <w:szCs w:val="18"/>
        </w:rPr>
        <w:t xml:space="preserve"> patients who were registered did not receive TIS infusion. Of these </w:t>
      </w:r>
      <w:r w:rsidR="00594907" w:rsidRPr="00982219">
        <w:rPr>
          <w:rFonts w:ascii="Arial Narrow" w:hAnsi="Arial Narrow"/>
          <w:color w:val="000000"/>
          <w:spacing w:val="173"/>
          <w:sz w:val="18"/>
          <w:szCs w:val="18"/>
          <w:shd w:val="solid" w:color="000000" w:fill="000000"/>
          <w:fitText w:val="250" w:id="-1161539321"/>
          <w14:textFill>
            <w14:solidFill>
              <w14:srgbClr w14:val="000000">
                <w14:alpha w14:val="100000"/>
              </w14:srgbClr>
            </w14:solidFill>
          </w14:textFill>
        </w:rPr>
        <w:t>|</w:t>
      </w:r>
      <w:r w:rsidR="00594907" w:rsidRPr="00982219">
        <w:rPr>
          <w:rFonts w:ascii="Arial Narrow" w:hAnsi="Arial Narrow"/>
          <w:color w:val="000000"/>
          <w:spacing w:val="1"/>
          <w:sz w:val="18"/>
          <w:szCs w:val="18"/>
          <w:shd w:val="solid" w:color="000000" w:fill="000000"/>
          <w:fitText w:val="250" w:id="-1161539321"/>
          <w14:textFill>
            <w14:solidFill>
              <w14:srgbClr w14:val="000000">
                <w14:alpha w14:val="100000"/>
              </w14:srgbClr>
            </w14:solidFill>
          </w14:textFill>
        </w:rPr>
        <w:t>|</w:t>
      </w:r>
      <w:r w:rsidR="00EE2945" w:rsidRPr="00CA23AA">
        <w:rPr>
          <w:rFonts w:ascii="Arial Narrow" w:hAnsi="Arial Narrow"/>
          <w:sz w:val="18"/>
          <w:szCs w:val="18"/>
        </w:rPr>
        <w:t xml:space="preserve"> patients had unsuccessful infusion. For these patients (</w:t>
      </w:r>
      <w:r w:rsidR="00594907" w:rsidRPr="00982219">
        <w:rPr>
          <w:rFonts w:ascii="Arial Narrow" w:hAnsi="Arial Narrow"/>
          <w:color w:val="000000"/>
          <w:spacing w:val="173"/>
          <w:sz w:val="18"/>
          <w:szCs w:val="18"/>
          <w:shd w:val="solid" w:color="000000" w:fill="000000"/>
          <w:fitText w:val="250" w:id="-1161539320"/>
          <w14:textFill>
            <w14:solidFill>
              <w14:srgbClr w14:val="000000">
                <w14:alpha w14:val="100000"/>
              </w14:srgbClr>
            </w14:solidFill>
          </w14:textFill>
        </w:rPr>
        <w:t>|</w:t>
      </w:r>
      <w:r w:rsidR="00594907" w:rsidRPr="00982219">
        <w:rPr>
          <w:rFonts w:ascii="Arial Narrow" w:hAnsi="Arial Narrow"/>
          <w:color w:val="000000"/>
          <w:spacing w:val="1"/>
          <w:sz w:val="18"/>
          <w:szCs w:val="18"/>
          <w:shd w:val="solid" w:color="000000" w:fill="000000"/>
          <w:fitText w:val="250" w:id="-1161539320"/>
          <w14:textFill>
            <w14:solidFill>
              <w14:srgbClr w14:val="000000">
                <w14:alpha w14:val="100000"/>
              </w14:srgbClr>
            </w14:solidFill>
          </w14:textFill>
        </w:rPr>
        <w:t>|</w:t>
      </w:r>
      <w:r w:rsidR="00EE2945" w:rsidRPr="00CA23AA">
        <w:rPr>
          <w:rFonts w:ascii="Arial Narrow" w:hAnsi="Arial Narrow"/>
          <w:sz w:val="18"/>
          <w:szCs w:val="18"/>
        </w:rPr>
        <w:t xml:space="preserve">%) costs included are for apheresis + bridging therapy + lymphodepleting chemotherapy+ salvage chemotherapy regimen. </w:t>
      </w:r>
      <w:r w:rsidR="00594907" w:rsidRPr="00982219">
        <w:rPr>
          <w:rFonts w:ascii="Arial Narrow" w:hAnsi="Arial Narrow"/>
          <w:color w:val="000000"/>
          <w:spacing w:val="173"/>
          <w:sz w:val="18"/>
          <w:szCs w:val="18"/>
          <w:shd w:val="solid" w:color="000000" w:fill="000000"/>
          <w:fitText w:val="250" w:id="-1161539319"/>
          <w14:textFill>
            <w14:solidFill>
              <w14:srgbClr w14:val="000000">
                <w14:alpha w14:val="100000"/>
              </w14:srgbClr>
            </w14:solidFill>
          </w14:textFill>
        </w:rPr>
        <w:t>|</w:t>
      </w:r>
      <w:r w:rsidR="00594907" w:rsidRPr="00982219">
        <w:rPr>
          <w:rFonts w:ascii="Arial Narrow" w:hAnsi="Arial Narrow"/>
          <w:color w:val="000000"/>
          <w:spacing w:val="1"/>
          <w:sz w:val="18"/>
          <w:szCs w:val="18"/>
          <w:shd w:val="solid" w:color="000000" w:fill="000000"/>
          <w:fitText w:val="250" w:id="-1161539319"/>
          <w14:textFill>
            <w14:solidFill>
              <w14:srgbClr w14:val="000000">
                <w14:alpha w14:val="100000"/>
              </w14:srgbClr>
            </w14:solidFill>
          </w14:textFill>
        </w:rPr>
        <w:t>|</w:t>
      </w:r>
      <w:r w:rsidR="00EE2945" w:rsidRPr="00CA23AA">
        <w:rPr>
          <w:rFonts w:ascii="Arial Narrow" w:hAnsi="Arial Narrow"/>
          <w:sz w:val="18"/>
          <w:szCs w:val="18"/>
        </w:rPr>
        <w:t xml:space="preserve">had the order cancelled. </w:t>
      </w:r>
      <w:r w:rsidR="00903FFA" w:rsidRPr="00CA23AA">
        <w:rPr>
          <w:rFonts w:ascii="Arial Narrow" w:hAnsi="Arial Narrow"/>
          <w:sz w:val="18"/>
          <w:szCs w:val="18"/>
        </w:rPr>
        <w:t>Therefore,</w:t>
      </w:r>
      <w:r w:rsidR="00EE2945" w:rsidRPr="00CA23AA">
        <w:rPr>
          <w:rFonts w:ascii="Arial Narrow" w:hAnsi="Arial Narrow"/>
          <w:sz w:val="18"/>
          <w:szCs w:val="18"/>
        </w:rPr>
        <w:t xml:space="preserve"> cost for </w:t>
      </w:r>
      <w:r w:rsidR="00594907" w:rsidRPr="00982219">
        <w:rPr>
          <w:rFonts w:ascii="Arial Narrow" w:hAnsi="Arial Narrow"/>
          <w:color w:val="000000"/>
          <w:spacing w:val="163"/>
          <w:sz w:val="18"/>
          <w:szCs w:val="18"/>
          <w:shd w:val="solid" w:color="000000" w:fill="000000"/>
          <w:fitText w:val="240" w:id="-1161539318"/>
          <w14:textFill>
            <w14:solidFill>
              <w14:srgbClr w14:val="000000">
                <w14:alpha w14:val="100000"/>
              </w14:srgbClr>
            </w14:solidFill>
          </w14:textFill>
        </w:rPr>
        <w:t>|</w:t>
      </w:r>
      <w:r w:rsidR="00594907" w:rsidRPr="00982219">
        <w:rPr>
          <w:rFonts w:ascii="Arial Narrow" w:hAnsi="Arial Narrow"/>
          <w:color w:val="000000"/>
          <w:spacing w:val="1"/>
          <w:sz w:val="18"/>
          <w:szCs w:val="18"/>
          <w:shd w:val="solid" w:color="000000" w:fill="000000"/>
          <w:fitText w:val="240" w:id="-1161539318"/>
          <w14:textFill>
            <w14:solidFill>
              <w14:srgbClr w14:val="000000">
                <w14:alpha w14:val="100000"/>
              </w14:srgbClr>
            </w14:solidFill>
          </w14:textFill>
        </w:rPr>
        <w:t>|</w:t>
      </w:r>
      <w:r w:rsidR="00EE2945" w:rsidRPr="00CA23AA">
        <w:rPr>
          <w:rFonts w:ascii="Arial Narrow" w:hAnsi="Arial Narrow"/>
          <w:sz w:val="18"/>
          <w:szCs w:val="18"/>
        </w:rPr>
        <w:t>% non-infused include apheresis + SCR.</w:t>
      </w:r>
    </w:p>
    <w:p w14:paraId="2190404F" w14:textId="089F5B68" w:rsidR="00290CB4" w:rsidRPr="00CA23AA" w:rsidRDefault="00994572" w:rsidP="00D50E8F">
      <w:pPr>
        <w:spacing w:before="0" w:after="0" w:line="240" w:lineRule="auto"/>
        <w:rPr>
          <w:rFonts w:ascii="Arial Narrow" w:hAnsi="Arial Narrow"/>
          <w:sz w:val="18"/>
          <w:szCs w:val="18"/>
        </w:rPr>
      </w:pPr>
      <w:r w:rsidRPr="00CA23AA">
        <w:rPr>
          <w:rFonts w:ascii="Arial Narrow" w:hAnsi="Arial Narrow"/>
          <w:sz w:val="18"/>
          <w:szCs w:val="18"/>
          <w:vertAlign w:val="superscript"/>
        </w:rPr>
        <w:t>3</w:t>
      </w:r>
      <w:r w:rsidR="00EE2945" w:rsidRPr="00CA23AA">
        <w:rPr>
          <w:rFonts w:ascii="Arial Narrow" w:hAnsi="Arial Narrow"/>
          <w:sz w:val="18"/>
          <w:szCs w:val="18"/>
          <w:vertAlign w:val="superscript"/>
        </w:rPr>
        <w:t xml:space="preserve"> </w:t>
      </w:r>
      <w:r w:rsidR="00290CB4" w:rsidRPr="00CA23AA">
        <w:rPr>
          <w:rFonts w:ascii="Arial Narrow" w:hAnsi="Arial Narrow"/>
          <w:sz w:val="18"/>
          <w:szCs w:val="18"/>
        </w:rPr>
        <w:t xml:space="preserve">costs of </w:t>
      </w:r>
      <w:proofErr w:type="spellStart"/>
      <w:r w:rsidR="0080466D" w:rsidRPr="00CA23AA">
        <w:rPr>
          <w:rFonts w:ascii="Arial Narrow" w:hAnsi="Arial Narrow"/>
          <w:sz w:val="18"/>
          <w:szCs w:val="18"/>
        </w:rPr>
        <w:t>aH</w:t>
      </w:r>
      <w:r w:rsidR="00290CB4" w:rsidRPr="00CA23AA">
        <w:rPr>
          <w:rFonts w:ascii="Arial Narrow" w:hAnsi="Arial Narrow"/>
          <w:sz w:val="18"/>
          <w:szCs w:val="18"/>
        </w:rPr>
        <w:t>SCT</w:t>
      </w:r>
      <w:proofErr w:type="spellEnd"/>
      <w:r w:rsidR="00290CB4" w:rsidRPr="00CA23AA">
        <w:rPr>
          <w:rFonts w:ascii="Arial Narrow" w:hAnsi="Arial Narrow"/>
          <w:sz w:val="18"/>
          <w:szCs w:val="18"/>
        </w:rPr>
        <w:t xml:space="preserve"> in these multivariate analyses are overridden by blanket program costs. Only utility calculations differ here</w:t>
      </w:r>
      <w:r w:rsidR="006E3C42" w:rsidRPr="00CA23AA">
        <w:rPr>
          <w:rFonts w:ascii="Arial Narrow" w:hAnsi="Arial Narrow"/>
          <w:sz w:val="18"/>
          <w:szCs w:val="18"/>
        </w:rPr>
        <w:t>.</w:t>
      </w:r>
    </w:p>
    <w:p w14:paraId="2B1DCBB5" w14:textId="2DBA5321" w:rsidR="00371D70" w:rsidRPr="00CA23AA" w:rsidRDefault="00371D70" w:rsidP="00371D70">
      <w:pPr>
        <w:spacing w:before="0" w:after="0" w:line="240" w:lineRule="auto"/>
        <w:rPr>
          <w:rFonts w:ascii="Arial Narrow" w:hAnsi="Arial Narrow"/>
          <w:sz w:val="18"/>
          <w:szCs w:val="18"/>
        </w:rPr>
      </w:pPr>
      <w:r w:rsidRPr="00CA23AA">
        <w:rPr>
          <w:rFonts w:ascii="Arial Narrow" w:hAnsi="Arial Narrow"/>
          <w:sz w:val="18"/>
          <w:szCs w:val="18"/>
          <w:vertAlign w:val="superscript"/>
        </w:rPr>
        <w:t xml:space="preserve">4 </w:t>
      </w:r>
      <w:r w:rsidRPr="00CA23AA">
        <w:rPr>
          <w:rFonts w:ascii="Arial Narrow" w:hAnsi="Arial Narrow"/>
          <w:sz w:val="18"/>
          <w:szCs w:val="18"/>
        </w:rPr>
        <w:t>Average cost per patient (including cost of TIS) was approximately $</w:t>
      </w:r>
      <w:r w:rsidR="00594907" w:rsidRPr="00AD4862">
        <w:rPr>
          <w:rFonts w:ascii="Arial Narrow" w:hAnsi="Arial Narrow"/>
          <w:color w:val="000000"/>
          <w:spacing w:val="173"/>
          <w:sz w:val="18"/>
          <w:szCs w:val="18"/>
          <w:shd w:val="solid" w:color="000000" w:fill="000000"/>
          <w:fitText w:val="250" w:id="-1161539317"/>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50" w:id="-1161539317"/>
          <w14:textFill>
            <w14:solidFill>
              <w14:srgbClr w14:val="000000">
                <w14:alpha w14:val="100000"/>
              </w14:srgbClr>
            </w14:solidFill>
          </w14:textFill>
        </w:rPr>
        <w:t>|</w:t>
      </w:r>
      <w:r w:rsidRPr="00CA23AA">
        <w:rPr>
          <w:rFonts w:ascii="Arial Narrow" w:hAnsi="Arial Narrow"/>
          <w:sz w:val="18"/>
          <w:szCs w:val="18"/>
        </w:rPr>
        <w:t xml:space="preserve"> for patients treated at NSW (N=13) and Victoria for (N= 35). It is assumed that this cost includes the inpatient/outpatient admissions related to IVIg. Average cost of TIS in the updated Step 3 was $</w:t>
      </w:r>
      <w:r w:rsidR="00594907" w:rsidRPr="00AD4862">
        <w:rPr>
          <w:rFonts w:ascii="Arial Narrow" w:hAnsi="Arial Narrow"/>
          <w:color w:val="000000"/>
          <w:spacing w:val="163"/>
          <w:sz w:val="18"/>
          <w:szCs w:val="18"/>
          <w:shd w:val="solid" w:color="000000" w:fill="000000"/>
          <w:fitText w:val="240" w:id="-1161539316"/>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40" w:id="-1161539316"/>
          <w14:textFill>
            <w14:solidFill>
              <w14:srgbClr w14:val="000000">
                <w14:alpha w14:val="100000"/>
              </w14:srgbClr>
            </w14:solidFill>
          </w14:textFill>
        </w:rPr>
        <w:t>|</w:t>
      </w:r>
      <w:r w:rsidRPr="00CA23AA">
        <w:rPr>
          <w:rFonts w:ascii="Arial Narrow" w:hAnsi="Arial Narrow"/>
          <w:sz w:val="18"/>
          <w:szCs w:val="18"/>
        </w:rPr>
        <w:t>. The modelled cost for first 12 months of IVIg treatment is $</w:t>
      </w:r>
      <w:r w:rsidR="00594907" w:rsidRPr="00AD4862">
        <w:rPr>
          <w:rFonts w:ascii="Arial Narrow" w:hAnsi="Arial Narrow"/>
          <w:color w:val="000000"/>
          <w:spacing w:val="173"/>
          <w:sz w:val="18"/>
          <w:szCs w:val="18"/>
          <w:shd w:val="solid" w:color="000000" w:fill="000000"/>
          <w:fitText w:val="250" w:id="-1161539315"/>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50" w:id="-1161539315"/>
          <w14:textFill>
            <w14:solidFill>
              <w14:srgbClr w14:val="000000">
                <w14:alpha w14:val="100000"/>
              </w14:srgbClr>
            </w14:solidFill>
          </w14:textFill>
        </w:rPr>
        <w:t>|</w:t>
      </w:r>
      <w:r w:rsidRPr="00CA23AA">
        <w:rPr>
          <w:rFonts w:ascii="Arial Narrow" w:hAnsi="Arial Narrow"/>
          <w:sz w:val="18"/>
          <w:szCs w:val="18"/>
        </w:rPr>
        <w:t>. The average adjunctive cost (excluding cost of TIS and IVIg) is estimated by subtracting IVIg and TIS costs from the average cost per patient reported by state hospitals ($</w:t>
      </w:r>
      <w:r w:rsidR="00594907" w:rsidRPr="00AD4862">
        <w:rPr>
          <w:rFonts w:ascii="Arial Narrow" w:hAnsi="Arial Narrow"/>
          <w:color w:val="000000"/>
          <w:spacing w:val="173"/>
          <w:sz w:val="18"/>
          <w:szCs w:val="18"/>
          <w:shd w:val="solid" w:color="000000" w:fill="000000"/>
          <w:fitText w:val="250" w:id="-1161539314"/>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50" w:id="-1161539314"/>
          <w14:textFill>
            <w14:solidFill>
              <w14:srgbClr w14:val="000000">
                <w14:alpha w14:val="100000"/>
              </w14:srgbClr>
            </w14:solidFill>
          </w14:textFill>
        </w:rPr>
        <w:t>|</w:t>
      </w:r>
      <w:r w:rsidRPr="00CA23AA">
        <w:rPr>
          <w:rFonts w:ascii="Arial Narrow" w:hAnsi="Arial Narrow"/>
          <w:sz w:val="18"/>
          <w:szCs w:val="18"/>
        </w:rPr>
        <w:t>- $</w:t>
      </w:r>
      <w:r w:rsidR="00594907" w:rsidRPr="00AD4862">
        <w:rPr>
          <w:rFonts w:ascii="Arial Narrow" w:hAnsi="Arial Narrow"/>
          <w:color w:val="000000"/>
          <w:spacing w:val="173"/>
          <w:sz w:val="18"/>
          <w:szCs w:val="18"/>
          <w:shd w:val="solid" w:color="000000" w:fill="000000"/>
          <w:fitText w:val="250" w:id="-1161539313"/>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50" w:id="-1161539313"/>
          <w14:textFill>
            <w14:solidFill>
              <w14:srgbClr w14:val="000000">
                <w14:alpha w14:val="100000"/>
              </w14:srgbClr>
            </w14:solidFill>
          </w14:textFill>
        </w:rPr>
        <w:t>|</w:t>
      </w:r>
      <w:r w:rsidRPr="00CA23AA">
        <w:rPr>
          <w:rFonts w:ascii="Arial Narrow" w:hAnsi="Arial Narrow"/>
          <w:sz w:val="18"/>
          <w:szCs w:val="18"/>
        </w:rPr>
        <w:t>- $</w:t>
      </w:r>
      <w:r w:rsidR="00594907" w:rsidRPr="00AD4862">
        <w:rPr>
          <w:rFonts w:ascii="Arial Narrow" w:hAnsi="Arial Narrow"/>
          <w:color w:val="000000"/>
          <w:spacing w:val="163"/>
          <w:sz w:val="18"/>
          <w:szCs w:val="18"/>
          <w:shd w:val="solid" w:color="000000" w:fill="000000"/>
          <w:fitText w:val="240" w:id="-1161539312"/>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40" w:id="-1161539312"/>
          <w14:textFill>
            <w14:solidFill>
              <w14:srgbClr w14:val="000000">
                <w14:alpha w14:val="100000"/>
              </w14:srgbClr>
            </w14:solidFill>
          </w14:textFill>
        </w:rPr>
        <w:t>|</w:t>
      </w:r>
      <w:r w:rsidRPr="00CA23AA">
        <w:rPr>
          <w:rFonts w:ascii="Arial Narrow" w:hAnsi="Arial Narrow"/>
          <w:sz w:val="18"/>
          <w:szCs w:val="18"/>
        </w:rPr>
        <w:t>= $457,656).</w:t>
      </w:r>
    </w:p>
    <w:p w14:paraId="09CDC5BD" w14:textId="7751E462" w:rsidR="00CC7FE7" w:rsidRPr="00CA23AA" w:rsidRDefault="00CC7FE7" w:rsidP="00371D70">
      <w:pPr>
        <w:spacing w:before="0" w:after="0" w:line="240" w:lineRule="auto"/>
        <w:rPr>
          <w:rFonts w:ascii="Arial Narrow" w:hAnsi="Arial Narrow"/>
          <w:sz w:val="18"/>
          <w:szCs w:val="18"/>
        </w:rPr>
      </w:pPr>
      <w:r w:rsidRPr="00CA23AA">
        <w:rPr>
          <w:rFonts w:ascii="Arial Narrow" w:hAnsi="Arial Narrow"/>
          <w:sz w:val="18"/>
          <w:szCs w:val="18"/>
          <w:vertAlign w:val="superscript"/>
        </w:rPr>
        <w:t>5</w:t>
      </w:r>
      <w:r w:rsidR="00953DF9" w:rsidRPr="00CA23AA">
        <w:rPr>
          <w:rFonts w:ascii="Arial Narrow" w:hAnsi="Arial Narrow"/>
          <w:sz w:val="18"/>
          <w:szCs w:val="18"/>
        </w:rPr>
        <w:t xml:space="preserve"> ABMTRR and States data indicated that the infusion rate in Australian cohort was 100%, however the </w:t>
      </w:r>
      <w:r w:rsidR="009C037A" w:rsidRPr="00CA23AA">
        <w:rPr>
          <w:rFonts w:ascii="Arial Narrow" w:hAnsi="Arial Narrow"/>
          <w:sz w:val="18"/>
          <w:szCs w:val="18"/>
        </w:rPr>
        <w:t xml:space="preserve">analysis of MSAC Quarterly Report indicated that </w:t>
      </w:r>
      <w:r w:rsidR="00594907" w:rsidRPr="00AD4862">
        <w:rPr>
          <w:rFonts w:ascii="Arial Narrow" w:hAnsi="Arial Narrow"/>
          <w:color w:val="000000"/>
          <w:spacing w:val="163"/>
          <w:sz w:val="18"/>
          <w:szCs w:val="18"/>
          <w:shd w:val="solid" w:color="000000" w:fill="000000"/>
          <w:fitText w:val="240" w:id="-1161539328"/>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40" w:id="-1161539328"/>
          <w14:textFill>
            <w14:solidFill>
              <w14:srgbClr w14:val="000000">
                <w14:alpha w14:val="100000"/>
              </w14:srgbClr>
            </w14:solidFill>
          </w14:textFill>
        </w:rPr>
        <w:t>|</w:t>
      </w:r>
      <w:r w:rsidR="00E73EB7" w:rsidRPr="00CA23AA">
        <w:rPr>
          <w:rFonts w:ascii="Arial Narrow" w:hAnsi="Arial Narrow"/>
          <w:sz w:val="18"/>
          <w:szCs w:val="18"/>
        </w:rPr>
        <w:t xml:space="preserve"> </w:t>
      </w:r>
      <w:r w:rsidR="0039619A" w:rsidRPr="00CA23AA">
        <w:rPr>
          <w:rFonts w:ascii="Arial Narrow" w:hAnsi="Arial Narrow"/>
          <w:sz w:val="18"/>
          <w:szCs w:val="18"/>
        </w:rPr>
        <w:t>patients who were registered did not receive TIS infusion</w:t>
      </w:r>
      <w:r w:rsidR="00E73EB7" w:rsidRPr="00CA23AA">
        <w:rPr>
          <w:rFonts w:ascii="Arial Narrow" w:hAnsi="Arial Narrow"/>
          <w:sz w:val="18"/>
          <w:szCs w:val="18"/>
        </w:rPr>
        <w:t xml:space="preserve">. </w:t>
      </w:r>
    </w:p>
    <w:p w14:paraId="135A4D43" w14:textId="0541207E" w:rsidR="00AD5B09" w:rsidRPr="00CA23AA" w:rsidRDefault="00AD5B09" w:rsidP="00371D70">
      <w:pPr>
        <w:spacing w:before="0" w:after="0" w:line="240" w:lineRule="auto"/>
        <w:rPr>
          <w:rFonts w:ascii="Arial Narrow" w:hAnsi="Arial Narrow"/>
          <w:sz w:val="18"/>
          <w:szCs w:val="18"/>
        </w:rPr>
      </w:pPr>
      <w:r w:rsidRPr="00CA23AA">
        <w:rPr>
          <w:rFonts w:ascii="Arial Narrow" w:hAnsi="Arial Narrow"/>
          <w:sz w:val="18"/>
          <w:szCs w:val="18"/>
          <w:vertAlign w:val="superscript"/>
        </w:rPr>
        <w:t xml:space="preserve">6 </w:t>
      </w:r>
      <w:r w:rsidRPr="00CA23AA">
        <w:rPr>
          <w:rFonts w:ascii="Arial Narrow" w:hAnsi="Arial Narrow"/>
          <w:sz w:val="18"/>
          <w:szCs w:val="18"/>
        </w:rPr>
        <w:t>The cost of TIS would be $</w:t>
      </w:r>
      <w:r w:rsidR="00594907" w:rsidRPr="00AD4862">
        <w:rPr>
          <w:rFonts w:ascii="Arial Narrow" w:hAnsi="Arial Narrow"/>
          <w:color w:val="000000"/>
          <w:spacing w:val="173"/>
          <w:sz w:val="18"/>
          <w:szCs w:val="18"/>
          <w:shd w:val="solid" w:color="000000" w:fill="000000"/>
          <w:fitText w:val="250" w:id="-1161539327"/>
          <w14:textFill>
            <w14:solidFill>
              <w14:srgbClr w14:val="000000">
                <w14:alpha w14:val="100000"/>
              </w14:srgbClr>
            </w14:solidFill>
          </w14:textFill>
        </w:rPr>
        <w:t>|</w:t>
      </w:r>
      <w:r w:rsidR="00594907" w:rsidRPr="00AD4862">
        <w:rPr>
          <w:rFonts w:ascii="Arial Narrow" w:hAnsi="Arial Narrow"/>
          <w:color w:val="000000"/>
          <w:spacing w:val="1"/>
          <w:sz w:val="18"/>
          <w:szCs w:val="18"/>
          <w:shd w:val="solid" w:color="000000" w:fill="000000"/>
          <w:fitText w:val="250" w:id="-1161539327"/>
          <w14:textFill>
            <w14:solidFill>
              <w14:srgbClr w14:val="000000">
                <w14:alpha w14:val="100000"/>
              </w14:srgbClr>
            </w14:solidFill>
          </w14:textFill>
        </w:rPr>
        <w:t>|</w:t>
      </w:r>
      <w:r w:rsidR="000F13DB" w:rsidRPr="00CA23AA">
        <w:rPr>
          <w:rFonts w:ascii="Arial Narrow" w:hAnsi="Arial Narrow"/>
          <w:sz w:val="18"/>
          <w:szCs w:val="18"/>
        </w:rPr>
        <w:t xml:space="preserve">if the MSAC wanted to retain the same ICER as when previously recommended (ADAR 1519 April 2019) </w:t>
      </w:r>
      <w:proofErr w:type="gramStart"/>
      <w:r w:rsidR="000F13DB" w:rsidRPr="00CA23AA">
        <w:rPr>
          <w:rFonts w:ascii="Arial Narrow" w:hAnsi="Arial Narrow"/>
          <w:sz w:val="18"/>
          <w:szCs w:val="18"/>
        </w:rPr>
        <w:t>i.e.</w:t>
      </w:r>
      <w:proofErr w:type="gramEnd"/>
      <w:r w:rsidR="000F13DB" w:rsidRPr="00CA23AA">
        <w:rPr>
          <w:rFonts w:ascii="Arial Narrow" w:hAnsi="Arial Narrow"/>
          <w:sz w:val="18"/>
          <w:szCs w:val="18"/>
        </w:rPr>
        <w:t xml:space="preserve"> $</w:t>
      </w:r>
      <w:r w:rsidR="00594907" w:rsidRPr="00982219">
        <w:rPr>
          <w:rFonts w:ascii="Arial Narrow" w:hAnsi="Arial Narrow"/>
          <w:color w:val="000000"/>
          <w:spacing w:val="173"/>
          <w:sz w:val="18"/>
          <w:szCs w:val="18"/>
          <w:shd w:val="solid" w:color="000000" w:fill="000000"/>
          <w:fitText w:val="250" w:id="-1161539326"/>
          <w14:textFill>
            <w14:solidFill>
              <w14:srgbClr w14:val="000000">
                <w14:alpha w14:val="100000"/>
              </w14:srgbClr>
            </w14:solidFill>
          </w14:textFill>
        </w:rPr>
        <w:t>|</w:t>
      </w:r>
      <w:r w:rsidR="00594907" w:rsidRPr="00982219">
        <w:rPr>
          <w:rFonts w:ascii="Arial Narrow" w:hAnsi="Arial Narrow"/>
          <w:color w:val="000000"/>
          <w:spacing w:val="1"/>
          <w:sz w:val="18"/>
          <w:szCs w:val="18"/>
          <w:shd w:val="solid" w:color="000000" w:fill="000000"/>
          <w:fitText w:val="250" w:id="-1161539326"/>
          <w14:textFill>
            <w14:solidFill>
              <w14:srgbClr w14:val="000000">
                <w14:alpha w14:val="100000"/>
              </w14:srgbClr>
            </w14:solidFill>
          </w14:textFill>
        </w:rPr>
        <w:t>|</w:t>
      </w:r>
      <w:r w:rsidR="000F13DB" w:rsidRPr="00CA23AA">
        <w:rPr>
          <w:rFonts w:ascii="Arial Narrow" w:hAnsi="Arial Narrow"/>
          <w:sz w:val="18"/>
          <w:szCs w:val="18"/>
        </w:rPr>
        <w:t>cost/QALY using modelling corrections</w:t>
      </w:r>
      <w:r w:rsidR="00320B67" w:rsidRPr="00CA23AA">
        <w:rPr>
          <w:rFonts w:ascii="Arial Narrow" w:hAnsi="Arial Narrow"/>
          <w:sz w:val="18"/>
          <w:szCs w:val="18"/>
        </w:rPr>
        <w:t xml:space="preserve"> and </w:t>
      </w:r>
      <w:proofErr w:type="spellStart"/>
      <w:r w:rsidR="00320B67" w:rsidRPr="00CA23AA">
        <w:rPr>
          <w:rFonts w:ascii="Arial Narrow" w:hAnsi="Arial Narrow"/>
          <w:sz w:val="18"/>
          <w:szCs w:val="18"/>
        </w:rPr>
        <w:t>respecifications</w:t>
      </w:r>
      <w:proofErr w:type="spellEnd"/>
      <w:r w:rsidRPr="00CA23AA">
        <w:rPr>
          <w:rFonts w:ascii="Arial Narrow" w:hAnsi="Arial Narrow"/>
          <w:sz w:val="18"/>
          <w:szCs w:val="18"/>
        </w:rPr>
        <w:t>.</w:t>
      </w:r>
    </w:p>
    <w:p w14:paraId="2FDEADD3" w14:textId="42F9A5F6" w:rsidR="001332A5" w:rsidRPr="00CA23AA" w:rsidRDefault="001332A5" w:rsidP="004D4F0C">
      <w:pPr>
        <w:spacing w:after="0" w:line="240" w:lineRule="auto"/>
        <w:rPr>
          <w:rFonts w:ascii="Arial Narrow" w:hAnsi="Arial Narrow"/>
          <w:b/>
          <w:i/>
          <w:sz w:val="18"/>
          <w:szCs w:val="18"/>
        </w:rPr>
      </w:pPr>
      <w:r w:rsidRPr="00CA23AA">
        <w:rPr>
          <w:rFonts w:ascii="Arial Narrow" w:hAnsi="Arial Narrow"/>
          <w:b/>
          <w:i/>
          <w:sz w:val="18"/>
          <w:szCs w:val="18"/>
        </w:rPr>
        <w:t>Shaded rows represent preferred inputs for a respecified case.</w:t>
      </w:r>
    </w:p>
    <w:p w14:paraId="35FFEDEB" w14:textId="18415AF1" w:rsidR="00290CB4" w:rsidRPr="00CA23AA" w:rsidRDefault="00290CB4" w:rsidP="00D50E8F">
      <w:pPr>
        <w:spacing w:before="0" w:after="240" w:line="240" w:lineRule="auto"/>
        <w:rPr>
          <w:rFonts w:ascii="Arial Narrow" w:hAnsi="Arial Narrow"/>
          <w:sz w:val="18"/>
          <w:szCs w:val="18"/>
        </w:rPr>
      </w:pPr>
      <w:r w:rsidRPr="00CA23AA">
        <w:rPr>
          <w:rFonts w:ascii="Arial Narrow" w:hAnsi="Arial Narrow"/>
          <w:sz w:val="18"/>
          <w:szCs w:val="18"/>
        </w:rPr>
        <w:t xml:space="preserve">Compiled for commentary using “TIS </w:t>
      </w:r>
      <w:proofErr w:type="spellStart"/>
      <w:r w:rsidRPr="00CA23AA">
        <w:rPr>
          <w:rFonts w:ascii="Arial Narrow" w:hAnsi="Arial Narrow"/>
          <w:sz w:val="18"/>
          <w:szCs w:val="18"/>
        </w:rPr>
        <w:t>pALL</w:t>
      </w:r>
      <w:proofErr w:type="spellEnd"/>
      <w:r w:rsidRPr="00CA23AA">
        <w:rPr>
          <w:rFonts w:ascii="Arial Narrow" w:hAnsi="Arial Narrow"/>
          <w:sz w:val="18"/>
          <w:szCs w:val="18"/>
        </w:rPr>
        <w:t xml:space="preserve"> CEA (Step 3).xlsx” and data provided by Department of Health and Aged Care (MSAC Quarterly report, ABMTRR report, and state and territories Health review reports)</w:t>
      </w:r>
      <w:r w:rsidR="00004412" w:rsidRPr="00CA23AA">
        <w:rPr>
          <w:rFonts w:ascii="Arial Narrow" w:hAnsi="Arial Narrow"/>
          <w:sz w:val="18"/>
          <w:szCs w:val="18"/>
        </w:rPr>
        <w:t xml:space="preserve">. The </w:t>
      </w:r>
      <w:r w:rsidR="006258A8" w:rsidRPr="00CA23AA">
        <w:rPr>
          <w:rFonts w:ascii="Arial Narrow" w:hAnsi="Arial Narrow"/>
          <w:sz w:val="18"/>
          <w:szCs w:val="18"/>
        </w:rPr>
        <w:t xml:space="preserve">corrected model is provided as an attachment </w:t>
      </w:r>
      <w:r w:rsidR="00F358D8" w:rsidRPr="00CA23AA">
        <w:rPr>
          <w:rFonts w:ascii="Arial Narrow" w:hAnsi="Arial Narrow"/>
          <w:sz w:val="18"/>
          <w:szCs w:val="18"/>
        </w:rPr>
        <w:t>t</w:t>
      </w:r>
      <w:r w:rsidR="006258A8" w:rsidRPr="00CA23AA">
        <w:rPr>
          <w:rFonts w:ascii="Arial Narrow" w:hAnsi="Arial Narrow"/>
          <w:sz w:val="18"/>
          <w:szCs w:val="18"/>
        </w:rPr>
        <w:t xml:space="preserve">o </w:t>
      </w:r>
      <w:r w:rsidR="00FA686E" w:rsidRPr="00CA23AA">
        <w:rPr>
          <w:rFonts w:ascii="Arial Narrow" w:hAnsi="Arial Narrow"/>
          <w:sz w:val="18"/>
          <w:szCs w:val="18"/>
        </w:rPr>
        <w:t xml:space="preserve">the </w:t>
      </w:r>
      <w:r w:rsidR="006258A8" w:rsidRPr="00CA23AA">
        <w:rPr>
          <w:rFonts w:ascii="Arial Narrow" w:hAnsi="Arial Narrow"/>
          <w:sz w:val="18"/>
          <w:szCs w:val="18"/>
        </w:rPr>
        <w:t xml:space="preserve">commentary </w:t>
      </w:r>
      <w:r w:rsidR="00F358D8" w:rsidRPr="00CA23AA">
        <w:rPr>
          <w:rFonts w:ascii="Arial Narrow" w:hAnsi="Arial Narrow"/>
          <w:sz w:val="18"/>
          <w:szCs w:val="18"/>
        </w:rPr>
        <w:t xml:space="preserve">(TIS </w:t>
      </w:r>
      <w:proofErr w:type="spellStart"/>
      <w:r w:rsidR="00F358D8" w:rsidRPr="00CA23AA">
        <w:rPr>
          <w:rFonts w:ascii="Arial Narrow" w:hAnsi="Arial Narrow"/>
          <w:sz w:val="18"/>
          <w:szCs w:val="18"/>
        </w:rPr>
        <w:t>pALL</w:t>
      </w:r>
      <w:proofErr w:type="spellEnd"/>
      <w:r w:rsidR="00F358D8" w:rsidRPr="00CA23AA">
        <w:rPr>
          <w:rFonts w:ascii="Arial Narrow" w:hAnsi="Arial Narrow"/>
          <w:sz w:val="18"/>
          <w:szCs w:val="18"/>
        </w:rPr>
        <w:t xml:space="preserve"> CEA (</w:t>
      </w:r>
      <w:r w:rsidR="00FA686E" w:rsidRPr="00CA23AA">
        <w:rPr>
          <w:rFonts w:ascii="Arial Narrow" w:hAnsi="Arial Narrow"/>
          <w:sz w:val="18"/>
          <w:szCs w:val="18"/>
        </w:rPr>
        <w:t>Step 3)- Critique May 2023 -</w:t>
      </w:r>
      <w:r w:rsidR="00F358D8" w:rsidRPr="00CA23AA">
        <w:rPr>
          <w:rFonts w:ascii="Arial Narrow" w:hAnsi="Arial Narrow"/>
          <w:sz w:val="18"/>
          <w:szCs w:val="18"/>
        </w:rPr>
        <w:t xml:space="preserve">ADAR </w:t>
      </w:r>
      <w:r w:rsidR="00FA686E" w:rsidRPr="00CA23AA">
        <w:rPr>
          <w:rFonts w:ascii="Arial Narrow" w:hAnsi="Arial Narrow"/>
          <w:sz w:val="18"/>
          <w:szCs w:val="18"/>
        </w:rPr>
        <w:t>base case with Technical corrections.xlsx)</w:t>
      </w:r>
    </w:p>
    <w:p w14:paraId="49981126" w14:textId="662DED0F" w:rsidR="00C02735" w:rsidRPr="00CA23AA" w:rsidRDefault="003C74B3" w:rsidP="00C02735">
      <w:r w:rsidRPr="00CA23AA">
        <w:t>The sensitivity analyses do not explore the full range (</w:t>
      </w:r>
      <w:proofErr w:type="spellStart"/>
      <w:r w:rsidRPr="00CA23AA">
        <w:t>i.e</w:t>
      </w:r>
      <w:proofErr w:type="spellEnd"/>
      <w:r w:rsidRPr="00CA23AA">
        <w:t xml:space="preserve"> upper and lower bounds) of plausible values for the various uncertain inputs, therefore the sensitivity analysis presented above does not capture the full extent of the uncertainty around the ICER.</w:t>
      </w:r>
    </w:p>
    <w:p w14:paraId="2D93FE11" w14:textId="6A159DD1" w:rsidR="001276AC" w:rsidRPr="00CA23AA" w:rsidRDefault="00EC459C" w:rsidP="001276AC">
      <w:r w:rsidRPr="00CA23AA">
        <w:t>Additional sensitivity analyses were performed to assess the impact of changing TIS price in the respecified model</w:t>
      </w:r>
      <w:r w:rsidR="007C7319" w:rsidRPr="00CA23AA">
        <w:t xml:space="preserve"> on ICERs.</w:t>
      </w:r>
      <w:r w:rsidR="00E113F9" w:rsidRPr="00CA23AA">
        <w:t xml:space="preserve"> </w:t>
      </w:r>
      <w:r w:rsidR="00544A97" w:rsidRPr="00CA23AA">
        <w:t>The</w:t>
      </w:r>
      <w:r w:rsidR="005F395B" w:rsidRPr="00CA23AA">
        <w:t xml:space="preserve"> cost of TIS would need to be $</w:t>
      </w:r>
      <w:r w:rsidR="00594907" w:rsidRPr="00AD4862">
        <w:rPr>
          <w:color w:val="000000"/>
          <w:w w:val="88"/>
          <w:shd w:val="solid" w:color="000000" w:fill="000000"/>
          <w:fitText w:val="390" w:id="-1161539325"/>
          <w14:textFill>
            <w14:solidFill>
              <w14:srgbClr w14:val="000000">
                <w14:alpha w14:val="100000"/>
              </w14:srgbClr>
            </w14:solidFill>
          </w14:textFill>
        </w:rPr>
        <w:t>|||</w:t>
      </w:r>
      <w:r w:rsidR="00594907" w:rsidRPr="00AD4862">
        <w:rPr>
          <w:color w:val="000000"/>
          <w:spacing w:val="2"/>
          <w:w w:val="88"/>
          <w:shd w:val="solid" w:color="000000" w:fill="000000"/>
          <w:fitText w:val="390" w:id="-1161539325"/>
          <w14:textFill>
            <w14:solidFill>
              <w14:srgbClr w14:val="000000">
                <w14:alpha w14:val="100000"/>
              </w14:srgbClr>
            </w14:solidFill>
          </w14:textFill>
        </w:rPr>
        <w:t>|</w:t>
      </w:r>
      <w:r w:rsidR="005F395B" w:rsidRPr="00CA23AA">
        <w:t xml:space="preserve">if the MSAC wanted to retain the same ICER as when previously recommended (ADAR 1519 April 2019) </w:t>
      </w:r>
      <w:proofErr w:type="gramStart"/>
      <w:r w:rsidR="005F395B" w:rsidRPr="00CA23AA">
        <w:t>i.e.</w:t>
      </w:r>
      <w:proofErr w:type="gramEnd"/>
      <w:r w:rsidR="005F395B" w:rsidRPr="00CA23AA">
        <w:t xml:space="preserve"> </w:t>
      </w:r>
      <w:r w:rsidR="00594907" w:rsidRPr="00982219">
        <w:rPr>
          <w:color w:val="000000"/>
          <w:w w:val="88"/>
          <w:shd w:val="solid" w:color="000000" w:fill="000000"/>
          <w:fitText w:val="390" w:id="-1161539324"/>
          <w14:textFill>
            <w14:solidFill>
              <w14:srgbClr w14:val="000000">
                <w14:alpha w14:val="100000"/>
              </w14:srgbClr>
            </w14:solidFill>
          </w14:textFill>
        </w:rPr>
        <w:t>|||</w:t>
      </w:r>
      <w:r w:rsidR="00594907" w:rsidRPr="00982219">
        <w:rPr>
          <w:color w:val="000000"/>
          <w:spacing w:val="2"/>
          <w:w w:val="88"/>
          <w:shd w:val="solid" w:color="000000" w:fill="000000"/>
          <w:fitText w:val="390" w:id="-1161539324"/>
          <w14:textFill>
            <w14:solidFill>
              <w14:srgbClr w14:val="000000">
                <w14:alpha w14:val="100000"/>
              </w14:srgbClr>
            </w14:solidFill>
          </w14:textFill>
        </w:rPr>
        <w:t>|</w:t>
      </w:r>
      <w:r w:rsidR="005F395B" w:rsidRPr="00CA23AA">
        <w:t>cost/QALY.</w:t>
      </w:r>
      <w:r w:rsidR="00482243" w:rsidRPr="00CA23AA">
        <w:t xml:space="preserve"> </w:t>
      </w:r>
    </w:p>
    <w:p w14:paraId="296B3E74" w14:textId="3ECB03D3" w:rsidR="00EA6D19" w:rsidRPr="00CA23AA" w:rsidRDefault="00EA6D19" w:rsidP="001276AC"/>
    <w:p w14:paraId="5D499444" w14:textId="2586F6BA" w:rsidR="00240859" w:rsidRPr="00CA23AA" w:rsidRDefault="007C7319" w:rsidP="00B0011F">
      <w:pPr>
        <w:pStyle w:val="TableFigureHeading"/>
      </w:pPr>
      <w:r w:rsidRPr="00CA23AA">
        <w:t xml:space="preserve">Figure </w:t>
      </w:r>
      <w:r w:rsidRPr="00CA23AA">
        <w:fldChar w:fldCharType="begin"/>
      </w:r>
      <w:r w:rsidRPr="00CA23AA">
        <w:instrText>SEQ Figure \* ARABIC</w:instrText>
      </w:r>
      <w:r w:rsidRPr="00CA23AA">
        <w:fldChar w:fldCharType="separate"/>
      </w:r>
      <w:r w:rsidR="00175880" w:rsidRPr="00CA23AA">
        <w:rPr>
          <w:noProof/>
        </w:rPr>
        <w:t>7</w:t>
      </w:r>
      <w:r w:rsidRPr="00CA23AA">
        <w:fldChar w:fldCharType="end"/>
      </w:r>
      <w:r w:rsidRPr="00CA23AA">
        <w:tab/>
        <w:t xml:space="preserve">Impact of </w:t>
      </w:r>
      <w:r w:rsidR="004A1479" w:rsidRPr="00CA23AA">
        <w:t>TIS price on incremental cost per QALY gained (ICER) in the commentary respecified model</w:t>
      </w:r>
      <w:r w:rsidR="00262D4A" w:rsidRPr="00CA23AA">
        <w:t xml:space="preserve"> (figure redacted)</w:t>
      </w:r>
    </w:p>
    <w:p w14:paraId="2A59646B" w14:textId="33F7C060" w:rsidR="004A1479" w:rsidRPr="00CA23AA" w:rsidRDefault="004A1479" w:rsidP="00180310">
      <w:pPr>
        <w:pStyle w:val="Tablenotes0"/>
      </w:pPr>
      <w:r w:rsidRPr="00CA23AA">
        <w:t xml:space="preserve">Source: </w:t>
      </w:r>
      <w:r w:rsidR="00D44F61" w:rsidRPr="00CA23AA">
        <w:t xml:space="preserve">Constructed during the evaluation using “TIS </w:t>
      </w:r>
      <w:proofErr w:type="spellStart"/>
      <w:r w:rsidR="00D44F61" w:rsidRPr="00CA23AA">
        <w:t>pALL</w:t>
      </w:r>
      <w:proofErr w:type="spellEnd"/>
      <w:r w:rsidR="00D44F61" w:rsidRPr="00CA23AA">
        <w:t xml:space="preserve"> CEA (Step 3)- Commentary base case with </w:t>
      </w:r>
      <w:r w:rsidR="004D4F0C" w:rsidRPr="00CA23AA">
        <w:t>t</w:t>
      </w:r>
      <w:r w:rsidR="00D44F61" w:rsidRPr="00CA23AA">
        <w:t>echnical corrections and respecified inputs.xlsx”</w:t>
      </w:r>
    </w:p>
    <w:p w14:paraId="702FCE31" w14:textId="6C60CE32" w:rsidR="00F32E9A" w:rsidRPr="00CA23AA" w:rsidRDefault="00F32E9A" w:rsidP="00001558">
      <w:pPr>
        <w:pStyle w:val="Heading3"/>
      </w:pPr>
      <w:r w:rsidRPr="00CA23AA">
        <w:t>Conclusion</w:t>
      </w:r>
    </w:p>
    <w:p w14:paraId="5AE1FB70" w14:textId="6A7D8393" w:rsidR="00E35664" w:rsidRPr="00CA23AA" w:rsidRDefault="00251229" w:rsidP="00666F59">
      <w:bookmarkStart w:id="67" w:name="_Hlk134024182"/>
      <w:bookmarkStart w:id="68" w:name="_Hlk134056324"/>
      <w:r w:rsidRPr="00CA23AA">
        <w:t>The m</w:t>
      </w:r>
      <w:r w:rsidR="00E35664" w:rsidRPr="00CA23AA">
        <w:t xml:space="preserve">odel provided in the current ADAR was previously accepted by MSAC in April 2019. Model validation checks and </w:t>
      </w:r>
      <w:r w:rsidR="008E280D" w:rsidRPr="00CA23AA">
        <w:t xml:space="preserve">the </w:t>
      </w:r>
      <w:r w:rsidR="00E35664" w:rsidRPr="00CA23AA">
        <w:t xml:space="preserve">assessment of </w:t>
      </w:r>
      <w:r w:rsidR="008E280D" w:rsidRPr="00CA23AA">
        <w:t xml:space="preserve">the </w:t>
      </w:r>
      <w:r w:rsidR="00E35664" w:rsidRPr="00CA23AA">
        <w:t>extrapolat</w:t>
      </w:r>
      <w:r w:rsidR="008E280D" w:rsidRPr="00CA23AA">
        <w:t>ed</w:t>
      </w:r>
      <w:r w:rsidR="00E35664" w:rsidRPr="00CA23AA">
        <w:t xml:space="preserve"> curves were not provided in ADAR 1748. </w:t>
      </w:r>
      <w:r w:rsidR="008E280D" w:rsidRPr="00CA23AA">
        <w:t>F</w:t>
      </w:r>
      <w:r w:rsidR="00E35664" w:rsidRPr="00CA23AA">
        <w:t xml:space="preserve">urther investigations into the modelled curves and model traces </w:t>
      </w:r>
      <w:r w:rsidR="007263A3" w:rsidRPr="00CA23AA">
        <w:t xml:space="preserve">during this </w:t>
      </w:r>
      <w:r w:rsidR="00E35664" w:rsidRPr="00CA23AA">
        <w:t xml:space="preserve">commentary identified inconsistencies and clinical implausibility </w:t>
      </w:r>
      <w:r w:rsidR="001B0EA2" w:rsidRPr="00CA23AA">
        <w:t xml:space="preserve">associated with the </w:t>
      </w:r>
      <w:r w:rsidR="000D6452" w:rsidRPr="00CA23AA">
        <w:t xml:space="preserve">application of the cure assumption </w:t>
      </w:r>
      <w:r w:rsidR="00E35664" w:rsidRPr="00CA23AA">
        <w:t xml:space="preserve">in the modelled survival estimates. </w:t>
      </w:r>
      <w:r w:rsidR="00B45297" w:rsidRPr="00CA23AA">
        <w:t xml:space="preserve">Model (Step 3) was revised </w:t>
      </w:r>
      <w:r w:rsidR="00040F40" w:rsidRPr="00CA23AA">
        <w:t xml:space="preserve">during the evaluation to fix some of these technical </w:t>
      </w:r>
      <w:r w:rsidR="003551B6" w:rsidRPr="00CA23AA">
        <w:t xml:space="preserve">and structural </w:t>
      </w:r>
      <w:r w:rsidR="00040F40" w:rsidRPr="00CA23AA">
        <w:t>issues.</w:t>
      </w:r>
      <w:bookmarkEnd w:id="67"/>
    </w:p>
    <w:bookmarkEnd w:id="68"/>
    <w:p w14:paraId="28A81A08" w14:textId="7AFDCEC0" w:rsidR="00C43B6A" w:rsidRPr="00CA23AA" w:rsidRDefault="00F722E0" w:rsidP="00666F59">
      <w:r w:rsidRPr="00CA23AA">
        <w:t>The ADAR e</w:t>
      </w:r>
      <w:r w:rsidR="00AE280E" w:rsidRPr="00CA23AA">
        <w:t>stimated revised ICER in Step 3 (updated using ABMTRR data) of the economic evaluation are lower than previously estimated</w:t>
      </w:r>
      <w:bookmarkStart w:id="69" w:name="_Hlk134056548"/>
      <w:r w:rsidR="002B6A2E" w:rsidRPr="00CA23AA">
        <w:t xml:space="preserve">.  </w:t>
      </w:r>
      <w:r w:rsidR="00532661" w:rsidRPr="00CA23AA">
        <w:t xml:space="preserve">The commentary considered the ICER to </w:t>
      </w:r>
      <w:r w:rsidR="00C46BF1" w:rsidRPr="00CA23AA">
        <w:t xml:space="preserve">likely </w:t>
      </w:r>
      <w:r w:rsidR="00532661" w:rsidRPr="00CA23AA">
        <w:t xml:space="preserve">be </w:t>
      </w:r>
      <w:r w:rsidR="00AE280E" w:rsidRPr="00CA23AA">
        <w:t>significant</w:t>
      </w:r>
      <w:r w:rsidR="00707C28" w:rsidRPr="00CA23AA">
        <w:t>ly</w:t>
      </w:r>
      <w:r w:rsidR="007947E5" w:rsidRPr="00CA23AA">
        <w:t xml:space="preserve"> underestimated</w:t>
      </w:r>
      <w:r w:rsidR="00AA3536" w:rsidRPr="00CA23AA">
        <w:t xml:space="preserve"> </w:t>
      </w:r>
      <w:r w:rsidR="009210F7" w:rsidRPr="00CA23AA">
        <w:t>since</w:t>
      </w:r>
      <w:r w:rsidR="00FD2D78" w:rsidRPr="00CA23AA">
        <w:t xml:space="preserve"> t</w:t>
      </w:r>
      <w:r w:rsidR="00072DF9" w:rsidRPr="00CA23AA">
        <w:t>he</w:t>
      </w:r>
      <w:r w:rsidR="007947E5" w:rsidRPr="00CA23AA">
        <w:t xml:space="preserve"> economic evaluation </w:t>
      </w:r>
      <w:r w:rsidR="00A80022" w:rsidRPr="00CA23AA">
        <w:t xml:space="preserve">appeared to </w:t>
      </w:r>
      <w:r w:rsidR="007947E5" w:rsidRPr="00CA23AA">
        <w:t>substantially</w:t>
      </w:r>
      <w:r w:rsidR="00AE280E" w:rsidRPr="00CA23AA">
        <w:t xml:space="preserve"> </w:t>
      </w:r>
      <w:r w:rsidR="007947E5" w:rsidRPr="00CA23AA">
        <w:t xml:space="preserve">underestimate the costs of </w:t>
      </w:r>
      <w:r w:rsidR="00B6350B" w:rsidRPr="00CA23AA">
        <w:t xml:space="preserve">other </w:t>
      </w:r>
      <w:r w:rsidR="00E51011" w:rsidRPr="00CA23AA">
        <w:t xml:space="preserve">health </w:t>
      </w:r>
      <w:r w:rsidR="00AE280E" w:rsidRPr="00CA23AA">
        <w:t>resource</w:t>
      </w:r>
      <w:r w:rsidR="00837986" w:rsidRPr="00CA23AA">
        <w:t>s</w:t>
      </w:r>
      <w:r w:rsidR="00DA25BD" w:rsidRPr="00CA23AA">
        <w:t xml:space="preserve"> </w:t>
      </w:r>
      <w:r w:rsidR="00F54F6D" w:rsidRPr="00CA23AA">
        <w:t xml:space="preserve">used alongside </w:t>
      </w:r>
      <w:r w:rsidR="00AF74DA" w:rsidRPr="00CA23AA">
        <w:t>TIS</w:t>
      </w:r>
      <w:r w:rsidR="00F54F6D" w:rsidRPr="00CA23AA">
        <w:t xml:space="preserve"> therapy</w:t>
      </w:r>
      <w:r w:rsidR="00AE280E" w:rsidRPr="00CA23AA">
        <w:t>.</w:t>
      </w:r>
      <w:r w:rsidR="00BF7D7B" w:rsidRPr="00CA23AA">
        <w:t xml:space="preserve"> </w:t>
      </w:r>
      <w:r w:rsidR="00515A8C" w:rsidRPr="00CA23AA">
        <w:t xml:space="preserve">Cost data provided by states (NSW, </w:t>
      </w:r>
      <w:r w:rsidR="00594907" w:rsidRPr="00AD4862">
        <w:rPr>
          <w:color w:val="000000"/>
          <w:w w:val="88"/>
          <w:shd w:val="solid" w:color="000000" w:fill="000000"/>
          <w:fitText w:val="390" w:id="-1161539323"/>
          <w14:textFill>
            <w14:solidFill>
              <w14:srgbClr w14:val="000000">
                <w14:alpha w14:val="100000"/>
              </w14:srgbClr>
            </w14:solidFill>
          </w14:textFill>
        </w:rPr>
        <w:t>|||</w:t>
      </w:r>
      <w:r w:rsidR="00594907" w:rsidRPr="00AD4862">
        <w:rPr>
          <w:color w:val="000000"/>
          <w:spacing w:val="2"/>
          <w:w w:val="88"/>
          <w:shd w:val="solid" w:color="000000" w:fill="000000"/>
          <w:fitText w:val="390" w:id="-1161539323"/>
          <w14:textFill>
            <w14:solidFill>
              <w14:srgbClr w14:val="000000">
                <w14:alpha w14:val="100000"/>
              </w14:srgbClr>
            </w14:solidFill>
          </w14:textFill>
        </w:rPr>
        <w:t>|</w:t>
      </w:r>
      <w:r w:rsidR="00515A8C" w:rsidRPr="00CA23AA">
        <w:t xml:space="preserve">, QLD) indicated that the cost associated with </w:t>
      </w:r>
      <w:r w:rsidR="009C1A61" w:rsidRPr="00CA23AA">
        <w:t>TIS program are much higher</w:t>
      </w:r>
      <w:r w:rsidR="006E0105" w:rsidRPr="00CA23AA">
        <w:t xml:space="preserve"> (approximately $</w:t>
      </w:r>
      <w:r w:rsidR="00594907" w:rsidRPr="00AD4862">
        <w:rPr>
          <w:color w:val="000000"/>
          <w:w w:val="88"/>
          <w:shd w:val="solid" w:color="000000" w:fill="000000"/>
          <w:fitText w:val="390" w:id="-1161539322"/>
          <w14:textFill>
            <w14:solidFill>
              <w14:srgbClr w14:val="000000">
                <w14:alpha w14:val="100000"/>
              </w14:srgbClr>
            </w14:solidFill>
          </w14:textFill>
        </w:rPr>
        <w:t>|||</w:t>
      </w:r>
      <w:r w:rsidR="00594907" w:rsidRPr="00AD4862">
        <w:rPr>
          <w:color w:val="000000"/>
          <w:spacing w:val="2"/>
          <w:w w:val="88"/>
          <w:shd w:val="solid" w:color="000000" w:fill="000000"/>
          <w:fitText w:val="390" w:id="-1161539322"/>
          <w14:textFill>
            <w14:solidFill>
              <w14:srgbClr w14:val="000000">
                <w14:alpha w14:val="100000"/>
              </w14:srgbClr>
            </w14:solidFill>
          </w14:textFill>
        </w:rPr>
        <w:t>|</w:t>
      </w:r>
      <w:r w:rsidR="006E0105" w:rsidRPr="00CA23AA">
        <w:t>per patient treated)</w:t>
      </w:r>
      <w:r w:rsidR="00E23A16" w:rsidRPr="00CA23AA">
        <w:t xml:space="preserve">. </w:t>
      </w:r>
      <w:r w:rsidR="00BF7D7B" w:rsidRPr="00CA23AA">
        <w:t xml:space="preserve">These high costs may be attributed to the various treatment steps and associated inpatient and outpatient episodes involved for </w:t>
      </w:r>
      <w:r w:rsidR="00AF74DA" w:rsidRPr="00CA23AA">
        <w:t>TIS</w:t>
      </w:r>
      <w:r w:rsidR="00BF7D7B" w:rsidRPr="00CA23AA">
        <w:t xml:space="preserve"> infusion, complex adverse event profile and management of these patients, and subsequent re-infusion of </w:t>
      </w:r>
      <w:r w:rsidR="00AF74DA" w:rsidRPr="00CA23AA">
        <w:t>TIS</w:t>
      </w:r>
      <w:r w:rsidR="009F47FE" w:rsidRPr="00CA23AA">
        <w:t xml:space="preserve"> (</w:t>
      </w:r>
      <w:r w:rsidR="00594907" w:rsidRPr="00982219">
        <w:rPr>
          <w:color w:val="000000"/>
          <w:w w:val="86"/>
          <w:shd w:val="solid" w:color="000000" w:fill="000000"/>
          <w:fitText w:val="380" w:id="-1161539321"/>
          <w14:textFill>
            <w14:solidFill>
              <w14:srgbClr w14:val="000000">
                <w14:alpha w14:val="100000"/>
              </w14:srgbClr>
            </w14:solidFill>
          </w14:textFill>
        </w:rPr>
        <w:t>|||</w:t>
      </w:r>
      <w:r w:rsidR="00594907" w:rsidRPr="00982219">
        <w:rPr>
          <w:color w:val="000000"/>
          <w:spacing w:val="1"/>
          <w:w w:val="86"/>
          <w:shd w:val="solid" w:color="000000" w:fill="000000"/>
          <w:fitText w:val="380" w:id="-1161539321"/>
          <w14:textFill>
            <w14:solidFill>
              <w14:srgbClr w14:val="000000">
                <w14:alpha w14:val="100000"/>
              </w14:srgbClr>
            </w14:solidFill>
          </w14:textFill>
        </w:rPr>
        <w:t>|</w:t>
      </w:r>
      <w:r w:rsidR="009F47FE" w:rsidRPr="00CA23AA">
        <w:t xml:space="preserve">% </w:t>
      </w:r>
      <w:r w:rsidR="007C4C40" w:rsidRPr="00CA23AA">
        <w:t>as per ABMTRR data)</w:t>
      </w:r>
      <w:r w:rsidR="00BF7D7B" w:rsidRPr="00CA23AA">
        <w:t xml:space="preserve"> or other treatment and/or </w:t>
      </w:r>
      <w:proofErr w:type="spellStart"/>
      <w:r w:rsidR="00BF7D7B" w:rsidRPr="00CA23AA">
        <w:t>aHSCT</w:t>
      </w:r>
      <w:proofErr w:type="spellEnd"/>
      <w:r w:rsidR="00D4661E" w:rsidRPr="00CA23AA">
        <w:t xml:space="preserve"> </w:t>
      </w:r>
      <w:r w:rsidR="007C4C40" w:rsidRPr="00CA23AA">
        <w:t xml:space="preserve">(31% according to </w:t>
      </w:r>
      <w:r w:rsidR="003B04B0" w:rsidRPr="00CA23AA">
        <w:t xml:space="preserve">data provided by states vs </w:t>
      </w:r>
      <w:r w:rsidR="00594907" w:rsidRPr="00AD4862">
        <w:rPr>
          <w:color w:val="000000"/>
          <w:w w:val="88"/>
          <w:shd w:val="solid" w:color="000000" w:fill="000000"/>
          <w:fitText w:val="390" w:id="-1161539320"/>
          <w14:textFill>
            <w14:solidFill>
              <w14:srgbClr w14:val="000000">
                <w14:alpha w14:val="100000"/>
              </w14:srgbClr>
            </w14:solidFill>
          </w14:textFill>
        </w:rPr>
        <w:t>|||</w:t>
      </w:r>
      <w:r w:rsidR="00594907" w:rsidRPr="00AD4862">
        <w:rPr>
          <w:color w:val="000000"/>
          <w:spacing w:val="2"/>
          <w:w w:val="88"/>
          <w:shd w:val="solid" w:color="000000" w:fill="000000"/>
          <w:fitText w:val="390" w:id="-1161539320"/>
          <w14:textFill>
            <w14:solidFill>
              <w14:srgbClr w14:val="000000">
                <w14:alpha w14:val="100000"/>
              </w14:srgbClr>
            </w14:solidFill>
          </w14:textFill>
        </w:rPr>
        <w:t>|</w:t>
      </w:r>
      <w:r w:rsidR="003B04B0" w:rsidRPr="00CA23AA">
        <w:t xml:space="preserve">% used in the model update) </w:t>
      </w:r>
      <w:r w:rsidR="00D4661E" w:rsidRPr="00CA23AA">
        <w:t>to consolidate remission</w:t>
      </w:r>
      <w:r w:rsidR="00BF7D7B" w:rsidRPr="00CA23AA">
        <w:t>.</w:t>
      </w:r>
      <w:r w:rsidR="00F277F8" w:rsidRPr="00CA23AA">
        <w:t xml:space="preserve"> </w:t>
      </w:r>
    </w:p>
    <w:p w14:paraId="3141E268" w14:textId="48B09C21" w:rsidR="00AE280E" w:rsidRPr="00CA23AA" w:rsidRDefault="00C43B6A" w:rsidP="00666F59">
      <w:r w:rsidRPr="00CA23AA">
        <w:t xml:space="preserve">There is </w:t>
      </w:r>
      <w:r w:rsidR="00B77B1C" w:rsidRPr="00CA23AA">
        <w:t>also</w:t>
      </w:r>
      <w:r w:rsidRPr="00CA23AA">
        <w:t xml:space="preserve"> considerable uncertainty around the estimates based on the Australian data for TIS patients as (</w:t>
      </w:r>
      <w:proofErr w:type="spellStart"/>
      <w:r w:rsidRPr="00CA23AA">
        <w:t>i</w:t>
      </w:r>
      <w:proofErr w:type="spellEnd"/>
      <w:r w:rsidRPr="00CA23AA">
        <w:t xml:space="preserve">) the data </w:t>
      </w:r>
      <w:r w:rsidR="003551B6" w:rsidRPr="00CA23AA">
        <w:t>are</w:t>
      </w:r>
      <w:r w:rsidRPr="00CA23AA">
        <w:t xml:space="preserve"> aggregated and it is unclear exactly what resources are captured or the duration of the data collection, (ii) the patient numbers are still relatively small and there is large variability in resource use and (iii) there is no comparative equivalent source of data to inform the comparator arm of the model.</w:t>
      </w:r>
      <w:bookmarkEnd w:id="69"/>
    </w:p>
    <w:p w14:paraId="0B7AB71B" w14:textId="175C3277" w:rsidR="00BF7D7B" w:rsidRPr="00CA23AA" w:rsidRDefault="00BF7D7B" w:rsidP="00666F59">
      <w:r w:rsidRPr="00CA23AA">
        <w:t xml:space="preserve">Although a higher-than-expected EFS and OS benefits for TIS were observed in the </w:t>
      </w:r>
      <w:r w:rsidR="3EF76FD4" w:rsidRPr="00CA23AA">
        <w:t>ABMTRR</w:t>
      </w:r>
      <w:r w:rsidRPr="00CA23AA">
        <w:t xml:space="preserve"> data, </w:t>
      </w:r>
      <w:proofErr w:type="gramStart"/>
      <w:r w:rsidRPr="00CA23AA">
        <w:t>a number of</w:t>
      </w:r>
      <w:proofErr w:type="gramEnd"/>
      <w:r w:rsidRPr="00CA23AA">
        <w:t xml:space="preserve"> patients had additional treatments either to consolidate remission (where the clinical symptoms were indicative of future relapse) or after relapse. It is likely that </w:t>
      </w:r>
      <w:r w:rsidR="00BE16E8" w:rsidRPr="00CA23AA">
        <w:t>some patients in</w:t>
      </w:r>
      <w:r w:rsidR="00CD53EB" w:rsidRPr="00CA23AA">
        <w:t xml:space="preserve"> </w:t>
      </w:r>
      <w:r w:rsidRPr="00CA23AA">
        <w:t xml:space="preserve">remission </w:t>
      </w:r>
      <w:r w:rsidR="00594907" w:rsidRPr="00982219">
        <w:rPr>
          <w:color w:val="000000"/>
          <w:w w:val="88"/>
          <w:shd w:val="solid" w:color="000000" w:fill="000000"/>
          <w:fitText w:val="390" w:id="-1161539319"/>
          <w14:textFill>
            <w14:solidFill>
              <w14:srgbClr w14:val="000000">
                <w14:alpha w14:val="100000"/>
              </w14:srgbClr>
            </w14:solidFill>
          </w14:textFill>
        </w:rPr>
        <w:t>|||</w:t>
      </w:r>
      <w:r w:rsidR="00594907" w:rsidRPr="00982219">
        <w:rPr>
          <w:color w:val="000000"/>
          <w:spacing w:val="2"/>
          <w:w w:val="88"/>
          <w:shd w:val="solid" w:color="000000" w:fill="000000"/>
          <w:fitText w:val="390" w:id="-1161539319"/>
          <w14:textFill>
            <w14:solidFill>
              <w14:srgbClr w14:val="000000">
                <w14:alpha w14:val="100000"/>
              </w14:srgbClr>
            </w14:solidFill>
          </w14:textFill>
        </w:rPr>
        <w:t>|</w:t>
      </w:r>
      <w:r w:rsidRPr="00CA23AA">
        <w:t xml:space="preserve"> was </w:t>
      </w:r>
      <w:proofErr w:type="gramStart"/>
      <w:r w:rsidRPr="00CA23AA">
        <w:t xml:space="preserve">due to </w:t>
      </w:r>
      <w:r w:rsidR="00BE16E8" w:rsidRPr="00CA23AA">
        <w:t>the effect</w:t>
      </w:r>
      <w:proofErr w:type="gramEnd"/>
      <w:r w:rsidR="00BE16E8" w:rsidRPr="00CA23AA">
        <w:t xml:space="preserve"> of </w:t>
      </w:r>
      <w:r w:rsidR="00F277F8" w:rsidRPr="00CA23AA">
        <w:t>subsequent</w:t>
      </w:r>
      <w:r w:rsidRPr="00CA23AA">
        <w:t xml:space="preserve"> treatment </w:t>
      </w:r>
      <w:r w:rsidR="00F277F8" w:rsidRPr="00CA23AA">
        <w:t xml:space="preserve">and not TIS </w:t>
      </w:r>
      <w:r w:rsidRPr="00CA23AA">
        <w:t>in these patients. Therefore, it is uncertain how much of the increase in EFS and OS observed in Australian cohort is due to TIS alone</w:t>
      </w:r>
      <w:r w:rsidR="00F277F8" w:rsidRPr="00CA23AA">
        <w:t xml:space="preserve"> and longer duration of response with TIS infusion should be interpreted with caution.</w:t>
      </w:r>
      <w:r w:rsidR="00B51B94" w:rsidRPr="00CA23AA">
        <w:t xml:space="preserve"> </w:t>
      </w:r>
      <w:r w:rsidR="000D1362" w:rsidRPr="00CA23AA">
        <w:t xml:space="preserve">Modelled </w:t>
      </w:r>
      <w:r w:rsidR="00B51B94" w:rsidRPr="00CA23AA">
        <w:t xml:space="preserve">EFS and OS </w:t>
      </w:r>
      <w:r w:rsidR="000D1362" w:rsidRPr="00CA23AA">
        <w:t>estimates are based on updated trial data, however the price of TIS</w:t>
      </w:r>
      <w:r w:rsidR="00A93C4C" w:rsidRPr="00CA23AA">
        <w:t xml:space="preserve">, </w:t>
      </w:r>
      <w:r w:rsidR="00334AE1" w:rsidRPr="00CA23AA">
        <w:t>some resource use and</w:t>
      </w:r>
      <w:r w:rsidR="000D1362" w:rsidRPr="00CA23AA">
        <w:t xml:space="preserve"> </w:t>
      </w:r>
      <w:r w:rsidR="00B477BD" w:rsidRPr="00CA23AA">
        <w:t xml:space="preserve">response rate </w:t>
      </w:r>
      <w:r w:rsidR="0048075C" w:rsidRPr="00CA23AA">
        <w:t>were informed by ABMTRR data.</w:t>
      </w:r>
    </w:p>
    <w:p w14:paraId="627249A7" w14:textId="57DB570F" w:rsidR="00D4661E" w:rsidRPr="00CA23AA" w:rsidRDefault="00A751F3" w:rsidP="00666F59">
      <w:r w:rsidRPr="00CA23AA">
        <w:t xml:space="preserve">Approximately </w:t>
      </w:r>
      <w:r w:rsidR="00594907" w:rsidRPr="00594907">
        <w:rPr>
          <w:color w:val="000000"/>
          <w:w w:val="86"/>
          <w:shd w:val="solid" w:color="000000" w:fill="000000"/>
          <w:fitText w:val="380" w:id="-1161539318"/>
          <w14:textFill>
            <w14:solidFill>
              <w14:srgbClr w14:val="000000">
                <w14:alpha w14:val="100000"/>
              </w14:srgbClr>
            </w14:solidFill>
          </w14:textFill>
        </w:rPr>
        <w:t>|||</w:t>
      </w:r>
      <w:r w:rsidR="00594907" w:rsidRPr="00594907">
        <w:rPr>
          <w:color w:val="000000"/>
          <w:spacing w:val="1"/>
          <w:w w:val="86"/>
          <w:shd w:val="solid" w:color="000000" w:fill="000000"/>
          <w:fitText w:val="380" w:id="-1161539318"/>
          <w14:textFill>
            <w14:solidFill>
              <w14:srgbClr w14:val="000000">
                <w14:alpha w14:val="100000"/>
              </w14:srgbClr>
            </w14:solidFill>
          </w14:textFill>
        </w:rPr>
        <w:t>|</w:t>
      </w:r>
      <w:r w:rsidRPr="00CA23AA">
        <w:t xml:space="preserve">% </w:t>
      </w:r>
      <w:r w:rsidR="00594907" w:rsidRPr="00594907">
        <w:rPr>
          <w:color w:val="000000"/>
          <w:w w:val="88"/>
          <w:shd w:val="solid" w:color="000000" w:fill="000000"/>
          <w:fitText w:val="390" w:id="-1161539317"/>
          <w14:textFill>
            <w14:solidFill>
              <w14:srgbClr w14:val="000000">
                <w14:alpha w14:val="100000"/>
              </w14:srgbClr>
            </w14:solidFill>
          </w14:textFill>
        </w:rPr>
        <w:t>|||</w:t>
      </w:r>
      <w:r w:rsidR="00594907" w:rsidRPr="00594907">
        <w:rPr>
          <w:color w:val="000000"/>
          <w:spacing w:val="2"/>
          <w:w w:val="88"/>
          <w:shd w:val="solid" w:color="000000" w:fill="000000"/>
          <w:fitText w:val="390" w:id="-1161539317"/>
          <w14:textFill>
            <w14:solidFill>
              <w14:srgbClr w14:val="000000">
                <w14:alpha w14:val="100000"/>
              </w14:srgbClr>
            </w14:solidFill>
          </w14:textFill>
        </w:rPr>
        <w:t>|</w:t>
      </w:r>
      <w:r w:rsidRPr="00CA23AA">
        <w:t>/</w:t>
      </w:r>
      <w:r w:rsidR="00594907" w:rsidRPr="00594907">
        <w:rPr>
          <w:color w:val="000000"/>
          <w:w w:val="88"/>
          <w:shd w:val="solid" w:color="000000" w:fill="000000"/>
          <w:fitText w:val="390" w:id="-1161539316"/>
          <w14:textFill>
            <w14:solidFill>
              <w14:srgbClr w14:val="000000">
                <w14:alpha w14:val="100000"/>
              </w14:srgbClr>
            </w14:solidFill>
          </w14:textFill>
        </w:rPr>
        <w:t>|||</w:t>
      </w:r>
      <w:r w:rsidR="00594907" w:rsidRPr="00594907">
        <w:rPr>
          <w:color w:val="000000"/>
          <w:spacing w:val="2"/>
          <w:w w:val="88"/>
          <w:shd w:val="solid" w:color="000000" w:fill="000000"/>
          <w:fitText w:val="390" w:id="-1161539316"/>
          <w14:textFill>
            <w14:solidFill>
              <w14:srgbClr w14:val="000000">
                <w14:alpha w14:val="100000"/>
              </w14:srgbClr>
            </w14:solidFill>
          </w14:textFill>
        </w:rPr>
        <w:t>|</w:t>
      </w:r>
      <w:r w:rsidRPr="00CA23AA">
        <w:t>) of the patients who registered in the program did not receive the successful infusion (</w:t>
      </w:r>
      <w:r w:rsidR="00594907" w:rsidRPr="00594907">
        <w:rPr>
          <w:color w:val="000000"/>
          <w:w w:val="88"/>
          <w:shd w:val="solid" w:color="000000" w:fill="000000"/>
          <w:fitText w:val="390" w:id="-1161539315"/>
          <w14:textFill>
            <w14:solidFill>
              <w14:srgbClr w14:val="000000">
                <w14:alpha w14:val="100000"/>
              </w14:srgbClr>
            </w14:solidFill>
          </w14:textFill>
        </w:rPr>
        <w:t>|||</w:t>
      </w:r>
      <w:r w:rsidR="00594907" w:rsidRPr="00594907">
        <w:rPr>
          <w:color w:val="000000"/>
          <w:spacing w:val="2"/>
          <w:w w:val="88"/>
          <w:shd w:val="solid" w:color="000000" w:fill="000000"/>
          <w:fitText w:val="390" w:id="-1161539315"/>
          <w14:textFill>
            <w14:solidFill>
              <w14:srgbClr w14:val="000000">
                <w14:alpha w14:val="100000"/>
              </w14:srgbClr>
            </w14:solidFill>
          </w14:textFill>
        </w:rPr>
        <w:t>|</w:t>
      </w:r>
      <w:r w:rsidRPr="00CA23AA">
        <w:t xml:space="preserve"> patients) or cancelled the order (</w:t>
      </w:r>
      <w:r w:rsidR="00594907" w:rsidRPr="00594907">
        <w:rPr>
          <w:color w:val="000000"/>
          <w:w w:val="88"/>
          <w:shd w:val="solid" w:color="000000" w:fill="000000"/>
          <w:fitText w:val="390" w:id="-1161539314"/>
          <w14:textFill>
            <w14:solidFill>
              <w14:srgbClr w14:val="000000">
                <w14:alpha w14:val="100000"/>
              </w14:srgbClr>
            </w14:solidFill>
          </w14:textFill>
        </w:rPr>
        <w:t>|||</w:t>
      </w:r>
      <w:r w:rsidR="00594907" w:rsidRPr="00594907">
        <w:rPr>
          <w:color w:val="000000"/>
          <w:spacing w:val="2"/>
          <w:w w:val="88"/>
          <w:shd w:val="solid" w:color="000000" w:fill="000000"/>
          <w:fitText w:val="390" w:id="-1161539314"/>
          <w14:textFill>
            <w14:solidFill>
              <w14:srgbClr w14:val="000000">
                <w14:alpha w14:val="100000"/>
              </w14:srgbClr>
            </w14:solidFill>
          </w14:textFill>
        </w:rPr>
        <w:t>|</w:t>
      </w:r>
      <w:r w:rsidRPr="00CA23AA">
        <w:t xml:space="preserve">) prior to infusion. This suggests that around </w:t>
      </w:r>
      <w:r w:rsidR="00594907" w:rsidRPr="00594907">
        <w:rPr>
          <w:color w:val="000000"/>
          <w:w w:val="88"/>
          <w:shd w:val="solid" w:color="000000" w:fill="000000"/>
          <w:fitText w:val="390" w:id="-1161539313"/>
          <w14:textFill>
            <w14:solidFill>
              <w14:srgbClr w14:val="000000">
                <w14:alpha w14:val="100000"/>
              </w14:srgbClr>
            </w14:solidFill>
          </w14:textFill>
        </w:rPr>
        <w:t>|||</w:t>
      </w:r>
      <w:r w:rsidR="00594907" w:rsidRPr="00594907">
        <w:rPr>
          <w:color w:val="000000"/>
          <w:spacing w:val="2"/>
          <w:w w:val="88"/>
          <w:shd w:val="solid" w:color="000000" w:fill="000000"/>
          <w:fitText w:val="390" w:id="-1161539313"/>
          <w14:textFill>
            <w14:solidFill>
              <w14:srgbClr w14:val="000000">
                <w14:alpha w14:val="100000"/>
              </w14:srgbClr>
            </w14:solidFill>
          </w14:textFill>
        </w:rPr>
        <w:t>|</w:t>
      </w:r>
      <w:r w:rsidRPr="00CA23AA">
        <w:t>% of the enrolled patients received successful infusion.</w:t>
      </w:r>
      <w:r w:rsidR="00F277F8" w:rsidRPr="00CA23AA">
        <w:t xml:space="preserve"> </w:t>
      </w:r>
      <w:r w:rsidR="00594907" w:rsidRPr="00594907">
        <w:rPr>
          <w:color w:val="000000"/>
          <w:w w:val="88"/>
          <w:shd w:val="solid" w:color="000000" w:fill="000000"/>
          <w:fitText w:val="390" w:id="-1161539312"/>
          <w14:textFill>
            <w14:solidFill>
              <w14:srgbClr w14:val="000000">
                <w14:alpha w14:val="100000"/>
              </w14:srgbClr>
            </w14:solidFill>
          </w14:textFill>
        </w:rPr>
        <w:t>|||</w:t>
      </w:r>
      <w:r w:rsidR="00594907" w:rsidRPr="00594907">
        <w:rPr>
          <w:color w:val="000000"/>
          <w:spacing w:val="2"/>
          <w:w w:val="88"/>
          <w:shd w:val="solid" w:color="000000" w:fill="000000"/>
          <w:fitText w:val="390" w:id="-1161539312"/>
          <w14:textFill>
            <w14:solidFill>
              <w14:srgbClr w14:val="000000">
                <w14:alpha w14:val="100000"/>
              </w14:srgbClr>
            </w14:solidFill>
          </w14:textFill>
        </w:rPr>
        <w:t>|</w:t>
      </w:r>
      <w:r w:rsidR="00F277F8" w:rsidRPr="00CA23AA">
        <w:t xml:space="preserve">% of the patients had re-infusions and some had out of specification product. Although for these subgroup of patients </w:t>
      </w:r>
      <w:r w:rsidR="00594907" w:rsidRPr="00594907">
        <w:rPr>
          <w:color w:val="000000"/>
          <w:w w:val="88"/>
          <w:shd w:val="solid" w:color="000000" w:fill="000000"/>
          <w:fitText w:val="390" w:id="-1161539328"/>
          <w14:textFill>
            <w14:solidFill>
              <w14:srgbClr w14:val="000000">
                <w14:alpha w14:val="100000"/>
              </w14:srgbClr>
            </w14:solidFill>
          </w14:textFill>
        </w:rPr>
        <w:t>|||</w:t>
      </w:r>
      <w:r w:rsidR="00594907" w:rsidRPr="00594907">
        <w:rPr>
          <w:color w:val="000000"/>
          <w:spacing w:val="2"/>
          <w:w w:val="88"/>
          <w:shd w:val="solid" w:color="000000" w:fill="000000"/>
          <w:fitText w:val="390" w:id="-1161539328"/>
          <w14:textFill>
            <w14:solidFill>
              <w14:srgbClr w14:val="000000">
                <w14:alpha w14:val="100000"/>
              </w14:srgbClr>
            </w14:solidFill>
          </w14:textFill>
        </w:rPr>
        <w:t>|</w:t>
      </w:r>
      <w:r w:rsidR="00F277F8" w:rsidRPr="00CA23AA">
        <w:t>, part of the other program costs would have still incurred. It is uncertain how much of these cost-activities are captured in the data provided by state and territories.</w:t>
      </w:r>
    </w:p>
    <w:p w14:paraId="25AE2BAC" w14:textId="7648FDFE" w:rsidR="00772829" w:rsidRPr="00CA23AA" w:rsidRDefault="00C36633" w:rsidP="002A18BE">
      <w:pPr>
        <w:pStyle w:val="Heading2"/>
        <w:numPr>
          <w:ilvl w:val="0"/>
          <w:numId w:val="0"/>
        </w:numPr>
      </w:pPr>
      <w:bookmarkStart w:id="70" w:name="_Toc69491426"/>
      <w:r w:rsidRPr="00CA23AA">
        <w:t>1</w:t>
      </w:r>
      <w:r w:rsidR="004D4F0C" w:rsidRPr="00CA23AA">
        <w:t>4</w:t>
      </w:r>
      <w:r w:rsidRPr="00CA23AA">
        <w:t>.</w:t>
      </w:r>
      <w:r w:rsidRPr="00CA23AA">
        <w:tab/>
      </w:r>
      <w:r w:rsidR="00772829" w:rsidRPr="00CA23AA">
        <w:t>Financial/budgetary impacts</w:t>
      </w:r>
      <w:bookmarkEnd w:id="70"/>
    </w:p>
    <w:p w14:paraId="1F8BDC46" w14:textId="403A5B67" w:rsidR="00D42355" w:rsidRPr="00CA23AA" w:rsidRDefault="00D42355" w:rsidP="00D42355">
      <w:r w:rsidRPr="00CA23AA">
        <w:t xml:space="preserve">The submission presented an updated estimate of the financial impact to the Australian Government of funding TIS through the NHRA over the first three (Deed) years of the program. Actual uptake of TIS for </w:t>
      </w:r>
      <w:proofErr w:type="spellStart"/>
      <w:r w:rsidRPr="00CA23AA">
        <w:t>pALL</w:t>
      </w:r>
      <w:proofErr w:type="spellEnd"/>
      <w:r w:rsidRPr="00CA23AA">
        <w:t xml:space="preserve"> through the NHRA has been lower than estimated in the MSAC resubmission</w:t>
      </w:r>
      <w:r w:rsidR="008354E0" w:rsidRPr="00CA23AA">
        <w:t xml:space="preserve"> (ADAR 1519, April 2019)</w:t>
      </w:r>
      <w:r w:rsidRPr="00CA23AA">
        <w:t xml:space="preserve"> </w:t>
      </w:r>
      <w:r w:rsidR="00982219" w:rsidRPr="00982219">
        <w:rPr>
          <w:color w:val="000000"/>
          <w:w w:val="88"/>
          <w:shd w:val="solid" w:color="000000" w:fill="000000"/>
          <w:fitText w:val="390" w:id="-1157969653"/>
          <w14:textFill>
            <w14:solidFill>
              <w14:srgbClr w14:val="000000">
                <w14:alpha w14:val="100000"/>
              </w14:srgbClr>
            </w14:solidFill>
          </w14:textFill>
        </w:rPr>
        <w:t>|||</w:t>
      </w:r>
      <w:r w:rsidR="00982219" w:rsidRPr="00982219">
        <w:rPr>
          <w:color w:val="000000"/>
          <w:spacing w:val="2"/>
          <w:w w:val="88"/>
          <w:shd w:val="solid" w:color="000000" w:fill="000000"/>
          <w:fitText w:val="390" w:id="-1157969653"/>
          <w14:textFill>
            <w14:solidFill>
              <w14:srgbClr w14:val="000000">
                <w14:alpha w14:val="100000"/>
              </w14:srgbClr>
            </w14:solidFill>
          </w14:textFill>
        </w:rPr>
        <w:t>|</w:t>
      </w:r>
      <w:r w:rsidRPr="00CA23AA">
        <w:t xml:space="preserve">. The patient numbers estimated in the resubmission, applied in the Deed, and actual numbers are summarised in </w:t>
      </w:r>
      <w:r w:rsidRPr="00CA23AA">
        <w:fldChar w:fldCharType="begin"/>
      </w:r>
      <w:r w:rsidRPr="00CA23AA">
        <w:instrText xml:space="preserve"> REF _Ref131341374 \h </w:instrText>
      </w:r>
      <w:r w:rsidR="00CA23AA">
        <w:instrText xml:space="preserve"> \* MERGEFORMAT </w:instrText>
      </w:r>
      <w:r w:rsidRPr="00CA23AA">
        <w:fldChar w:fldCharType="separate"/>
      </w:r>
      <w:r w:rsidR="00175880" w:rsidRPr="00CA23AA">
        <w:t xml:space="preserve">Table </w:t>
      </w:r>
      <w:r w:rsidR="00175880" w:rsidRPr="00CA23AA">
        <w:rPr>
          <w:noProof/>
        </w:rPr>
        <w:t>18</w:t>
      </w:r>
      <w:r w:rsidRPr="00CA23AA">
        <w:fldChar w:fldCharType="end"/>
      </w:r>
      <w:r w:rsidRPr="00CA23AA">
        <w:t>.</w:t>
      </w:r>
    </w:p>
    <w:p w14:paraId="538E1AF5" w14:textId="167DA2F3" w:rsidR="00D42355" w:rsidRPr="00CA23AA" w:rsidRDefault="00D42355" w:rsidP="00001558">
      <w:pPr>
        <w:pStyle w:val="TableHeading0"/>
      </w:pPr>
      <w:bookmarkStart w:id="71" w:name="_Ref131341374"/>
      <w:r w:rsidRPr="00CA23AA">
        <w:t xml:space="preserve">Table </w:t>
      </w:r>
      <w:r w:rsidRPr="00CA23AA">
        <w:fldChar w:fldCharType="begin"/>
      </w:r>
      <w:r w:rsidRPr="00CA23AA">
        <w:instrText>SEQ Table \* ARABIC</w:instrText>
      </w:r>
      <w:r w:rsidRPr="00CA23AA">
        <w:fldChar w:fldCharType="separate"/>
      </w:r>
      <w:r w:rsidR="00175880" w:rsidRPr="00CA23AA">
        <w:rPr>
          <w:noProof/>
        </w:rPr>
        <w:t>18</w:t>
      </w:r>
      <w:r w:rsidRPr="00CA23AA">
        <w:fldChar w:fldCharType="end"/>
      </w:r>
      <w:bookmarkEnd w:id="71"/>
      <w:r w:rsidRPr="00CA23AA">
        <w:tab/>
        <w:t xml:space="preserve">Expected vs. actual number of patients infused with TIS in </w:t>
      </w:r>
      <w:proofErr w:type="spellStart"/>
      <w:proofErr w:type="gramStart"/>
      <w:r w:rsidRPr="00CA23AA">
        <w:t>pALL</w:t>
      </w:r>
      <w:proofErr w:type="spellEnd"/>
      <w:proofErr w:type="gramEnd"/>
    </w:p>
    <w:tbl>
      <w:tblPr>
        <w:tblStyle w:val="Summarybox1"/>
        <w:tblW w:w="5000" w:type="pct"/>
        <w:tblLook w:val="04A0" w:firstRow="1" w:lastRow="0" w:firstColumn="1" w:lastColumn="0" w:noHBand="0" w:noVBand="1"/>
        <w:tblCaption w:val="Expected vs. actual number of patients infused with TIS in pALL"/>
        <w:tblDescription w:val="Expected vs. actual number of patients infused with TIS in pALL"/>
      </w:tblPr>
      <w:tblGrid>
        <w:gridCol w:w="3099"/>
        <w:gridCol w:w="987"/>
        <w:gridCol w:w="987"/>
        <w:gridCol w:w="986"/>
        <w:gridCol w:w="986"/>
        <w:gridCol w:w="986"/>
        <w:gridCol w:w="985"/>
      </w:tblGrid>
      <w:tr w:rsidR="00D42355" w:rsidRPr="00CA23AA" w14:paraId="0E075B97" w14:textId="77777777" w:rsidTr="004148A9">
        <w:trPr>
          <w:trHeight w:val="198"/>
          <w:tblHeader/>
        </w:trPr>
        <w:tc>
          <w:tcPr>
            <w:tcW w:w="1718" w:type="pct"/>
            <w:noWrap/>
            <w:hideMark/>
          </w:tcPr>
          <w:p w14:paraId="0DAD0552" w14:textId="77777777" w:rsidR="00D42355" w:rsidRPr="00CA23AA" w:rsidRDefault="00D42355" w:rsidP="006F4F82">
            <w:pPr>
              <w:pStyle w:val="Tabletext0"/>
            </w:pPr>
          </w:p>
        </w:tc>
        <w:tc>
          <w:tcPr>
            <w:tcW w:w="547" w:type="pct"/>
            <w:tcBorders>
              <w:bottom w:val="single" w:sz="4" w:space="0" w:color="auto"/>
            </w:tcBorders>
            <w:noWrap/>
            <w:hideMark/>
          </w:tcPr>
          <w:p w14:paraId="41B1C5E0" w14:textId="77777777" w:rsidR="00D42355" w:rsidRPr="00CA23AA" w:rsidRDefault="00D42355" w:rsidP="006F4F82">
            <w:pPr>
              <w:pStyle w:val="Tabletext0"/>
              <w:rPr>
                <w:b/>
                <w:bCs/>
              </w:rPr>
            </w:pPr>
            <w:r w:rsidRPr="00CA23AA">
              <w:rPr>
                <w:b/>
                <w:bCs/>
              </w:rPr>
              <w:t>Year 1</w:t>
            </w:r>
          </w:p>
        </w:tc>
        <w:tc>
          <w:tcPr>
            <w:tcW w:w="547" w:type="pct"/>
            <w:tcBorders>
              <w:bottom w:val="single" w:sz="4" w:space="0" w:color="auto"/>
            </w:tcBorders>
            <w:noWrap/>
            <w:hideMark/>
          </w:tcPr>
          <w:p w14:paraId="5C00E6DC" w14:textId="77777777" w:rsidR="00D42355" w:rsidRPr="00CA23AA" w:rsidRDefault="00D42355" w:rsidP="006F4F82">
            <w:pPr>
              <w:pStyle w:val="Tabletext0"/>
              <w:rPr>
                <w:b/>
                <w:bCs/>
              </w:rPr>
            </w:pPr>
            <w:r w:rsidRPr="00CA23AA">
              <w:rPr>
                <w:b/>
                <w:bCs/>
              </w:rPr>
              <w:t>Year 2</w:t>
            </w:r>
          </w:p>
        </w:tc>
        <w:tc>
          <w:tcPr>
            <w:tcW w:w="547" w:type="pct"/>
            <w:tcBorders>
              <w:bottom w:val="single" w:sz="4" w:space="0" w:color="auto"/>
            </w:tcBorders>
            <w:noWrap/>
            <w:hideMark/>
          </w:tcPr>
          <w:p w14:paraId="29A56083" w14:textId="77777777" w:rsidR="00D42355" w:rsidRPr="00CA23AA" w:rsidRDefault="00D42355" w:rsidP="006F4F82">
            <w:pPr>
              <w:pStyle w:val="Tabletext0"/>
              <w:rPr>
                <w:b/>
                <w:bCs/>
              </w:rPr>
            </w:pPr>
            <w:r w:rsidRPr="00CA23AA">
              <w:rPr>
                <w:b/>
                <w:bCs/>
              </w:rPr>
              <w:t>Year 3</w:t>
            </w:r>
          </w:p>
        </w:tc>
        <w:tc>
          <w:tcPr>
            <w:tcW w:w="547" w:type="pct"/>
            <w:tcBorders>
              <w:bottom w:val="single" w:sz="4" w:space="0" w:color="auto"/>
            </w:tcBorders>
            <w:noWrap/>
            <w:hideMark/>
          </w:tcPr>
          <w:p w14:paraId="48744C38" w14:textId="77777777" w:rsidR="00D42355" w:rsidRPr="00CA23AA" w:rsidRDefault="00D42355" w:rsidP="006F4F82">
            <w:pPr>
              <w:pStyle w:val="Tabletext0"/>
              <w:rPr>
                <w:b/>
                <w:bCs/>
              </w:rPr>
            </w:pPr>
            <w:r w:rsidRPr="00CA23AA">
              <w:rPr>
                <w:b/>
                <w:bCs/>
              </w:rPr>
              <w:t>Year 4*</w:t>
            </w:r>
          </w:p>
        </w:tc>
        <w:tc>
          <w:tcPr>
            <w:tcW w:w="547" w:type="pct"/>
            <w:tcBorders>
              <w:bottom w:val="single" w:sz="4" w:space="0" w:color="auto"/>
            </w:tcBorders>
            <w:noWrap/>
            <w:hideMark/>
          </w:tcPr>
          <w:p w14:paraId="309CD6E3" w14:textId="77777777" w:rsidR="00D42355" w:rsidRPr="00CA23AA" w:rsidRDefault="00D42355" w:rsidP="006F4F82">
            <w:pPr>
              <w:pStyle w:val="Tabletext0"/>
              <w:rPr>
                <w:b/>
                <w:bCs/>
              </w:rPr>
            </w:pPr>
            <w:r w:rsidRPr="00CA23AA">
              <w:rPr>
                <w:b/>
                <w:bCs/>
              </w:rPr>
              <w:t>Year 5</w:t>
            </w:r>
          </w:p>
        </w:tc>
        <w:tc>
          <w:tcPr>
            <w:tcW w:w="546" w:type="pct"/>
            <w:tcBorders>
              <w:bottom w:val="single" w:sz="4" w:space="0" w:color="auto"/>
            </w:tcBorders>
            <w:noWrap/>
            <w:hideMark/>
          </w:tcPr>
          <w:p w14:paraId="0BEC9471" w14:textId="77777777" w:rsidR="00D42355" w:rsidRPr="00CA23AA" w:rsidRDefault="00D42355" w:rsidP="006F4F82">
            <w:pPr>
              <w:pStyle w:val="Tabletext0"/>
              <w:rPr>
                <w:b/>
                <w:bCs/>
              </w:rPr>
            </w:pPr>
            <w:r w:rsidRPr="00CA23AA">
              <w:rPr>
                <w:b/>
                <w:bCs/>
              </w:rPr>
              <w:t>Year 6</w:t>
            </w:r>
          </w:p>
        </w:tc>
      </w:tr>
      <w:tr w:rsidR="00594907" w:rsidRPr="00CA23AA" w14:paraId="1B9A9125" w14:textId="77777777" w:rsidTr="00982219">
        <w:trPr>
          <w:trHeight w:val="198"/>
        </w:trPr>
        <w:tc>
          <w:tcPr>
            <w:tcW w:w="1718" w:type="pct"/>
            <w:tcBorders>
              <w:bottom w:val="single" w:sz="4" w:space="0" w:color="auto"/>
            </w:tcBorders>
            <w:noWrap/>
          </w:tcPr>
          <w:p w14:paraId="4B516D99" w14:textId="542B5AA2" w:rsidR="00D42355" w:rsidRPr="00CA23AA" w:rsidRDefault="00D42355" w:rsidP="006F4F82">
            <w:pPr>
              <w:pStyle w:val="Tabletext0"/>
            </w:pPr>
            <w:r w:rsidRPr="00CA23AA">
              <w:t>Resubmission (</w:t>
            </w:r>
            <w:r w:rsidR="008354E0" w:rsidRPr="00CA23AA">
              <w:t xml:space="preserve">ADAR 1519, </w:t>
            </w:r>
            <w:r w:rsidRPr="00CA23AA">
              <w:t>April 2019)</w:t>
            </w:r>
          </w:p>
        </w:tc>
        <w:tc>
          <w:tcPr>
            <w:tcW w:w="547" w:type="pct"/>
            <w:tcBorders>
              <w:bottom w:val="single" w:sz="4" w:space="0" w:color="auto"/>
            </w:tcBorders>
            <w:shd w:val="solid" w:color="000000" w:fill="000000"/>
            <w:noWrap/>
          </w:tcPr>
          <w:p w14:paraId="0DE653D6" w14:textId="1A16BA92" w:rsidR="00D42355" w:rsidRPr="00CA23AA" w:rsidRDefault="00594907" w:rsidP="006F4F82">
            <w:pPr>
              <w:pStyle w:val="Tabletext0"/>
              <w:jc w:val="center"/>
            </w:pPr>
            <w:r w:rsidRPr="00594907">
              <w:rPr>
                <w:rFonts w:hint="eastAsia"/>
                <w:color w:val="000000"/>
                <w:w w:val="18"/>
                <w:fitText w:val="80" w:id="-1161539327"/>
                <w14:textFill>
                  <w14:solidFill>
                    <w14:srgbClr w14:val="000000">
                      <w14:alpha w14:val="100000"/>
                    </w14:srgbClr>
                  </w14:solidFill>
                </w14:textFill>
              </w:rPr>
              <w:t xml:space="preserve">　</w:t>
            </w:r>
            <w:r w:rsidRPr="00594907">
              <w:rPr>
                <w:color w:val="000000"/>
                <w:w w:val="18"/>
                <w:fitText w:val="80" w:id="-1161539327"/>
                <w14:textFill>
                  <w14:solidFill>
                    <w14:srgbClr w14:val="000000">
                      <w14:alpha w14:val="100000"/>
                    </w14:srgbClr>
                  </w14:solidFill>
                </w14:textFill>
              </w:rPr>
              <w:t>|</w:t>
            </w:r>
            <w:r w:rsidRPr="00594907">
              <w:rPr>
                <w:rFonts w:hint="eastAsia"/>
                <w:color w:val="000000"/>
                <w:w w:val="18"/>
                <w:fitText w:val="80" w:id="-1161539327"/>
                <w14:textFill>
                  <w14:solidFill>
                    <w14:srgbClr w14:val="000000">
                      <w14:alpha w14:val="100000"/>
                    </w14:srgbClr>
                  </w14:solidFill>
                </w14:textFill>
              </w:rPr>
              <w:t xml:space="preserve">　</w:t>
            </w:r>
          </w:p>
        </w:tc>
        <w:tc>
          <w:tcPr>
            <w:tcW w:w="547" w:type="pct"/>
            <w:tcBorders>
              <w:bottom w:val="single" w:sz="4" w:space="0" w:color="auto"/>
            </w:tcBorders>
            <w:shd w:val="solid" w:color="000000" w:fill="000000"/>
            <w:noWrap/>
          </w:tcPr>
          <w:p w14:paraId="582AF6A2" w14:textId="22E8F5C3" w:rsidR="00D42355" w:rsidRPr="00CA23AA" w:rsidRDefault="00594907" w:rsidP="006F4F82">
            <w:pPr>
              <w:pStyle w:val="Tabletext0"/>
              <w:jc w:val="center"/>
            </w:pPr>
            <w:r w:rsidRPr="00594907">
              <w:rPr>
                <w:rFonts w:hint="eastAsia"/>
                <w:color w:val="000000"/>
                <w:w w:val="18"/>
                <w:fitText w:val="80" w:id="-1161539326"/>
                <w14:textFill>
                  <w14:solidFill>
                    <w14:srgbClr w14:val="000000">
                      <w14:alpha w14:val="100000"/>
                    </w14:srgbClr>
                  </w14:solidFill>
                </w14:textFill>
              </w:rPr>
              <w:t xml:space="preserve">　</w:t>
            </w:r>
            <w:r w:rsidRPr="00594907">
              <w:rPr>
                <w:color w:val="000000"/>
                <w:w w:val="18"/>
                <w:fitText w:val="80" w:id="-1161539326"/>
                <w14:textFill>
                  <w14:solidFill>
                    <w14:srgbClr w14:val="000000">
                      <w14:alpha w14:val="100000"/>
                    </w14:srgbClr>
                  </w14:solidFill>
                </w14:textFill>
              </w:rPr>
              <w:t>|</w:t>
            </w:r>
            <w:r w:rsidRPr="00594907">
              <w:rPr>
                <w:rFonts w:hint="eastAsia"/>
                <w:color w:val="000000"/>
                <w:w w:val="18"/>
                <w:fitText w:val="80" w:id="-1161539326"/>
                <w14:textFill>
                  <w14:solidFill>
                    <w14:srgbClr w14:val="000000">
                      <w14:alpha w14:val="100000"/>
                    </w14:srgbClr>
                  </w14:solidFill>
                </w14:textFill>
              </w:rPr>
              <w:t xml:space="preserve">　</w:t>
            </w:r>
          </w:p>
        </w:tc>
        <w:tc>
          <w:tcPr>
            <w:tcW w:w="547" w:type="pct"/>
            <w:tcBorders>
              <w:bottom w:val="single" w:sz="4" w:space="0" w:color="auto"/>
            </w:tcBorders>
            <w:shd w:val="solid" w:color="000000" w:fill="000000"/>
            <w:noWrap/>
          </w:tcPr>
          <w:p w14:paraId="0344800B" w14:textId="5534EE06" w:rsidR="00D42355" w:rsidRPr="00CA23AA" w:rsidRDefault="00594907" w:rsidP="006F4F82">
            <w:pPr>
              <w:pStyle w:val="Tabletext0"/>
              <w:jc w:val="center"/>
            </w:pPr>
            <w:r w:rsidRPr="00594907">
              <w:rPr>
                <w:rFonts w:hint="eastAsia"/>
                <w:color w:val="000000"/>
                <w:w w:val="18"/>
                <w:fitText w:val="80" w:id="-1161539325"/>
                <w14:textFill>
                  <w14:solidFill>
                    <w14:srgbClr w14:val="000000">
                      <w14:alpha w14:val="100000"/>
                    </w14:srgbClr>
                  </w14:solidFill>
                </w14:textFill>
              </w:rPr>
              <w:t xml:space="preserve">　</w:t>
            </w:r>
            <w:r w:rsidRPr="00594907">
              <w:rPr>
                <w:color w:val="000000"/>
                <w:w w:val="18"/>
                <w:fitText w:val="80" w:id="-1161539325"/>
                <w14:textFill>
                  <w14:solidFill>
                    <w14:srgbClr w14:val="000000">
                      <w14:alpha w14:val="100000"/>
                    </w14:srgbClr>
                  </w14:solidFill>
                </w14:textFill>
              </w:rPr>
              <w:t>|</w:t>
            </w:r>
            <w:r w:rsidRPr="00594907">
              <w:rPr>
                <w:rFonts w:hint="eastAsia"/>
                <w:color w:val="000000"/>
                <w:w w:val="18"/>
                <w:fitText w:val="80" w:id="-1161539325"/>
                <w14:textFill>
                  <w14:solidFill>
                    <w14:srgbClr w14:val="000000">
                      <w14:alpha w14:val="100000"/>
                    </w14:srgbClr>
                  </w14:solidFill>
                </w14:textFill>
              </w:rPr>
              <w:t xml:space="preserve">　</w:t>
            </w:r>
          </w:p>
        </w:tc>
        <w:tc>
          <w:tcPr>
            <w:tcW w:w="547" w:type="pct"/>
            <w:tcBorders>
              <w:bottom w:val="single" w:sz="4" w:space="0" w:color="auto"/>
            </w:tcBorders>
            <w:shd w:val="solid" w:color="000000" w:fill="000000"/>
            <w:noWrap/>
          </w:tcPr>
          <w:p w14:paraId="75F0DBA4" w14:textId="72ECA4F9" w:rsidR="00D42355" w:rsidRPr="00CA23AA" w:rsidRDefault="00594907" w:rsidP="006F4F82">
            <w:pPr>
              <w:pStyle w:val="Tabletext0"/>
              <w:jc w:val="center"/>
            </w:pPr>
            <w:r w:rsidRPr="00594907">
              <w:rPr>
                <w:rFonts w:hint="eastAsia"/>
                <w:color w:val="000000"/>
                <w:w w:val="18"/>
                <w:fitText w:val="80" w:id="-1161539324"/>
                <w14:textFill>
                  <w14:solidFill>
                    <w14:srgbClr w14:val="000000">
                      <w14:alpha w14:val="100000"/>
                    </w14:srgbClr>
                  </w14:solidFill>
                </w14:textFill>
              </w:rPr>
              <w:t xml:space="preserve">　</w:t>
            </w:r>
            <w:r w:rsidRPr="00594907">
              <w:rPr>
                <w:color w:val="000000"/>
                <w:w w:val="18"/>
                <w:fitText w:val="80" w:id="-1161539324"/>
                <w14:textFill>
                  <w14:solidFill>
                    <w14:srgbClr w14:val="000000">
                      <w14:alpha w14:val="100000"/>
                    </w14:srgbClr>
                  </w14:solidFill>
                </w14:textFill>
              </w:rPr>
              <w:t>|</w:t>
            </w:r>
            <w:r w:rsidRPr="00594907">
              <w:rPr>
                <w:rFonts w:hint="eastAsia"/>
                <w:color w:val="000000"/>
                <w:w w:val="18"/>
                <w:fitText w:val="80" w:id="-1161539324"/>
                <w14:textFill>
                  <w14:solidFill>
                    <w14:srgbClr w14:val="000000">
                      <w14:alpha w14:val="100000"/>
                    </w14:srgbClr>
                  </w14:solidFill>
                </w14:textFill>
              </w:rPr>
              <w:t xml:space="preserve">　</w:t>
            </w:r>
          </w:p>
        </w:tc>
        <w:tc>
          <w:tcPr>
            <w:tcW w:w="547" w:type="pct"/>
            <w:tcBorders>
              <w:bottom w:val="single" w:sz="4" w:space="0" w:color="auto"/>
            </w:tcBorders>
            <w:shd w:val="solid" w:color="000000" w:fill="000000"/>
            <w:noWrap/>
          </w:tcPr>
          <w:p w14:paraId="342724E2" w14:textId="7BE9C33E" w:rsidR="00D42355" w:rsidRPr="00CA23AA" w:rsidRDefault="00594907" w:rsidP="006F4F82">
            <w:pPr>
              <w:pStyle w:val="Tabletext0"/>
              <w:jc w:val="center"/>
            </w:pPr>
            <w:r w:rsidRPr="00594907">
              <w:rPr>
                <w:rFonts w:hint="eastAsia"/>
                <w:color w:val="000000"/>
                <w:w w:val="18"/>
                <w:fitText w:val="80" w:id="-1161539323"/>
                <w14:textFill>
                  <w14:solidFill>
                    <w14:srgbClr w14:val="000000">
                      <w14:alpha w14:val="100000"/>
                    </w14:srgbClr>
                  </w14:solidFill>
                </w14:textFill>
              </w:rPr>
              <w:t xml:space="preserve">　</w:t>
            </w:r>
            <w:r w:rsidRPr="00594907">
              <w:rPr>
                <w:color w:val="000000"/>
                <w:w w:val="18"/>
                <w:fitText w:val="80" w:id="-1161539323"/>
                <w14:textFill>
                  <w14:solidFill>
                    <w14:srgbClr w14:val="000000">
                      <w14:alpha w14:val="100000"/>
                    </w14:srgbClr>
                  </w14:solidFill>
                </w14:textFill>
              </w:rPr>
              <w:t>|</w:t>
            </w:r>
            <w:r w:rsidRPr="00594907">
              <w:rPr>
                <w:rFonts w:hint="eastAsia"/>
                <w:color w:val="000000"/>
                <w:w w:val="18"/>
                <w:fitText w:val="80" w:id="-1161539323"/>
                <w14:textFill>
                  <w14:solidFill>
                    <w14:srgbClr w14:val="000000">
                      <w14:alpha w14:val="100000"/>
                    </w14:srgbClr>
                  </w14:solidFill>
                </w14:textFill>
              </w:rPr>
              <w:t xml:space="preserve">　</w:t>
            </w:r>
          </w:p>
        </w:tc>
        <w:tc>
          <w:tcPr>
            <w:tcW w:w="546" w:type="pct"/>
            <w:tcBorders>
              <w:bottom w:val="single" w:sz="4" w:space="0" w:color="auto"/>
            </w:tcBorders>
            <w:shd w:val="solid" w:color="000000" w:fill="000000"/>
            <w:noWrap/>
          </w:tcPr>
          <w:p w14:paraId="5CBEB7B5" w14:textId="1861C318" w:rsidR="00D42355" w:rsidRPr="00CA23AA" w:rsidRDefault="00594907" w:rsidP="006F4F82">
            <w:pPr>
              <w:pStyle w:val="Tabletext0"/>
              <w:jc w:val="center"/>
            </w:pPr>
            <w:r w:rsidRPr="00594907">
              <w:rPr>
                <w:rFonts w:hint="eastAsia"/>
                <w:color w:val="000000"/>
                <w:w w:val="18"/>
                <w:fitText w:val="80" w:id="-1161539322"/>
                <w14:textFill>
                  <w14:solidFill>
                    <w14:srgbClr w14:val="000000">
                      <w14:alpha w14:val="100000"/>
                    </w14:srgbClr>
                  </w14:solidFill>
                </w14:textFill>
              </w:rPr>
              <w:t xml:space="preserve">　</w:t>
            </w:r>
            <w:r w:rsidRPr="00594907">
              <w:rPr>
                <w:color w:val="000000"/>
                <w:w w:val="18"/>
                <w:fitText w:val="80" w:id="-1161539322"/>
                <w14:textFill>
                  <w14:solidFill>
                    <w14:srgbClr w14:val="000000">
                      <w14:alpha w14:val="100000"/>
                    </w14:srgbClr>
                  </w14:solidFill>
                </w14:textFill>
              </w:rPr>
              <w:t>|</w:t>
            </w:r>
            <w:r w:rsidRPr="00594907">
              <w:rPr>
                <w:rFonts w:hint="eastAsia"/>
                <w:color w:val="000000"/>
                <w:w w:val="18"/>
                <w:fitText w:val="80" w:id="-1161539322"/>
                <w14:textFill>
                  <w14:solidFill>
                    <w14:srgbClr w14:val="000000">
                      <w14:alpha w14:val="100000"/>
                    </w14:srgbClr>
                  </w14:solidFill>
                </w14:textFill>
              </w:rPr>
              <w:t xml:space="preserve">　</w:t>
            </w:r>
          </w:p>
        </w:tc>
      </w:tr>
      <w:tr w:rsidR="00D42355" w:rsidRPr="00CA23AA" w14:paraId="4FAE18BB" w14:textId="77777777" w:rsidTr="00982219">
        <w:trPr>
          <w:trHeight w:val="198"/>
        </w:trPr>
        <w:tc>
          <w:tcPr>
            <w:tcW w:w="1718" w:type="pct"/>
            <w:shd w:val="solid" w:color="000000" w:fill="000000"/>
            <w:noWrap/>
          </w:tcPr>
          <w:p w14:paraId="13BEEB9F" w14:textId="1D0E13A2" w:rsidR="00D42355" w:rsidRPr="00982219" w:rsidRDefault="00982219" w:rsidP="006F4F82">
            <w:pPr>
              <w:pStyle w:val="Tabletext0"/>
            </w:pPr>
            <w:r w:rsidRPr="00982219">
              <w:rPr>
                <w:color w:val="000000"/>
                <w:spacing w:val="24"/>
                <w:fitText w:val="250" w:id="-1157969652"/>
                <w14:textFill>
                  <w14:solidFill>
                    <w14:srgbClr w14:val="000000">
                      <w14:alpha w14:val="100000"/>
                    </w14:srgbClr>
                  </w14:solidFill>
                </w14:textFill>
              </w:rPr>
              <w:t xml:space="preserve">|  </w:t>
            </w:r>
            <w:r w:rsidRPr="00982219">
              <w:rPr>
                <w:color w:val="000000"/>
                <w:spacing w:val="2"/>
                <w:fitText w:val="250" w:id="-1157969652"/>
                <w14:textFill>
                  <w14:solidFill>
                    <w14:srgbClr w14:val="000000">
                      <w14:alpha w14:val="100000"/>
                    </w14:srgbClr>
                  </w14:solidFill>
                </w14:textFill>
              </w:rPr>
              <w:t>|</w:t>
            </w:r>
          </w:p>
        </w:tc>
        <w:tc>
          <w:tcPr>
            <w:tcW w:w="547" w:type="pct"/>
            <w:shd w:val="solid" w:color="000000" w:fill="000000"/>
            <w:noWrap/>
          </w:tcPr>
          <w:p w14:paraId="1E61E890" w14:textId="7612AB90" w:rsidR="00D42355" w:rsidRPr="00CA23AA" w:rsidRDefault="00594907" w:rsidP="006F4F82">
            <w:pPr>
              <w:pStyle w:val="Tabletext0"/>
              <w:jc w:val="center"/>
            </w:pPr>
            <w:r w:rsidRPr="00982219">
              <w:rPr>
                <w:rFonts w:hint="eastAsia"/>
                <w:color w:val="000000"/>
                <w:spacing w:val="5"/>
                <w:w w:val="16"/>
                <w:fitText w:val="80" w:id="-1161539321"/>
                <w14:textFill>
                  <w14:solidFill>
                    <w14:srgbClr w14:val="000000">
                      <w14:alpha w14:val="100000"/>
                    </w14:srgbClr>
                  </w14:solidFill>
                </w14:textFill>
              </w:rPr>
              <w:t xml:space="preserve">　</w:t>
            </w:r>
            <w:r w:rsidRPr="00982219">
              <w:rPr>
                <w:color w:val="000000"/>
                <w:spacing w:val="5"/>
                <w:w w:val="16"/>
                <w:fitText w:val="80" w:id="-1161539321"/>
                <w14:textFill>
                  <w14:solidFill>
                    <w14:srgbClr w14:val="000000">
                      <w14:alpha w14:val="100000"/>
                    </w14:srgbClr>
                  </w14:solidFill>
                </w14:textFill>
              </w:rPr>
              <w:t>|</w:t>
            </w:r>
            <w:r w:rsidRPr="00982219">
              <w:rPr>
                <w:rFonts w:hint="eastAsia"/>
                <w:color w:val="000000"/>
                <w:spacing w:val="1"/>
                <w:w w:val="16"/>
                <w:fitText w:val="80" w:id="-1161539321"/>
                <w14:textFill>
                  <w14:solidFill>
                    <w14:srgbClr w14:val="000000">
                      <w14:alpha w14:val="100000"/>
                    </w14:srgbClr>
                  </w14:solidFill>
                </w14:textFill>
              </w:rPr>
              <w:t xml:space="preserve">　</w:t>
            </w:r>
          </w:p>
        </w:tc>
        <w:tc>
          <w:tcPr>
            <w:tcW w:w="547" w:type="pct"/>
            <w:shd w:val="solid" w:color="000000" w:fill="000000"/>
            <w:noWrap/>
          </w:tcPr>
          <w:p w14:paraId="2D239FD3" w14:textId="2C6C2F3D" w:rsidR="00D42355" w:rsidRPr="00CA23AA" w:rsidRDefault="00594907" w:rsidP="006F4F82">
            <w:pPr>
              <w:pStyle w:val="Tabletext0"/>
              <w:jc w:val="center"/>
            </w:pPr>
            <w:r w:rsidRPr="00982219">
              <w:rPr>
                <w:rFonts w:hint="eastAsia"/>
                <w:color w:val="000000"/>
                <w:spacing w:val="5"/>
                <w:w w:val="16"/>
                <w:fitText w:val="80" w:id="-1161539320"/>
                <w14:textFill>
                  <w14:solidFill>
                    <w14:srgbClr w14:val="000000">
                      <w14:alpha w14:val="100000"/>
                    </w14:srgbClr>
                  </w14:solidFill>
                </w14:textFill>
              </w:rPr>
              <w:t xml:space="preserve">　</w:t>
            </w:r>
            <w:r w:rsidRPr="00982219">
              <w:rPr>
                <w:color w:val="000000"/>
                <w:spacing w:val="5"/>
                <w:w w:val="16"/>
                <w:fitText w:val="80" w:id="-1161539320"/>
                <w14:textFill>
                  <w14:solidFill>
                    <w14:srgbClr w14:val="000000">
                      <w14:alpha w14:val="100000"/>
                    </w14:srgbClr>
                  </w14:solidFill>
                </w14:textFill>
              </w:rPr>
              <w:t>|</w:t>
            </w:r>
            <w:r w:rsidRPr="00982219">
              <w:rPr>
                <w:rFonts w:hint="eastAsia"/>
                <w:color w:val="000000"/>
                <w:spacing w:val="1"/>
                <w:w w:val="16"/>
                <w:fitText w:val="80" w:id="-1161539320"/>
                <w14:textFill>
                  <w14:solidFill>
                    <w14:srgbClr w14:val="000000">
                      <w14:alpha w14:val="100000"/>
                    </w14:srgbClr>
                  </w14:solidFill>
                </w14:textFill>
              </w:rPr>
              <w:t xml:space="preserve">　</w:t>
            </w:r>
          </w:p>
        </w:tc>
        <w:tc>
          <w:tcPr>
            <w:tcW w:w="547" w:type="pct"/>
            <w:shd w:val="solid" w:color="000000" w:fill="000000"/>
            <w:noWrap/>
          </w:tcPr>
          <w:p w14:paraId="4AB72E61" w14:textId="45054C52" w:rsidR="00D42355" w:rsidRPr="00CA23AA" w:rsidRDefault="00594907" w:rsidP="006F4F82">
            <w:pPr>
              <w:pStyle w:val="Tabletext0"/>
              <w:jc w:val="center"/>
            </w:pPr>
            <w:r w:rsidRPr="00982219">
              <w:rPr>
                <w:rFonts w:hint="eastAsia"/>
                <w:color w:val="000000"/>
                <w:spacing w:val="5"/>
                <w:w w:val="16"/>
                <w:fitText w:val="80" w:id="-1161539319"/>
                <w14:textFill>
                  <w14:solidFill>
                    <w14:srgbClr w14:val="000000">
                      <w14:alpha w14:val="100000"/>
                    </w14:srgbClr>
                  </w14:solidFill>
                </w14:textFill>
              </w:rPr>
              <w:t xml:space="preserve">　</w:t>
            </w:r>
            <w:r w:rsidRPr="00982219">
              <w:rPr>
                <w:color w:val="000000"/>
                <w:spacing w:val="5"/>
                <w:w w:val="16"/>
                <w:fitText w:val="80" w:id="-1161539319"/>
                <w14:textFill>
                  <w14:solidFill>
                    <w14:srgbClr w14:val="000000">
                      <w14:alpha w14:val="100000"/>
                    </w14:srgbClr>
                  </w14:solidFill>
                </w14:textFill>
              </w:rPr>
              <w:t>|</w:t>
            </w:r>
            <w:r w:rsidRPr="00982219">
              <w:rPr>
                <w:rFonts w:hint="eastAsia"/>
                <w:color w:val="000000"/>
                <w:spacing w:val="1"/>
                <w:w w:val="16"/>
                <w:fitText w:val="80" w:id="-1161539319"/>
                <w14:textFill>
                  <w14:solidFill>
                    <w14:srgbClr w14:val="000000">
                      <w14:alpha w14:val="100000"/>
                    </w14:srgbClr>
                  </w14:solidFill>
                </w14:textFill>
              </w:rPr>
              <w:t xml:space="preserve">　</w:t>
            </w:r>
          </w:p>
        </w:tc>
        <w:tc>
          <w:tcPr>
            <w:tcW w:w="547" w:type="pct"/>
            <w:shd w:val="solid" w:color="000000" w:fill="000000"/>
            <w:noWrap/>
          </w:tcPr>
          <w:p w14:paraId="707B1913" w14:textId="0934181F" w:rsidR="00D42355" w:rsidRPr="00CA23AA" w:rsidRDefault="00594907" w:rsidP="006F4F82">
            <w:pPr>
              <w:pStyle w:val="Tabletext0"/>
              <w:jc w:val="center"/>
            </w:pPr>
            <w:r w:rsidRPr="00982219">
              <w:rPr>
                <w:rFonts w:hint="eastAsia"/>
                <w:color w:val="000000"/>
                <w:spacing w:val="5"/>
                <w:w w:val="16"/>
                <w:fitText w:val="80" w:id="-1161539318"/>
                <w14:textFill>
                  <w14:solidFill>
                    <w14:srgbClr w14:val="000000">
                      <w14:alpha w14:val="100000"/>
                    </w14:srgbClr>
                  </w14:solidFill>
                </w14:textFill>
              </w:rPr>
              <w:t xml:space="preserve">　</w:t>
            </w:r>
            <w:r w:rsidRPr="00982219">
              <w:rPr>
                <w:color w:val="000000"/>
                <w:spacing w:val="5"/>
                <w:w w:val="16"/>
                <w:fitText w:val="80" w:id="-1161539318"/>
                <w14:textFill>
                  <w14:solidFill>
                    <w14:srgbClr w14:val="000000">
                      <w14:alpha w14:val="100000"/>
                    </w14:srgbClr>
                  </w14:solidFill>
                </w14:textFill>
              </w:rPr>
              <w:t>|</w:t>
            </w:r>
            <w:r w:rsidRPr="00982219">
              <w:rPr>
                <w:rFonts w:hint="eastAsia"/>
                <w:color w:val="000000"/>
                <w:spacing w:val="1"/>
                <w:w w:val="16"/>
                <w:fitText w:val="80" w:id="-1161539318"/>
                <w14:textFill>
                  <w14:solidFill>
                    <w14:srgbClr w14:val="000000">
                      <w14:alpha w14:val="100000"/>
                    </w14:srgbClr>
                  </w14:solidFill>
                </w14:textFill>
              </w:rPr>
              <w:t xml:space="preserve">　</w:t>
            </w:r>
          </w:p>
        </w:tc>
        <w:tc>
          <w:tcPr>
            <w:tcW w:w="547" w:type="pct"/>
            <w:shd w:val="solid" w:color="000000" w:fill="000000"/>
            <w:noWrap/>
          </w:tcPr>
          <w:p w14:paraId="3D7DE5F0" w14:textId="75327EC1" w:rsidR="00D42355" w:rsidRPr="00CA23AA" w:rsidRDefault="00594907" w:rsidP="006F4F82">
            <w:pPr>
              <w:pStyle w:val="Tabletext0"/>
              <w:jc w:val="center"/>
            </w:pPr>
            <w:r w:rsidRPr="00982219">
              <w:rPr>
                <w:rFonts w:hint="eastAsia"/>
                <w:color w:val="000000"/>
                <w:spacing w:val="5"/>
                <w:w w:val="16"/>
                <w:fitText w:val="80" w:id="-1161539317"/>
                <w14:textFill>
                  <w14:solidFill>
                    <w14:srgbClr w14:val="000000">
                      <w14:alpha w14:val="100000"/>
                    </w14:srgbClr>
                  </w14:solidFill>
                </w14:textFill>
              </w:rPr>
              <w:t xml:space="preserve">　</w:t>
            </w:r>
            <w:r w:rsidRPr="00982219">
              <w:rPr>
                <w:color w:val="000000"/>
                <w:spacing w:val="5"/>
                <w:w w:val="16"/>
                <w:fitText w:val="80" w:id="-1161539317"/>
                <w14:textFill>
                  <w14:solidFill>
                    <w14:srgbClr w14:val="000000">
                      <w14:alpha w14:val="100000"/>
                    </w14:srgbClr>
                  </w14:solidFill>
                </w14:textFill>
              </w:rPr>
              <w:t>|</w:t>
            </w:r>
            <w:r w:rsidRPr="00982219">
              <w:rPr>
                <w:rFonts w:hint="eastAsia"/>
                <w:color w:val="000000"/>
                <w:spacing w:val="1"/>
                <w:w w:val="16"/>
                <w:fitText w:val="80" w:id="-1161539317"/>
                <w14:textFill>
                  <w14:solidFill>
                    <w14:srgbClr w14:val="000000">
                      <w14:alpha w14:val="100000"/>
                    </w14:srgbClr>
                  </w14:solidFill>
                </w14:textFill>
              </w:rPr>
              <w:t xml:space="preserve">　</w:t>
            </w:r>
          </w:p>
        </w:tc>
        <w:tc>
          <w:tcPr>
            <w:tcW w:w="546" w:type="pct"/>
            <w:shd w:val="solid" w:color="000000" w:fill="000000"/>
            <w:noWrap/>
          </w:tcPr>
          <w:p w14:paraId="21EB01BB" w14:textId="22BFC7AA" w:rsidR="00D42355" w:rsidRPr="00CA23AA" w:rsidRDefault="00594907" w:rsidP="006F4F82">
            <w:pPr>
              <w:pStyle w:val="Tabletext0"/>
              <w:jc w:val="center"/>
            </w:pPr>
            <w:r w:rsidRPr="00982219">
              <w:rPr>
                <w:rFonts w:hint="eastAsia"/>
                <w:color w:val="000000"/>
                <w:spacing w:val="5"/>
                <w:w w:val="16"/>
                <w:fitText w:val="80" w:id="-1161539316"/>
                <w14:textFill>
                  <w14:solidFill>
                    <w14:srgbClr w14:val="000000">
                      <w14:alpha w14:val="100000"/>
                    </w14:srgbClr>
                  </w14:solidFill>
                </w14:textFill>
              </w:rPr>
              <w:t xml:space="preserve">　</w:t>
            </w:r>
            <w:r w:rsidRPr="00982219">
              <w:rPr>
                <w:color w:val="000000"/>
                <w:spacing w:val="5"/>
                <w:w w:val="16"/>
                <w:fitText w:val="80" w:id="-1161539316"/>
                <w14:textFill>
                  <w14:solidFill>
                    <w14:srgbClr w14:val="000000">
                      <w14:alpha w14:val="100000"/>
                    </w14:srgbClr>
                  </w14:solidFill>
                </w14:textFill>
              </w:rPr>
              <w:t>|</w:t>
            </w:r>
            <w:r w:rsidRPr="00982219">
              <w:rPr>
                <w:rFonts w:hint="eastAsia"/>
                <w:color w:val="000000"/>
                <w:spacing w:val="1"/>
                <w:w w:val="16"/>
                <w:fitText w:val="80" w:id="-1161539316"/>
                <w14:textFill>
                  <w14:solidFill>
                    <w14:srgbClr w14:val="000000">
                      <w14:alpha w14:val="100000"/>
                    </w14:srgbClr>
                  </w14:solidFill>
                </w14:textFill>
              </w:rPr>
              <w:t xml:space="preserve">　</w:t>
            </w:r>
          </w:p>
        </w:tc>
      </w:tr>
      <w:tr w:rsidR="004148A9" w:rsidRPr="00CA23AA" w14:paraId="62304831" w14:textId="77777777" w:rsidTr="004148A9">
        <w:trPr>
          <w:trHeight w:val="198"/>
        </w:trPr>
        <w:tc>
          <w:tcPr>
            <w:tcW w:w="1718" w:type="pct"/>
            <w:noWrap/>
          </w:tcPr>
          <w:p w14:paraId="64F7A7CE" w14:textId="7926D2FC" w:rsidR="004148A9" w:rsidRPr="00CA23AA" w:rsidRDefault="004148A9" w:rsidP="004148A9">
            <w:pPr>
              <w:pStyle w:val="Tabletext0"/>
            </w:pPr>
            <w:r w:rsidRPr="00CA23AA">
              <w:t xml:space="preserve">Actual </w:t>
            </w:r>
          </w:p>
        </w:tc>
        <w:tc>
          <w:tcPr>
            <w:tcW w:w="547" w:type="pct"/>
            <w:noWrap/>
          </w:tcPr>
          <w:p w14:paraId="0BED7CEE" w14:textId="06E2B67E" w:rsidR="004148A9" w:rsidRPr="00CA23AA" w:rsidRDefault="004148A9" w:rsidP="004148A9">
            <w:pPr>
              <w:pStyle w:val="Tabletext0"/>
              <w:jc w:val="center"/>
            </w:pPr>
            <w:r>
              <w:t>&lt;100</w:t>
            </w:r>
          </w:p>
        </w:tc>
        <w:tc>
          <w:tcPr>
            <w:tcW w:w="547" w:type="pct"/>
            <w:noWrap/>
          </w:tcPr>
          <w:p w14:paraId="30DE69F0" w14:textId="0824C53D" w:rsidR="004148A9" w:rsidRPr="00CA23AA" w:rsidRDefault="004148A9" w:rsidP="004148A9">
            <w:pPr>
              <w:pStyle w:val="Tabletext0"/>
              <w:jc w:val="center"/>
            </w:pPr>
            <w:r w:rsidRPr="009B1019">
              <w:t>&lt;100</w:t>
            </w:r>
          </w:p>
        </w:tc>
        <w:tc>
          <w:tcPr>
            <w:tcW w:w="547" w:type="pct"/>
            <w:noWrap/>
          </w:tcPr>
          <w:p w14:paraId="5F92EDDC" w14:textId="360E9E39" w:rsidR="004148A9" w:rsidRPr="00CA23AA" w:rsidRDefault="004148A9" w:rsidP="004148A9">
            <w:pPr>
              <w:pStyle w:val="Tabletext0"/>
              <w:jc w:val="center"/>
            </w:pPr>
            <w:r w:rsidRPr="009B1019">
              <w:t>&lt;100</w:t>
            </w:r>
          </w:p>
        </w:tc>
        <w:tc>
          <w:tcPr>
            <w:tcW w:w="547" w:type="pct"/>
            <w:noWrap/>
          </w:tcPr>
          <w:p w14:paraId="22BBEA50" w14:textId="3BAB9C5F" w:rsidR="004148A9" w:rsidRPr="00CA23AA" w:rsidRDefault="004148A9" w:rsidP="004148A9">
            <w:pPr>
              <w:pStyle w:val="Tabletext0"/>
              <w:jc w:val="center"/>
            </w:pPr>
            <w:r w:rsidRPr="009B1019">
              <w:t>&lt;100</w:t>
            </w:r>
          </w:p>
        </w:tc>
        <w:tc>
          <w:tcPr>
            <w:tcW w:w="547" w:type="pct"/>
            <w:noWrap/>
          </w:tcPr>
          <w:p w14:paraId="1E18CD4A" w14:textId="77777777" w:rsidR="004148A9" w:rsidRPr="00CA23AA" w:rsidRDefault="004148A9" w:rsidP="004148A9">
            <w:pPr>
              <w:pStyle w:val="Tabletext0"/>
              <w:jc w:val="center"/>
            </w:pPr>
            <w:r w:rsidRPr="00CA23AA">
              <w:t>n/a</w:t>
            </w:r>
          </w:p>
        </w:tc>
        <w:tc>
          <w:tcPr>
            <w:tcW w:w="546" w:type="pct"/>
            <w:noWrap/>
          </w:tcPr>
          <w:p w14:paraId="38885BA3" w14:textId="77777777" w:rsidR="004148A9" w:rsidRPr="00CA23AA" w:rsidRDefault="004148A9" w:rsidP="004148A9">
            <w:pPr>
              <w:pStyle w:val="Tabletext0"/>
              <w:jc w:val="center"/>
            </w:pPr>
            <w:r w:rsidRPr="00CA23AA">
              <w:t>n/a</w:t>
            </w:r>
          </w:p>
        </w:tc>
      </w:tr>
    </w:tbl>
    <w:p w14:paraId="2F1DDE46" w14:textId="667C6245" w:rsidR="00703573" w:rsidRPr="00CA23AA" w:rsidRDefault="00703573" w:rsidP="00F706F3">
      <w:pPr>
        <w:pStyle w:val="Tablenotes0"/>
      </w:pPr>
      <w:r w:rsidRPr="00CA23AA">
        <w:t xml:space="preserve">ADAR = applicant developed assessment report; </w:t>
      </w:r>
      <w:proofErr w:type="spellStart"/>
      <w:r w:rsidRPr="00CA23AA">
        <w:t>pALL</w:t>
      </w:r>
      <w:proofErr w:type="spellEnd"/>
      <w:r w:rsidRPr="00CA23AA">
        <w:t xml:space="preserve"> = paediatric acute lymphoblastic leukaemia</w:t>
      </w:r>
    </w:p>
    <w:p w14:paraId="58570E70" w14:textId="08368876" w:rsidR="00F706F3" w:rsidRPr="00CA23AA" w:rsidRDefault="00D42355" w:rsidP="00F706F3">
      <w:pPr>
        <w:pStyle w:val="Tablenotes0"/>
      </w:pPr>
      <w:r w:rsidRPr="00CA23AA">
        <w:t xml:space="preserve">Source: Table 4.1-1, p164 of the </w:t>
      </w:r>
      <w:r w:rsidR="008354E0" w:rsidRPr="00CA23AA">
        <w:t>ADAR</w:t>
      </w:r>
      <w:r w:rsidR="00703573" w:rsidRPr="00CA23AA">
        <w:t xml:space="preserve"> 1748+inline commentary</w:t>
      </w:r>
    </w:p>
    <w:p w14:paraId="714E60AE" w14:textId="4DCD35A8" w:rsidR="00D42355" w:rsidRPr="00CA23AA" w:rsidRDefault="00F706F3" w:rsidP="00D42355">
      <w:pPr>
        <w:pStyle w:val="Tablenotes0"/>
      </w:pPr>
      <w:r w:rsidRPr="00CA23AA">
        <w:t xml:space="preserve">Shaded cells represent data previously accepted by </w:t>
      </w:r>
      <w:proofErr w:type="gramStart"/>
      <w:r w:rsidRPr="00CA23AA">
        <w:t>MSAC</w:t>
      </w:r>
      <w:proofErr w:type="gramEnd"/>
    </w:p>
    <w:p w14:paraId="66DFEE17" w14:textId="643FE71C" w:rsidR="00D42355" w:rsidRPr="00CA23AA" w:rsidRDefault="00D42355" w:rsidP="00D42355">
      <w:r w:rsidRPr="00CA23AA">
        <w:t xml:space="preserve">TIS was available initially in 2019 –2020 in Victoria and from June 2020 onwards in NSW and Queensland. The </w:t>
      </w:r>
      <w:r w:rsidR="00AD4862">
        <w:t xml:space="preserve">commentary considered </w:t>
      </w:r>
      <w:r w:rsidRPr="00CA23AA">
        <w:t xml:space="preserve">strict state and territories border rules during the COVID pandemic would have substantially affected the uptake of TIS. </w:t>
      </w:r>
    </w:p>
    <w:p w14:paraId="37BDE45D" w14:textId="5D28D54F" w:rsidR="00D42355" w:rsidRPr="00CA23AA" w:rsidRDefault="00B522BF" w:rsidP="00D42355">
      <w:r w:rsidRPr="00CA23AA">
        <w:t>T</w:t>
      </w:r>
      <w:r w:rsidR="00D42355" w:rsidRPr="00CA23AA">
        <w:t xml:space="preserve">he utilisation of </w:t>
      </w:r>
      <w:r w:rsidR="00AF74DA" w:rsidRPr="00CA23AA">
        <w:t>TIS</w:t>
      </w:r>
      <w:r w:rsidR="00D42355" w:rsidRPr="00CA23AA">
        <w:t xml:space="preserve"> in Australia was likely lower in Australia due to many possible reasons, including the COVID-19 pandemic, implementation issues, low clinician confidence in the therapy being first in the class and lack of provider awareness for eligibility and toxicity management. Also, as </w:t>
      </w:r>
      <w:r w:rsidR="00AF74DA" w:rsidRPr="00CA23AA">
        <w:t>TIS</w:t>
      </w:r>
      <w:r w:rsidR="00D42355" w:rsidRPr="00CA23AA">
        <w:t xml:space="preserve"> treatment availability is limited to only </w:t>
      </w:r>
      <w:r w:rsidR="003877DE" w:rsidRPr="00CA23AA">
        <w:t xml:space="preserve">a </w:t>
      </w:r>
      <w:r w:rsidR="00D42355" w:rsidRPr="00CA23AA">
        <w:t xml:space="preserve">few centres in Australia, there are patient accessibility and equity concerns. The clinical expert opinion suggested that the uptake of </w:t>
      </w:r>
      <w:r w:rsidR="00AF74DA" w:rsidRPr="00CA23AA">
        <w:t>TIS</w:t>
      </w:r>
      <w:r w:rsidR="00D42355" w:rsidRPr="00CA23AA">
        <w:t xml:space="preserve"> will likely increase in future, in contrast to ADAR’s claim of low utilisation.</w:t>
      </w:r>
    </w:p>
    <w:p w14:paraId="0AEE8EDE" w14:textId="052FCF46" w:rsidR="00D42355" w:rsidRPr="00CA23AA" w:rsidRDefault="00D42355" w:rsidP="00D42355">
      <w:r w:rsidRPr="00CA23AA">
        <w:t xml:space="preserve">The </w:t>
      </w:r>
      <w:r w:rsidR="00506294" w:rsidRPr="00CA23AA">
        <w:t>ADAR</w:t>
      </w:r>
      <w:r w:rsidRPr="00CA23AA">
        <w:t xml:space="preserve"> presented updated financial analysis substituting data from ABMTRR and cost updates as discussed in Section 11, Economic Analysis. </w:t>
      </w:r>
      <w:r w:rsidR="00462B1D" w:rsidRPr="00CA23AA">
        <w:t>The ADAR</w:t>
      </w:r>
      <w:r w:rsidR="008346F5" w:rsidRPr="00CA23AA">
        <w:t xml:space="preserve"> </w:t>
      </w:r>
      <w:r w:rsidRPr="00CA23AA">
        <w:t xml:space="preserve">presented a comparison of the expected versus estimated actual financial cost of TIS to the Australian Government and claimed that the financial cost of TIS was much lower than was estimated in the MSAC </w:t>
      </w:r>
      <w:r w:rsidR="008346F5" w:rsidRPr="00CA23AA">
        <w:t xml:space="preserve">ADAR 1519 (April 2019) </w:t>
      </w:r>
      <w:r w:rsidRPr="00CA23AA">
        <w:t xml:space="preserve">and Deed. </w:t>
      </w:r>
    </w:p>
    <w:p w14:paraId="7CEB8E45" w14:textId="5F9B9D99" w:rsidR="00D42355" w:rsidRPr="00CA23AA" w:rsidRDefault="00D42355" w:rsidP="00D42355">
      <w:r w:rsidRPr="00CA23AA">
        <w:t xml:space="preserve">The actual financial cost of TIS to the Australian Government is significantly underestimated in the submission (see estimated actual in </w:t>
      </w:r>
      <w:r w:rsidRPr="00CA23AA">
        <w:fldChar w:fldCharType="begin"/>
      </w:r>
      <w:r w:rsidRPr="00CA23AA">
        <w:instrText xml:space="preserve"> REF _Ref131359095 \h </w:instrText>
      </w:r>
      <w:r w:rsidR="00CA23AA">
        <w:instrText xml:space="preserve"> \* MERGEFORMAT </w:instrText>
      </w:r>
      <w:r w:rsidRPr="00CA23AA">
        <w:fldChar w:fldCharType="separate"/>
      </w:r>
      <w:r w:rsidR="00175880" w:rsidRPr="00CA23AA">
        <w:t xml:space="preserve">Table </w:t>
      </w:r>
      <w:r w:rsidR="00175880" w:rsidRPr="00CA23AA">
        <w:rPr>
          <w:noProof/>
        </w:rPr>
        <w:t>19</w:t>
      </w:r>
      <w:r w:rsidRPr="00CA23AA">
        <w:fldChar w:fldCharType="end"/>
      </w:r>
      <w:r w:rsidRPr="00CA23AA">
        <w:t xml:space="preserve">). </w:t>
      </w:r>
      <w:r w:rsidR="00594907" w:rsidRPr="00AD4862">
        <w:rPr>
          <w:color w:val="000000"/>
          <w:w w:val="88"/>
          <w:shd w:val="solid" w:color="000000" w:fill="000000"/>
          <w:fitText w:val="390" w:id="-1161539315"/>
          <w14:textFill>
            <w14:solidFill>
              <w14:srgbClr w14:val="000000">
                <w14:alpha w14:val="100000"/>
              </w14:srgbClr>
            </w14:solidFill>
          </w14:textFill>
        </w:rPr>
        <w:t>|||</w:t>
      </w:r>
      <w:r w:rsidR="00594907" w:rsidRPr="00AD4862">
        <w:rPr>
          <w:color w:val="000000"/>
          <w:spacing w:val="2"/>
          <w:w w:val="88"/>
          <w:shd w:val="solid" w:color="000000" w:fill="000000"/>
          <w:fitText w:val="390" w:id="-1161539315"/>
          <w14:textFill>
            <w14:solidFill>
              <w14:srgbClr w14:val="000000">
                <w14:alpha w14:val="100000"/>
              </w14:srgbClr>
            </w14:solidFill>
          </w14:textFill>
        </w:rPr>
        <w:t>|</w:t>
      </w:r>
      <w:r w:rsidRPr="00CA23AA">
        <w:t xml:space="preserve"> </w:t>
      </w:r>
      <w:r w:rsidR="00594907" w:rsidRPr="00AD4862">
        <w:rPr>
          <w:color w:val="000000"/>
          <w:w w:val="88"/>
          <w:shd w:val="solid" w:color="000000" w:fill="000000"/>
          <w:fitText w:val="390" w:id="-1161539314"/>
          <w14:textFill>
            <w14:solidFill>
              <w14:srgbClr w14:val="000000">
                <w14:alpha w14:val="100000"/>
              </w14:srgbClr>
            </w14:solidFill>
          </w14:textFill>
        </w:rPr>
        <w:t>|||</w:t>
      </w:r>
      <w:r w:rsidR="00594907" w:rsidRPr="00AD4862">
        <w:rPr>
          <w:color w:val="000000"/>
          <w:spacing w:val="2"/>
          <w:w w:val="88"/>
          <w:shd w:val="solid" w:color="000000" w:fill="000000"/>
          <w:fitText w:val="390" w:id="-1161539314"/>
          <w14:textFill>
            <w14:solidFill>
              <w14:srgbClr w14:val="000000">
                <w14:alpha w14:val="100000"/>
              </w14:srgbClr>
            </w14:solidFill>
          </w14:textFill>
        </w:rPr>
        <w:t>|</w:t>
      </w:r>
      <w:r w:rsidRPr="00CA23AA">
        <w:t xml:space="preserve">, the adjunctive and ancillary costs realised in clinical practice are consistently much higher than estimated in the submission (as reported in states and territories’ review reports). </w:t>
      </w:r>
    </w:p>
    <w:p w14:paraId="7B19C572" w14:textId="20A54754" w:rsidR="004F5820" w:rsidRPr="00CA23AA" w:rsidRDefault="00D42355" w:rsidP="004F5820">
      <w:r w:rsidRPr="00CA23AA">
        <w:t xml:space="preserve">This was discussed above in detail in Section 11. In summary, these high costs may be attributed to the various treatment steps and associated inpatient and outpatient episodes involved for </w:t>
      </w:r>
      <w:r w:rsidR="00AF74DA" w:rsidRPr="00CA23AA">
        <w:t>TIS</w:t>
      </w:r>
      <w:r w:rsidRPr="00CA23AA">
        <w:t xml:space="preserve"> infusion, complex adverse event profile and management of these patients, and subsequent re-infusion of </w:t>
      </w:r>
      <w:r w:rsidR="00AF74DA" w:rsidRPr="00CA23AA">
        <w:t>TIS</w:t>
      </w:r>
      <w:r w:rsidRPr="00CA23AA">
        <w:t xml:space="preserve"> or any other treatment and/or </w:t>
      </w:r>
      <w:proofErr w:type="spellStart"/>
      <w:r w:rsidRPr="00CA23AA">
        <w:t>aHSCT</w:t>
      </w:r>
      <w:proofErr w:type="spellEnd"/>
      <w:r w:rsidRPr="00CA23AA">
        <w:t xml:space="preserve">. Average cost per patient (including cost of </w:t>
      </w:r>
      <w:r w:rsidR="001E310E" w:rsidRPr="00CA23AA">
        <w:t>TIS</w:t>
      </w:r>
      <w:r w:rsidRPr="00CA23AA">
        <w:t>) was approximately $</w:t>
      </w:r>
      <w:r w:rsidR="00594907" w:rsidRPr="00AD4862">
        <w:rPr>
          <w:color w:val="000000"/>
          <w:w w:val="88"/>
          <w:shd w:val="solid" w:color="000000" w:fill="000000"/>
          <w:fitText w:val="390" w:id="-1161539313"/>
          <w14:textFill>
            <w14:solidFill>
              <w14:srgbClr w14:val="000000">
                <w14:alpha w14:val="100000"/>
              </w14:srgbClr>
            </w14:solidFill>
          </w14:textFill>
        </w:rPr>
        <w:t>|||</w:t>
      </w:r>
      <w:r w:rsidR="00594907" w:rsidRPr="00AD4862">
        <w:rPr>
          <w:color w:val="000000"/>
          <w:spacing w:val="2"/>
          <w:w w:val="88"/>
          <w:shd w:val="solid" w:color="000000" w:fill="000000"/>
          <w:fitText w:val="390" w:id="-1161539313"/>
          <w14:textFill>
            <w14:solidFill>
              <w14:srgbClr w14:val="000000">
                <w14:alpha w14:val="100000"/>
              </w14:srgbClr>
            </w14:solidFill>
          </w14:textFill>
        </w:rPr>
        <w:t>|</w:t>
      </w:r>
      <w:r w:rsidRPr="00CA23AA">
        <w:t xml:space="preserve"> for patients treated at NSW (N=13) and </w:t>
      </w:r>
      <w:r w:rsidR="00594907" w:rsidRPr="00AD4862">
        <w:rPr>
          <w:color w:val="000000"/>
          <w:w w:val="88"/>
          <w:shd w:val="solid" w:color="000000" w:fill="000000"/>
          <w:fitText w:val="390" w:id="-1161539312"/>
          <w14:textFill>
            <w14:solidFill>
              <w14:srgbClr w14:val="000000">
                <w14:alpha w14:val="100000"/>
              </w14:srgbClr>
            </w14:solidFill>
          </w14:textFill>
        </w:rPr>
        <w:t>|||</w:t>
      </w:r>
      <w:r w:rsidR="00594907" w:rsidRPr="00AD4862">
        <w:rPr>
          <w:color w:val="000000"/>
          <w:spacing w:val="2"/>
          <w:w w:val="88"/>
          <w:shd w:val="solid" w:color="000000" w:fill="000000"/>
          <w:fitText w:val="390" w:id="-1161539312"/>
          <w14:textFill>
            <w14:solidFill>
              <w14:srgbClr w14:val="000000">
                <w14:alpha w14:val="100000"/>
              </w14:srgbClr>
            </w14:solidFill>
          </w14:textFill>
        </w:rPr>
        <w:t>|</w:t>
      </w:r>
      <w:r w:rsidRPr="00CA23AA">
        <w:t xml:space="preserve">. Average cost per patient (excluding cost of </w:t>
      </w:r>
      <w:r w:rsidR="001E310E" w:rsidRPr="00CA23AA">
        <w:t>TIS</w:t>
      </w:r>
      <w:r w:rsidRPr="00CA23AA">
        <w:t xml:space="preserve">) was around $459,000 for three patients treated at Queensland Children Hospital, which would be closer to the average cost reported by NSW and </w:t>
      </w:r>
      <w:r w:rsidR="00594907" w:rsidRPr="00AD4862">
        <w:rPr>
          <w:color w:val="000000"/>
          <w:w w:val="86"/>
          <w:shd w:val="solid" w:color="000000" w:fill="000000"/>
          <w:fitText w:val="380" w:id="-1161539328"/>
          <w14:textFill>
            <w14:solidFill>
              <w14:srgbClr w14:val="000000">
                <w14:alpha w14:val="100000"/>
              </w14:srgbClr>
            </w14:solidFill>
          </w14:textFill>
        </w:rPr>
        <w:t>|||</w:t>
      </w:r>
      <w:r w:rsidR="00594907" w:rsidRPr="00AD4862">
        <w:rPr>
          <w:color w:val="000000"/>
          <w:spacing w:val="1"/>
          <w:w w:val="86"/>
          <w:shd w:val="solid" w:color="000000" w:fill="000000"/>
          <w:fitText w:val="380" w:id="-1161539328"/>
          <w14:textFill>
            <w14:solidFill>
              <w14:srgbClr w14:val="000000">
                <w14:alpha w14:val="100000"/>
              </w14:srgbClr>
            </w14:solidFill>
          </w14:textFill>
        </w:rPr>
        <w:t>|</w:t>
      </w:r>
      <w:r w:rsidRPr="00CA23AA">
        <w:t xml:space="preserve"> when average cost of </w:t>
      </w:r>
      <w:r w:rsidR="001E310E" w:rsidRPr="00CA23AA">
        <w:t>TIS</w:t>
      </w:r>
      <w:r w:rsidRPr="00CA23AA">
        <w:t xml:space="preserve"> ($</w:t>
      </w:r>
      <w:r w:rsidR="00594907" w:rsidRPr="00982219">
        <w:rPr>
          <w:color w:val="000000"/>
          <w:w w:val="86"/>
          <w:shd w:val="solid" w:color="000000" w:fill="000000"/>
          <w:fitText w:val="380" w:id="-1161539327"/>
          <w14:textFill>
            <w14:solidFill>
              <w14:srgbClr w14:val="000000">
                <w14:alpha w14:val="100000"/>
              </w14:srgbClr>
            </w14:solidFill>
          </w14:textFill>
        </w:rPr>
        <w:t>|||</w:t>
      </w:r>
      <w:r w:rsidR="00594907" w:rsidRPr="00982219">
        <w:rPr>
          <w:color w:val="000000"/>
          <w:spacing w:val="1"/>
          <w:w w:val="86"/>
          <w:shd w:val="solid" w:color="000000" w:fill="000000"/>
          <w:fitText w:val="380" w:id="-1161539327"/>
          <w14:textFill>
            <w14:solidFill>
              <w14:srgbClr w14:val="000000">
                <w14:alpha w14:val="100000"/>
              </w14:srgbClr>
            </w14:solidFill>
          </w14:textFill>
        </w:rPr>
        <w:t>|</w:t>
      </w:r>
      <w:r w:rsidRPr="00CA23AA">
        <w:t>) is added to this (~$</w:t>
      </w:r>
      <w:r w:rsidR="00594907" w:rsidRPr="00982219">
        <w:rPr>
          <w:color w:val="000000"/>
          <w:w w:val="88"/>
          <w:shd w:val="solid" w:color="000000" w:fill="000000"/>
          <w:fitText w:val="390" w:id="-1161539326"/>
          <w14:textFill>
            <w14:solidFill>
              <w14:srgbClr w14:val="000000">
                <w14:alpha w14:val="100000"/>
              </w14:srgbClr>
            </w14:solidFill>
          </w14:textFill>
        </w:rPr>
        <w:t>|||</w:t>
      </w:r>
      <w:r w:rsidR="00594907" w:rsidRPr="00982219">
        <w:rPr>
          <w:color w:val="000000"/>
          <w:spacing w:val="2"/>
          <w:w w:val="88"/>
          <w:shd w:val="solid" w:color="000000" w:fill="000000"/>
          <w:fitText w:val="390" w:id="-1161539326"/>
          <w14:textFill>
            <w14:solidFill>
              <w14:srgbClr w14:val="000000">
                <w14:alpha w14:val="100000"/>
              </w14:srgbClr>
            </w14:solidFill>
          </w14:textFill>
        </w:rPr>
        <w:t>|</w:t>
      </w:r>
      <w:r w:rsidRPr="00CA23AA">
        <w:t>).</w:t>
      </w:r>
      <w:r w:rsidR="004F5820" w:rsidRPr="00CA23AA">
        <w:br w:type="page"/>
      </w:r>
    </w:p>
    <w:p w14:paraId="592197C7" w14:textId="7200D299" w:rsidR="00D42355" w:rsidRPr="00CA23AA" w:rsidRDefault="00D42355" w:rsidP="00001558">
      <w:pPr>
        <w:pStyle w:val="TableHeading0"/>
      </w:pPr>
      <w:bookmarkStart w:id="72" w:name="_Ref131359095"/>
      <w:r w:rsidRPr="00CA23AA">
        <w:t xml:space="preserve">Table </w:t>
      </w:r>
      <w:r w:rsidRPr="00CA23AA">
        <w:fldChar w:fldCharType="begin"/>
      </w:r>
      <w:r w:rsidRPr="00CA23AA">
        <w:instrText>SEQ Table \* ARABIC</w:instrText>
      </w:r>
      <w:r w:rsidRPr="00CA23AA">
        <w:fldChar w:fldCharType="separate"/>
      </w:r>
      <w:r w:rsidR="00175880" w:rsidRPr="00CA23AA">
        <w:rPr>
          <w:noProof/>
        </w:rPr>
        <w:t>19</w:t>
      </w:r>
      <w:r w:rsidRPr="00CA23AA">
        <w:fldChar w:fldCharType="end"/>
      </w:r>
      <w:bookmarkEnd w:id="72"/>
      <w:r w:rsidRPr="00CA23AA">
        <w:tab/>
        <w:t xml:space="preserve">Expected versus actual financial impact of TIS </w:t>
      </w:r>
      <w:proofErr w:type="gramStart"/>
      <w:r w:rsidRPr="00CA23AA">
        <w:t>program</w:t>
      </w:r>
      <w:proofErr w:type="gramEnd"/>
    </w:p>
    <w:tbl>
      <w:tblPr>
        <w:tblStyle w:val="TableGrid1"/>
        <w:tblW w:w="8926" w:type="dxa"/>
        <w:tblLayout w:type="fixed"/>
        <w:tblLook w:val="04A0" w:firstRow="1" w:lastRow="0" w:firstColumn="1" w:lastColumn="0" w:noHBand="0" w:noVBand="1"/>
        <w:tblCaption w:val="Expected versus actual financial impact of TIS program"/>
        <w:tblDescription w:val="Expected versus actual financial impact of TIS program"/>
      </w:tblPr>
      <w:tblGrid>
        <w:gridCol w:w="2405"/>
        <w:gridCol w:w="1559"/>
        <w:gridCol w:w="1701"/>
        <w:gridCol w:w="1701"/>
        <w:gridCol w:w="1560"/>
      </w:tblGrid>
      <w:tr w:rsidR="00D42355" w:rsidRPr="00CA23AA" w14:paraId="06F2D576" w14:textId="77777777" w:rsidTr="00D42355">
        <w:trPr>
          <w:cnfStyle w:val="100000000000" w:firstRow="1" w:lastRow="0" w:firstColumn="0" w:lastColumn="0" w:oddVBand="0" w:evenVBand="0" w:oddHBand="0" w:evenHBand="0" w:firstRowFirstColumn="0" w:firstRowLastColumn="0" w:lastRowFirstColumn="0" w:lastRowLastColumn="0"/>
          <w:trHeight w:val="198"/>
        </w:trPr>
        <w:tc>
          <w:tcPr>
            <w:tcW w:w="2405" w:type="dxa"/>
            <w:noWrap/>
            <w:hideMark/>
          </w:tcPr>
          <w:p w14:paraId="78C8A2B4" w14:textId="77777777" w:rsidR="00D42355" w:rsidRPr="00CA23AA" w:rsidRDefault="00D42355" w:rsidP="006F4F82">
            <w:pPr>
              <w:pStyle w:val="Tabletext0"/>
            </w:pPr>
          </w:p>
        </w:tc>
        <w:tc>
          <w:tcPr>
            <w:tcW w:w="1559" w:type="dxa"/>
            <w:noWrap/>
            <w:hideMark/>
          </w:tcPr>
          <w:p w14:paraId="4416C56E" w14:textId="77777777" w:rsidR="00D42355" w:rsidRPr="00CA23AA" w:rsidRDefault="00D42355" w:rsidP="006F4F82">
            <w:pPr>
              <w:pStyle w:val="Tabletext0"/>
              <w:rPr>
                <w:b/>
                <w:bCs/>
              </w:rPr>
            </w:pPr>
            <w:r w:rsidRPr="00CA23AA">
              <w:rPr>
                <w:b/>
                <w:bCs/>
              </w:rPr>
              <w:t>Year 1</w:t>
            </w:r>
          </w:p>
        </w:tc>
        <w:tc>
          <w:tcPr>
            <w:tcW w:w="1701" w:type="dxa"/>
            <w:noWrap/>
            <w:hideMark/>
          </w:tcPr>
          <w:p w14:paraId="38A0F87C" w14:textId="77777777" w:rsidR="00D42355" w:rsidRPr="00CA23AA" w:rsidRDefault="00D42355" w:rsidP="006F4F82">
            <w:pPr>
              <w:pStyle w:val="Tabletext0"/>
              <w:rPr>
                <w:b/>
                <w:bCs/>
              </w:rPr>
            </w:pPr>
            <w:r w:rsidRPr="00CA23AA">
              <w:rPr>
                <w:b/>
                <w:bCs/>
              </w:rPr>
              <w:t>Year 2</w:t>
            </w:r>
          </w:p>
        </w:tc>
        <w:tc>
          <w:tcPr>
            <w:tcW w:w="1701" w:type="dxa"/>
            <w:noWrap/>
            <w:hideMark/>
          </w:tcPr>
          <w:p w14:paraId="126979A0" w14:textId="77777777" w:rsidR="00D42355" w:rsidRPr="00CA23AA" w:rsidRDefault="00D42355" w:rsidP="006F4F82">
            <w:pPr>
              <w:pStyle w:val="Tabletext0"/>
              <w:rPr>
                <w:b/>
                <w:bCs/>
              </w:rPr>
            </w:pPr>
            <w:r w:rsidRPr="00CA23AA">
              <w:rPr>
                <w:b/>
                <w:bCs/>
              </w:rPr>
              <w:t>Year 3</w:t>
            </w:r>
          </w:p>
        </w:tc>
        <w:tc>
          <w:tcPr>
            <w:tcW w:w="1560" w:type="dxa"/>
          </w:tcPr>
          <w:p w14:paraId="736BBB06" w14:textId="77777777" w:rsidR="00D42355" w:rsidRPr="00CA23AA" w:rsidRDefault="00D42355" w:rsidP="006F4F82">
            <w:pPr>
              <w:pStyle w:val="Tabletext0"/>
              <w:rPr>
                <w:b/>
                <w:bCs/>
              </w:rPr>
            </w:pPr>
            <w:r w:rsidRPr="00CA23AA">
              <w:rPr>
                <w:b/>
                <w:bCs/>
              </w:rPr>
              <w:t>Year 4*</w:t>
            </w:r>
          </w:p>
        </w:tc>
      </w:tr>
      <w:tr w:rsidR="008346F5" w:rsidRPr="00CA23AA" w14:paraId="4166F6C8" w14:textId="77777777" w:rsidTr="00C46B2F">
        <w:trPr>
          <w:trHeight w:val="198"/>
        </w:trPr>
        <w:tc>
          <w:tcPr>
            <w:tcW w:w="8926" w:type="dxa"/>
            <w:gridSpan w:val="5"/>
            <w:shd w:val="clear" w:color="auto" w:fill="D0CECE" w:themeFill="background2" w:themeFillShade="E6"/>
            <w:noWrap/>
          </w:tcPr>
          <w:p w14:paraId="21688299" w14:textId="1B4077A8" w:rsidR="008346F5" w:rsidRPr="00CA23AA" w:rsidRDefault="008346F5" w:rsidP="001944C8">
            <w:pPr>
              <w:pStyle w:val="Tabletext0"/>
              <w:rPr>
                <w:b/>
                <w:bCs/>
              </w:rPr>
            </w:pPr>
            <w:r w:rsidRPr="00CA23AA">
              <w:rPr>
                <w:b/>
                <w:bCs/>
              </w:rPr>
              <w:t>MSAC ADAR 1519 (April 2019)</w:t>
            </w:r>
          </w:p>
        </w:tc>
      </w:tr>
      <w:tr w:rsidR="006335BD" w:rsidRPr="00CA23AA" w14:paraId="47A635BB" w14:textId="77777777" w:rsidTr="00594907">
        <w:trPr>
          <w:trHeight w:val="198"/>
        </w:trPr>
        <w:tc>
          <w:tcPr>
            <w:tcW w:w="2405" w:type="dxa"/>
            <w:shd w:val="clear" w:color="auto" w:fill="D0CECE" w:themeFill="background2" w:themeFillShade="E6"/>
            <w:noWrap/>
          </w:tcPr>
          <w:p w14:paraId="26163046" w14:textId="77777777" w:rsidR="006335BD" w:rsidRPr="00CA23AA" w:rsidRDefault="006335BD" w:rsidP="006335BD">
            <w:pPr>
              <w:pStyle w:val="Tabletext0"/>
            </w:pPr>
            <w:r w:rsidRPr="00CA23AA">
              <w:t>Number of patients</w:t>
            </w:r>
          </w:p>
        </w:tc>
        <w:tc>
          <w:tcPr>
            <w:tcW w:w="1559" w:type="dxa"/>
            <w:tcBorders>
              <w:bottom w:val="single" w:sz="4" w:space="0" w:color="auto"/>
            </w:tcBorders>
            <w:shd w:val="solid" w:color="000000" w:fill="000000"/>
            <w:noWrap/>
          </w:tcPr>
          <w:p w14:paraId="3C46AA32" w14:textId="1292B6CA"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7DFC25EA" w14:textId="69A767FD"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4D477579" w14:textId="3EAA4F1A"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49727959" w14:textId="42B9E42B"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r>
      <w:tr w:rsidR="006335BD" w:rsidRPr="00CA23AA" w14:paraId="4A064BAD" w14:textId="77777777" w:rsidTr="00594907">
        <w:trPr>
          <w:trHeight w:val="198"/>
        </w:trPr>
        <w:tc>
          <w:tcPr>
            <w:tcW w:w="2405" w:type="dxa"/>
            <w:shd w:val="clear" w:color="auto" w:fill="D0CECE" w:themeFill="background2" w:themeFillShade="E6"/>
            <w:noWrap/>
          </w:tcPr>
          <w:p w14:paraId="4E681E13" w14:textId="77777777" w:rsidR="006335BD" w:rsidRPr="00CA23AA" w:rsidRDefault="006335BD" w:rsidP="006335BD">
            <w:pPr>
              <w:pStyle w:val="Tabletext0"/>
            </w:pPr>
            <w:r w:rsidRPr="00CA23AA">
              <w:t>Direct TIS costs</w:t>
            </w:r>
          </w:p>
        </w:tc>
        <w:tc>
          <w:tcPr>
            <w:tcW w:w="1559" w:type="dxa"/>
            <w:tcBorders>
              <w:bottom w:val="single" w:sz="4" w:space="0" w:color="auto"/>
            </w:tcBorders>
            <w:shd w:val="solid" w:color="000000" w:fill="000000"/>
            <w:noWrap/>
          </w:tcPr>
          <w:p w14:paraId="0B56A243" w14:textId="4DC299CE"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159B9246" w14:textId="7B8746BC"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0C47482C" w14:textId="4A566C7A"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25A87110" w14:textId="7522EDB7"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r>
      <w:tr w:rsidR="006335BD" w:rsidRPr="00CA23AA" w14:paraId="19B3DC71" w14:textId="77777777" w:rsidTr="00594907">
        <w:trPr>
          <w:trHeight w:val="198"/>
        </w:trPr>
        <w:tc>
          <w:tcPr>
            <w:tcW w:w="2405" w:type="dxa"/>
            <w:shd w:val="clear" w:color="auto" w:fill="D0CECE" w:themeFill="background2" w:themeFillShade="E6"/>
            <w:noWrap/>
          </w:tcPr>
          <w:p w14:paraId="6E921605" w14:textId="77777777" w:rsidR="006335BD" w:rsidRPr="00CA23AA" w:rsidRDefault="006335BD" w:rsidP="006335BD">
            <w:pPr>
              <w:pStyle w:val="Tabletext0"/>
            </w:pPr>
            <w:r w:rsidRPr="00CA23AA">
              <w:t>Other program costs</w:t>
            </w:r>
          </w:p>
        </w:tc>
        <w:tc>
          <w:tcPr>
            <w:tcW w:w="1559" w:type="dxa"/>
            <w:tcBorders>
              <w:bottom w:val="single" w:sz="4" w:space="0" w:color="auto"/>
            </w:tcBorders>
            <w:shd w:val="solid" w:color="000000" w:fill="000000"/>
            <w:noWrap/>
          </w:tcPr>
          <w:p w14:paraId="7563A66A" w14:textId="488523F3"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0AF4203B" w14:textId="171E62E9"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52852451" w14:textId="047BE44A"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58CF09B2" w14:textId="681774A3"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r>
      <w:tr w:rsidR="006335BD" w:rsidRPr="00CA23AA" w14:paraId="4EA10E67" w14:textId="77777777" w:rsidTr="00594907">
        <w:trPr>
          <w:trHeight w:val="198"/>
        </w:trPr>
        <w:tc>
          <w:tcPr>
            <w:tcW w:w="2405" w:type="dxa"/>
            <w:shd w:val="clear" w:color="auto" w:fill="D0CECE" w:themeFill="background2" w:themeFillShade="E6"/>
            <w:noWrap/>
          </w:tcPr>
          <w:p w14:paraId="241C884F" w14:textId="77777777" w:rsidR="006335BD" w:rsidRPr="00CA23AA" w:rsidRDefault="006335BD" w:rsidP="006335BD">
            <w:pPr>
              <w:pStyle w:val="Tabletext0"/>
            </w:pPr>
            <w:r w:rsidRPr="00CA23AA">
              <w:t>Cost offsets</w:t>
            </w:r>
          </w:p>
        </w:tc>
        <w:tc>
          <w:tcPr>
            <w:tcW w:w="1559" w:type="dxa"/>
            <w:tcBorders>
              <w:bottom w:val="single" w:sz="4" w:space="0" w:color="auto"/>
            </w:tcBorders>
            <w:shd w:val="solid" w:color="000000" w:fill="000000"/>
            <w:noWrap/>
          </w:tcPr>
          <w:p w14:paraId="75A60D72" w14:textId="7529B800"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7E5ECAF1" w14:textId="2F5B9E95"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159C7B8F" w14:textId="7DCCFE5C"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2F3CE81B" w14:textId="1C2AD881"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r>
      <w:tr w:rsidR="006335BD" w:rsidRPr="00CA23AA" w14:paraId="51185D1F" w14:textId="77777777" w:rsidTr="00594907">
        <w:trPr>
          <w:trHeight w:val="198"/>
        </w:trPr>
        <w:tc>
          <w:tcPr>
            <w:tcW w:w="2405" w:type="dxa"/>
            <w:shd w:val="clear" w:color="auto" w:fill="D0CECE" w:themeFill="background2" w:themeFillShade="E6"/>
            <w:noWrap/>
          </w:tcPr>
          <w:p w14:paraId="13B260E9" w14:textId="77777777" w:rsidR="006335BD" w:rsidRPr="00CA23AA" w:rsidRDefault="006335BD" w:rsidP="006335BD">
            <w:pPr>
              <w:pStyle w:val="Tabletext0"/>
            </w:pPr>
            <w:r w:rsidRPr="00CA23AA">
              <w:t>Net cost</w:t>
            </w:r>
          </w:p>
        </w:tc>
        <w:tc>
          <w:tcPr>
            <w:tcW w:w="1559" w:type="dxa"/>
            <w:shd w:val="solid" w:color="000000" w:fill="000000"/>
            <w:noWrap/>
          </w:tcPr>
          <w:p w14:paraId="3D3C75CE" w14:textId="751076A4"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53802B4A" w14:textId="50EC4F26"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77098C59" w14:textId="523E2B26"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c>
          <w:tcPr>
            <w:tcW w:w="1560" w:type="dxa"/>
            <w:shd w:val="solid" w:color="000000" w:fill="000000"/>
          </w:tcPr>
          <w:p w14:paraId="445A23B3" w14:textId="283F8F34" w:rsidR="006335BD" w:rsidRPr="00CA23AA" w:rsidRDefault="00594907" w:rsidP="006335BD">
            <w:pPr>
              <w:pStyle w:val="Tabletext0"/>
              <w:jc w:val="right"/>
            </w:pPr>
            <w:r w:rsidRPr="00594907">
              <w:rPr>
                <w:color w:val="000000"/>
                <w14:textFill>
                  <w14:solidFill>
                    <w14:srgbClr w14:val="000000">
                      <w14:alpha w14:val="100000"/>
                    </w14:srgbClr>
                  </w14:solidFill>
                </w14:textFill>
              </w:rPr>
              <w:t>|</w:t>
            </w:r>
          </w:p>
        </w:tc>
      </w:tr>
      <w:tr w:rsidR="00D42355" w:rsidRPr="00CA23AA" w14:paraId="1E6BDAB6" w14:textId="77777777" w:rsidTr="00D42355">
        <w:trPr>
          <w:trHeight w:val="198"/>
        </w:trPr>
        <w:tc>
          <w:tcPr>
            <w:tcW w:w="8926" w:type="dxa"/>
            <w:gridSpan w:val="5"/>
            <w:noWrap/>
          </w:tcPr>
          <w:p w14:paraId="2CF3C225" w14:textId="77777777" w:rsidR="00D42355" w:rsidRPr="00CA23AA" w:rsidRDefault="00D42355" w:rsidP="006F4F82">
            <w:pPr>
              <w:pStyle w:val="Tabletext0"/>
              <w:rPr>
                <w:b/>
                <w:bCs/>
              </w:rPr>
            </w:pPr>
            <w:r w:rsidRPr="00CA23AA">
              <w:rPr>
                <w:b/>
                <w:bCs/>
              </w:rPr>
              <w:t>Deed</w:t>
            </w:r>
          </w:p>
        </w:tc>
      </w:tr>
      <w:tr w:rsidR="00D42355" w:rsidRPr="00CA23AA" w14:paraId="563C8CDB" w14:textId="77777777" w:rsidTr="00594907">
        <w:trPr>
          <w:trHeight w:val="198"/>
        </w:trPr>
        <w:tc>
          <w:tcPr>
            <w:tcW w:w="2405" w:type="dxa"/>
            <w:noWrap/>
          </w:tcPr>
          <w:p w14:paraId="2AB246B8" w14:textId="77777777" w:rsidR="00D42355" w:rsidRPr="00CA23AA" w:rsidRDefault="00D42355" w:rsidP="006F4F82">
            <w:pPr>
              <w:pStyle w:val="Tabletext0"/>
            </w:pPr>
            <w:r w:rsidRPr="00CA23AA">
              <w:t>Number of patients</w:t>
            </w:r>
          </w:p>
        </w:tc>
        <w:tc>
          <w:tcPr>
            <w:tcW w:w="1559" w:type="dxa"/>
            <w:tcBorders>
              <w:bottom w:val="single" w:sz="4" w:space="0" w:color="auto"/>
            </w:tcBorders>
            <w:shd w:val="solid" w:color="000000" w:fill="000000"/>
            <w:noWrap/>
          </w:tcPr>
          <w:p w14:paraId="144FC914" w14:textId="0B2385B4"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53E1BBA3" w14:textId="7AA9E2C9"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15E83EF9" w14:textId="3FE33433"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09C4995F" w14:textId="75F11CF7"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795605A6" w14:textId="77777777" w:rsidTr="00594907">
        <w:trPr>
          <w:trHeight w:val="198"/>
        </w:trPr>
        <w:tc>
          <w:tcPr>
            <w:tcW w:w="2405" w:type="dxa"/>
            <w:noWrap/>
          </w:tcPr>
          <w:p w14:paraId="6BF48200" w14:textId="77777777" w:rsidR="00D42355" w:rsidRPr="00CA23AA" w:rsidRDefault="00D42355" w:rsidP="006F4F82">
            <w:pPr>
              <w:pStyle w:val="Tabletext0"/>
            </w:pPr>
            <w:r w:rsidRPr="00CA23AA">
              <w:t>Direct TIS costs</w:t>
            </w:r>
          </w:p>
        </w:tc>
        <w:tc>
          <w:tcPr>
            <w:tcW w:w="1559" w:type="dxa"/>
            <w:tcBorders>
              <w:bottom w:val="single" w:sz="4" w:space="0" w:color="auto"/>
            </w:tcBorders>
            <w:shd w:val="solid" w:color="000000" w:fill="000000"/>
            <w:noWrap/>
          </w:tcPr>
          <w:p w14:paraId="1E2C2F0A" w14:textId="1AC72161"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201561FC" w14:textId="29FD18CE"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6F5CC1BB" w14:textId="53C75AE7"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5481242F" w14:textId="3A8A4FF8"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681C618E" w14:textId="77777777" w:rsidTr="00594907">
        <w:trPr>
          <w:trHeight w:val="198"/>
        </w:trPr>
        <w:tc>
          <w:tcPr>
            <w:tcW w:w="2405" w:type="dxa"/>
            <w:noWrap/>
          </w:tcPr>
          <w:p w14:paraId="7423A4B1" w14:textId="77777777" w:rsidR="00D42355" w:rsidRPr="00CA23AA" w:rsidRDefault="00D42355" w:rsidP="006F4F82">
            <w:pPr>
              <w:pStyle w:val="Tabletext0"/>
            </w:pPr>
            <w:r w:rsidRPr="00CA23AA">
              <w:t>Other program costs</w:t>
            </w:r>
          </w:p>
        </w:tc>
        <w:tc>
          <w:tcPr>
            <w:tcW w:w="1559" w:type="dxa"/>
            <w:tcBorders>
              <w:bottom w:val="single" w:sz="4" w:space="0" w:color="auto"/>
            </w:tcBorders>
            <w:shd w:val="solid" w:color="000000" w:fill="000000"/>
            <w:noWrap/>
          </w:tcPr>
          <w:p w14:paraId="16721004" w14:textId="2392581C"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30DD2AB8" w14:textId="14D3E2DE"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2FBC9057" w14:textId="13328B2A"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6FFA159F" w14:textId="4B08EEEB"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07F7BC5E" w14:textId="77777777" w:rsidTr="00594907">
        <w:trPr>
          <w:trHeight w:val="198"/>
        </w:trPr>
        <w:tc>
          <w:tcPr>
            <w:tcW w:w="2405" w:type="dxa"/>
            <w:noWrap/>
          </w:tcPr>
          <w:p w14:paraId="23D77AE6" w14:textId="77777777" w:rsidR="00D42355" w:rsidRPr="00CA23AA" w:rsidRDefault="00D42355" w:rsidP="006F4F82">
            <w:pPr>
              <w:pStyle w:val="Tabletext0"/>
            </w:pPr>
            <w:r w:rsidRPr="00CA23AA">
              <w:t>Cost offsets</w:t>
            </w:r>
          </w:p>
        </w:tc>
        <w:tc>
          <w:tcPr>
            <w:tcW w:w="1559" w:type="dxa"/>
            <w:tcBorders>
              <w:bottom w:val="single" w:sz="4" w:space="0" w:color="auto"/>
            </w:tcBorders>
            <w:shd w:val="solid" w:color="000000" w:fill="000000"/>
            <w:noWrap/>
          </w:tcPr>
          <w:p w14:paraId="1C929C21" w14:textId="00A9922F"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3F7C57E9" w14:textId="39C6C711"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204548C8" w14:textId="1A117F7D"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1D05F0E8" w14:textId="79E8BD27"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226474BE" w14:textId="77777777" w:rsidTr="00594907">
        <w:trPr>
          <w:trHeight w:val="198"/>
        </w:trPr>
        <w:tc>
          <w:tcPr>
            <w:tcW w:w="2405" w:type="dxa"/>
            <w:noWrap/>
          </w:tcPr>
          <w:p w14:paraId="46020B95" w14:textId="77777777" w:rsidR="00D42355" w:rsidRPr="00CA23AA" w:rsidRDefault="00D42355" w:rsidP="006F4F82">
            <w:pPr>
              <w:pStyle w:val="Tabletext0"/>
            </w:pPr>
            <w:r w:rsidRPr="00CA23AA">
              <w:t>Net cost</w:t>
            </w:r>
          </w:p>
        </w:tc>
        <w:tc>
          <w:tcPr>
            <w:tcW w:w="1559" w:type="dxa"/>
            <w:shd w:val="solid" w:color="000000" w:fill="000000"/>
            <w:noWrap/>
          </w:tcPr>
          <w:p w14:paraId="57833E20" w14:textId="48718FC5"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60F33A26" w14:textId="5CA0653B"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6E0AAC8D" w14:textId="406C5A31"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shd w:val="solid" w:color="000000" w:fill="000000"/>
          </w:tcPr>
          <w:p w14:paraId="2A8A9AE1" w14:textId="4E4FCF9B"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50DA39BA" w14:textId="77777777" w:rsidTr="00D42355">
        <w:trPr>
          <w:trHeight w:val="198"/>
        </w:trPr>
        <w:tc>
          <w:tcPr>
            <w:tcW w:w="8926" w:type="dxa"/>
            <w:gridSpan w:val="5"/>
            <w:noWrap/>
          </w:tcPr>
          <w:p w14:paraId="02DF700C" w14:textId="77777777" w:rsidR="00D42355" w:rsidRPr="00CA23AA" w:rsidRDefault="00D42355" w:rsidP="006F4F82">
            <w:pPr>
              <w:pStyle w:val="Tabletext0"/>
              <w:jc w:val="left"/>
              <w:rPr>
                <w:b/>
                <w:bCs/>
              </w:rPr>
            </w:pPr>
            <w:r w:rsidRPr="00CA23AA">
              <w:rPr>
                <w:b/>
                <w:bCs/>
              </w:rPr>
              <w:t>Actual</w:t>
            </w:r>
          </w:p>
        </w:tc>
      </w:tr>
      <w:tr w:rsidR="00D42355" w:rsidRPr="00CA23AA" w14:paraId="23C2EED1" w14:textId="77777777" w:rsidTr="00594907">
        <w:trPr>
          <w:trHeight w:val="198"/>
        </w:trPr>
        <w:tc>
          <w:tcPr>
            <w:tcW w:w="2405" w:type="dxa"/>
            <w:noWrap/>
          </w:tcPr>
          <w:p w14:paraId="5EE56558" w14:textId="77777777" w:rsidR="00D42355" w:rsidRPr="00CA23AA" w:rsidRDefault="00D42355" w:rsidP="006F4F82">
            <w:pPr>
              <w:pStyle w:val="Tabletext0"/>
            </w:pPr>
            <w:r w:rsidRPr="00CA23AA">
              <w:t>Number of patients</w:t>
            </w:r>
          </w:p>
        </w:tc>
        <w:tc>
          <w:tcPr>
            <w:tcW w:w="1559" w:type="dxa"/>
            <w:tcBorders>
              <w:bottom w:val="single" w:sz="4" w:space="0" w:color="auto"/>
            </w:tcBorders>
            <w:noWrap/>
          </w:tcPr>
          <w:p w14:paraId="216DCA78" w14:textId="77777777" w:rsidR="00D42355" w:rsidRPr="00CA23AA" w:rsidRDefault="00D42355" w:rsidP="006F4F82">
            <w:pPr>
              <w:pStyle w:val="Tabletext0"/>
              <w:jc w:val="right"/>
            </w:pPr>
            <w:r w:rsidRPr="00CA23AA">
              <w:t>18</w:t>
            </w:r>
          </w:p>
        </w:tc>
        <w:tc>
          <w:tcPr>
            <w:tcW w:w="1701" w:type="dxa"/>
            <w:tcBorders>
              <w:bottom w:val="single" w:sz="4" w:space="0" w:color="auto"/>
            </w:tcBorders>
            <w:noWrap/>
          </w:tcPr>
          <w:p w14:paraId="0BFD2DD8" w14:textId="77777777" w:rsidR="00D42355" w:rsidRPr="00CA23AA" w:rsidRDefault="00D42355" w:rsidP="006F4F82">
            <w:pPr>
              <w:pStyle w:val="Tabletext0"/>
              <w:jc w:val="right"/>
            </w:pPr>
            <w:r w:rsidRPr="00CA23AA">
              <w:t>22</w:t>
            </w:r>
          </w:p>
        </w:tc>
        <w:tc>
          <w:tcPr>
            <w:tcW w:w="1701" w:type="dxa"/>
            <w:tcBorders>
              <w:bottom w:val="single" w:sz="4" w:space="0" w:color="auto"/>
            </w:tcBorders>
            <w:noWrap/>
          </w:tcPr>
          <w:p w14:paraId="0AD47F8E" w14:textId="77777777" w:rsidR="00D42355" w:rsidRPr="00CA23AA" w:rsidRDefault="00D42355" w:rsidP="006F4F82">
            <w:pPr>
              <w:pStyle w:val="Tabletext0"/>
              <w:jc w:val="right"/>
            </w:pPr>
            <w:r w:rsidRPr="00CA23AA">
              <w:t>9</w:t>
            </w:r>
          </w:p>
        </w:tc>
        <w:tc>
          <w:tcPr>
            <w:tcW w:w="1560" w:type="dxa"/>
            <w:tcBorders>
              <w:bottom w:val="single" w:sz="4" w:space="0" w:color="auto"/>
            </w:tcBorders>
          </w:tcPr>
          <w:p w14:paraId="152E1406" w14:textId="77777777" w:rsidR="00D42355" w:rsidRPr="00CA23AA" w:rsidRDefault="00D42355" w:rsidP="006F4F82">
            <w:pPr>
              <w:pStyle w:val="Tabletext0"/>
              <w:jc w:val="right"/>
            </w:pPr>
            <w:r w:rsidRPr="00CA23AA">
              <w:t>3</w:t>
            </w:r>
          </w:p>
        </w:tc>
      </w:tr>
      <w:tr w:rsidR="00D42355" w:rsidRPr="00CA23AA" w14:paraId="1FCB111A" w14:textId="77777777" w:rsidTr="00594907">
        <w:trPr>
          <w:trHeight w:val="198"/>
        </w:trPr>
        <w:tc>
          <w:tcPr>
            <w:tcW w:w="2405" w:type="dxa"/>
            <w:noWrap/>
          </w:tcPr>
          <w:p w14:paraId="08508A17" w14:textId="77777777" w:rsidR="00D42355" w:rsidRPr="00CA23AA" w:rsidRDefault="00D42355" w:rsidP="006F4F82">
            <w:pPr>
              <w:pStyle w:val="Tabletext0"/>
            </w:pPr>
            <w:r w:rsidRPr="00CA23AA">
              <w:t>Direct TIS costs</w:t>
            </w:r>
          </w:p>
        </w:tc>
        <w:tc>
          <w:tcPr>
            <w:tcW w:w="1559" w:type="dxa"/>
            <w:tcBorders>
              <w:bottom w:val="single" w:sz="4" w:space="0" w:color="auto"/>
            </w:tcBorders>
            <w:shd w:val="solid" w:color="000000" w:fill="000000"/>
            <w:noWrap/>
          </w:tcPr>
          <w:p w14:paraId="14CE56BF" w14:textId="5B6F69F3"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4AE28E51" w14:textId="34665872"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707A845A" w14:textId="0D9EA23A"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2734631D" w14:textId="548CF86E"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10E4E094" w14:textId="77777777" w:rsidTr="00594907">
        <w:trPr>
          <w:trHeight w:val="198"/>
        </w:trPr>
        <w:tc>
          <w:tcPr>
            <w:tcW w:w="2405" w:type="dxa"/>
            <w:noWrap/>
          </w:tcPr>
          <w:p w14:paraId="4C5BC373" w14:textId="77777777" w:rsidR="00D42355" w:rsidRPr="00CA23AA" w:rsidRDefault="00D42355" w:rsidP="006F4F82">
            <w:pPr>
              <w:pStyle w:val="Tabletext0"/>
            </w:pPr>
            <w:r w:rsidRPr="00CA23AA">
              <w:t>Other program costs</w:t>
            </w:r>
          </w:p>
        </w:tc>
        <w:tc>
          <w:tcPr>
            <w:tcW w:w="1559" w:type="dxa"/>
            <w:tcBorders>
              <w:bottom w:val="single" w:sz="4" w:space="0" w:color="auto"/>
            </w:tcBorders>
            <w:shd w:val="solid" w:color="000000" w:fill="000000"/>
            <w:noWrap/>
          </w:tcPr>
          <w:p w14:paraId="7765E4AC" w14:textId="42D5130A"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1B0288C8" w14:textId="5C98D983"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4B462285" w14:textId="6696A446"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5CA71531" w14:textId="3017290A"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499876FD" w14:textId="77777777" w:rsidTr="00594907">
        <w:trPr>
          <w:trHeight w:val="198"/>
        </w:trPr>
        <w:tc>
          <w:tcPr>
            <w:tcW w:w="2405" w:type="dxa"/>
            <w:noWrap/>
          </w:tcPr>
          <w:p w14:paraId="37885732" w14:textId="77777777" w:rsidR="00D42355" w:rsidRPr="00CA23AA" w:rsidRDefault="00D42355" w:rsidP="006F4F82">
            <w:pPr>
              <w:pStyle w:val="Tabletext0"/>
            </w:pPr>
            <w:r w:rsidRPr="00CA23AA">
              <w:t>Cost offsets</w:t>
            </w:r>
          </w:p>
        </w:tc>
        <w:tc>
          <w:tcPr>
            <w:tcW w:w="1559" w:type="dxa"/>
            <w:tcBorders>
              <w:bottom w:val="single" w:sz="4" w:space="0" w:color="auto"/>
            </w:tcBorders>
            <w:shd w:val="solid" w:color="000000" w:fill="000000"/>
            <w:noWrap/>
          </w:tcPr>
          <w:p w14:paraId="0485F34F" w14:textId="129D6966"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21D3BE85" w14:textId="637F7A5C"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5340BD39" w14:textId="278EEEF7"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75A8036E" w14:textId="06F3491E"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48A23095" w14:textId="77777777" w:rsidTr="00594907">
        <w:trPr>
          <w:trHeight w:val="198"/>
        </w:trPr>
        <w:tc>
          <w:tcPr>
            <w:tcW w:w="2405" w:type="dxa"/>
            <w:tcBorders>
              <w:bottom w:val="single" w:sz="4" w:space="0" w:color="000000" w:themeColor="text1"/>
            </w:tcBorders>
            <w:noWrap/>
          </w:tcPr>
          <w:p w14:paraId="7919B4A1" w14:textId="7E60A9B4" w:rsidR="00D42355" w:rsidRPr="00CA23AA" w:rsidRDefault="00D42355" w:rsidP="006F4F82">
            <w:pPr>
              <w:pStyle w:val="Tabletext0"/>
            </w:pPr>
            <w:r w:rsidRPr="00CA23AA">
              <w:t>Net cost</w:t>
            </w:r>
          </w:p>
        </w:tc>
        <w:tc>
          <w:tcPr>
            <w:tcW w:w="1559" w:type="dxa"/>
            <w:tcBorders>
              <w:bottom w:val="single" w:sz="4" w:space="0" w:color="000000" w:themeColor="text1"/>
            </w:tcBorders>
            <w:shd w:val="solid" w:color="000000" w:fill="000000"/>
            <w:noWrap/>
          </w:tcPr>
          <w:p w14:paraId="6A3373D4" w14:textId="6D1643BB"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000000" w:themeColor="text1"/>
            </w:tcBorders>
            <w:shd w:val="solid" w:color="000000" w:fill="000000"/>
            <w:noWrap/>
          </w:tcPr>
          <w:p w14:paraId="52EF8938" w14:textId="4D146954"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000000" w:themeColor="text1"/>
            </w:tcBorders>
            <w:shd w:val="solid" w:color="000000" w:fill="000000"/>
            <w:noWrap/>
          </w:tcPr>
          <w:p w14:paraId="4A701730" w14:textId="57C099D5"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000000" w:themeColor="text1"/>
            </w:tcBorders>
            <w:shd w:val="solid" w:color="000000" w:fill="000000"/>
          </w:tcPr>
          <w:p w14:paraId="49367137" w14:textId="5ED37A09"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76671913" w14:textId="77777777">
        <w:trPr>
          <w:trHeight w:val="198"/>
        </w:trPr>
        <w:tc>
          <w:tcPr>
            <w:tcW w:w="8926" w:type="dxa"/>
            <w:gridSpan w:val="5"/>
            <w:shd w:val="clear" w:color="auto" w:fill="DEEAF6" w:themeFill="accent1" w:themeFillTint="33"/>
            <w:noWrap/>
          </w:tcPr>
          <w:p w14:paraId="6DF54BBA" w14:textId="310648DB" w:rsidR="00D42355" w:rsidRPr="00CA23AA" w:rsidRDefault="008446ED" w:rsidP="008446ED">
            <w:pPr>
              <w:pStyle w:val="Tabletext0"/>
              <w:jc w:val="left"/>
            </w:pPr>
            <w:r w:rsidRPr="00CA23AA">
              <w:rPr>
                <w:b/>
              </w:rPr>
              <w:t xml:space="preserve">Revised </w:t>
            </w:r>
            <w:r w:rsidR="00043B57" w:rsidRPr="00CA23AA">
              <w:rPr>
                <w:b/>
              </w:rPr>
              <w:t>e</w:t>
            </w:r>
            <w:r w:rsidRPr="00CA23AA">
              <w:rPr>
                <w:b/>
              </w:rPr>
              <w:t>stimate of Actual costs, based on data provided by States during evaluation</w:t>
            </w:r>
          </w:p>
        </w:tc>
      </w:tr>
      <w:tr w:rsidR="00D42355" w:rsidRPr="00CA23AA" w14:paraId="11EE4853" w14:textId="77777777" w:rsidTr="00594907">
        <w:trPr>
          <w:trHeight w:val="198"/>
        </w:trPr>
        <w:tc>
          <w:tcPr>
            <w:tcW w:w="2405" w:type="dxa"/>
            <w:shd w:val="clear" w:color="auto" w:fill="auto"/>
            <w:noWrap/>
          </w:tcPr>
          <w:p w14:paraId="6C39ED81" w14:textId="77777777" w:rsidR="00D42355" w:rsidRPr="00CA23AA" w:rsidRDefault="00D42355" w:rsidP="006F4F82">
            <w:pPr>
              <w:pStyle w:val="Tabletext0"/>
              <w:rPr>
                <w:vertAlign w:val="superscript"/>
              </w:rPr>
            </w:pPr>
            <w:r w:rsidRPr="00CA23AA">
              <w:t>Number of patients</w:t>
            </w:r>
            <w:r w:rsidRPr="00CA23AA">
              <w:rPr>
                <w:vertAlign w:val="superscript"/>
              </w:rPr>
              <w:t>1</w:t>
            </w:r>
          </w:p>
        </w:tc>
        <w:tc>
          <w:tcPr>
            <w:tcW w:w="1559" w:type="dxa"/>
            <w:tcBorders>
              <w:bottom w:val="single" w:sz="4" w:space="0" w:color="auto"/>
            </w:tcBorders>
            <w:shd w:val="clear" w:color="auto" w:fill="auto"/>
            <w:noWrap/>
          </w:tcPr>
          <w:p w14:paraId="05595498" w14:textId="77777777" w:rsidR="00D42355" w:rsidRPr="00CA23AA" w:rsidRDefault="00D42355" w:rsidP="006F4F82">
            <w:pPr>
              <w:pStyle w:val="Tabletext0"/>
              <w:jc w:val="right"/>
            </w:pPr>
            <w:r w:rsidRPr="00CA23AA">
              <w:t>18</w:t>
            </w:r>
          </w:p>
        </w:tc>
        <w:tc>
          <w:tcPr>
            <w:tcW w:w="1701" w:type="dxa"/>
            <w:tcBorders>
              <w:bottom w:val="single" w:sz="4" w:space="0" w:color="auto"/>
            </w:tcBorders>
            <w:shd w:val="clear" w:color="auto" w:fill="auto"/>
            <w:noWrap/>
          </w:tcPr>
          <w:p w14:paraId="4F0EFFE5" w14:textId="77777777" w:rsidR="00D42355" w:rsidRPr="00CA23AA" w:rsidRDefault="00D42355" w:rsidP="006F4F82">
            <w:pPr>
              <w:pStyle w:val="Tabletext0"/>
              <w:jc w:val="right"/>
            </w:pPr>
            <w:r w:rsidRPr="00CA23AA">
              <w:t>22</w:t>
            </w:r>
          </w:p>
        </w:tc>
        <w:tc>
          <w:tcPr>
            <w:tcW w:w="1701" w:type="dxa"/>
            <w:tcBorders>
              <w:bottom w:val="single" w:sz="4" w:space="0" w:color="auto"/>
            </w:tcBorders>
            <w:shd w:val="clear" w:color="auto" w:fill="auto"/>
            <w:noWrap/>
          </w:tcPr>
          <w:p w14:paraId="0D7BC245" w14:textId="77777777" w:rsidR="00D42355" w:rsidRPr="00CA23AA" w:rsidRDefault="00D42355" w:rsidP="006F4F82">
            <w:pPr>
              <w:pStyle w:val="Tabletext0"/>
              <w:jc w:val="right"/>
            </w:pPr>
            <w:r w:rsidRPr="00CA23AA">
              <w:t>9</w:t>
            </w:r>
          </w:p>
        </w:tc>
        <w:tc>
          <w:tcPr>
            <w:tcW w:w="1560" w:type="dxa"/>
            <w:tcBorders>
              <w:bottom w:val="single" w:sz="4" w:space="0" w:color="auto"/>
            </w:tcBorders>
            <w:shd w:val="clear" w:color="auto" w:fill="auto"/>
          </w:tcPr>
          <w:p w14:paraId="5FD88EE1" w14:textId="77777777" w:rsidR="00D42355" w:rsidRPr="00CA23AA" w:rsidRDefault="00D42355" w:rsidP="006F4F82">
            <w:pPr>
              <w:pStyle w:val="Tabletext0"/>
              <w:jc w:val="right"/>
            </w:pPr>
            <w:r w:rsidRPr="00CA23AA">
              <w:t>3</w:t>
            </w:r>
          </w:p>
        </w:tc>
      </w:tr>
      <w:tr w:rsidR="00D42355" w:rsidRPr="00CA23AA" w14:paraId="0D2B8959" w14:textId="77777777" w:rsidTr="00594907">
        <w:trPr>
          <w:trHeight w:val="198"/>
        </w:trPr>
        <w:tc>
          <w:tcPr>
            <w:tcW w:w="2405" w:type="dxa"/>
            <w:shd w:val="clear" w:color="auto" w:fill="auto"/>
            <w:noWrap/>
          </w:tcPr>
          <w:p w14:paraId="7D5951EB" w14:textId="77777777" w:rsidR="00D42355" w:rsidRPr="00CA23AA" w:rsidRDefault="00D42355" w:rsidP="006F4F82">
            <w:pPr>
              <w:pStyle w:val="Tabletext0"/>
              <w:rPr>
                <w:vertAlign w:val="superscript"/>
              </w:rPr>
            </w:pPr>
            <w:r w:rsidRPr="00CA23AA">
              <w:t>Direct TIS costs</w:t>
            </w:r>
            <w:r w:rsidRPr="00CA23AA">
              <w:rPr>
                <w:vertAlign w:val="superscript"/>
              </w:rPr>
              <w:t>1</w:t>
            </w:r>
          </w:p>
        </w:tc>
        <w:tc>
          <w:tcPr>
            <w:tcW w:w="1559" w:type="dxa"/>
            <w:shd w:val="solid" w:color="000000" w:fill="000000"/>
            <w:noWrap/>
          </w:tcPr>
          <w:p w14:paraId="66A8A64B" w14:textId="44842A2C"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6F008A3F" w14:textId="7CF8E339"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02C48E86" w14:textId="4F426B61"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shd w:val="solid" w:color="000000" w:fill="000000"/>
          </w:tcPr>
          <w:p w14:paraId="499C5311" w14:textId="5BEE7A71"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0E648259" w14:textId="77777777" w:rsidTr="00594907">
        <w:trPr>
          <w:trHeight w:val="198"/>
        </w:trPr>
        <w:tc>
          <w:tcPr>
            <w:tcW w:w="2405" w:type="dxa"/>
            <w:shd w:val="clear" w:color="auto" w:fill="DEEAF6" w:themeFill="accent1" w:themeFillTint="33"/>
            <w:noWrap/>
          </w:tcPr>
          <w:p w14:paraId="5A40E177" w14:textId="77777777" w:rsidR="00D42355" w:rsidRPr="00CA23AA" w:rsidRDefault="00D42355" w:rsidP="006F4F82">
            <w:pPr>
              <w:pStyle w:val="Tabletext0"/>
              <w:rPr>
                <w:vertAlign w:val="superscript"/>
              </w:rPr>
            </w:pPr>
            <w:r w:rsidRPr="00CA23AA">
              <w:t>Other program costs</w:t>
            </w:r>
            <w:r w:rsidRPr="00CA23AA">
              <w:rPr>
                <w:vertAlign w:val="superscript"/>
              </w:rPr>
              <w:t>2</w:t>
            </w:r>
          </w:p>
        </w:tc>
        <w:tc>
          <w:tcPr>
            <w:tcW w:w="1559" w:type="dxa"/>
            <w:tcBorders>
              <w:bottom w:val="single" w:sz="4" w:space="0" w:color="auto"/>
            </w:tcBorders>
            <w:shd w:val="clear" w:color="auto" w:fill="DEEAF6" w:themeFill="accent1" w:themeFillTint="33"/>
            <w:noWrap/>
          </w:tcPr>
          <w:p w14:paraId="06166CAC" w14:textId="77777777" w:rsidR="00D42355" w:rsidRPr="00CA23AA" w:rsidRDefault="00D42355" w:rsidP="006F4F82">
            <w:pPr>
              <w:pStyle w:val="Tabletext0"/>
              <w:jc w:val="right"/>
            </w:pPr>
            <w:r w:rsidRPr="00CA23AA">
              <w:t>$8,399,191</w:t>
            </w:r>
          </w:p>
        </w:tc>
        <w:tc>
          <w:tcPr>
            <w:tcW w:w="1701" w:type="dxa"/>
            <w:tcBorders>
              <w:bottom w:val="single" w:sz="4" w:space="0" w:color="auto"/>
            </w:tcBorders>
            <w:shd w:val="clear" w:color="auto" w:fill="DEEAF6" w:themeFill="accent1" w:themeFillTint="33"/>
            <w:noWrap/>
          </w:tcPr>
          <w:p w14:paraId="2553BF2E" w14:textId="77777777" w:rsidR="00D42355" w:rsidRPr="00CA23AA" w:rsidRDefault="00D42355" w:rsidP="006F4F82">
            <w:pPr>
              <w:pStyle w:val="Tabletext0"/>
              <w:jc w:val="right"/>
            </w:pPr>
            <w:r w:rsidRPr="00CA23AA">
              <w:t>$10,265,678</w:t>
            </w:r>
          </w:p>
        </w:tc>
        <w:tc>
          <w:tcPr>
            <w:tcW w:w="1701" w:type="dxa"/>
            <w:tcBorders>
              <w:bottom w:val="single" w:sz="4" w:space="0" w:color="auto"/>
            </w:tcBorders>
            <w:shd w:val="clear" w:color="auto" w:fill="DEEAF6" w:themeFill="accent1" w:themeFillTint="33"/>
            <w:noWrap/>
          </w:tcPr>
          <w:p w14:paraId="18DA0022" w14:textId="77777777" w:rsidR="00D42355" w:rsidRPr="00CA23AA" w:rsidRDefault="00D42355" w:rsidP="006F4F82">
            <w:pPr>
              <w:pStyle w:val="Tabletext0"/>
              <w:jc w:val="right"/>
            </w:pPr>
            <w:r w:rsidRPr="00CA23AA">
              <w:t>$4,199,595</w:t>
            </w:r>
          </w:p>
        </w:tc>
        <w:tc>
          <w:tcPr>
            <w:tcW w:w="1560" w:type="dxa"/>
            <w:tcBorders>
              <w:bottom w:val="single" w:sz="4" w:space="0" w:color="auto"/>
            </w:tcBorders>
            <w:shd w:val="clear" w:color="auto" w:fill="DEEAF6" w:themeFill="accent1" w:themeFillTint="33"/>
          </w:tcPr>
          <w:p w14:paraId="7E43E992" w14:textId="77777777" w:rsidR="00D42355" w:rsidRPr="00CA23AA" w:rsidRDefault="00D42355" w:rsidP="006F4F82">
            <w:pPr>
              <w:pStyle w:val="Tabletext0"/>
              <w:jc w:val="right"/>
            </w:pPr>
            <w:r w:rsidRPr="00CA23AA">
              <w:t>$1,399,865</w:t>
            </w:r>
          </w:p>
        </w:tc>
      </w:tr>
      <w:tr w:rsidR="00D42355" w:rsidRPr="00CA23AA" w14:paraId="2F1BBF2D" w14:textId="77777777" w:rsidTr="00594907">
        <w:trPr>
          <w:trHeight w:val="198"/>
        </w:trPr>
        <w:tc>
          <w:tcPr>
            <w:tcW w:w="2405" w:type="dxa"/>
            <w:shd w:val="clear" w:color="auto" w:fill="auto"/>
            <w:noWrap/>
          </w:tcPr>
          <w:p w14:paraId="40E950FF" w14:textId="77777777" w:rsidR="00D42355" w:rsidRPr="00CA23AA" w:rsidRDefault="00D42355" w:rsidP="006F4F82">
            <w:pPr>
              <w:pStyle w:val="Tabletext0"/>
              <w:rPr>
                <w:vertAlign w:val="superscript"/>
              </w:rPr>
            </w:pPr>
            <w:r w:rsidRPr="00CA23AA">
              <w:t>Cost offsets</w:t>
            </w:r>
            <w:r w:rsidRPr="00CA23AA">
              <w:rPr>
                <w:vertAlign w:val="superscript"/>
              </w:rPr>
              <w:t>1</w:t>
            </w:r>
          </w:p>
        </w:tc>
        <w:tc>
          <w:tcPr>
            <w:tcW w:w="1559" w:type="dxa"/>
            <w:tcBorders>
              <w:bottom w:val="single" w:sz="4" w:space="0" w:color="auto"/>
            </w:tcBorders>
            <w:shd w:val="solid" w:color="000000" w:fill="000000"/>
            <w:noWrap/>
          </w:tcPr>
          <w:p w14:paraId="51D5171C" w14:textId="3A8F9C21"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76E46A28" w14:textId="79BC0452"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tcBorders>
              <w:bottom w:val="single" w:sz="4" w:space="0" w:color="auto"/>
            </w:tcBorders>
            <w:shd w:val="solid" w:color="000000" w:fill="000000"/>
            <w:noWrap/>
          </w:tcPr>
          <w:p w14:paraId="33C96A55" w14:textId="00D4D5F9"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510104A3" w14:textId="46CB2005"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r w:rsidR="00D42355" w:rsidRPr="00CA23AA" w14:paraId="1544B4DA" w14:textId="77777777" w:rsidTr="00594907">
        <w:trPr>
          <w:trHeight w:val="198"/>
        </w:trPr>
        <w:tc>
          <w:tcPr>
            <w:tcW w:w="2405" w:type="dxa"/>
            <w:shd w:val="clear" w:color="auto" w:fill="DEEAF6" w:themeFill="accent1" w:themeFillTint="33"/>
            <w:noWrap/>
          </w:tcPr>
          <w:p w14:paraId="5681F2A5" w14:textId="77777777" w:rsidR="00D42355" w:rsidRPr="00CA23AA" w:rsidRDefault="00D42355" w:rsidP="006F4F82">
            <w:pPr>
              <w:pStyle w:val="Tabletext0"/>
            </w:pPr>
            <w:r w:rsidRPr="00CA23AA">
              <w:t>Net cost</w:t>
            </w:r>
          </w:p>
        </w:tc>
        <w:tc>
          <w:tcPr>
            <w:tcW w:w="1559" w:type="dxa"/>
            <w:shd w:val="solid" w:color="000000" w:fill="000000"/>
            <w:noWrap/>
          </w:tcPr>
          <w:p w14:paraId="524680DA" w14:textId="260F1C3E"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75CA0E06" w14:textId="7A873076"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701" w:type="dxa"/>
            <w:shd w:val="solid" w:color="000000" w:fill="000000"/>
            <w:noWrap/>
          </w:tcPr>
          <w:p w14:paraId="6388EC6C" w14:textId="718F8BB3"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c>
          <w:tcPr>
            <w:tcW w:w="1560" w:type="dxa"/>
            <w:shd w:val="solid" w:color="000000" w:fill="000000"/>
          </w:tcPr>
          <w:p w14:paraId="16E2C8F9" w14:textId="37B06F93" w:rsidR="00D42355" w:rsidRPr="00CA23AA" w:rsidRDefault="00594907" w:rsidP="006F4F82">
            <w:pPr>
              <w:pStyle w:val="Tabletext0"/>
              <w:jc w:val="right"/>
            </w:pPr>
            <w:r w:rsidRPr="00594907">
              <w:rPr>
                <w:color w:val="000000"/>
                <w14:textFill>
                  <w14:solidFill>
                    <w14:srgbClr w14:val="000000">
                      <w14:alpha w14:val="100000"/>
                    </w14:srgbClr>
                  </w14:solidFill>
                </w14:textFill>
              </w:rPr>
              <w:t>|</w:t>
            </w:r>
          </w:p>
        </w:tc>
      </w:tr>
    </w:tbl>
    <w:p w14:paraId="07DAD21C" w14:textId="77777777" w:rsidR="00D42355" w:rsidRPr="00CA23AA" w:rsidRDefault="00D42355" w:rsidP="00D42355">
      <w:pPr>
        <w:pStyle w:val="Tablenotes0"/>
      </w:pPr>
      <w:r w:rsidRPr="00CA23AA">
        <w:t>TIS = tisagenlecleucel</w:t>
      </w:r>
    </w:p>
    <w:p w14:paraId="70BB3783" w14:textId="77777777" w:rsidR="00D42355" w:rsidRPr="00CA23AA" w:rsidRDefault="00D42355" w:rsidP="00D42355">
      <w:pPr>
        <w:pStyle w:val="Tablenotes0"/>
      </w:pPr>
      <w:r w:rsidRPr="00CA23AA">
        <w:t>* Actual data for Year 4 up to 31 Jan 2023</w:t>
      </w:r>
    </w:p>
    <w:p w14:paraId="594D9765" w14:textId="19266802" w:rsidR="00D42355" w:rsidRPr="00CA23AA" w:rsidRDefault="00D42355" w:rsidP="00D42355">
      <w:pPr>
        <w:pStyle w:val="Tablenotes0"/>
      </w:pPr>
      <w:r w:rsidRPr="00CA23AA">
        <w:t xml:space="preserve">Source: Table 4.2-1, p166 of the </w:t>
      </w:r>
      <w:r w:rsidR="006335BD" w:rsidRPr="00CA23AA">
        <w:t>MSAC ADAR 1748+inline commentary</w:t>
      </w:r>
      <w:r w:rsidRPr="00CA23AA">
        <w:t xml:space="preserve">. </w:t>
      </w:r>
    </w:p>
    <w:p w14:paraId="10B5F2CF" w14:textId="12A5978F" w:rsidR="00D42355" w:rsidRPr="00CA23AA" w:rsidRDefault="006335BD" w:rsidP="00D42355">
      <w:pPr>
        <w:pStyle w:val="Tablenotes0"/>
      </w:pPr>
      <w:bookmarkStart w:id="73" w:name="_Hlk131491599"/>
      <w:r w:rsidRPr="00CA23AA">
        <w:t>Grey shaded cells represent estimates previously seen by MSAC in ADAR 1519. Blue s</w:t>
      </w:r>
      <w:r w:rsidR="00D42355" w:rsidRPr="00CA23AA">
        <w:t>haded cells represent estimates based on data provided by States and were calculated during the evaluation.</w:t>
      </w:r>
    </w:p>
    <w:p w14:paraId="2F309F01" w14:textId="52CC1DE9" w:rsidR="00D42355" w:rsidRPr="00CA23AA" w:rsidRDefault="00D42355" w:rsidP="00D42355">
      <w:pPr>
        <w:pStyle w:val="Tablenotes0"/>
      </w:pPr>
      <w:r w:rsidRPr="00CA23AA">
        <w:rPr>
          <w:vertAlign w:val="superscript"/>
        </w:rPr>
        <w:t>1</w:t>
      </w:r>
      <w:r w:rsidRPr="00CA23AA">
        <w:t xml:space="preserve"> Estimated cost were sourced from Step 3 of the economic evaluation which provided an updated modelled estimate by substituting some data from ABMTRR. Number of patients with successful infusion and average TIS cost per patient ($</w:t>
      </w:r>
      <w:proofErr w:type="gramStart"/>
      <w:r w:rsidR="00594907" w:rsidRPr="00AD4862">
        <w:rPr>
          <w:color w:val="000000"/>
          <w:spacing w:val="20"/>
          <w:shd w:val="solid" w:color="000000" w:fill="000000"/>
          <w:fitText w:val="220" w:id="-1161539325"/>
          <w14:textFill>
            <w14:solidFill>
              <w14:srgbClr w14:val="000000">
                <w14:alpha w14:val="100000"/>
              </w14:srgbClr>
            </w14:solidFill>
          </w14:textFill>
        </w:rPr>
        <w:t xml:space="preserve">|  </w:t>
      </w:r>
      <w:r w:rsidR="00594907" w:rsidRPr="00AD4862">
        <w:rPr>
          <w:color w:val="000000"/>
          <w:spacing w:val="2"/>
          <w:shd w:val="solid" w:color="000000" w:fill="000000"/>
          <w:fitText w:val="220" w:id="-1161539325"/>
          <w14:textFill>
            <w14:solidFill>
              <w14:srgbClr w14:val="000000">
                <w14:alpha w14:val="100000"/>
              </w14:srgbClr>
            </w14:solidFill>
          </w14:textFill>
        </w:rPr>
        <w:t>|</w:t>
      </w:r>
      <w:proofErr w:type="gramEnd"/>
      <w:r w:rsidRPr="00CA23AA">
        <w:t>) used in these calculations were based on the MSAC quarterly report.</w:t>
      </w:r>
    </w:p>
    <w:p w14:paraId="7750BEDA" w14:textId="5AA907B3" w:rsidR="00D42355" w:rsidRPr="00CA23AA" w:rsidRDefault="00D42355" w:rsidP="00D42355">
      <w:pPr>
        <w:pStyle w:val="Tablenotes0"/>
      </w:pPr>
      <w:r w:rsidRPr="00CA23AA">
        <w:rPr>
          <w:vertAlign w:val="superscript"/>
        </w:rPr>
        <w:t xml:space="preserve">2 </w:t>
      </w:r>
      <w:bookmarkStart w:id="74" w:name="_Hlk131357189"/>
      <w:bookmarkStart w:id="75" w:name="_Hlk131356694"/>
      <w:r w:rsidRPr="00CA23AA">
        <w:t xml:space="preserve">Average cost per patient for </w:t>
      </w:r>
      <w:r w:rsidR="001E310E" w:rsidRPr="00CA23AA">
        <w:t>TIS</w:t>
      </w:r>
      <w:r w:rsidRPr="00CA23AA">
        <w:t xml:space="preserve"> infusion program was reported around $</w:t>
      </w:r>
      <w:proofErr w:type="gramStart"/>
      <w:r w:rsidR="00594907" w:rsidRPr="00AD4862">
        <w:rPr>
          <w:color w:val="000000"/>
          <w:spacing w:val="20"/>
          <w:shd w:val="solid" w:color="000000" w:fill="000000"/>
          <w:fitText w:val="220" w:id="-1161539324"/>
          <w14:textFill>
            <w14:solidFill>
              <w14:srgbClr w14:val="000000">
                <w14:alpha w14:val="100000"/>
              </w14:srgbClr>
            </w14:solidFill>
          </w14:textFill>
        </w:rPr>
        <w:t xml:space="preserve">|  </w:t>
      </w:r>
      <w:r w:rsidR="00594907" w:rsidRPr="00AD4862">
        <w:rPr>
          <w:color w:val="000000"/>
          <w:spacing w:val="2"/>
          <w:shd w:val="solid" w:color="000000" w:fill="000000"/>
          <w:fitText w:val="220" w:id="-1161539324"/>
          <w14:textFill>
            <w14:solidFill>
              <w14:srgbClr w14:val="000000">
                <w14:alpha w14:val="100000"/>
              </w14:srgbClr>
            </w14:solidFill>
          </w14:textFill>
        </w:rPr>
        <w:t>|</w:t>
      </w:r>
      <w:proofErr w:type="gramEnd"/>
      <w:r w:rsidRPr="00CA23AA">
        <w:t xml:space="preserve">(TIS product cost + other program cost) by </w:t>
      </w:r>
      <w:r w:rsidR="00594907" w:rsidRPr="00AD4862">
        <w:rPr>
          <w:color w:val="000000"/>
          <w:spacing w:val="23"/>
          <w:shd w:val="solid" w:color="000000" w:fill="000000"/>
          <w:fitText w:val="230" w:id="-1161539323"/>
          <w14:textFill>
            <w14:solidFill>
              <w14:srgbClr w14:val="000000">
                <w14:alpha w14:val="100000"/>
              </w14:srgbClr>
            </w14:solidFill>
          </w14:textFill>
        </w:rPr>
        <w:t xml:space="preserve">|  </w:t>
      </w:r>
      <w:r w:rsidR="00594907" w:rsidRPr="00AD4862">
        <w:rPr>
          <w:color w:val="000000"/>
          <w:spacing w:val="3"/>
          <w:shd w:val="solid" w:color="000000" w:fill="000000"/>
          <w:fitText w:val="230" w:id="-1161539323"/>
          <w14:textFill>
            <w14:solidFill>
              <w14:srgbClr w14:val="000000">
                <w14:alpha w14:val="100000"/>
              </w14:srgbClr>
            </w14:solidFill>
          </w14:textFill>
        </w:rPr>
        <w:t>|</w:t>
      </w:r>
      <w:r w:rsidRPr="00CA23AA">
        <w:t xml:space="preserve"> and NSW Health. Queensland Health estimate was closer to this as well. Average other program cost per patient, $466,622 were then estimated by subtracting average TIS cost </w:t>
      </w:r>
      <w:r w:rsidR="00C711E8" w:rsidRPr="00CA23AA">
        <w:t>($</w:t>
      </w:r>
      <w:proofErr w:type="gramStart"/>
      <w:r w:rsidR="00594907" w:rsidRPr="00AD4862">
        <w:rPr>
          <w:color w:val="000000"/>
          <w:spacing w:val="23"/>
          <w:shd w:val="solid" w:color="000000" w:fill="000000"/>
          <w:fitText w:val="230" w:id="-1161539322"/>
          <w14:textFill>
            <w14:solidFill>
              <w14:srgbClr w14:val="000000">
                <w14:alpha w14:val="100000"/>
              </w14:srgbClr>
            </w14:solidFill>
          </w14:textFill>
        </w:rPr>
        <w:t xml:space="preserve">|  </w:t>
      </w:r>
      <w:r w:rsidR="00594907" w:rsidRPr="00AD4862">
        <w:rPr>
          <w:color w:val="000000"/>
          <w:spacing w:val="3"/>
          <w:shd w:val="solid" w:color="000000" w:fill="000000"/>
          <w:fitText w:val="230" w:id="-1161539322"/>
          <w14:textFill>
            <w14:solidFill>
              <w14:srgbClr w14:val="000000">
                <w14:alpha w14:val="100000"/>
              </w14:srgbClr>
            </w14:solidFill>
          </w14:textFill>
        </w:rPr>
        <w:t>|</w:t>
      </w:r>
      <w:proofErr w:type="gramEnd"/>
      <w:r w:rsidR="00C711E8" w:rsidRPr="00CA23AA">
        <w:t xml:space="preserve">) </w:t>
      </w:r>
      <w:r w:rsidRPr="00CA23AA">
        <w:t>from this estimate.</w:t>
      </w:r>
      <w:bookmarkEnd w:id="73"/>
      <w:bookmarkEnd w:id="74"/>
      <w:r w:rsidRPr="00CA23AA">
        <w:t xml:space="preserve"> </w:t>
      </w:r>
      <w:bookmarkEnd w:id="75"/>
    </w:p>
    <w:p w14:paraId="6FB6BB10" w14:textId="441778B1" w:rsidR="00D42355" w:rsidRPr="00CA23AA" w:rsidRDefault="00CC717A" w:rsidP="00D42355">
      <w:bookmarkStart w:id="76" w:name="_Hlk131601196"/>
      <w:r w:rsidRPr="00CA23AA">
        <w:t>The total</w:t>
      </w:r>
      <w:r w:rsidR="00D42355" w:rsidRPr="00CA23AA">
        <w:t xml:space="preserve"> financial impact of introducing TIS program in Australia has been </w:t>
      </w:r>
      <w:r w:rsidR="007D5593" w:rsidRPr="00CA23AA">
        <w:t>substantially</w:t>
      </w:r>
      <w:r w:rsidR="00D42355" w:rsidRPr="00CA23AA">
        <w:t xml:space="preserve"> higher than what the sponsor </w:t>
      </w:r>
      <w:r w:rsidR="0097471F" w:rsidRPr="00CA23AA">
        <w:t>initially</w:t>
      </w:r>
      <w:r w:rsidR="00D42355" w:rsidRPr="00CA23AA">
        <w:t xml:space="preserve"> presented. </w:t>
      </w:r>
      <w:r w:rsidR="00A57A3B" w:rsidRPr="00CA23AA">
        <w:t>The s</w:t>
      </w:r>
      <w:r w:rsidR="00D42355" w:rsidRPr="00CA23AA">
        <w:t xml:space="preserve">ponsor estimated </w:t>
      </w:r>
      <w:r w:rsidR="00A57A3B" w:rsidRPr="00CA23AA">
        <w:t xml:space="preserve">a </w:t>
      </w:r>
      <w:r w:rsidR="00D42355" w:rsidRPr="00CA23AA">
        <w:t xml:space="preserve">net cost of </w:t>
      </w:r>
      <w:r w:rsidR="00A57A3B" w:rsidRPr="00CA23AA">
        <w:t xml:space="preserve">the </w:t>
      </w:r>
      <w:r w:rsidR="00D42355" w:rsidRPr="00CA23AA">
        <w:t xml:space="preserve">TIS program to be approximately </w:t>
      </w:r>
      <w:r w:rsidR="00594907" w:rsidRPr="00AD4862">
        <w:rPr>
          <w:color w:val="000000"/>
          <w:w w:val="88"/>
          <w:shd w:val="solid" w:color="000000" w:fill="000000"/>
          <w:fitText w:val="390" w:id="-1161539321"/>
          <w14:textFill>
            <w14:solidFill>
              <w14:srgbClr w14:val="000000">
                <w14:alpha w14:val="100000"/>
              </w14:srgbClr>
            </w14:solidFill>
          </w14:textFill>
        </w:rPr>
        <w:t>|||</w:t>
      </w:r>
      <w:r w:rsidR="00594907" w:rsidRPr="00AD4862">
        <w:rPr>
          <w:color w:val="000000"/>
          <w:spacing w:val="2"/>
          <w:w w:val="88"/>
          <w:shd w:val="solid" w:color="000000" w:fill="000000"/>
          <w:fitText w:val="390" w:id="-1161539321"/>
          <w14:textFill>
            <w14:solidFill>
              <w14:srgbClr w14:val="000000">
                <w14:alpha w14:val="100000"/>
              </w14:srgbClr>
            </w14:solidFill>
          </w14:textFill>
        </w:rPr>
        <w:t>|</w:t>
      </w:r>
      <w:r w:rsidR="00D42355" w:rsidRPr="00CA23AA">
        <w:t xml:space="preserve"> for the first three years of Deed. However, based on the data provided by states, the actual </w:t>
      </w:r>
      <w:r w:rsidR="007A3895" w:rsidRPr="00CA23AA">
        <w:t xml:space="preserve">costs </w:t>
      </w:r>
      <w:r w:rsidR="00980D8E" w:rsidRPr="00CA23AA">
        <w:t xml:space="preserve">(including costs to </w:t>
      </w:r>
      <w:r w:rsidR="00947502" w:rsidRPr="00CA23AA">
        <w:t xml:space="preserve">public hospitals) </w:t>
      </w:r>
      <w:r w:rsidR="002A5D47" w:rsidRPr="00CA23AA">
        <w:t>may be as high as</w:t>
      </w:r>
      <w:r w:rsidR="00D42355" w:rsidRPr="00CA23AA">
        <w:t xml:space="preserve"> </w:t>
      </w:r>
      <w:r w:rsidR="00594907" w:rsidRPr="00AD4862">
        <w:rPr>
          <w:color w:val="000000"/>
          <w:w w:val="88"/>
          <w:shd w:val="solid" w:color="000000" w:fill="000000"/>
          <w:fitText w:val="390" w:id="-1161539320"/>
          <w14:textFill>
            <w14:solidFill>
              <w14:srgbClr w14:val="000000">
                <w14:alpha w14:val="100000"/>
              </w14:srgbClr>
            </w14:solidFill>
          </w14:textFill>
        </w:rPr>
        <w:t>|||</w:t>
      </w:r>
      <w:r w:rsidR="00594907" w:rsidRPr="00AD4862">
        <w:rPr>
          <w:color w:val="000000"/>
          <w:spacing w:val="2"/>
          <w:w w:val="88"/>
          <w:shd w:val="solid" w:color="000000" w:fill="000000"/>
          <w:fitText w:val="390" w:id="-1161539320"/>
          <w14:textFill>
            <w14:solidFill>
              <w14:srgbClr w14:val="000000">
                <w14:alpha w14:val="100000"/>
              </w14:srgbClr>
            </w14:solidFill>
          </w14:textFill>
        </w:rPr>
        <w:t>|</w:t>
      </w:r>
      <w:r w:rsidR="00D42355" w:rsidRPr="00CA23AA">
        <w:t xml:space="preserve"> in the first three years</w:t>
      </w:r>
      <w:r w:rsidR="006F3A25" w:rsidRPr="00CA23AA">
        <w:t xml:space="preserve"> despite lower utilisation of TIS than expected.</w:t>
      </w:r>
      <w:r w:rsidR="00B80AB6" w:rsidRPr="00CA23AA">
        <w:t xml:space="preserve"> </w:t>
      </w:r>
      <w:r w:rsidR="00D42355" w:rsidRPr="00CA23AA">
        <w:t>This is largely attributed to the significant underestimation of ancillary program and disease management costs associated with patients treated with TIS.</w:t>
      </w:r>
      <w:r w:rsidR="00B50EF1" w:rsidRPr="00CA23AA">
        <w:t xml:space="preserve"> </w:t>
      </w:r>
      <w:r w:rsidR="0030644C" w:rsidRPr="00CA23AA">
        <w:t>However</w:t>
      </w:r>
      <w:r w:rsidR="00043B57" w:rsidRPr="00CA23AA">
        <w:t>,</w:t>
      </w:r>
      <w:r w:rsidR="0030644C" w:rsidRPr="00CA23AA">
        <w:t xml:space="preserve"> t</w:t>
      </w:r>
      <w:r w:rsidR="00F57F3E" w:rsidRPr="00CA23AA">
        <w:t xml:space="preserve">he </w:t>
      </w:r>
      <w:r w:rsidR="001E1029" w:rsidRPr="00CA23AA">
        <w:t xml:space="preserve">revised </w:t>
      </w:r>
      <w:r w:rsidR="00F57F3E" w:rsidRPr="00CA23AA">
        <w:t>costing data needs to be interpreted with caution</w:t>
      </w:r>
      <w:r w:rsidR="0030644C" w:rsidRPr="00CA23AA">
        <w:t xml:space="preserve">, </w:t>
      </w:r>
      <w:r w:rsidR="00F57F3E" w:rsidRPr="00CA23AA">
        <w:t xml:space="preserve">given it is </w:t>
      </w:r>
      <w:r w:rsidR="007A3895" w:rsidRPr="00CA23AA">
        <w:t>non-comparative</w:t>
      </w:r>
      <w:r w:rsidR="0030644C" w:rsidRPr="00CA23AA">
        <w:t>.</w:t>
      </w:r>
    </w:p>
    <w:bookmarkEnd w:id="76"/>
    <w:p w14:paraId="4D4F04FA" w14:textId="0E349F4A" w:rsidR="00F32E9A" w:rsidRPr="00CA23AA" w:rsidRDefault="00F32E9A" w:rsidP="00D42355">
      <w:r w:rsidRPr="00CA23AA">
        <w:t>There is also an outstanding concern regarding the costs incurred with out-of-specification product infusions, manufacturing or infusion failures and re-infusions. It is uncertain how much of these cost-activities are captured in the data provided by state and territories.</w:t>
      </w:r>
    </w:p>
    <w:p w14:paraId="7EFF554D" w14:textId="395CBF40" w:rsidR="009107C5" w:rsidRPr="00CA23AA" w:rsidRDefault="00702FAE" w:rsidP="00D42355">
      <w:bookmarkStart w:id="77" w:name="_Hlk131454317"/>
      <w:r w:rsidRPr="00CA23AA">
        <w:t>Given the sponsor</w:t>
      </w:r>
      <w:r w:rsidR="0086673C" w:rsidRPr="00CA23AA">
        <w:t xml:space="preserve"> is</w:t>
      </w:r>
      <w:r w:rsidRPr="00CA23AA">
        <w:t xml:space="preserve"> requesting changes in the cost of TIS and removal of patient cap numbers, a sensitivity analysis is provided in </w:t>
      </w:r>
      <w:r w:rsidR="0086673C" w:rsidRPr="00CA23AA">
        <w:fldChar w:fldCharType="begin"/>
      </w:r>
      <w:r w:rsidR="0086673C" w:rsidRPr="00CA23AA">
        <w:instrText xml:space="preserve"> REF _Ref131454416 \h </w:instrText>
      </w:r>
      <w:r w:rsidR="00CA23AA">
        <w:instrText xml:space="preserve"> \* MERGEFORMAT </w:instrText>
      </w:r>
      <w:r w:rsidR="0086673C" w:rsidRPr="00CA23AA">
        <w:fldChar w:fldCharType="separate"/>
      </w:r>
      <w:r w:rsidR="00175880" w:rsidRPr="00CA23AA">
        <w:t xml:space="preserve">Table </w:t>
      </w:r>
      <w:r w:rsidR="00175880" w:rsidRPr="00CA23AA">
        <w:rPr>
          <w:noProof/>
        </w:rPr>
        <w:t>20</w:t>
      </w:r>
      <w:r w:rsidR="0086673C" w:rsidRPr="00CA23AA">
        <w:fldChar w:fldCharType="end"/>
      </w:r>
      <w:r w:rsidR="0086673C" w:rsidRPr="00CA23AA">
        <w:t xml:space="preserve"> </w:t>
      </w:r>
      <w:r w:rsidRPr="00CA23AA">
        <w:t>to assess impact of change in average TIS cost and patient numbers.</w:t>
      </w:r>
    </w:p>
    <w:p w14:paraId="555269CD" w14:textId="4B74AA89" w:rsidR="00702FAE" w:rsidRPr="00CA23AA" w:rsidRDefault="00702FAE" w:rsidP="00001558">
      <w:pPr>
        <w:pStyle w:val="TableHeading0"/>
      </w:pPr>
      <w:bookmarkStart w:id="78" w:name="_Ref131454416"/>
      <w:r w:rsidRPr="00CA23AA">
        <w:t xml:space="preserve">Table </w:t>
      </w:r>
      <w:r w:rsidRPr="00CA23AA">
        <w:fldChar w:fldCharType="begin"/>
      </w:r>
      <w:r w:rsidRPr="00CA23AA">
        <w:instrText>SEQ Table \* ARABIC</w:instrText>
      </w:r>
      <w:r w:rsidRPr="00CA23AA">
        <w:fldChar w:fldCharType="separate"/>
      </w:r>
      <w:r w:rsidR="00175880" w:rsidRPr="00CA23AA">
        <w:rPr>
          <w:noProof/>
        </w:rPr>
        <w:t>20</w:t>
      </w:r>
      <w:r w:rsidRPr="00CA23AA">
        <w:fldChar w:fldCharType="end"/>
      </w:r>
      <w:bookmarkEnd w:id="78"/>
      <w:r w:rsidRPr="00CA23AA">
        <w:tab/>
        <w:t xml:space="preserve">Sensitivity analysis assessing impact of change in patient numbers and average TIS cost on annual health </w:t>
      </w:r>
      <w:proofErr w:type="gramStart"/>
      <w:r w:rsidRPr="00CA23AA">
        <w:t>budget</w:t>
      </w:r>
      <w:proofErr w:type="gramEnd"/>
    </w:p>
    <w:tbl>
      <w:tblPr>
        <w:tblStyle w:val="Summarybox1"/>
        <w:tblW w:w="5000" w:type="pct"/>
        <w:tblLayout w:type="fixed"/>
        <w:tblLook w:val="04A0" w:firstRow="1" w:lastRow="0" w:firstColumn="1" w:lastColumn="0" w:noHBand="0" w:noVBand="1"/>
        <w:tblCaption w:val="Sensitivity analysis assessing impact of change in patient numbers and average TIS cost on annual health budget"/>
        <w:tblDescription w:val="Sensitivity analysis assessing impact of change in patient numbers and average TIS cost on annual health budget"/>
      </w:tblPr>
      <w:tblGrid>
        <w:gridCol w:w="1980"/>
        <w:gridCol w:w="1134"/>
        <w:gridCol w:w="1134"/>
        <w:gridCol w:w="1134"/>
        <w:gridCol w:w="1134"/>
        <w:gridCol w:w="1277"/>
        <w:gridCol w:w="1223"/>
      </w:tblGrid>
      <w:tr w:rsidR="00702FAE" w:rsidRPr="00CA23AA" w14:paraId="759F4085" w14:textId="77777777" w:rsidTr="00594907">
        <w:trPr>
          <w:trHeight w:val="300"/>
        </w:trPr>
        <w:tc>
          <w:tcPr>
            <w:tcW w:w="10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4905E3" w14:textId="77777777" w:rsidR="00702FAE" w:rsidRPr="00CA23AA" w:rsidRDefault="00702FAE" w:rsidP="00702FAE">
            <w:pPr>
              <w:pStyle w:val="TableText"/>
              <w:rPr>
                <w:b/>
              </w:rPr>
            </w:pPr>
            <w:r w:rsidRPr="00CA23AA">
              <w:rPr>
                <w:b/>
              </w:rPr>
              <w:t>Average cost for TIS</w:t>
            </w:r>
          </w:p>
        </w:tc>
        <w:tc>
          <w:tcPr>
            <w:tcW w:w="1887" w:type="pct"/>
            <w:gridSpan w:val="3"/>
            <w:tcBorders>
              <w:top w:val="single" w:sz="4" w:space="0" w:color="auto"/>
              <w:left w:val="nil"/>
              <w:bottom w:val="single" w:sz="4" w:space="0" w:color="auto"/>
              <w:right w:val="single" w:sz="4" w:space="0" w:color="auto"/>
            </w:tcBorders>
            <w:shd w:val="solid" w:color="000000" w:fill="000000"/>
            <w:vAlign w:val="bottom"/>
            <w:hideMark/>
          </w:tcPr>
          <w:p w14:paraId="7673DA29" w14:textId="73401F84" w:rsidR="00702FAE" w:rsidRPr="00CA23AA" w:rsidRDefault="00594907" w:rsidP="00702FAE">
            <w:pPr>
              <w:pStyle w:val="TableText"/>
              <w:jc w:val="center"/>
              <w:rPr>
                <w:b/>
                <w:color w:val="000000"/>
                <w:vertAlign w:val="superscript"/>
              </w:rPr>
            </w:pPr>
            <w:r w:rsidRPr="00594907">
              <w:rPr>
                <w:b/>
                <w:color w:val="000000"/>
                <w14:textFill>
                  <w14:solidFill>
                    <w14:srgbClr w14:val="000000">
                      <w14:alpha w14:val="100000"/>
                    </w14:srgbClr>
                  </w14:solidFill>
                </w14:textFill>
              </w:rPr>
              <w:t>|</w:t>
            </w:r>
          </w:p>
        </w:tc>
        <w:tc>
          <w:tcPr>
            <w:tcW w:w="2015" w:type="pct"/>
            <w:gridSpan w:val="3"/>
            <w:tcBorders>
              <w:top w:val="single" w:sz="4" w:space="0" w:color="auto"/>
              <w:left w:val="nil"/>
              <w:bottom w:val="single" w:sz="4" w:space="0" w:color="auto"/>
              <w:right w:val="single" w:sz="4" w:space="0" w:color="auto"/>
            </w:tcBorders>
            <w:shd w:val="solid" w:color="000000" w:fill="000000"/>
            <w:vAlign w:val="bottom"/>
            <w:hideMark/>
          </w:tcPr>
          <w:p w14:paraId="55854B1B" w14:textId="7850ADF6" w:rsidR="00702FAE" w:rsidRPr="00CA23AA" w:rsidRDefault="00594907" w:rsidP="00702FAE">
            <w:pPr>
              <w:pStyle w:val="TableText"/>
              <w:jc w:val="center"/>
              <w:rPr>
                <w:b/>
                <w:color w:val="000000"/>
                <w:vertAlign w:val="superscript"/>
              </w:rPr>
            </w:pPr>
            <w:r w:rsidRPr="00594907">
              <w:rPr>
                <w:b/>
                <w:color w:val="000000"/>
                <w14:textFill>
                  <w14:solidFill>
                    <w14:srgbClr w14:val="000000">
                      <w14:alpha w14:val="100000"/>
                    </w14:srgbClr>
                  </w14:solidFill>
                </w14:textFill>
              </w:rPr>
              <w:t>|</w:t>
            </w:r>
          </w:p>
        </w:tc>
      </w:tr>
      <w:tr w:rsidR="00702FAE" w:rsidRPr="00CA23AA" w14:paraId="1FD4BF15" w14:textId="77777777" w:rsidTr="00702FAE">
        <w:trPr>
          <w:trHeight w:val="300"/>
        </w:trPr>
        <w:tc>
          <w:tcPr>
            <w:tcW w:w="1098" w:type="pct"/>
            <w:tcBorders>
              <w:top w:val="nil"/>
              <w:left w:val="single" w:sz="4" w:space="0" w:color="auto"/>
              <w:bottom w:val="single" w:sz="4" w:space="0" w:color="auto"/>
              <w:right w:val="single" w:sz="4" w:space="0" w:color="auto"/>
            </w:tcBorders>
            <w:shd w:val="clear" w:color="000000" w:fill="FFFFFF"/>
            <w:noWrap/>
            <w:vAlign w:val="bottom"/>
            <w:hideMark/>
          </w:tcPr>
          <w:p w14:paraId="797B15DD" w14:textId="77777777" w:rsidR="00702FAE" w:rsidRPr="00CA23AA" w:rsidRDefault="00702FAE" w:rsidP="00702FAE">
            <w:pPr>
              <w:pStyle w:val="TableText"/>
            </w:pPr>
            <w:r w:rsidRPr="00CA23AA">
              <w:t>Total infused patients</w:t>
            </w:r>
          </w:p>
        </w:tc>
        <w:tc>
          <w:tcPr>
            <w:tcW w:w="629" w:type="pct"/>
            <w:tcBorders>
              <w:top w:val="nil"/>
              <w:left w:val="nil"/>
              <w:bottom w:val="single" w:sz="4" w:space="0" w:color="auto"/>
              <w:right w:val="single" w:sz="4" w:space="0" w:color="auto"/>
            </w:tcBorders>
            <w:shd w:val="clear" w:color="000000" w:fill="FFFFFF"/>
            <w:vAlign w:val="bottom"/>
            <w:hideMark/>
          </w:tcPr>
          <w:p w14:paraId="0202C0B1" w14:textId="77777777" w:rsidR="00702FAE" w:rsidRPr="00CA23AA" w:rsidRDefault="00702FAE" w:rsidP="00702FAE">
            <w:pPr>
              <w:pStyle w:val="TableText"/>
              <w:jc w:val="center"/>
              <w:rPr>
                <w:color w:val="000000"/>
              </w:rPr>
            </w:pPr>
            <w:r w:rsidRPr="00CA23AA">
              <w:rPr>
                <w:color w:val="000000"/>
              </w:rPr>
              <w:t>20</w:t>
            </w:r>
          </w:p>
        </w:tc>
        <w:tc>
          <w:tcPr>
            <w:tcW w:w="629" w:type="pct"/>
            <w:tcBorders>
              <w:top w:val="nil"/>
              <w:left w:val="nil"/>
              <w:bottom w:val="single" w:sz="4" w:space="0" w:color="auto"/>
              <w:right w:val="single" w:sz="4" w:space="0" w:color="auto"/>
            </w:tcBorders>
            <w:shd w:val="clear" w:color="000000" w:fill="FFFFFF"/>
            <w:vAlign w:val="bottom"/>
            <w:hideMark/>
          </w:tcPr>
          <w:p w14:paraId="3EA6EE17" w14:textId="77777777" w:rsidR="00702FAE" w:rsidRPr="00CA23AA" w:rsidRDefault="00702FAE" w:rsidP="00702FAE">
            <w:pPr>
              <w:pStyle w:val="TableText"/>
              <w:jc w:val="center"/>
              <w:rPr>
                <w:color w:val="000000"/>
              </w:rPr>
            </w:pPr>
            <w:r w:rsidRPr="00CA23AA">
              <w:rPr>
                <w:color w:val="000000"/>
              </w:rPr>
              <w:t>28</w:t>
            </w:r>
          </w:p>
        </w:tc>
        <w:tc>
          <w:tcPr>
            <w:tcW w:w="629" w:type="pct"/>
            <w:tcBorders>
              <w:top w:val="nil"/>
              <w:left w:val="nil"/>
              <w:bottom w:val="single" w:sz="4" w:space="0" w:color="auto"/>
              <w:right w:val="single" w:sz="4" w:space="0" w:color="auto"/>
            </w:tcBorders>
            <w:shd w:val="clear" w:color="000000" w:fill="FFFFFF"/>
            <w:vAlign w:val="bottom"/>
            <w:hideMark/>
          </w:tcPr>
          <w:p w14:paraId="2508AD25" w14:textId="77777777" w:rsidR="00702FAE" w:rsidRPr="00CA23AA" w:rsidRDefault="00702FAE" w:rsidP="00702FAE">
            <w:pPr>
              <w:pStyle w:val="TableText"/>
              <w:jc w:val="center"/>
              <w:rPr>
                <w:color w:val="000000"/>
              </w:rPr>
            </w:pPr>
            <w:r w:rsidRPr="00CA23AA">
              <w:rPr>
                <w:color w:val="000000"/>
              </w:rPr>
              <w:t>40</w:t>
            </w:r>
          </w:p>
        </w:tc>
        <w:tc>
          <w:tcPr>
            <w:tcW w:w="629" w:type="pct"/>
            <w:tcBorders>
              <w:top w:val="nil"/>
              <w:left w:val="nil"/>
              <w:bottom w:val="single" w:sz="4" w:space="0" w:color="auto"/>
              <w:right w:val="single" w:sz="4" w:space="0" w:color="auto"/>
            </w:tcBorders>
            <w:shd w:val="clear" w:color="000000" w:fill="FFFFFF"/>
            <w:vAlign w:val="bottom"/>
            <w:hideMark/>
          </w:tcPr>
          <w:p w14:paraId="58E7252E" w14:textId="77777777" w:rsidR="00702FAE" w:rsidRPr="00CA23AA" w:rsidRDefault="00702FAE" w:rsidP="00702FAE">
            <w:pPr>
              <w:pStyle w:val="TableText"/>
              <w:jc w:val="center"/>
              <w:rPr>
                <w:color w:val="000000"/>
              </w:rPr>
            </w:pPr>
            <w:r w:rsidRPr="00CA23AA">
              <w:rPr>
                <w:color w:val="000000"/>
              </w:rPr>
              <w:t>20</w:t>
            </w:r>
          </w:p>
        </w:tc>
        <w:tc>
          <w:tcPr>
            <w:tcW w:w="708" w:type="pct"/>
            <w:tcBorders>
              <w:top w:val="nil"/>
              <w:left w:val="nil"/>
              <w:bottom w:val="single" w:sz="4" w:space="0" w:color="auto"/>
              <w:right w:val="single" w:sz="4" w:space="0" w:color="auto"/>
            </w:tcBorders>
            <w:shd w:val="clear" w:color="000000" w:fill="FFFFFF"/>
            <w:vAlign w:val="bottom"/>
            <w:hideMark/>
          </w:tcPr>
          <w:p w14:paraId="368A2D27" w14:textId="77777777" w:rsidR="00702FAE" w:rsidRPr="00CA23AA" w:rsidRDefault="00702FAE" w:rsidP="00702FAE">
            <w:pPr>
              <w:pStyle w:val="TableText"/>
              <w:jc w:val="center"/>
              <w:rPr>
                <w:color w:val="000000"/>
              </w:rPr>
            </w:pPr>
            <w:r w:rsidRPr="00CA23AA">
              <w:rPr>
                <w:color w:val="000000"/>
              </w:rPr>
              <w:t>28</w:t>
            </w:r>
          </w:p>
        </w:tc>
        <w:tc>
          <w:tcPr>
            <w:tcW w:w="678" w:type="pct"/>
            <w:tcBorders>
              <w:top w:val="nil"/>
              <w:left w:val="nil"/>
              <w:bottom w:val="single" w:sz="4" w:space="0" w:color="auto"/>
              <w:right w:val="single" w:sz="4" w:space="0" w:color="auto"/>
            </w:tcBorders>
            <w:shd w:val="clear" w:color="000000" w:fill="FFFFFF"/>
            <w:vAlign w:val="bottom"/>
            <w:hideMark/>
          </w:tcPr>
          <w:p w14:paraId="6DF30A08" w14:textId="77777777" w:rsidR="00702FAE" w:rsidRPr="00CA23AA" w:rsidRDefault="00702FAE" w:rsidP="00702FAE">
            <w:pPr>
              <w:pStyle w:val="TableText"/>
              <w:jc w:val="center"/>
              <w:rPr>
                <w:color w:val="000000"/>
              </w:rPr>
            </w:pPr>
            <w:r w:rsidRPr="00CA23AA">
              <w:rPr>
                <w:color w:val="000000"/>
              </w:rPr>
              <w:t>40</w:t>
            </w:r>
          </w:p>
        </w:tc>
      </w:tr>
      <w:tr w:rsidR="00702FAE" w:rsidRPr="00CA23AA" w14:paraId="5689936C" w14:textId="77777777" w:rsidTr="00702FAE">
        <w:trPr>
          <w:trHeight w:val="300"/>
        </w:trPr>
        <w:tc>
          <w:tcPr>
            <w:tcW w:w="1098" w:type="pct"/>
            <w:tcBorders>
              <w:top w:val="nil"/>
              <w:left w:val="single" w:sz="4" w:space="0" w:color="auto"/>
              <w:bottom w:val="single" w:sz="4" w:space="0" w:color="auto"/>
              <w:right w:val="single" w:sz="4" w:space="0" w:color="auto"/>
            </w:tcBorders>
            <w:shd w:val="clear" w:color="000000" w:fill="FFFFFF"/>
            <w:noWrap/>
            <w:vAlign w:val="bottom"/>
            <w:hideMark/>
          </w:tcPr>
          <w:p w14:paraId="3FB34AF1" w14:textId="53825151" w:rsidR="00702FAE" w:rsidRPr="00CA23AA" w:rsidRDefault="00702FAE" w:rsidP="00702FAE">
            <w:pPr>
              <w:pStyle w:val="TableText"/>
              <w:rPr>
                <w:vertAlign w:val="superscript"/>
              </w:rPr>
            </w:pPr>
            <w:r w:rsidRPr="00CA23AA">
              <w:t>Average other program cost per patient</w:t>
            </w:r>
            <w:r w:rsidR="00FA39B1" w:rsidRPr="00CA23AA">
              <w:rPr>
                <w:vertAlign w:val="superscript"/>
              </w:rPr>
              <w:t>3</w:t>
            </w:r>
          </w:p>
        </w:tc>
        <w:tc>
          <w:tcPr>
            <w:tcW w:w="3902" w:type="pct"/>
            <w:gridSpan w:val="6"/>
            <w:tcBorders>
              <w:top w:val="single" w:sz="4" w:space="0" w:color="auto"/>
              <w:left w:val="nil"/>
              <w:bottom w:val="single" w:sz="4" w:space="0" w:color="auto"/>
              <w:right w:val="single" w:sz="4" w:space="0" w:color="auto"/>
            </w:tcBorders>
            <w:shd w:val="clear" w:color="000000" w:fill="FFFFFF"/>
            <w:vAlign w:val="bottom"/>
            <w:hideMark/>
          </w:tcPr>
          <w:p w14:paraId="5C4ECFDF" w14:textId="77777777" w:rsidR="00702FAE" w:rsidRPr="00CA23AA" w:rsidRDefault="00702FAE" w:rsidP="00702FAE">
            <w:pPr>
              <w:pStyle w:val="TableText"/>
              <w:jc w:val="center"/>
              <w:rPr>
                <w:color w:val="000000"/>
              </w:rPr>
            </w:pPr>
            <w:r w:rsidRPr="00CA23AA">
              <w:rPr>
                <w:color w:val="000000"/>
              </w:rPr>
              <w:t>$466,622</w:t>
            </w:r>
          </w:p>
        </w:tc>
      </w:tr>
      <w:tr w:rsidR="00702FAE" w:rsidRPr="00CA23AA" w14:paraId="3CFA8467" w14:textId="77777777" w:rsidTr="00594907">
        <w:trPr>
          <w:trHeight w:val="300"/>
        </w:trPr>
        <w:tc>
          <w:tcPr>
            <w:tcW w:w="1098" w:type="pct"/>
            <w:tcBorders>
              <w:top w:val="nil"/>
              <w:left w:val="single" w:sz="4" w:space="0" w:color="auto"/>
              <w:bottom w:val="single" w:sz="4" w:space="0" w:color="auto"/>
              <w:right w:val="single" w:sz="4" w:space="0" w:color="auto"/>
            </w:tcBorders>
            <w:shd w:val="clear" w:color="000000" w:fill="FFFFFF"/>
            <w:noWrap/>
            <w:vAlign w:val="bottom"/>
            <w:hideMark/>
          </w:tcPr>
          <w:p w14:paraId="76E98846" w14:textId="77777777" w:rsidR="00702FAE" w:rsidRPr="00CA23AA" w:rsidRDefault="00702FAE" w:rsidP="00702FAE">
            <w:pPr>
              <w:pStyle w:val="TableText"/>
            </w:pPr>
            <w:r w:rsidRPr="00CA23AA">
              <w:t>Total cost for TIS (including program cost)</w:t>
            </w:r>
          </w:p>
        </w:tc>
        <w:tc>
          <w:tcPr>
            <w:tcW w:w="629" w:type="pct"/>
            <w:tcBorders>
              <w:top w:val="nil"/>
              <w:left w:val="nil"/>
              <w:bottom w:val="single" w:sz="4" w:space="0" w:color="auto"/>
              <w:right w:val="single" w:sz="4" w:space="0" w:color="auto"/>
            </w:tcBorders>
            <w:shd w:val="solid" w:color="000000" w:fill="000000"/>
            <w:vAlign w:val="bottom"/>
            <w:hideMark/>
          </w:tcPr>
          <w:p w14:paraId="781DD0CD" w14:textId="61FBF509"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nil"/>
              <w:left w:val="nil"/>
              <w:bottom w:val="single" w:sz="4" w:space="0" w:color="auto"/>
              <w:right w:val="single" w:sz="4" w:space="0" w:color="auto"/>
            </w:tcBorders>
            <w:shd w:val="solid" w:color="000000" w:fill="000000"/>
            <w:vAlign w:val="bottom"/>
            <w:hideMark/>
          </w:tcPr>
          <w:p w14:paraId="2AE02D8D" w14:textId="10D4B67B"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nil"/>
              <w:left w:val="nil"/>
              <w:bottom w:val="single" w:sz="4" w:space="0" w:color="auto"/>
              <w:right w:val="single" w:sz="4" w:space="0" w:color="auto"/>
            </w:tcBorders>
            <w:shd w:val="solid" w:color="000000" w:fill="000000"/>
            <w:vAlign w:val="bottom"/>
            <w:hideMark/>
          </w:tcPr>
          <w:p w14:paraId="75405568" w14:textId="2F7225D1"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nil"/>
              <w:left w:val="nil"/>
              <w:bottom w:val="single" w:sz="4" w:space="0" w:color="auto"/>
              <w:right w:val="single" w:sz="4" w:space="0" w:color="auto"/>
            </w:tcBorders>
            <w:shd w:val="solid" w:color="000000" w:fill="000000"/>
            <w:vAlign w:val="bottom"/>
            <w:hideMark/>
          </w:tcPr>
          <w:p w14:paraId="40197928" w14:textId="105A414A"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708" w:type="pct"/>
            <w:tcBorders>
              <w:top w:val="nil"/>
              <w:left w:val="nil"/>
              <w:bottom w:val="single" w:sz="4" w:space="0" w:color="auto"/>
              <w:right w:val="single" w:sz="4" w:space="0" w:color="auto"/>
            </w:tcBorders>
            <w:shd w:val="solid" w:color="000000" w:fill="000000"/>
            <w:vAlign w:val="bottom"/>
            <w:hideMark/>
          </w:tcPr>
          <w:p w14:paraId="2C49CF78" w14:textId="798CB027"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78" w:type="pct"/>
            <w:tcBorders>
              <w:top w:val="nil"/>
              <w:left w:val="nil"/>
              <w:bottom w:val="single" w:sz="4" w:space="0" w:color="auto"/>
              <w:right w:val="single" w:sz="4" w:space="0" w:color="auto"/>
            </w:tcBorders>
            <w:shd w:val="solid" w:color="000000" w:fill="000000"/>
            <w:vAlign w:val="bottom"/>
            <w:hideMark/>
          </w:tcPr>
          <w:p w14:paraId="26A90390" w14:textId="2C08133B"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r>
      <w:tr w:rsidR="00702FAE" w:rsidRPr="00CA23AA" w14:paraId="31422B69" w14:textId="77777777" w:rsidTr="00594907">
        <w:trPr>
          <w:trHeight w:val="300"/>
        </w:trPr>
        <w:tc>
          <w:tcPr>
            <w:tcW w:w="1098" w:type="pct"/>
            <w:tcBorders>
              <w:top w:val="nil"/>
              <w:left w:val="single" w:sz="4" w:space="0" w:color="auto"/>
              <w:bottom w:val="single" w:sz="4" w:space="0" w:color="auto"/>
              <w:right w:val="single" w:sz="4" w:space="0" w:color="auto"/>
            </w:tcBorders>
            <w:shd w:val="clear" w:color="000000" w:fill="FFFFFF"/>
            <w:noWrap/>
            <w:vAlign w:val="bottom"/>
            <w:hideMark/>
          </w:tcPr>
          <w:p w14:paraId="71B63C21" w14:textId="77777777" w:rsidR="00702FAE" w:rsidRPr="00CA23AA" w:rsidRDefault="00702FAE" w:rsidP="00702FAE">
            <w:pPr>
              <w:pStyle w:val="TableText"/>
            </w:pPr>
            <w:r w:rsidRPr="00CA23AA">
              <w:t>BLN (average cost offsets per patient)</w:t>
            </w:r>
          </w:p>
        </w:tc>
        <w:tc>
          <w:tcPr>
            <w:tcW w:w="3902" w:type="pct"/>
            <w:gridSpan w:val="6"/>
            <w:tcBorders>
              <w:top w:val="single" w:sz="4" w:space="0" w:color="auto"/>
              <w:left w:val="nil"/>
              <w:bottom w:val="single" w:sz="4" w:space="0" w:color="auto"/>
              <w:right w:val="single" w:sz="4" w:space="0" w:color="auto"/>
            </w:tcBorders>
            <w:shd w:val="solid" w:color="000000" w:fill="000000"/>
            <w:vAlign w:val="bottom"/>
            <w:hideMark/>
          </w:tcPr>
          <w:p w14:paraId="772DC096" w14:textId="49FA07FA"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r>
      <w:tr w:rsidR="00594907" w:rsidRPr="00CA23AA" w14:paraId="21226C8A" w14:textId="77777777" w:rsidTr="00594907">
        <w:trPr>
          <w:trHeight w:val="300"/>
        </w:trPr>
        <w:tc>
          <w:tcPr>
            <w:tcW w:w="1098" w:type="pct"/>
            <w:tcBorders>
              <w:top w:val="nil"/>
              <w:left w:val="single" w:sz="4" w:space="0" w:color="auto"/>
              <w:bottom w:val="single" w:sz="4" w:space="0" w:color="auto"/>
              <w:right w:val="single" w:sz="4" w:space="0" w:color="auto"/>
            </w:tcBorders>
            <w:shd w:val="clear" w:color="000000" w:fill="FFFFFF"/>
            <w:noWrap/>
            <w:vAlign w:val="bottom"/>
            <w:hideMark/>
          </w:tcPr>
          <w:p w14:paraId="52882ACB" w14:textId="77777777" w:rsidR="00702FAE" w:rsidRPr="00CA23AA" w:rsidRDefault="00702FAE" w:rsidP="00702FAE">
            <w:pPr>
              <w:pStyle w:val="TableText"/>
            </w:pPr>
            <w:r w:rsidRPr="00CA23AA">
              <w:t>Total cost offsets</w:t>
            </w:r>
          </w:p>
        </w:tc>
        <w:tc>
          <w:tcPr>
            <w:tcW w:w="629" w:type="pct"/>
            <w:tcBorders>
              <w:top w:val="nil"/>
              <w:left w:val="nil"/>
              <w:bottom w:val="single" w:sz="4" w:space="0" w:color="auto"/>
              <w:right w:val="single" w:sz="4" w:space="0" w:color="auto"/>
            </w:tcBorders>
            <w:shd w:val="solid" w:color="000000" w:fill="000000"/>
            <w:vAlign w:val="bottom"/>
            <w:hideMark/>
          </w:tcPr>
          <w:p w14:paraId="4CDE8ACE" w14:textId="16883808"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nil"/>
              <w:left w:val="nil"/>
              <w:bottom w:val="single" w:sz="4" w:space="0" w:color="auto"/>
              <w:right w:val="single" w:sz="4" w:space="0" w:color="auto"/>
            </w:tcBorders>
            <w:shd w:val="solid" w:color="000000" w:fill="000000"/>
            <w:vAlign w:val="bottom"/>
            <w:hideMark/>
          </w:tcPr>
          <w:p w14:paraId="107FF19B" w14:textId="5D28DB3E"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nil"/>
              <w:left w:val="nil"/>
              <w:bottom w:val="single" w:sz="4" w:space="0" w:color="auto"/>
              <w:right w:val="single" w:sz="4" w:space="0" w:color="auto"/>
            </w:tcBorders>
            <w:shd w:val="solid" w:color="000000" w:fill="000000"/>
            <w:vAlign w:val="bottom"/>
            <w:hideMark/>
          </w:tcPr>
          <w:p w14:paraId="176488F3" w14:textId="463F65EA"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nil"/>
              <w:left w:val="nil"/>
              <w:bottom w:val="single" w:sz="4" w:space="0" w:color="auto"/>
              <w:right w:val="single" w:sz="4" w:space="0" w:color="auto"/>
            </w:tcBorders>
            <w:shd w:val="solid" w:color="000000" w:fill="000000"/>
            <w:vAlign w:val="bottom"/>
            <w:hideMark/>
          </w:tcPr>
          <w:p w14:paraId="06E68A41" w14:textId="4702B377"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708" w:type="pct"/>
            <w:tcBorders>
              <w:top w:val="nil"/>
              <w:left w:val="nil"/>
              <w:bottom w:val="single" w:sz="4" w:space="0" w:color="auto"/>
              <w:right w:val="single" w:sz="4" w:space="0" w:color="auto"/>
            </w:tcBorders>
            <w:shd w:val="solid" w:color="000000" w:fill="000000"/>
            <w:vAlign w:val="bottom"/>
            <w:hideMark/>
          </w:tcPr>
          <w:p w14:paraId="55528706" w14:textId="2E7095B6"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78" w:type="pct"/>
            <w:tcBorders>
              <w:top w:val="nil"/>
              <w:left w:val="nil"/>
              <w:bottom w:val="single" w:sz="4" w:space="0" w:color="auto"/>
              <w:right w:val="single" w:sz="4" w:space="0" w:color="auto"/>
            </w:tcBorders>
            <w:shd w:val="solid" w:color="000000" w:fill="000000"/>
            <w:vAlign w:val="bottom"/>
            <w:hideMark/>
          </w:tcPr>
          <w:p w14:paraId="5A12DFD9" w14:textId="0337B2AE"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r>
      <w:tr w:rsidR="00594907" w:rsidRPr="00CA23AA" w14:paraId="631E51A6" w14:textId="77777777" w:rsidTr="00594907">
        <w:trPr>
          <w:trHeight w:val="300"/>
        </w:trPr>
        <w:tc>
          <w:tcPr>
            <w:tcW w:w="1098" w:type="pct"/>
            <w:tcBorders>
              <w:top w:val="nil"/>
              <w:left w:val="single" w:sz="4" w:space="0" w:color="auto"/>
              <w:bottom w:val="single" w:sz="4" w:space="0" w:color="auto"/>
              <w:right w:val="single" w:sz="4" w:space="0" w:color="auto"/>
            </w:tcBorders>
            <w:shd w:val="clear" w:color="000000" w:fill="FFFFFF"/>
            <w:noWrap/>
            <w:vAlign w:val="bottom"/>
            <w:hideMark/>
          </w:tcPr>
          <w:p w14:paraId="40AAA267" w14:textId="77777777" w:rsidR="00702FAE" w:rsidRPr="00CA23AA" w:rsidRDefault="00702FAE" w:rsidP="00702FAE">
            <w:pPr>
              <w:pStyle w:val="TableText"/>
            </w:pPr>
            <w:r w:rsidRPr="00CA23AA">
              <w:t>Net cost</w:t>
            </w:r>
          </w:p>
        </w:tc>
        <w:tc>
          <w:tcPr>
            <w:tcW w:w="629" w:type="pct"/>
            <w:tcBorders>
              <w:top w:val="single" w:sz="4" w:space="0" w:color="auto"/>
              <w:left w:val="nil"/>
              <w:bottom w:val="single" w:sz="4" w:space="0" w:color="auto"/>
              <w:right w:val="single" w:sz="4" w:space="0" w:color="auto"/>
            </w:tcBorders>
            <w:shd w:val="solid" w:color="000000" w:fill="000000"/>
            <w:vAlign w:val="bottom"/>
            <w:hideMark/>
          </w:tcPr>
          <w:p w14:paraId="6D253310" w14:textId="60793E7B"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single" w:sz="4" w:space="0" w:color="auto"/>
              <w:left w:val="nil"/>
              <w:bottom w:val="single" w:sz="4" w:space="0" w:color="auto"/>
              <w:right w:val="single" w:sz="4" w:space="0" w:color="auto"/>
            </w:tcBorders>
            <w:shd w:val="solid" w:color="000000" w:fill="000000"/>
            <w:vAlign w:val="bottom"/>
            <w:hideMark/>
          </w:tcPr>
          <w:p w14:paraId="4724F15C" w14:textId="01BAEB45"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single" w:sz="4" w:space="0" w:color="auto"/>
              <w:left w:val="nil"/>
              <w:bottom w:val="single" w:sz="4" w:space="0" w:color="auto"/>
              <w:right w:val="single" w:sz="4" w:space="0" w:color="auto"/>
            </w:tcBorders>
            <w:shd w:val="solid" w:color="000000" w:fill="000000"/>
            <w:vAlign w:val="bottom"/>
            <w:hideMark/>
          </w:tcPr>
          <w:p w14:paraId="6F4C3CB2" w14:textId="4A513184"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29" w:type="pct"/>
            <w:tcBorders>
              <w:top w:val="single" w:sz="4" w:space="0" w:color="auto"/>
              <w:left w:val="nil"/>
              <w:bottom w:val="single" w:sz="4" w:space="0" w:color="auto"/>
              <w:right w:val="single" w:sz="4" w:space="0" w:color="auto"/>
            </w:tcBorders>
            <w:shd w:val="solid" w:color="000000" w:fill="000000"/>
            <w:vAlign w:val="bottom"/>
            <w:hideMark/>
          </w:tcPr>
          <w:p w14:paraId="5AC1768B" w14:textId="58C87299"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708" w:type="pct"/>
            <w:tcBorders>
              <w:top w:val="single" w:sz="4" w:space="0" w:color="auto"/>
              <w:left w:val="nil"/>
              <w:bottom w:val="single" w:sz="4" w:space="0" w:color="auto"/>
              <w:right w:val="single" w:sz="4" w:space="0" w:color="auto"/>
            </w:tcBorders>
            <w:shd w:val="solid" w:color="000000" w:fill="000000"/>
            <w:vAlign w:val="bottom"/>
            <w:hideMark/>
          </w:tcPr>
          <w:p w14:paraId="4AED9254" w14:textId="5EDA0ED3"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c>
          <w:tcPr>
            <w:tcW w:w="678" w:type="pct"/>
            <w:tcBorders>
              <w:top w:val="single" w:sz="4" w:space="0" w:color="auto"/>
              <w:left w:val="nil"/>
              <w:bottom w:val="single" w:sz="4" w:space="0" w:color="auto"/>
              <w:right w:val="single" w:sz="4" w:space="0" w:color="auto"/>
            </w:tcBorders>
            <w:shd w:val="solid" w:color="000000" w:fill="000000"/>
            <w:vAlign w:val="bottom"/>
            <w:hideMark/>
          </w:tcPr>
          <w:p w14:paraId="17138692" w14:textId="3C320CE1" w:rsidR="00702FAE" w:rsidRPr="00CA23AA" w:rsidRDefault="00594907" w:rsidP="00702FAE">
            <w:pPr>
              <w:pStyle w:val="TableText"/>
              <w:jc w:val="center"/>
              <w:rPr>
                <w:color w:val="000000"/>
              </w:rPr>
            </w:pPr>
            <w:r w:rsidRPr="00594907">
              <w:rPr>
                <w:color w:val="000000"/>
                <w14:textFill>
                  <w14:solidFill>
                    <w14:srgbClr w14:val="000000">
                      <w14:alpha w14:val="100000"/>
                    </w14:srgbClr>
                  </w14:solidFill>
                </w14:textFill>
              </w:rPr>
              <w:t>|</w:t>
            </w:r>
          </w:p>
        </w:tc>
      </w:tr>
    </w:tbl>
    <w:p w14:paraId="5A40A37B" w14:textId="546B8B79" w:rsidR="00702FAE" w:rsidRPr="00CA23AA" w:rsidRDefault="00702FAE" w:rsidP="00702FAE">
      <w:pPr>
        <w:pStyle w:val="Tablenotes0"/>
      </w:pPr>
      <w:r w:rsidRPr="00CA23AA">
        <w:t>BLN = blinatumomab; TIS = tisagenlecleucel</w:t>
      </w:r>
    </w:p>
    <w:bookmarkEnd w:id="77"/>
    <w:p w14:paraId="4E54C2B5" w14:textId="77777777" w:rsidR="00F22A8B" w:rsidRPr="00CA23AA" w:rsidRDefault="00F22A8B" w:rsidP="00F22A8B">
      <w:pPr>
        <w:pStyle w:val="Tablenotes0"/>
      </w:pPr>
      <w:r w:rsidRPr="00CA23AA">
        <w:t xml:space="preserve">Compiled for the commentary based on “TIS </w:t>
      </w:r>
      <w:proofErr w:type="spellStart"/>
      <w:r w:rsidRPr="00CA23AA">
        <w:t>pALL</w:t>
      </w:r>
      <w:proofErr w:type="spellEnd"/>
      <w:r w:rsidRPr="00CA23AA">
        <w:t xml:space="preserve"> BIM.xlsx” and data provided by states and territories.</w:t>
      </w:r>
    </w:p>
    <w:p w14:paraId="3671EA13" w14:textId="77777777" w:rsidR="00F32E9A" w:rsidRPr="00CA23AA" w:rsidRDefault="00F22A8B" w:rsidP="00F22A8B">
      <w:pPr>
        <w:pStyle w:val="Tablenotes0"/>
      </w:pPr>
      <w:bookmarkStart w:id="79" w:name="_Hlk131493827"/>
      <w:r w:rsidRPr="00CA23AA">
        <w:rPr>
          <w:vertAlign w:val="superscript"/>
        </w:rPr>
        <w:t xml:space="preserve">1 </w:t>
      </w:r>
      <w:r w:rsidR="00F32E9A" w:rsidRPr="00CA23AA">
        <w:t>Average TIS cost based on MSAC Quarterly report ending in January 2023.</w:t>
      </w:r>
    </w:p>
    <w:p w14:paraId="7D25ED52" w14:textId="02A27DEE" w:rsidR="00F32E9A" w:rsidRPr="00CA23AA" w:rsidRDefault="00F32E9A" w:rsidP="00F22A8B">
      <w:pPr>
        <w:pStyle w:val="Tablenotes0"/>
      </w:pPr>
      <w:r w:rsidRPr="00CA23AA">
        <w:rPr>
          <w:vertAlign w:val="superscript"/>
        </w:rPr>
        <w:t xml:space="preserve">2 </w:t>
      </w:r>
      <w:r w:rsidRPr="00CA23AA">
        <w:t xml:space="preserve">Standardised TIS product cost after successful infusion as part of </w:t>
      </w:r>
      <w:r w:rsidR="00556409" w:rsidRPr="00CA23AA">
        <w:t xml:space="preserve">proposed </w:t>
      </w:r>
      <w:r w:rsidRPr="00CA23AA">
        <w:t>new funding arrangements.</w:t>
      </w:r>
    </w:p>
    <w:bookmarkEnd w:id="79"/>
    <w:p w14:paraId="4826C493" w14:textId="60E2B3A3" w:rsidR="00F22A8B" w:rsidRPr="00CA23AA" w:rsidRDefault="00F32E9A" w:rsidP="00F22A8B">
      <w:pPr>
        <w:pStyle w:val="Tablenotes0"/>
      </w:pPr>
      <w:r w:rsidRPr="00CA23AA">
        <w:rPr>
          <w:vertAlign w:val="superscript"/>
        </w:rPr>
        <w:t>3</w:t>
      </w:r>
      <w:r w:rsidRPr="00CA23AA">
        <w:t xml:space="preserve"> </w:t>
      </w:r>
      <w:r w:rsidR="00F22A8B" w:rsidRPr="00CA23AA">
        <w:t>Average other program cost per patient, $466,622 was derived using state and territory data excluding cost of TIS product cost.</w:t>
      </w:r>
    </w:p>
    <w:p w14:paraId="5033370B" w14:textId="77777777" w:rsidR="00D42355" w:rsidRPr="00CA23AA" w:rsidRDefault="00D42355" w:rsidP="004E3EC2">
      <w:pPr>
        <w:pStyle w:val="Heading3"/>
      </w:pPr>
      <w:r w:rsidRPr="00CA23AA">
        <w:t xml:space="preserve">Financial Management – Risk Sharing Arrangements </w:t>
      </w:r>
    </w:p>
    <w:p w14:paraId="44121EAB" w14:textId="72B5D0CB" w:rsidR="006A00C7" w:rsidRPr="00CA23AA" w:rsidRDefault="00594907" w:rsidP="00D05261">
      <w:pPr>
        <w:pStyle w:val="Tablenotes0"/>
        <w:jc w:val="left"/>
        <w:rPr>
          <w:rFonts w:ascii="Franklin Gothic Book" w:hAnsi="Franklin Gothic Book" w:cstheme="minorBidi"/>
          <w:sz w:val="22"/>
        </w:rPr>
      </w:pPr>
      <w:r w:rsidRPr="00594907">
        <w:rPr>
          <w:color w:val="000000"/>
          <w:spacing w:val="173"/>
          <w:shd w:val="solid" w:color="000000" w:fill="000000"/>
          <w:fitText w:val="250" w:id="-1161539072"/>
          <w14:textFill>
            <w14:solidFill>
              <w14:srgbClr w14:val="000000">
                <w14:alpha w14:val="100000"/>
              </w14:srgbClr>
            </w14:solidFill>
          </w14:textFill>
        </w:rPr>
        <w:t>|</w:t>
      </w:r>
      <w:r w:rsidRPr="00594907">
        <w:rPr>
          <w:color w:val="000000"/>
          <w:spacing w:val="1"/>
          <w:shd w:val="solid" w:color="000000" w:fill="000000"/>
          <w:fitText w:val="250" w:id="-1161539072"/>
          <w14:textFill>
            <w14:solidFill>
              <w14:srgbClr w14:val="000000">
                <w14:alpha w14:val="100000"/>
              </w14:srgbClr>
            </w14:solidFill>
          </w14:textFill>
        </w:rPr>
        <w:t>|</w:t>
      </w:r>
      <w:r w:rsidR="006A00C7" w:rsidRPr="00CA23AA">
        <w:rPr>
          <w:rFonts w:ascii="Franklin Gothic Book" w:hAnsi="Franklin Gothic Book" w:cstheme="minorBidi"/>
          <w:sz w:val="22"/>
        </w:rPr>
        <w:t xml:space="preserve">. </w:t>
      </w:r>
    </w:p>
    <w:p w14:paraId="60A6E760" w14:textId="7B017AA4" w:rsidR="006A00C7" w:rsidRPr="00CA23AA" w:rsidRDefault="006A00C7" w:rsidP="006A00C7">
      <w:pPr>
        <w:pStyle w:val="Caption"/>
      </w:pPr>
      <w:bookmarkStart w:id="80" w:name="_Ref133838881"/>
      <w:r w:rsidRPr="00CA23AA">
        <w:t xml:space="preserve">Table </w:t>
      </w:r>
      <w:fldSimple w:instr=" SEQ Table \* ARABIC ">
        <w:r w:rsidR="00175880" w:rsidRPr="00CA23AA">
          <w:rPr>
            <w:noProof/>
          </w:rPr>
          <w:t>21</w:t>
        </w:r>
      </w:fldSimple>
      <w:bookmarkEnd w:id="80"/>
      <w:r w:rsidRPr="00CA23AA">
        <w:tab/>
      </w:r>
      <w:r w:rsidR="00594907" w:rsidRPr="00594907">
        <w:rPr>
          <w:color w:val="000000"/>
          <w:spacing w:val="178"/>
          <w:shd w:val="solid" w:color="000000" w:fill="000000"/>
          <w:fitText w:val="270" w:id="-1161539071"/>
          <w14:textFill>
            <w14:solidFill>
              <w14:srgbClr w14:val="000000">
                <w14:alpha w14:val="100000"/>
              </w14:srgbClr>
            </w14:solidFill>
          </w14:textFill>
        </w:rPr>
        <w:t>|</w:t>
      </w:r>
      <w:r w:rsidR="00594907" w:rsidRPr="00594907">
        <w:rPr>
          <w:color w:val="000000"/>
          <w:spacing w:val="1"/>
          <w:shd w:val="solid" w:color="000000" w:fill="000000"/>
          <w:fitText w:val="270" w:id="-1161539071"/>
          <w14:textFill>
            <w14:solidFill>
              <w14:srgbClr w14:val="000000">
                <w14:alpha w14:val="100000"/>
              </w14:srgbClr>
            </w14:solidFill>
          </w14:textFill>
        </w:rPr>
        <w:t>|</w:t>
      </w:r>
    </w:p>
    <w:tbl>
      <w:tblPr>
        <w:tblStyle w:val="TableGrid"/>
        <w:tblW w:w="5000" w:type="pct"/>
        <w:tblLook w:val="04A0" w:firstRow="1" w:lastRow="0" w:firstColumn="1" w:lastColumn="0" w:noHBand="0" w:noVBand="1"/>
        <w:tblCaption w:val="Estimation of 12-month complete remission rate (April 2019)"/>
        <w:tblDescription w:val="Estimation of 12-month complete remission rate (April 2019)"/>
      </w:tblPr>
      <w:tblGrid>
        <w:gridCol w:w="4519"/>
        <w:gridCol w:w="4497"/>
      </w:tblGrid>
      <w:tr w:rsidR="006A00C7" w:rsidRPr="00CA23AA" w14:paraId="00B2D0BB" w14:textId="77777777" w:rsidTr="00594907">
        <w:tc>
          <w:tcPr>
            <w:tcW w:w="2506" w:type="pct"/>
            <w:tcBorders>
              <w:top w:val="single" w:sz="4" w:space="0" w:color="auto"/>
              <w:left w:val="single" w:sz="4" w:space="0" w:color="auto"/>
              <w:bottom w:val="single" w:sz="4" w:space="0" w:color="auto"/>
              <w:right w:val="single" w:sz="4" w:space="0" w:color="auto"/>
            </w:tcBorders>
            <w:shd w:val="solid" w:color="000000" w:fill="000000"/>
            <w:hideMark/>
          </w:tcPr>
          <w:p w14:paraId="7E07430F" w14:textId="24B76998" w:rsidR="006A00C7" w:rsidRPr="00CA23AA" w:rsidRDefault="00594907" w:rsidP="004F5820">
            <w:pPr>
              <w:spacing w:before="0"/>
              <w:jc w:val="both"/>
              <w:rPr>
                <w:rFonts w:ascii="Arial Narrow" w:hAnsi="Arial Narrow"/>
                <w:b/>
                <w:sz w:val="20"/>
                <w:szCs w:val="20"/>
              </w:rPr>
            </w:pPr>
            <w:r w:rsidRPr="00594907">
              <w:rPr>
                <w:rFonts w:ascii="Arial Narrow" w:hAnsi="Arial Narrow"/>
                <w:b/>
                <w:color w:val="000000"/>
                <w:spacing w:val="22"/>
                <w:sz w:val="20"/>
                <w:szCs w:val="20"/>
                <w:fitText w:val="250" w:id="-1161539070"/>
                <w14:textFill>
                  <w14:solidFill>
                    <w14:srgbClr w14:val="000000">
                      <w14:alpha w14:val="100000"/>
                    </w14:srgbClr>
                  </w14:solidFill>
                </w14:textFill>
              </w:rPr>
              <w:t xml:space="preserve">|  </w:t>
            </w:r>
            <w:r w:rsidRPr="00594907">
              <w:rPr>
                <w:rFonts w:ascii="Arial Narrow" w:hAnsi="Arial Narrow"/>
                <w:b/>
                <w:color w:val="000000"/>
                <w:spacing w:val="1"/>
                <w:sz w:val="20"/>
                <w:szCs w:val="20"/>
                <w:fitText w:val="250" w:id="-1161539070"/>
                <w14:textFill>
                  <w14:solidFill>
                    <w14:srgbClr w14:val="000000">
                      <w14:alpha w14:val="100000"/>
                    </w14:srgbClr>
                  </w14:solidFill>
                </w14:textFill>
              </w:rPr>
              <w:t>|</w:t>
            </w:r>
          </w:p>
        </w:tc>
        <w:tc>
          <w:tcPr>
            <w:tcW w:w="2494" w:type="pct"/>
            <w:tcBorders>
              <w:top w:val="single" w:sz="4" w:space="0" w:color="auto"/>
              <w:left w:val="single" w:sz="4" w:space="0" w:color="auto"/>
              <w:bottom w:val="single" w:sz="4" w:space="0" w:color="auto"/>
              <w:right w:val="single" w:sz="4" w:space="0" w:color="auto"/>
            </w:tcBorders>
            <w:shd w:val="solid" w:color="000000" w:fill="000000"/>
            <w:hideMark/>
          </w:tcPr>
          <w:p w14:paraId="77A499F2" w14:textId="0D37C145" w:rsidR="006A00C7" w:rsidRPr="00CA23AA" w:rsidRDefault="00594907" w:rsidP="004F5820">
            <w:pPr>
              <w:spacing w:before="0"/>
              <w:jc w:val="center"/>
              <w:rPr>
                <w:rFonts w:ascii="Arial Narrow" w:hAnsi="Arial Narrow"/>
                <w:b/>
                <w:sz w:val="20"/>
                <w:szCs w:val="20"/>
              </w:rPr>
            </w:pPr>
            <w:r w:rsidRPr="00594907">
              <w:rPr>
                <w:rFonts w:ascii="Arial Narrow" w:hAnsi="Arial Narrow"/>
                <w:b/>
                <w:color w:val="000000"/>
                <w:sz w:val="20"/>
                <w:szCs w:val="20"/>
                <w14:textFill>
                  <w14:solidFill>
                    <w14:srgbClr w14:val="000000">
                      <w14:alpha w14:val="100000"/>
                    </w14:srgbClr>
                  </w14:solidFill>
                </w14:textFill>
              </w:rPr>
              <w:t>|</w:t>
            </w:r>
          </w:p>
        </w:tc>
      </w:tr>
      <w:tr w:rsidR="006A00C7" w:rsidRPr="00CA23AA" w14:paraId="6BE847D4" w14:textId="77777777" w:rsidTr="00594907">
        <w:tc>
          <w:tcPr>
            <w:tcW w:w="2506" w:type="pct"/>
            <w:tcBorders>
              <w:top w:val="single" w:sz="4" w:space="0" w:color="auto"/>
              <w:left w:val="single" w:sz="4" w:space="0" w:color="auto"/>
              <w:bottom w:val="single" w:sz="4" w:space="0" w:color="auto"/>
              <w:right w:val="single" w:sz="4" w:space="0" w:color="auto"/>
            </w:tcBorders>
            <w:shd w:val="solid" w:color="000000" w:fill="000000"/>
            <w:hideMark/>
          </w:tcPr>
          <w:p w14:paraId="66FE3421" w14:textId="0EED24F5" w:rsidR="006A00C7" w:rsidRPr="00CA23AA" w:rsidRDefault="00594907" w:rsidP="004F5820">
            <w:pPr>
              <w:spacing w:before="0"/>
              <w:jc w:val="both"/>
              <w:rPr>
                <w:rFonts w:ascii="Arial Narrow" w:hAnsi="Arial Narrow"/>
                <w:sz w:val="20"/>
                <w:szCs w:val="20"/>
              </w:rPr>
            </w:pPr>
            <w:r w:rsidRPr="00594907">
              <w:rPr>
                <w:rFonts w:ascii="Arial Narrow" w:hAnsi="Arial Narrow"/>
                <w:color w:val="000000"/>
                <w:spacing w:val="24"/>
                <w:sz w:val="20"/>
                <w:szCs w:val="20"/>
                <w:fitText w:val="250" w:id="-1161539069"/>
                <w14:textFill>
                  <w14:solidFill>
                    <w14:srgbClr w14:val="000000">
                      <w14:alpha w14:val="100000"/>
                    </w14:srgbClr>
                  </w14:solidFill>
                </w14:textFill>
              </w:rPr>
              <w:t xml:space="preserve">|  </w:t>
            </w:r>
            <w:r w:rsidRPr="00594907">
              <w:rPr>
                <w:rFonts w:ascii="Arial Narrow" w:hAnsi="Arial Narrow"/>
                <w:color w:val="000000"/>
                <w:spacing w:val="2"/>
                <w:sz w:val="20"/>
                <w:szCs w:val="20"/>
                <w:fitText w:val="250" w:id="-1161539069"/>
                <w14:textFill>
                  <w14:solidFill>
                    <w14:srgbClr w14:val="000000">
                      <w14:alpha w14:val="100000"/>
                    </w14:srgbClr>
                  </w14:solidFill>
                </w14:textFill>
              </w:rPr>
              <w:t>|</w:t>
            </w:r>
          </w:p>
        </w:tc>
        <w:tc>
          <w:tcPr>
            <w:tcW w:w="2494" w:type="pct"/>
            <w:tcBorders>
              <w:top w:val="single" w:sz="4" w:space="0" w:color="auto"/>
              <w:left w:val="single" w:sz="4" w:space="0" w:color="auto"/>
              <w:bottom w:val="single" w:sz="4" w:space="0" w:color="auto"/>
              <w:right w:val="single" w:sz="4" w:space="0" w:color="auto"/>
            </w:tcBorders>
            <w:shd w:val="solid" w:color="000000" w:fill="000000"/>
            <w:hideMark/>
          </w:tcPr>
          <w:p w14:paraId="4122B78C" w14:textId="6A008502" w:rsidR="006A00C7" w:rsidRPr="00CA23AA" w:rsidRDefault="00594907" w:rsidP="004F5820">
            <w:pPr>
              <w:spacing w:before="0"/>
              <w:jc w:val="center"/>
              <w:rPr>
                <w:rFonts w:ascii="Arial Narrow" w:hAnsi="Arial Narrow"/>
                <w:sz w:val="20"/>
                <w:szCs w:val="20"/>
              </w:rPr>
            </w:pPr>
            <w:r w:rsidRPr="00594907">
              <w:rPr>
                <w:rFonts w:ascii="Arial Narrow" w:hAnsi="Arial Narrow"/>
                <w:color w:val="000000"/>
                <w:sz w:val="20"/>
                <w:szCs w:val="20"/>
                <w14:textFill>
                  <w14:solidFill>
                    <w14:srgbClr w14:val="000000">
                      <w14:alpha w14:val="100000"/>
                    </w14:srgbClr>
                  </w14:solidFill>
                </w14:textFill>
              </w:rPr>
              <w:t>|</w:t>
            </w:r>
          </w:p>
        </w:tc>
      </w:tr>
      <w:tr w:rsidR="006A00C7" w:rsidRPr="00CA23AA" w14:paraId="2A399CAE" w14:textId="77777777" w:rsidTr="00594907">
        <w:tc>
          <w:tcPr>
            <w:tcW w:w="2506" w:type="pct"/>
            <w:tcBorders>
              <w:top w:val="single" w:sz="4" w:space="0" w:color="auto"/>
              <w:left w:val="single" w:sz="4" w:space="0" w:color="auto"/>
              <w:bottom w:val="single" w:sz="4" w:space="0" w:color="auto"/>
              <w:right w:val="single" w:sz="4" w:space="0" w:color="auto"/>
            </w:tcBorders>
            <w:shd w:val="solid" w:color="000000" w:fill="000000"/>
            <w:hideMark/>
          </w:tcPr>
          <w:p w14:paraId="49188547" w14:textId="4879CFF5" w:rsidR="006A00C7" w:rsidRPr="00CA23AA" w:rsidRDefault="00594907" w:rsidP="004F5820">
            <w:pPr>
              <w:spacing w:before="0"/>
              <w:jc w:val="both"/>
              <w:rPr>
                <w:rFonts w:ascii="Arial Narrow" w:hAnsi="Arial Narrow"/>
                <w:sz w:val="20"/>
                <w:szCs w:val="20"/>
              </w:rPr>
            </w:pPr>
            <w:r w:rsidRPr="00594907">
              <w:rPr>
                <w:rFonts w:ascii="Arial Narrow" w:hAnsi="Arial Narrow"/>
                <w:color w:val="000000"/>
                <w:spacing w:val="24"/>
                <w:sz w:val="20"/>
                <w:szCs w:val="20"/>
                <w:fitText w:val="250" w:id="-1161539068"/>
                <w14:textFill>
                  <w14:solidFill>
                    <w14:srgbClr w14:val="000000">
                      <w14:alpha w14:val="100000"/>
                    </w14:srgbClr>
                  </w14:solidFill>
                </w14:textFill>
              </w:rPr>
              <w:t xml:space="preserve">|  </w:t>
            </w:r>
            <w:r w:rsidRPr="00594907">
              <w:rPr>
                <w:rFonts w:ascii="Arial Narrow" w:hAnsi="Arial Narrow"/>
                <w:color w:val="000000"/>
                <w:spacing w:val="2"/>
                <w:sz w:val="20"/>
                <w:szCs w:val="20"/>
                <w:fitText w:val="250" w:id="-1161539068"/>
                <w14:textFill>
                  <w14:solidFill>
                    <w14:srgbClr w14:val="000000">
                      <w14:alpha w14:val="100000"/>
                    </w14:srgbClr>
                  </w14:solidFill>
                </w14:textFill>
              </w:rPr>
              <w:t>|</w:t>
            </w:r>
          </w:p>
        </w:tc>
        <w:tc>
          <w:tcPr>
            <w:tcW w:w="2494" w:type="pct"/>
            <w:tcBorders>
              <w:top w:val="single" w:sz="4" w:space="0" w:color="auto"/>
              <w:left w:val="single" w:sz="4" w:space="0" w:color="auto"/>
              <w:bottom w:val="single" w:sz="4" w:space="0" w:color="auto"/>
              <w:right w:val="single" w:sz="4" w:space="0" w:color="auto"/>
            </w:tcBorders>
            <w:shd w:val="solid" w:color="000000" w:fill="000000"/>
            <w:hideMark/>
          </w:tcPr>
          <w:p w14:paraId="4CBDD8F9" w14:textId="23393AD2" w:rsidR="006A00C7" w:rsidRPr="00CA23AA" w:rsidRDefault="00594907" w:rsidP="004F5820">
            <w:pPr>
              <w:spacing w:before="0"/>
              <w:jc w:val="center"/>
              <w:rPr>
                <w:rFonts w:ascii="Arial Narrow" w:hAnsi="Arial Narrow"/>
                <w:sz w:val="20"/>
                <w:szCs w:val="20"/>
              </w:rPr>
            </w:pPr>
            <w:r w:rsidRPr="00594907">
              <w:rPr>
                <w:rFonts w:ascii="Arial Narrow" w:hAnsi="Arial Narrow"/>
                <w:color w:val="000000"/>
                <w:sz w:val="20"/>
                <w:szCs w:val="20"/>
                <w14:textFill>
                  <w14:solidFill>
                    <w14:srgbClr w14:val="000000">
                      <w14:alpha w14:val="100000"/>
                    </w14:srgbClr>
                  </w14:solidFill>
                </w14:textFill>
              </w:rPr>
              <w:t>|</w:t>
            </w:r>
          </w:p>
        </w:tc>
      </w:tr>
      <w:tr w:rsidR="006A00C7" w:rsidRPr="00CA23AA" w14:paraId="0D614808" w14:textId="77777777" w:rsidTr="00594907">
        <w:tc>
          <w:tcPr>
            <w:tcW w:w="2506" w:type="pct"/>
            <w:tcBorders>
              <w:top w:val="single" w:sz="4" w:space="0" w:color="auto"/>
              <w:left w:val="single" w:sz="4" w:space="0" w:color="auto"/>
              <w:bottom w:val="single" w:sz="4" w:space="0" w:color="auto"/>
              <w:right w:val="single" w:sz="4" w:space="0" w:color="auto"/>
            </w:tcBorders>
            <w:shd w:val="solid" w:color="000000" w:fill="000000"/>
            <w:hideMark/>
          </w:tcPr>
          <w:p w14:paraId="7F3C78FA" w14:textId="7084C666" w:rsidR="006A00C7" w:rsidRPr="00CA23AA" w:rsidRDefault="00594907" w:rsidP="004F5820">
            <w:pPr>
              <w:spacing w:before="0"/>
              <w:jc w:val="both"/>
              <w:rPr>
                <w:rFonts w:ascii="Arial Narrow" w:hAnsi="Arial Narrow"/>
                <w:sz w:val="20"/>
                <w:szCs w:val="20"/>
              </w:rPr>
            </w:pPr>
            <w:r w:rsidRPr="00594907">
              <w:rPr>
                <w:rFonts w:ascii="Arial Narrow" w:hAnsi="Arial Narrow"/>
                <w:color w:val="000000"/>
                <w:spacing w:val="24"/>
                <w:sz w:val="20"/>
                <w:szCs w:val="20"/>
                <w:fitText w:val="250" w:id="-1161539067"/>
                <w14:textFill>
                  <w14:solidFill>
                    <w14:srgbClr w14:val="000000">
                      <w14:alpha w14:val="100000"/>
                    </w14:srgbClr>
                  </w14:solidFill>
                </w14:textFill>
              </w:rPr>
              <w:t xml:space="preserve">|  </w:t>
            </w:r>
            <w:r w:rsidRPr="00594907">
              <w:rPr>
                <w:rFonts w:ascii="Arial Narrow" w:hAnsi="Arial Narrow"/>
                <w:color w:val="000000"/>
                <w:spacing w:val="2"/>
                <w:sz w:val="20"/>
                <w:szCs w:val="20"/>
                <w:fitText w:val="250" w:id="-1161539067"/>
                <w14:textFill>
                  <w14:solidFill>
                    <w14:srgbClr w14:val="000000">
                      <w14:alpha w14:val="100000"/>
                    </w14:srgbClr>
                  </w14:solidFill>
                </w14:textFill>
              </w:rPr>
              <w:t>|</w:t>
            </w:r>
          </w:p>
        </w:tc>
        <w:tc>
          <w:tcPr>
            <w:tcW w:w="2494" w:type="pct"/>
            <w:tcBorders>
              <w:top w:val="single" w:sz="4" w:space="0" w:color="auto"/>
              <w:left w:val="single" w:sz="4" w:space="0" w:color="auto"/>
              <w:bottom w:val="single" w:sz="4" w:space="0" w:color="auto"/>
              <w:right w:val="single" w:sz="4" w:space="0" w:color="auto"/>
            </w:tcBorders>
            <w:shd w:val="solid" w:color="000000" w:fill="000000"/>
            <w:hideMark/>
          </w:tcPr>
          <w:p w14:paraId="4DFA10BF" w14:textId="3AF615A2" w:rsidR="006A00C7" w:rsidRPr="00CA23AA" w:rsidRDefault="00594907" w:rsidP="004F5820">
            <w:pPr>
              <w:spacing w:before="0"/>
              <w:jc w:val="center"/>
              <w:rPr>
                <w:rFonts w:ascii="Arial Narrow" w:hAnsi="Arial Narrow"/>
                <w:sz w:val="20"/>
                <w:szCs w:val="20"/>
              </w:rPr>
            </w:pPr>
            <w:r w:rsidRPr="00594907">
              <w:rPr>
                <w:rFonts w:ascii="Arial Narrow" w:hAnsi="Arial Narrow"/>
                <w:color w:val="000000"/>
                <w:sz w:val="20"/>
                <w:szCs w:val="20"/>
                <w14:textFill>
                  <w14:solidFill>
                    <w14:srgbClr w14:val="000000">
                      <w14:alpha w14:val="100000"/>
                    </w14:srgbClr>
                  </w14:solidFill>
                </w14:textFill>
              </w:rPr>
              <w:t>|</w:t>
            </w:r>
          </w:p>
        </w:tc>
      </w:tr>
      <w:tr w:rsidR="006A00C7" w:rsidRPr="00CA23AA" w14:paraId="7851F67C" w14:textId="77777777" w:rsidTr="00594907">
        <w:tc>
          <w:tcPr>
            <w:tcW w:w="2506" w:type="pct"/>
            <w:tcBorders>
              <w:top w:val="single" w:sz="4" w:space="0" w:color="auto"/>
              <w:left w:val="single" w:sz="4" w:space="0" w:color="auto"/>
              <w:bottom w:val="single" w:sz="4" w:space="0" w:color="auto"/>
              <w:right w:val="single" w:sz="4" w:space="0" w:color="auto"/>
            </w:tcBorders>
            <w:shd w:val="solid" w:color="000000" w:fill="000000"/>
            <w:hideMark/>
          </w:tcPr>
          <w:p w14:paraId="681509CF" w14:textId="6D428BCB" w:rsidR="006A00C7" w:rsidRPr="00CA23AA" w:rsidRDefault="00594907" w:rsidP="004F5820">
            <w:pPr>
              <w:spacing w:before="0"/>
              <w:jc w:val="both"/>
              <w:rPr>
                <w:rFonts w:ascii="Arial Narrow" w:hAnsi="Arial Narrow"/>
                <w:sz w:val="20"/>
                <w:szCs w:val="20"/>
              </w:rPr>
            </w:pPr>
            <w:r w:rsidRPr="00594907">
              <w:rPr>
                <w:rFonts w:ascii="Arial Narrow" w:hAnsi="Arial Narrow"/>
                <w:color w:val="000000"/>
                <w:spacing w:val="24"/>
                <w:sz w:val="20"/>
                <w:szCs w:val="20"/>
                <w:fitText w:val="250" w:id="-1161539066"/>
                <w14:textFill>
                  <w14:solidFill>
                    <w14:srgbClr w14:val="000000">
                      <w14:alpha w14:val="100000"/>
                    </w14:srgbClr>
                  </w14:solidFill>
                </w14:textFill>
              </w:rPr>
              <w:t xml:space="preserve">|  </w:t>
            </w:r>
            <w:r w:rsidRPr="00594907">
              <w:rPr>
                <w:rFonts w:ascii="Arial Narrow" w:hAnsi="Arial Narrow"/>
                <w:color w:val="000000"/>
                <w:spacing w:val="2"/>
                <w:sz w:val="20"/>
                <w:szCs w:val="20"/>
                <w:fitText w:val="250" w:id="-1161539066"/>
                <w14:textFill>
                  <w14:solidFill>
                    <w14:srgbClr w14:val="000000">
                      <w14:alpha w14:val="100000"/>
                    </w14:srgbClr>
                  </w14:solidFill>
                </w14:textFill>
              </w:rPr>
              <w:t>|</w:t>
            </w:r>
          </w:p>
        </w:tc>
        <w:tc>
          <w:tcPr>
            <w:tcW w:w="2494" w:type="pct"/>
            <w:tcBorders>
              <w:top w:val="single" w:sz="4" w:space="0" w:color="auto"/>
              <w:left w:val="single" w:sz="4" w:space="0" w:color="auto"/>
              <w:bottom w:val="single" w:sz="4" w:space="0" w:color="auto"/>
              <w:right w:val="single" w:sz="4" w:space="0" w:color="auto"/>
            </w:tcBorders>
            <w:shd w:val="solid" w:color="000000" w:fill="000000"/>
            <w:hideMark/>
          </w:tcPr>
          <w:p w14:paraId="0A263F2A" w14:textId="376E3888" w:rsidR="006A00C7" w:rsidRPr="00CA23AA" w:rsidRDefault="00594907" w:rsidP="004F5820">
            <w:pPr>
              <w:spacing w:before="0"/>
              <w:jc w:val="center"/>
              <w:rPr>
                <w:rFonts w:ascii="Arial Narrow" w:hAnsi="Arial Narrow"/>
                <w:sz w:val="20"/>
                <w:szCs w:val="20"/>
              </w:rPr>
            </w:pPr>
            <w:r w:rsidRPr="00594907">
              <w:rPr>
                <w:rFonts w:ascii="Arial Narrow" w:hAnsi="Arial Narrow"/>
                <w:color w:val="000000"/>
                <w:sz w:val="20"/>
                <w:szCs w:val="20"/>
                <w14:textFill>
                  <w14:solidFill>
                    <w14:srgbClr w14:val="000000">
                      <w14:alpha w14:val="100000"/>
                    </w14:srgbClr>
                  </w14:solidFill>
                </w14:textFill>
              </w:rPr>
              <w:t>|</w:t>
            </w:r>
          </w:p>
        </w:tc>
      </w:tr>
    </w:tbl>
    <w:p w14:paraId="6F1C621C" w14:textId="0339C9E3" w:rsidR="00C92C40" w:rsidRPr="00CA23AA" w:rsidRDefault="00594907" w:rsidP="00D05261">
      <w:pPr>
        <w:pStyle w:val="Tablenotes0"/>
        <w:jc w:val="left"/>
        <w:rPr>
          <w:rFonts w:ascii="Franklin Gothic Book" w:hAnsi="Franklin Gothic Book" w:cstheme="minorBidi"/>
          <w:sz w:val="22"/>
        </w:rPr>
      </w:pPr>
      <w:r w:rsidRPr="00594907">
        <w:rPr>
          <w:color w:val="000000"/>
          <w:spacing w:val="31"/>
          <w:shd w:val="solid" w:color="000000" w:fill="000000"/>
          <w:fitText w:val="670" w:id="-1161539061"/>
          <w14:textFill>
            <w14:solidFill>
              <w14:srgbClr w14:val="000000">
                <w14:alpha w14:val="100000"/>
              </w14:srgbClr>
            </w14:solidFill>
          </w14:textFill>
        </w:rPr>
        <w:t>|||||||||</w:t>
      </w:r>
      <w:r w:rsidRPr="00594907">
        <w:rPr>
          <w:color w:val="000000"/>
          <w:spacing w:val="8"/>
          <w:shd w:val="solid" w:color="000000" w:fill="000000"/>
          <w:fitText w:val="670" w:id="-1161539061"/>
          <w14:textFill>
            <w14:solidFill>
              <w14:srgbClr w14:val="000000">
                <w14:alpha w14:val="100000"/>
              </w14:srgbClr>
            </w14:solidFill>
          </w14:textFill>
        </w:rPr>
        <w:t>|</w:t>
      </w:r>
      <w:r w:rsidR="000A78C5" w:rsidRPr="00CA23AA">
        <w:rPr>
          <w:rFonts w:ascii="Franklin Gothic Book" w:hAnsi="Franklin Gothic Book" w:cstheme="minorBidi"/>
          <w:sz w:val="22"/>
        </w:rPr>
        <w:t xml:space="preserve"> </w:t>
      </w:r>
    </w:p>
    <w:p w14:paraId="797754D3" w14:textId="174F0CFC" w:rsidR="00572011" w:rsidRPr="00CA23AA" w:rsidRDefault="00572011" w:rsidP="00001558">
      <w:pPr>
        <w:pStyle w:val="TableHeading0"/>
      </w:pPr>
      <w:bookmarkStart w:id="81" w:name="_Ref133838935"/>
      <w:r w:rsidRPr="00CA23AA">
        <w:t xml:space="preserve">Table </w:t>
      </w:r>
      <w:fldSimple w:instr=" SEQ Table \* ARABIC ">
        <w:r w:rsidR="00175880" w:rsidRPr="00CA23AA">
          <w:rPr>
            <w:noProof/>
          </w:rPr>
          <w:t>22</w:t>
        </w:r>
      </w:fldSimple>
      <w:bookmarkEnd w:id="81"/>
      <w:r w:rsidRPr="00CA23AA">
        <w:tab/>
      </w:r>
      <w:r w:rsidR="00594907" w:rsidRPr="00594907">
        <w:rPr>
          <w:color w:val="000000"/>
          <w:spacing w:val="178"/>
          <w:shd w:val="solid" w:color="000000" w:fill="000000"/>
          <w:fitText w:val="270" w:id="-1161539060"/>
          <w14:textFill>
            <w14:solidFill>
              <w14:srgbClr w14:val="000000">
                <w14:alpha w14:val="100000"/>
              </w14:srgbClr>
            </w14:solidFill>
          </w14:textFill>
        </w:rPr>
        <w:t>|</w:t>
      </w:r>
      <w:r w:rsidR="00594907" w:rsidRPr="00594907">
        <w:rPr>
          <w:color w:val="000000"/>
          <w:spacing w:val="1"/>
          <w:shd w:val="solid" w:color="000000" w:fill="000000"/>
          <w:fitText w:val="270" w:id="-1161539060"/>
          <w14:textFill>
            <w14:solidFill>
              <w14:srgbClr w14:val="000000">
                <w14:alpha w14:val="100000"/>
              </w14:srgbClr>
            </w14:solidFill>
          </w14:textFill>
        </w:rPr>
        <w:t>|</w:t>
      </w:r>
    </w:p>
    <w:tbl>
      <w:tblPr>
        <w:tblStyle w:val="Summarybox1"/>
        <w:tblW w:w="8840" w:type="dxa"/>
        <w:tblLook w:val="04A0" w:firstRow="1" w:lastRow="0" w:firstColumn="1" w:lastColumn="0" w:noHBand="0" w:noVBand="1"/>
        <w:tblCaption w:val="Pay for performance pricing April 2019"/>
        <w:tblDescription w:val="Pay for performance pricing April 2019"/>
      </w:tblPr>
      <w:tblGrid>
        <w:gridCol w:w="5420"/>
        <w:gridCol w:w="1300"/>
        <w:gridCol w:w="1060"/>
        <w:gridCol w:w="1060"/>
      </w:tblGrid>
      <w:tr w:rsidR="002C13E9" w:rsidRPr="00CA23AA" w14:paraId="74C0A504" w14:textId="77777777" w:rsidTr="00594907">
        <w:trPr>
          <w:trHeight w:val="255"/>
        </w:trPr>
        <w:tc>
          <w:tcPr>
            <w:tcW w:w="5420"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32ED55A8" w14:textId="5951445A" w:rsidR="002C13E9" w:rsidRPr="00CA23AA" w:rsidRDefault="00594907" w:rsidP="002C13E9">
            <w:pPr>
              <w:spacing w:before="0"/>
              <w:rPr>
                <w:rFonts w:ascii="Arial Narrow" w:eastAsia="Times New Roman" w:hAnsi="Arial Narrow" w:cs="Arial"/>
                <w:b/>
                <w:bCs/>
                <w:color w:val="000000"/>
                <w:sz w:val="20"/>
                <w:szCs w:val="20"/>
              </w:rPr>
            </w:pPr>
            <w:r w:rsidRPr="00594907">
              <w:rPr>
                <w:rFonts w:ascii="Arial Narrow" w:eastAsia="Times New Roman" w:hAnsi="Arial Narrow" w:cs="Arial"/>
                <w:b/>
                <w:bCs/>
                <w:color w:val="000000"/>
                <w:spacing w:val="178"/>
                <w:sz w:val="20"/>
                <w:szCs w:val="20"/>
                <w:fitText w:val="270" w:id="-1161539059"/>
                <w14:textFill>
                  <w14:solidFill>
                    <w14:srgbClr w14:val="000000">
                      <w14:alpha w14:val="100000"/>
                    </w14:srgbClr>
                  </w14:solidFill>
                </w14:textFill>
              </w:rPr>
              <w:t>|</w:t>
            </w:r>
            <w:r w:rsidRPr="00594907">
              <w:rPr>
                <w:rFonts w:ascii="Arial Narrow" w:eastAsia="Times New Roman" w:hAnsi="Arial Narrow" w:cs="Arial"/>
                <w:b/>
                <w:bCs/>
                <w:color w:val="000000"/>
                <w:sz w:val="20"/>
                <w:szCs w:val="20"/>
                <w:fitText w:val="270" w:id="-1161539059"/>
                <w14:textFill>
                  <w14:solidFill>
                    <w14:srgbClr w14:val="000000">
                      <w14:alpha w14:val="100000"/>
                    </w14:srgbClr>
                  </w14:solidFill>
                </w14:textFill>
              </w:rPr>
              <w:t>|</w:t>
            </w:r>
          </w:p>
        </w:tc>
        <w:tc>
          <w:tcPr>
            <w:tcW w:w="1300" w:type="dxa"/>
            <w:tcBorders>
              <w:top w:val="single" w:sz="4" w:space="0" w:color="auto"/>
              <w:left w:val="nil"/>
              <w:bottom w:val="single" w:sz="4" w:space="0" w:color="auto"/>
              <w:right w:val="single" w:sz="4" w:space="0" w:color="auto"/>
            </w:tcBorders>
            <w:shd w:val="solid" w:color="000000" w:fill="000000"/>
            <w:vAlign w:val="center"/>
            <w:hideMark/>
          </w:tcPr>
          <w:p w14:paraId="55FBD3F0" w14:textId="501473D0"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color w:val="000000"/>
                <w:sz w:val="20"/>
                <w:szCs w:val="20"/>
                <w14:textFill>
                  <w14:solidFill>
                    <w14:srgbClr w14:val="000000">
                      <w14:alpha w14:val="100000"/>
                    </w14:srgbClr>
                  </w14:solidFill>
                </w14:textFill>
              </w:rPr>
              <w:t>|</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38FE8A16" w14:textId="2FA3D5FC"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58"/>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58"/>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58"/>
                <w14:textFill>
                  <w14:solidFill>
                    <w14:srgbClr w14:val="000000">
                      <w14:alpha w14:val="100000"/>
                    </w14:srgbClr>
                  </w14:solidFill>
                </w14:textFill>
              </w:rPr>
              <w:t xml:space="preserve">　</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1804370D" w14:textId="3734DDED"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57"/>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57"/>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57"/>
                <w14:textFill>
                  <w14:solidFill>
                    <w14:srgbClr w14:val="000000">
                      <w14:alpha w14:val="100000"/>
                    </w14:srgbClr>
                  </w14:solidFill>
                </w14:textFill>
              </w:rPr>
              <w:t xml:space="preserve">　</w:t>
            </w:r>
          </w:p>
        </w:tc>
      </w:tr>
      <w:tr w:rsidR="002C13E9" w:rsidRPr="00CA23AA" w14:paraId="5D6849A6" w14:textId="77777777" w:rsidTr="00594907">
        <w:trPr>
          <w:trHeight w:val="510"/>
        </w:trPr>
        <w:tc>
          <w:tcPr>
            <w:tcW w:w="5420"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D878C9B" w14:textId="3CB019CE" w:rsidR="002C13E9" w:rsidRPr="00CA23AA" w:rsidRDefault="00594907" w:rsidP="002C13E9">
            <w:pPr>
              <w:spacing w:before="0"/>
              <w:rPr>
                <w:rFonts w:ascii="Arial Narrow" w:eastAsia="Times New Roman" w:hAnsi="Arial Narrow" w:cs="Arial"/>
                <w:color w:val="000000"/>
                <w:sz w:val="20"/>
                <w:szCs w:val="20"/>
              </w:rPr>
            </w:pPr>
            <w:r w:rsidRPr="00594907">
              <w:rPr>
                <w:rFonts w:ascii="Arial Narrow" w:eastAsia="Times New Roman" w:hAnsi="Arial Narrow" w:cs="Arial"/>
                <w:color w:val="000000"/>
                <w:spacing w:val="184"/>
                <w:sz w:val="20"/>
                <w:szCs w:val="20"/>
                <w:fitText w:val="270" w:id="-1161539056"/>
                <w14:textFill>
                  <w14:solidFill>
                    <w14:srgbClr w14:val="000000">
                      <w14:alpha w14:val="100000"/>
                    </w14:srgbClr>
                  </w14:solidFill>
                </w14:textFill>
              </w:rPr>
              <w:t>|</w:t>
            </w:r>
            <w:r w:rsidRPr="00594907">
              <w:rPr>
                <w:rFonts w:ascii="Arial Narrow" w:eastAsia="Times New Roman" w:hAnsi="Arial Narrow" w:cs="Arial"/>
                <w:color w:val="000000"/>
                <w:sz w:val="20"/>
                <w:szCs w:val="20"/>
                <w:fitText w:val="270" w:id="-1161539056"/>
                <w14:textFill>
                  <w14:solidFill>
                    <w14:srgbClr w14:val="000000">
                      <w14:alpha w14:val="100000"/>
                    </w14:srgbClr>
                  </w14:solidFill>
                </w14:textFill>
              </w:rPr>
              <w:t>|</w:t>
            </w:r>
          </w:p>
        </w:tc>
        <w:tc>
          <w:tcPr>
            <w:tcW w:w="1300" w:type="dxa"/>
            <w:tcBorders>
              <w:top w:val="single" w:sz="4" w:space="0" w:color="auto"/>
              <w:left w:val="nil"/>
              <w:bottom w:val="single" w:sz="4" w:space="0" w:color="auto"/>
              <w:right w:val="single" w:sz="4" w:space="0" w:color="auto"/>
            </w:tcBorders>
            <w:shd w:val="solid" w:color="000000" w:fill="000000"/>
            <w:vAlign w:val="center"/>
            <w:hideMark/>
          </w:tcPr>
          <w:p w14:paraId="7429DD6A" w14:textId="1E55C72C"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color w:val="000000"/>
                <w:sz w:val="20"/>
                <w:szCs w:val="20"/>
                <w14:textFill>
                  <w14:solidFill>
                    <w14:srgbClr w14:val="000000">
                      <w14:alpha w14:val="100000"/>
                    </w14:srgbClr>
                  </w14:solidFill>
                </w14:textFill>
              </w:rPr>
              <w:t>|</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052013D0" w14:textId="52B0AEF3"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72"/>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72"/>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72"/>
                <w14:textFill>
                  <w14:solidFill>
                    <w14:srgbClr w14:val="000000">
                      <w14:alpha w14:val="100000"/>
                    </w14:srgbClr>
                  </w14:solidFill>
                </w14:textFill>
              </w:rPr>
              <w:t xml:space="preserve">　</w:t>
            </w:r>
          </w:p>
        </w:tc>
        <w:tc>
          <w:tcPr>
            <w:tcW w:w="1060" w:type="dxa"/>
            <w:tcBorders>
              <w:top w:val="nil"/>
              <w:left w:val="nil"/>
              <w:bottom w:val="single" w:sz="4" w:space="0" w:color="auto"/>
              <w:right w:val="single" w:sz="4" w:space="0" w:color="auto"/>
            </w:tcBorders>
            <w:shd w:val="clear" w:color="000000" w:fill="FFFFFF"/>
            <w:noWrap/>
            <w:vAlign w:val="bottom"/>
            <w:hideMark/>
          </w:tcPr>
          <w:p w14:paraId="3AA4C00B" w14:textId="77777777" w:rsidR="002C13E9" w:rsidRPr="00CA23AA" w:rsidRDefault="002C13E9" w:rsidP="002C13E9">
            <w:pPr>
              <w:spacing w:before="0"/>
              <w:rPr>
                <w:rFonts w:ascii="Arial" w:eastAsia="Times New Roman" w:hAnsi="Arial" w:cs="Arial"/>
                <w:color w:val="000000"/>
                <w:sz w:val="20"/>
                <w:szCs w:val="20"/>
              </w:rPr>
            </w:pPr>
            <w:r w:rsidRPr="00CA23AA">
              <w:rPr>
                <w:rFonts w:ascii="Arial" w:eastAsia="Times New Roman" w:hAnsi="Arial" w:cs="Arial"/>
                <w:color w:val="000000"/>
                <w:sz w:val="20"/>
                <w:szCs w:val="20"/>
              </w:rPr>
              <w:t> </w:t>
            </w:r>
          </w:p>
        </w:tc>
      </w:tr>
      <w:tr w:rsidR="002C13E9" w:rsidRPr="00CA23AA" w14:paraId="2B887304" w14:textId="77777777" w:rsidTr="00594907">
        <w:trPr>
          <w:trHeight w:val="255"/>
        </w:trPr>
        <w:tc>
          <w:tcPr>
            <w:tcW w:w="5420"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04DE557A" w14:textId="4D26B906" w:rsidR="002C13E9" w:rsidRPr="00CA23AA" w:rsidRDefault="00594907" w:rsidP="002C13E9">
            <w:pPr>
              <w:spacing w:before="0"/>
              <w:rPr>
                <w:rFonts w:ascii="Arial Narrow" w:eastAsia="Times New Roman" w:hAnsi="Arial Narrow" w:cs="Arial"/>
                <w:color w:val="000000"/>
                <w:sz w:val="20"/>
                <w:szCs w:val="20"/>
              </w:rPr>
            </w:pPr>
            <w:r w:rsidRPr="00594907">
              <w:rPr>
                <w:rFonts w:ascii="Arial Narrow" w:eastAsia="Times New Roman" w:hAnsi="Arial Narrow" w:cs="Arial"/>
                <w:color w:val="000000"/>
                <w:spacing w:val="184"/>
                <w:sz w:val="20"/>
                <w:szCs w:val="20"/>
                <w:fitText w:val="270" w:id="-1161539071"/>
                <w14:textFill>
                  <w14:solidFill>
                    <w14:srgbClr w14:val="000000">
                      <w14:alpha w14:val="100000"/>
                    </w14:srgbClr>
                  </w14:solidFill>
                </w14:textFill>
              </w:rPr>
              <w:t>|</w:t>
            </w:r>
            <w:r w:rsidRPr="00594907">
              <w:rPr>
                <w:rFonts w:ascii="Arial Narrow" w:eastAsia="Times New Roman" w:hAnsi="Arial Narrow" w:cs="Arial"/>
                <w:color w:val="000000"/>
                <w:sz w:val="20"/>
                <w:szCs w:val="20"/>
                <w:fitText w:val="270" w:id="-1161539071"/>
                <w14:textFill>
                  <w14:solidFill>
                    <w14:srgbClr w14:val="000000">
                      <w14:alpha w14:val="100000"/>
                    </w14:srgbClr>
                  </w14:solidFill>
                </w14:textFill>
              </w:rPr>
              <w:t>|</w:t>
            </w:r>
          </w:p>
        </w:tc>
        <w:tc>
          <w:tcPr>
            <w:tcW w:w="1300" w:type="dxa"/>
            <w:tcBorders>
              <w:top w:val="single" w:sz="4" w:space="0" w:color="auto"/>
              <w:left w:val="nil"/>
              <w:bottom w:val="single" w:sz="4" w:space="0" w:color="auto"/>
              <w:right w:val="single" w:sz="4" w:space="0" w:color="auto"/>
            </w:tcBorders>
            <w:shd w:val="solid" w:color="000000" w:fill="000000"/>
            <w:vAlign w:val="center"/>
            <w:hideMark/>
          </w:tcPr>
          <w:p w14:paraId="6081D993" w14:textId="448B4ABF"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color w:val="000000"/>
                <w:sz w:val="20"/>
                <w:szCs w:val="20"/>
                <w14:textFill>
                  <w14:solidFill>
                    <w14:srgbClr w14:val="000000">
                      <w14:alpha w14:val="100000"/>
                    </w14:srgbClr>
                  </w14:solidFill>
                </w14:textFill>
              </w:rPr>
              <w:t>|</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7084B557" w14:textId="5F0599AE"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70"/>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70"/>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70"/>
                <w14:textFill>
                  <w14:solidFill>
                    <w14:srgbClr w14:val="000000">
                      <w14:alpha w14:val="100000"/>
                    </w14:srgbClr>
                  </w14:solidFill>
                </w14:textFill>
              </w:rPr>
              <w:t xml:space="preserve">　</w:t>
            </w:r>
          </w:p>
        </w:tc>
        <w:tc>
          <w:tcPr>
            <w:tcW w:w="1060" w:type="dxa"/>
            <w:tcBorders>
              <w:top w:val="single" w:sz="4" w:space="0" w:color="auto"/>
              <w:left w:val="nil"/>
              <w:bottom w:val="nil"/>
              <w:right w:val="single" w:sz="4" w:space="0" w:color="auto"/>
            </w:tcBorders>
            <w:shd w:val="solid" w:color="000000" w:fill="000000"/>
            <w:noWrap/>
            <w:vAlign w:val="bottom"/>
            <w:hideMark/>
          </w:tcPr>
          <w:p w14:paraId="2E2DBBC0" w14:textId="4B9CBFAC" w:rsidR="002C13E9" w:rsidRPr="00CA23AA" w:rsidRDefault="00594907" w:rsidP="002C13E9">
            <w:pPr>
              <w:spacing w:before="0"/>
              <w:rPr>
                <w:rFonts w:ascii="Arial" w:eastAsia="Times New Roman" w:hAnsi="Arial" w:cs="Arial"/>
                <w:color w:val="000000"/>
                <w:sz w:val="20"/>
                <w:szCs w:val="20"/>
              </w:rPr>
            </w:pPr>
            <w:r w:rsidRPr="00594907">
              <w:rPr>
                <w:rFonts w:ascii="Arial" w:eastAsia="Times New Roman" w:hAnsi="Arial" w:cs="Arial"/>
                <w:color w:val="000000"/>
                <w:spacing w:val="40"/>
                <w:sz w:val="20"/>
                <w:szCs w:val="20"/>
                <w:fitText w:val="330" w:id="-1161539069"/>
                <w14:textFill>
                  <w14:solidFill>
                    <w14:srgbClr w14:val="000000">
                      <w14:alpha w14:val="100000"/>
                    </w14:srgbClr>
                  </w14:solidFill>
                </w14:textFill>
              </w:rPr>
              <w:t>|||</w:t>
            </w:r>
            <w:r w:rsidRPr="00594907">
              <w:rPr>
                <w:rFonts w:ascii="Arial" w:eastAsia="Times New Roman" w:hAnsi="Arial" w:cs="Arial"/>
                <w:color w:val="000000"/>
                <w:spacing w:val="3"/>
                <w:sz w:val="20"/>
                <w:szCs w:val="20"/>
                <w:fitText w:val="330" w:id="-1161539069"/>
                <w14:textFill>
                  <w14:solidFill>
                    <w14:srgbClr w14:val="000000">
                      <w14:alpha w14:val="100000"/>
                    </w14:srgbClr>
                  </w14:solidFill>
                </w14:textFill>
              </w:rPr>
              <w:t>|</w:t>
            </w:r>
          </w:p>
        </w:tc>
      </w:tr>
      <w:tr w:rsidR="002C13E9" w:rsidRPr="00CA23AA" w14:paraId="5B59E12F" w14:textId="77777777" w:rsidTr="00594907">
        <w:trPr>
          <w:trHeight w:val="255"/>
        </w:trPr>
        <w:tc>
          <w:tcPr>
            <w:tcW w:w="5420"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2CB1381F" w14:textId="3AF58C01" w:rsidR="002C13E9" w:rsidRPr="00CA23AA" w:rsidRDefault="00594907" w:rsidP="002C13E9">
            <w:pPr>
              <w:spacing w:before="0"/>
              <w:rPr>
                <w:rFonts w:ascii="Arial Narrow" w:eastAsia="Times New Roman" w:hAnsi="Arial Narrow" w:cs="Arial"/>
                <w:color w:val="000000"/>
                <w:sz w:val="20"/>
                <w:szCs w:val="20"/>
              </w:rPr>
            </w:pPr>
            <w:r w:rsidRPr="00594907">
              <w:rPr>
                <w:rFonts w:ascii="Arial Narrow" w:eastAsia="Times New Roman" w:hAnsi="Arial Narrow" w:cs="Arial"/>
                <w:color w:val="000000"/>
                <w:spacing w:val="184"/>
                <w:sz w:val="20"/>
                <w:szCs w:val="20"/>
                <w:fitText w:val="270" w:id="-1161539068"/>
                <w14:textFill>
                  <w14:solidFill>
                    <w14:srgbClr w14:val="000000">
                      <w14:alpha w14:val="100000"/>
                    </w14:srgbClr>
                  </w14:solidFill>
                </w14:textFill>
              </w:rPr>
              <w:t>|</w:t>
            </w:r>
            <w:r w:rsidRPr="00594907">
              <w:rPr>
                <w:rFonts w:ascii="Arial Narrow" w:eastAsia="Times New Roman" w:hAnsi="Arial Narrow" w:cs="Arial"/>
                <w:color w:val="000000"/>
                <w:sz w:val="20"/>
                <w:szCs w:val="20"/>
                <w:fitText w:val="270" w:id="-1161539068"/>
                <w14:textFill>
                  <w14:solidFill>
                    <w14:srgbClr w14:val="000000">
                      <w14:alpha w14:val="100000"/>
                    </w14:srgbClr>
                  </w14:solidFill>
                </w14:textFill>
              </w:rPr>
              <w:t>|</w:t>
            </w:r>
          </w:p>
        </w:tc>
        <w:tc>
          <w:tcPr>
            <w:tcW w:w="2360" w:type="dxa"/>
            <w:gridSpan w:val="2"/>
            <w:tcBorders>
              <w:top w:val="single" w:sz="4" w:space="0" w:color="auto"/>
              <w:left w:val="nil"/>
              <w:bottom w:val="single" w:sz="4" w:space="0" w:color="auto"/>
              <w:right w:val="single" w:sz="4" w:space="0" w:color="auto"/>
            </w:tcBorders>
            <w:shd w:val="solid" w:color="000000" w:fill="000000"/>
            <w:vAlign w:val="center"/>
            <w:hideMark/>
          </w:tcPr>
          <w:p w14:paraId="25C2C4AC" w14:textId="708766F4"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color w:val="000000"/>
                <w:sz w:val="20"/>
                <w:szCs w:val="20"/>
                <w14:textFill>
                  <w14:solidFill>
                    <w14:srgbClr w14:val="000000">
                      <w14:alpha w14:val="100000"/>
                    </w14:srgbClr>
                  </w14:solidFill>
                </w14:textFill>
              </w:rPr>
              <w:t>|</w:t>
            </w:r>
          </w:p>
        </w:tc>
        <w:tc>
          <w:tcPr>
            <w:tcW w:w="1060" w:type="dxa"/>
            <w:tcBorders>
              <w:top w:val="nil"/>
              <w:left w:val="nil"/>
              <w:bottom w:val="nil"/>
              <w:right w:val="single" w:sz="4" w:space="0" w:color="auto"/>
            </w:tcBorders>
            <w:shd w:val="solid" w:color="000000" w:fill="000000"/>
            <w:noWrap/>
            <w:vAlign w:val="bottom"/>
            <w:hideMark/>
          </w:tcPr>
          <w:p w14:paraId="3BFFB1EF" w14:textId="51DC40AE" w:rsidR="002C13E9" w:rsidRPr="00CA23AA" w:rsidRDefault="00594907" w:rsidP="002C13E9">
            <w:pPr>
              <w:spacing w:before="0"/>
              <w:rPr>
                <w:rFonts w:ascii="Arial" w:eastAsia="Times New Roman" w:hAnsi="Arial" w:cs="Arial"/>
                <w:color w:val="000000"/>
                <w:sz w:val="20"/>
                <w:szCs w:val="20"/>
              </w:rPr>
            </w:pPr>
            <w:r w:rsidRPr="00594907">
              <w:rPr>
                <w:rFonts w:ascii="Arial" w:eastAsia="Times New Roman" w:hAnsi="Arial" w:cs="Arial"/>
                <w:color w:val="000000"/>
                <w:spacing w:val="40"/>
                <w:sz w:val="20"/>
                <w:szCs w:val="20"/>
                <w:fitText w:val="330" w:id="-1161539067"/>
                <w14:textFill>
                  <w14:solidFill>
                    <w14:srgbClr w14:val="000000">
                      <w14:alpha w14:val="100000"/>
                    </w14:srgbClr>
                  </w14:solidFill>
                </w14:textFill>
              </w:rPr>
              <w:t>|||</w:t>
            </w:r>
            <w:r w:rsidRPr="00594907">
              <w:rPr>
                <w:rFonts w:ascii="Arial" w:eastAsia="Times New Roman" w:hAnsi="Arial" w:cs="Arial"/>
                <w:color w:val="000000"/>
                <w:spacing w:val="3"/>
                <w:sz w:val="20"/>
                <w:szCs w:val="20"/>
                <w:fitText w:val="330" w:id="-1161539067"/>
                <w14:textFill>
                  <w14:solidFill>
                    <w14:srgbClr w14:val="000000">
                      <w14:alpha w14:val="100000"/>
                    </w14:srgbClr>
                  </w14:solidFill>
                </w14:textFill>
              </w:rPr>
              <w:t>|</w:t>
            </w:r>
          </w:p>
        </w:tc>
      </w:tr>
      <w:tr w:rsidR="002C13E9" w:rsidRPr="00CA23AA" w14:paraId="293CAD75" w14:textId="77777777" w:rsidTr="00594907">
        <w:trPr>
          <w:trHeight w:val="255"/>
        </w:trPr>
        <w:tc>
          <w:tcPr>
            <w:tcW w:w="5420"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2220AD3B" w14:textId="6AB2BC6B" w:rsidR="002C13E9" w:rsidRPr="00CA23AA" w:rsidRDefault="00594907" w:rsidP="002C13E9">
            <w:pPr>
              <w:spacing w:before="0"/>
              <w:rPr>
                <w:rFonts w:ascii="Arial Narrow" w:eastAsia="Times New Roman" w:hAnsi="Arial Narrow" w:cs="Arial"/>
                <w:color w:val="000000"/>
                <w:sz w:val="20"/>
                <w:szCs w:val="20"/>
              </w:rPr>
            </w:pPr>
            <w:r w:rsidRPr="00594907">
              <w:rPr>
                <w:rFonts w:ascii="Arial Narrow" w:eastAsia="Times New Roman" w:hAnsi="Arial Narrow" w:cs="Arial"/>
                <w:color w:val="000000"/>
                <w:spacing w:val="184"/>
                <w:sz w:val="20"/>
                <w:szCs w:val="20"/>
                <w:fitText w:val="270" w:id="-1161539066"/>
                <w14:textFill>
                  <w14:solidFill>
                    <w14:srgbClr w14:val="000000">
                      <w14:alpha w14:val="100000"/>
                    </w14:srgbClr>
                  </w14:solidFill>
                </w14:textFill>
              </w:rPr>
              <w:t>|</w:t>
            </w:r>
            <w:r w:rsidRPr="00594907">
              <w:rPr>
                <w:rFonts w:ascii="Arial Narrow" w:eastAsia="Times New Roman" w:hAnsi="Arial Narrow" w:cs="Arial"/>
                <w:color w:val="000000"/>
                <w:sz w:val="20"/>
                <w:szCs w:val="20"/>
                <w:fitText w:val="270" w:id="-1161539066"/>
                <w14:textFill>
                  <w14:solidFill>
                    <w14:srgbClr w14:val="000000">
                      <w14:alpha w14:val="100000"/>
                    </w14:srgbClr>
                  </w14:solidFill>
                </w14:textFill>
              </w:rPr>
              <w:t>|</w:t>
            </w:r>
          </w:p>
        </w:tc>
        <w:tc>
          <w:tcPr>
            <w:tcW w:w="1300" w:type="dxa"/>
            <w:tcBorders>
              <w:top w:val="nil"/>
              <w:left w:val="nil"/>
              <w:bottom w:val="single" w:sz="4" w:space="0" w:color="auto"/>
              <w:right w:val="single" w:sz="4" w:space="0" w:color="auto"/>
            </w:tcBorders>
            <w:shd w:val="solid" w:color="000000" w:fill="000000"/>
            <w:vAlign w:val="center"/>
            <w:hideMark/>
          </w:tcPr>
          <w:p w14:paraId="5AA26C26" w14:textId="31C2C38C"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color w:val="000000"/>
                <w:sz w:val="20"/>
                <w:szCs w:val="20"/>
                <w14:textFill>
                  <w14:solidFill>
                    <w14:srgbClr w14:val="000000">
                      <w14:alpha w14:val="100000"/>
                    </w14:srgbClr>
                  </w14:solidFill>
                </w14:textFill>
              </w:rPr>
              <w:t>|</w:t>
            </w:r>
          </w:p>
        </w:tc>
        <w:tc>
          <w:tcPr>
            <w:tcW w:w="1060" w:type="dxa"/>
            <w:tcBorders>
              <w:top w:val="nil"/>
              <w:left w:val="nil"/>
              <w:bottom w:val="single" w:sz="4" w:space="0" w:color="auto"/>
              <w:right w:val="single" w:sz="4" w:space="0" w:color="auto"/>
            </w:tcBorders>
            <w:shd w:val="solid" w:color="000000" w:fill="000000"/>
            <w:vAlign w:val="center"/>
            <w:hideMark/>
          </w:tcPr>
          <w:p w14:paraId="241BE518" w14:textId="73F3129E"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65"/>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65"/>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65"/>
                <w14:textFill>
                  <w14:solidFill>
                    <w14:srgbClr w14:val="000000">
                      <w14:alpha w14:val="100000"/>
                    </w14:srgbClr>
                  </w14:solidFill>
                </w14:textFill>
              </w:rPr>
              <w:t xml:space="preserve">　</w:t>
            </w:r>
          </w:p>
        </w:tc>
        <w:tc>
          <w:tcPr>
            <w:tcW w:w="1060" w:type="dxa"/>
            <w:tcBorders>
              <w:top w:val="nil"/>
              <w:left w:val="nil"/>
              <w:bottom w:val="single" w:sz="4" w:space="0" w:color="auto"/>
              <w:right w:val="single" w:sz="4" w:space="0" w:color="auto"/>
            </w:tcBorders>
            <w:shd w:val="solid" w:color="000000" w:fill="000000"/>
            <w:vAlign w:val="center"/>
            <w:hideMark/>
          </w:tcPr>
          <w:p w14:paraId="5D3083C9" w14:textId="3CD70532"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64"/>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64"/>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64"/>
                <w14:textFill>
                  <w14:solidFill>
                    <w14:srgbClr w14:val="000000">
                      <w14:alpha w14:val="100000"/>
                    </w14:srgbClr>
                  </w14:solidFill>
                </w14:textFill>
              </w:rPr>
              <w:t xml:space="preserve">　</w:t>
            </w:r>
          </w:p>
        </w:tc>
      </w:tr>
      <w:tr w:rsidR="002C13E9" w:rsidRPr="00CA23AA" w14:paraId="5D63EFDE" w14:textId="77777777" w:rsidTr="00594907">
        <w:trPr>
          <w:trHeight w:val="255"/>
        </w:trPr>
        <w:tc>
          <w:tcPr>
            <w:tcW w:w="5420"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7D72983" w14:textId="330058F8" w:rsidR="002C13E9" w:rsidRPr="00CA23AA" w:rsidRDefault="00594907" w:rsidP="002C13E9">
            <w:pPr>
              <w:spacing w:before="0"/>
              <w:rPr>
                <w:rFonts w:ascii="Arial Narrow" w:eastAsia="Times New Roman" w:hAnsi="Arial Narrow" w:cs="Arial"/>
                <w:color w:val="000000"/>
                <w:sz w:val="20"/>
                <w:szCs w:val="20"/>
              </w:rPr>
            </w:pPr>
            <w:r w:rsidRPr="00594907">
              <w:rPr>
                <w:rFonts w:ascii="Arial Narrow" w:eastAsia="Times New Roman" w:hAnsi="Arial Narrow" w:cs="Arial"/>
                <w:color w:val="000000"/>
                <w:spacing w:val="184"/>
                <w:sz w:val="20"/>
                <w:szCs w:val="20"/>
                <w:fitText w:val="270" w:id="-1161539063"/>
                <w14:textFill>
                  <w14:solidFill>
                    <w14:srgbClr w14:val="000000">
                      <w14:alpha w14:val="100000"/>
                    </w14:srgbClr>
                  </w14:solidFill>
                </w14:textFill>
              </w:rPr>
              <w:t>|</w:t>
            </w:r>
            <w:r w:rsidRPr="00594907">
              <w:rPr>
                <w:rFonts w:ascii="Arial Narrow" w:eastAsia="Times New Roman" w:hAnsi="Arial Narrow" w:cs="Arial"/>
                <w:color w:val="000000"/>
                <w:sz w:val="20"/>
                <w:szCs w:val="20"/>
                <w:fitText w:val="270" w:id="-1161539063"/>
                <w14:textFill>
                  <w14:solidFill>
                    <w14:srgbClr w14:val="000000">
                      <w14:alpha w14:val="100000"/>
                    </w14:srgbClr>
                  </w14:solidFill>
                </w14:textFill>
              </w:rPr>
              <w:t>|</w:t>
            </w:r>
          </w:p>
        </w:tc>
        <w:tc>
          <w:tcPr>
            <w:tcW w:w="1300" w:type="dxa"/>
            <w:tcBorders>
              <w:top w:val="single" w:sz="4" w:space="0" w:color="auto"/>
              <w:left w:val="nil"/>
              <w:bottom w:val="single" w:sz="4" w:space="0" w:color="auto"/>
              <w:right w:val="single" w:sz="4" w:space="0" w:color="auto"/>
            </w:tcBorders>
            <w:shd w:val="solid" w:color="000000" w:fill="000000"/>
            <w:vAlign w:val="center"/>
            <w:hideMark/>
          </w:tcPr>
          <w:p w14:paraId="34604F6C" w14:textId="41E0CC49"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color w:val="000000"/>
                <w:sz w:val="20"/>
                <w:szCs w:val="20"/>
                <w14:textFill>
                  <w14:solidFill>
                    <w14:srgbClr w14:val="000000">
                      <w14:alpha w14:val="100000"/>
                    </w14:srgbClr>
                  </w14:solidFill>
                </w14:textFill>
              </w:rPr>
              <w:t>|</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6DD3AAFD" w14:textId="6F152BC9"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62"/>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62"/>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62"/>
                <w14:textFill>
                  <w14:solidFill>
                    <w14:srgbClr w14:val="000000">
                      <w14:alpha w14:val="100000"/>
                    </w14:srgbClr>
                  </w14:solidFill>
                </w14:textFill>
              </w:rPr>
              <w:t xml:space="preserve">　</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6C53940F" w14:textId="2482A1DA"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61"/>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61"/>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61"/>
                <w14:textFill>
                  <w14:solidFill>
                    <w14:srgbClr w14:val="000000">
                      <w14:alpha w14:val="100000"/>
                    </w14:srgbClr>
                  </w14:solidFill>
                </w14:textFill>
              </w:rPr>
              <w:t xml:space="preserve">　</w:t>
            </w:r>
          </w:p>
        </w:tc>
      </w:tr>
      <w:tr w:rsidR="002C13E9" w:rsidRPr="00CA23AA" w14:paraId="054FD2AF" w14:textId="77777777" w:rsidTr="00594907">
        <w:trPr>
          <w:trHeight w:val="255"/>
        </w:trPr>
        <w:tc>
          <w:tcPr>
            <w:tcW w:w="5420"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DF6118E" w14:textId="1EEA8293" w:rsidR="002C13E9" w:rsidRPr="00CA23AA" w:rsidRDefault="00594907" w:rsidP="002C13E9">
            <w:pPr>
              <w:spacing w:before="0"/>
              <w:rPr>
                <w:rFonts w:ascii="Arial Narrow" w:eastAsia="Times New Roman" w:hAnsi="Arial Narrow" w:cs="Arial"/>
                <w:color w:val="000000"/>
                <w:sz w:val="20"/>
                <w:szCs w:val="20"/>
              </w:rPr>
            </w:pPr>
            <w:r w:rsidRPr="00594907">
              <w:rPr>
                <w:rFonts w:ascii="Arial Narrow" w:eastAsia="Times New Roman" w:hAnsi="Arial Narrow" w:cs="Arial"/>
                <w:color w:val="000000"/>
                <w:spacing w:val="184"/>
                <w:sz w:val="20"/>
                <w:szCs w:val="20"/>
                <w:fitText w:val="270" w:id="-1161539060"/>
                <w14:textFill>
                  <w14:solidFill>
                    <w14:srgbClr w14:val="000000">
                      <w14:alpha w14:val="100000"/>
                    </w14:srgbClr>
                  </w14:solidFill>
                </w14:textFill>
              </w:rPr>
              <w:t>|</w:t>
            </w:r>
            <w:r w:rsidRPr="00594907">
              <w:rPr>
                <w:rFonts w:ascii="Arial Narrow" w:eastAsia="Times New Roman" w:hAnsi="Arial Narrow" w:cs="Arial"/>
                <w:color w:val="000000"/>
                <w:sz w:val="20"/>
                <w:szCs w:val="20"/>
                <w:fitText w:val="270" w:id="-1161539060"/>
                <w14:textFill>
                  <w14:solidFill>
                    <w14:srgbClr w14:val="000000">
                      <w14:alpha w14:val="100000"/>
                    </w14:srgbClr>
                  </w14:solidFill>
                </w14:textFill>
              </w:rPr>
              <w:t>|</w:t>
            </w:r>
          </w:p>
        </w:tc>
        <w:tc>
          <w:tcPr>
            <w:tcW w:w="1300" w:type="dxa"/>
            <w:tcBorders>
              <w:top w:val="single" w:sz="4" w:space="0" w:color="auto"/>
              <w:left w:val="nil"/>
              <w:bottom w:val="single" w:sz="4" w:space="0" w:color="auto"/>
              <w:right w:val="single" w:sz="4" w:space="0" w:color="auto"/>
            </w:tcBorders>
            <w:shd w:val="solid" w:color="000000" w:fill="000000"/>
            <w:vAlign w:val="center"/>
            <w:hideMark/>
          </w:tcPr>
          <w:p w14:paraId="440C62BB" w14:textId="1DFF844A"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color w:val="000000"/>
                <w:sz w:val="20"/>
                <w:szCs w:val="20"/>
                <w14:textFill>
                  <w14:solidFill>
                    <w14:srgbClr w14:val="000000">
                      <w14:alpha w14:val="100000"/>
                    </w14:srgbClr>
                  </w14:solidFill>
                </w14:textFill>
              </w:rPr>
              <w:t>|</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2A347A39" w14:textId="52415D8D" w:rsidR="002C13E9" w:rsidRPr="00CA23AA" w:rsidRDefault="00594907" w:rsidP="002C13E9">
            <w:pPr>
              <w:spacing w:before="0"/>
              <w:jc w:val="center"/>
              <w:rPr>
                <w:rFonts w:ascii="Arial Narrow" w:eastAsia="Times New Roman" w:hAnsi="Arial Narrow" w:cs="Arial"/>
                <w:color w:val="000000"/>
                <w:sz w:val="20"/>
                <w:szCs w:val="20"/>
              </w:rPr>
            </w:pPr>
            <w:r w:rsidRPr="00594907">
              <w:rPr>
                <w:rFonts w:ascii="Arial Narrow" w:eastAsia="Times New Roman" w:hAnsi="Arial Narrow" w:cs="Arial" w:hint="eastAsia"/>
                <w:color w:val="000000"/>
                <w:w w:val="15"/>
                <w:sz w:val="20"/>
                <w:szCs w:val="20"/>
                <w:fitText w:val="30" w:id="-1161539059"/>
                <w14:textFill>
                  <w14:solidFill>
                    <w14:srgbClr w14:val="000000">
                      <w14:alpha w14:val="100000"/>
                    </w14:srgbClr>
                  </w14:solidFill>
                </w14:textFill>
              </w:rPr>
              <w:t xml:space="preserve">　</w:t>
            </w:r>
            <w:r w:rsidRPr="00594907">
              <w:rPr>
                <w:rFonts w:ascii="Arial Narrow" w:eastAsia="Times New Roman" w:hAnsi="Arial Narrow" w:cs="Arial"/>
                <w:color w:val="000000"/>
                <w:w w:val="15"/>
                <w:sz w:val="20"/>
                <w:szCs w:val="20"/>
                <w:fitText w:val="30" w:id="-1161539059"/>
                <w14:textFill>
                  <w14:solidFill>
                    <w14:srgbClr w14:val="000000">
                      <w14:alpha w14:val="100000"/>
                    </w14:srgbClr>
                  </w14:solidFill>
                </w14:textFill>
              </w:rPr>
              <w:t>|</w:t>
            </w:r>
            <w:r w:rsidRPr="00594907">
              <w:rPr>
                <w:rFonts w:ascii="Arial Narrow" w:eastAsia="Times New Roman" w:hAnsi="Arial Narrow" w:cs="Arial" w:hint="eastAsia"/>
                <w:color w:val="000000"/>
                <w:spacing w:val="-35"/>
                <w:w w:val="15"/>
                <w:sz w:val="20"/>
                <w:szCs w:val="20"/>
                <w:fitText w:val="30" w:id="-1161539059"/>
                <w14:textFill>
                  <w14:solidFill>
                    <w14:srgbClr w14:val="000000">
                      <w14:alpha w14:val="100000"/>
                    </w14:srgbClr>
                  </w14:solidFill>
                </w14:textFill>
              </w:rPr>
              <w:t xml:space="preserve">　</w:t>
            </w:r>
          </w:p>
        </w:tc>
        <w:tc>
          <w:tcPr>
            <w:tcW w:w="1060" w:type="dxa"/>
            <w:tcBorders>
              <w:top w:val="single" w:sz="4" w:space="0" w:color="auto"/>
              <w:left w:val="nil"/>
              <w:bottom w:val="single" w:sz="4" w:space="0" w:color="auto"/>
              <w:right w:val="single" w:sz="4" w:space="0" w:color="auto"/>
            </w:tcBorders>
            <w:shd w:val="solid" w:color="000000" w:fill="000000"/>
            <w:vAlign w:val="center"/>
            <w:hideMark/>
          </w:tcPr>
          <w:p w14:paraId="3A41B1D4" w14:textId="4A35067D" w:rsidR="002C13E9" w:rsidRPr="00CA23AA" w:rsidRDefault="00594907" w:rsidP="002C13E9">
            <w:pPr>
              <w:spacing w:before="0"/>
              <w:jc w:val="center"/>
              <w:rPr>
                <w:rFonts w:ascii="Arial Narrow" w:eastAsia="Times New Roman" w:hAnsi="Arial Narrow" w:cs="Arial"/>
                <w:b/>
                <w:bCs/>
                <w:color w:val="000000"/>
                <w:sz w:val="20"/>
                <w:szCs w:val="20"/>
              </w:rPr>
            </w:pPr>
            <w:r w:rsidRPr="00594907">
              <w:rPr>
                <w:rFonts w:ascii="Arial Narrow" w:eastAsia="Times New Roman" w:hAnsi="Arial Narrow" w:cs="Arial" w:hint="eastAsia"/>
                <w:b/>
                <w:bCs/>
                <w:color w:val="000000"/>
                <w:w w:val="15"/>
                <w:sz w:val="20"/>
                <w:szCs w:val="20"/>
                <w:fitText w:val="30" w:id="-1161539058"/>
                <w14:textFill>
                  <w14:solidFill>
                    <w14:srgbClr w14:val="000000">
                      <w14:alpha w14:val="100000"/>
                    </w14:srgbClr>
                  </w14:solidFill>
                </w14:textFill>
              </w:rPr>
              <w:t xml:space="preserve">　</w:t>
            </w:r>
            <w:r w:rsidRPr="00594907">
              <w:rPr>
                <w:rFonts w:ascii="Arial Narrow" w:eastAsia="Times New Roman" w:hAnsi="Arial Narrow" w:cs="Arial"/>
                <w:b/>
                <w:bCs/>
                <w:color w:val="000000"/>
                <w:w w:val="15"/>
                <w:sz w:val="20"/>
                <w:szCs w:val="20"/>
                <w:fitText w:val="30" w:id="-1161539058"/>
                <w14:textFill>
                  <w14:solidFill>
                    <w14:srgbClr w14:val="000000">
                      <w14:alpha w14:val="100000"/>
                    </w14:srgbClr>
                  </w14:solidFill>
                </w14:textFill>
              </w:rPr>
              <w:t>|</w:t>
            </w:r>
            <w:r w:rsidRPr="00594907">
              <w:rPr>
                <w:rFonts w:ascii="Arial Narrow" w:eastAsia="Times New Roman" w:hAnsi="Arial Narrow" w:cs="Arial" w:hint="eastAsia"/>
                <w:b/>
                <w:bCs/>
                <w:color w:val="000000"/>
                <w:spacing w:val="-36"/>
                <w:w w:val="15"/>
                <w:sz w:val="20"/>
                <w:szCs w:val="20"/>
                <w:fitText w:val="30" w:id="-1161539058"/>
                <w14:textFill>
                  <w14:solidFill>
                    <w14:srgbClr w14:val="000000">
                      <w14:alpha w14:val="100000"/>
                    </w14:srgbClr>
                  </w14:solidFill>
                </w14:textFill>
              </w:rPr>
              <w:t xml:space="preserve">　</w:t>
            </w:r>
          </w:p>
        </w:tc>
      </w:tr>
    </w:tbl>
    <w:p w14:paraId="2322A95D" w14:textId="78700C18" w:rsidR="002C13E9" w:rsidRPr="00CA23AA" w:rsidRDefault="00594907" w:rsidP="00463D37">
      <w:pPr>
        <w:pStyle w:val="Tablenotes0"/>
        <w:contextualSpacing w:val="0"/>
      </w:pPr>
      <w:r w:rsidRPr="00594907">
        <w:rPr>
          <w:color w:val="000000"/>
          <w:spacing w:val="23"/>
          <w:shd w:val="solid" w:color="000000" w:fill="000000"/>
          <w:fitText w:val="230" w:id="-1161539057"/>
          <w14:textFill>
            <w14:solidFill>
              <w14:srgbClr w14:val="000000">
                <w14:alpha w14:val="100000"/>
              </w14:srgbClr>
            </w14:solidFill>
          </w14:textFill>
        </w:rPr>
        <w:t xml:space="preserve">|  </w:t>
      </w:r>
      <w:r w:rsidRPr="00594907">
        <w:rPr>
          <w:color w:val="000000"/>
          <w:spacing w:val="3"/>
          <w:shd w:val="solid" w:color="000000" w:fill="000000"/>
          <w:fitText w:val="230" w:id="-1161539057"/>
          <w14:textFill>
            <w14:solidFill>
              <w14:srgbClr w14:val="000000">
                <w14:alpha w14:val="100000"/>
              </w14:srgbClr>
            </w14:solidFill>
          </w14:textFill>
        </w:rPr>
        <w:t>|</w:t>
      </w:r>
      <w:r w:rsidR="00572011" w:rsidRPr="00CA23AA">
        <w:t>.</w:t>
      </w:r>
    </w:p>
    <w:p w14:paraId="571BE5DB" w14:textId="7E44CE0D" w:rsidR="004F5820" w:rsidRPr="00CA23AA" w:rsidRDefault="00594907" w:rsidP="004F5820">
      <w:pPr>
        <w:pStyle w:val="Tablenotes0"/>
        <w:contextualSpacing w:val="0"/>
        <w:jc w:val="left"/>
        <w:rPr>
          <w:rFonts w:ascii="Franklin Gothic Book" w:hAnsi="Franklin Gothic Book" w:cstheme="minorBidi"/>
          <w:sz w:val="22"/>
        </w:rPr>
      </w:pPr>
      <w:r w:rsidRPr="00594907">
        <w:rPr>
          <w:color w:val="000000"/>
          <w:spacing w:val="173"/>
          <w:shd w:val="solid" w:color="000000" w:fill="000000"/>
          <w:fitText w:val="250" w:id="-1161539056"/>
          <w14:textFill>
            <w14:solidFill>
              <w14:srgbClr w14:val="000000">
                <w14:alpha w14:val="100000"/>
              </w14:srgbClr>
            </w14:solidFill>
          </w14:textFill>
        </w:rPr>
        <w:t>|</w:t>
      </w:r>
      <w:r w:rsidRPr="00594907">
        <w:rPr>
          <w:color w:val="000000"/>
          <w:spacing w:val="1"/>
          <w:shd w:val="solid" w:color="000000" w:fill="000000"/>
          <w:fitText w:val="250" w:id="-1161539056"/>
          <w14:textFill>
            <w14:solidFill>
              <w14:srgbClr w14:val="000000">
                <w14:alpha w14:val="100000"/>
              </w14:srgbClr>
            </w14:solidFill>
          </w14:textFill>
        </w:rPr>
        <w:t>|</w:t>
      </w:r>
      <w:r w:rsidR="004F5820" w:rsidRPr="00CA23AA">
        <w:rPr>
          <w:rFonts w:ascii="Franklin Gothic Book" w:hAnsi="Franklin Gothic Book" w:cstheme="minorBidi"/>
          <w:sz w:val="22"/>
        </w:rPr>
        <w:br w:type="page"/>
      </w:r>
    </w:p>
    <w:p w14:paraId="7B2DDA63" w14:textId="55CED028" w:rsidR="006A00C7" w:rsidRPr="00CA23AA" w:rsidRDefault="006A00C7" w:rsidP="00001558">
      <w:pPr>
        <w:pStyle w:val="TableHeading0"/>
      </w:pPr>
      <w:bookmarkStart w:id="82" w:name="_Ref133866605"/>
      <w:r w:rsidRPr="00CA23AA">
        <w:t xml:space="preserve">Table </w:t>
      </w:r>
      <w:fldSimple w:instr=" SEQ Table \* ARABIC ">
        <w:r w:rsidR="00175880" w:rsidRPr="00CA23AA">
          <w:rPr>
            <w:noProof/>
          </w:rPr>
          <w:t>23</w:t>
        </w:r>
      </w:fldSimple>
      <w:bookmarkEnd w:id="82"/>
      <w:r w:rsidRPr="00CA23AA">
        <w:tab/>
      </w:r>
      <w:r w:rsidR="00594907" w:rsidRPr="00594907">
        <w:rPr>
          <w:color w:val="000000"/>
          <w:spacing w:val="178"/>
          <w:shd w:val="solid" w:color="000000" w:fill="000000"/>
          <w:fitText w:val="270" w:id="-1161539072"/>
          <w14:textFill>
            <w14:solidFill>
              <w14:srgbClr w14:val="000000">
                <w14:alpha w14:val="100000"/>
              </w14:srgbClr>
            </w14:solidFill>
          </w14:textFill>
        </w:rPr>
        <w:t>|</w:t>
      </w:r>
      <w:r w:rsidR="00594907" w:rsidRPr="00594907">
        <w:rPr>
          <w:color w:val="000000"/>
          <w:spacing w:val="1"/>
          <w:shd w:val="solid" w:color="000000" w:fill="000000"/>
          <w:fitText w:val="270" w:id="-1161539072"/>
          <w14:textFill>
            <w14:solidFill>
              <w14:srgbClr w14:val="000000">
                <w14:alpha w14:val="100000"/>
              </w14:srgbClr>
            </w14:solidFill>
          </w14:textFill>
        </w:rPr>
        <w:t>|</w:t>
      </w:r>
    </w:p>
    <w:tbl>
      <w:tblPr>
        <w:tblStyle w:val="Submissionstandard"/>
        <w:tblW w:w="8926" w:type="dxa"/>
        <w:tblLook w:val="04A0" w:firstRow="1" w:lastRow="0" w:firstColumn="1" w:lastColumn="0" w:noHBand="0" w:noVBand="1"/>
        <w:tblCaption w:val="Estimation of average product cost for TIS, based on MSAC quarterly report ending on 31 January 2023 (based on first 53 patients with 12 months follow-up data)."/>
        <w:tblDescription w:val="Estimation of average product cost for TIS, based on MSAC quarterly report ending on 31 January 2023 (based on first 53 patients with 12 months follow-up data)."/>
      </w:tblPr>
      <w:tblGrid>
        <w:gridCol w:w="1481"/>
        <w:gridCol w:w="1377"/>
        <w:gridCol w:w="4508"/>
        <w:gridCol w:w="1560"/>
      </w:tblGrid>
      <w:tr w:rsidR="00A7285E" w:rsidRPr="00CA23AA" w14:paraId="02D22749" w14:textId="77777777" w:rsidTr="00594907">
        <w:trPr>
          <w:cnfStyle w:val="100000000000" w:firstRow="1" w:lastRow="0" w:firstColumn="0" w:lastColumn="0" w:oddVBand="0" w:evenVBand="0" w:oddHBand="0" w:evenHBand="0" w:firstRowFirstColumn="0" w:firstRowLastColumn="0" w:lastRowFirstColumn="0" w:lastRowLastColumn="0"/>
          <w:trHeight w:val="255"/>
          <w:tblHeader/>
        </w:trPr>
        <w:tc>
          <w:tcPr>
            <w:tcW w:w="1481" w:type="dxa"/>
            <w:tcBorders>
              <w:bottom w:val="single" w:sz="4" w:space="0" w:color="auto"/>
            </w:tcBorders>
            <w:shd w:val="solid" w:color="000000" w:fill="000000"/>
            <w:noWrap/>
          </w:tcPr>
          <w:p w14:paraId="291FF61C" w14:textId="3454524F" w:rsidR="00A7285E" w:rsidRPr="00CA23AA" w:rsidRDefault="00594907" w:rsidP="00A7285E">
            <w:pPr>
              <w:rPr>
                <w:rFonts w:ascii="Arial Narrow" w:hAnsi="Arial Narrow" w:cs="Arial"/>
              </w:rPr>
            </w:pPr>
            <w:r w:rsidRPr="00594907">
              <w:rPr>
                <w:color w:val="000000"/>
                <w:w w:val="87"/>
                <w:fitText w:val="350" w:id="-1161539071"/>
                <w14:textFill>
                  <w14:solidFill>
                    <w14:srgbClr w14:val="000000">
                      <w14:alpha w14:val="100000"/>
                    </w14:srgbClr>
                  </w14:solidFill>
                </w14:textFill>
              </w:rPr>
              <w:t>||||</w:t>
            </w:r>
          </w:p>
        </w:tc>
        <w:tc>
          <w:tcPr>
            <w:tcW w:w="1377" w:type="dxa"/>
            <w:tcBorders>
              <w:bottom w:val="single" w:sz="4" w:space="0" w:color="auto"/>
            </w:tcBorders>
            <w:shd w:val="solid" w:color="000000" w:fill="000000"/>
            <w:noWrap/>
          </w:tcPr>
          <w:p w14:paraId="4A316A9C" w14:textId="20EB8592" w:rsidR="00A7285E" w:rsidRPr="00CA23AA" w:rsidRDefault="00594907" w:rsidP="00A7285E">
            <w:pPr>
              <w:rPr>
                <w:rFonts w:ascii="Arial Narrow" w:hAnsi="Arial Narrow" w:cs="Arial"/>
              </w:rPr>
            </w:pPr>
            <w:r w:rsidRPr="00594907">
              <w:rPr>
                <w:color w:val="000000"/>
                <w:w w:val="87"/>
                <w:fitText w:val="350" w:id="-1161539070"/>
                <w14:textFill>
                  <w14:solidFill>
                    <w14:srgbClr w14:val="000000">
                      <w14:alpha w14:val="100000"/>
                    </w14:srgbClr>
                  </w14:solidFill>
                </w14:textFill>
              </w:rPr>
              <w:t>||||</w:t>
            </w:r>
          </w:p>
        </w:tc>
        <w:tc>
          <w:tcPr>
            <w:tcW w:w="4508" w:type="dxa"/>
            <w:tcBorders>
              <w:bottom w:val="single" w:sz="4" w:space="0" w:color="auto"/>
            </w:tcBorders>
            <w:shd w:val="solid" w:color="000000" w:fill="000000"/>
          </w:tcPr>
          <w:p w14:paraId="64D3C5BA" w14:textId="68038315" w:rsidR="00A7285E" w:rsidRPr="00CA23AA" w:rsidRDefault="00594907" w:rsidP="00A7285E">
            <w:pPr>
              <w:rPr>
                <w:rFonts w:ascii="Arial Narrow" w:hAnsi="Arial Narrow" w:cs="Arial"/>
              </w:rPr>
            </w:pPr>
            <w:r w:rsidRPr="00594907">
              <w:rPr>
                <w:color w:val="000000"/>
                <w:w w:val="87"/>
                <w:fitText w:val="350" w:id="-1161539069"/>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2B554F5B" w14:textId="45825B3C" w:rsidR="00A7285E" w:rsidRPr="00CA23AA" w:rsidRDefault="00594907" w:rsidP="00A7285E">
            <w:pPr>
              <w:rPr>
                <w:rFonts w:ascii="Arial Narrow" w:hAnsi="Arial Narrow" w:cs="Arial"/>
              </w:rPr>
            </w:pPr>
            <w:r w:rsidRPr="00594907">
              <w:rPr>
                <w:color w:val="000000"/>
                <w:w w:val="87"/>
                <w:fitText w:val="350" w:id="-1161539068"/>
                <w14:textFill>
                  <w14:solidFill>
                    <w14:srgbClr w14:val="000000">
                      <w14:alpha w14:val="100000"/>
                    </w14:srgbClr>
                  </w14:solidFill>
                </w14:textFill>
              </w:rPr>
              <w:t>||||</w:t>
            </w:r>
          </w:p>
        </w:tc>
      </w:tr>
      <w:tr w:rsidR="00A7285E" w:rsidRPr="00CA23AA" w14:paraId="01F42322" w14:textId="77777777" w:rsidTr="00594907">
        <w:trPr>
          <w:trHeight w:val="255"/>
        </w:trPr>
        <w:tc>
          <w:tcPr>
            <w:tcW w:w="1481" w:type="dxa"/>
            <w:tcBorders>
              <w:bottom w:val="single" w:sz="4" w:space="0" w:color="auto"/>
            </w:tcBorders>
            <w:shd w:val="solid" w:color="000000" w:fill="000000"/>
            <w:noWrap/>
            <w:hideMark/>
          </w:tcPr>
          <w:p w14:paraId="5339CB19" w14:textId="5BE31219" w:rsidR="00A7285E" w:rsidRPr="00CA23AA" w:rsidRDefault="00594907" w:rsidP="00A7285E">
            <w:pPr>
              <w:rPr>
                <w:rFonts w:ascii="Arial Narrow" w:hAnsi="Arial Narrow" w:cs="Arial"/>
              </w:rPr>
            </w:pPr>
            <w:r w:rsidRPr="00594907">
              <w:rPr>
                <w:color w:val="000000"/>
                <w:w w:val="87"/>
                <w:fitText w:val="350" w:id="-1161539067"/>
                <w14:textFill>
                  <w14:solidFill>
                    <w14:srgbClr w14:val="000000">
                      <w14:alpha w14:val="100000"/>
                    </w14:srgbClr>
                  </w14:solidFill>
                </w14:textFill>
              </w:rPr>
              <w:t>||||</w:t>
            </w:r>
          </w:p>
        </w:tc>
        <w:tc>
          <w:tcPr>
            <w:tcW w:w="1377" w:type="dxa"/>
            <w:tcBorders>
              <w:bottom w:val="single" w:sz="4" w:space="0" w:color="auto"/>
            </w:tcBorders>
            <w:shd w:val="solid" w:color="000000" w:fill="000000"/>
            <w:noWrap/>
            <w:hideMark/>
          </w:tcPr>
          <w:p w14:paraId="6B316509" w14:textId="6557EB14" w:rsidR="00A7285E" w:rsidRPr="00CA23AA" w:rsidRDefault="00594907" w:rsidP="00A7285E">
            <w:pPr>
              <w:jc w:val="center"/>
              <w:rPr>
                <w:rFonts w:ascii="Arial Narrow" w:hAnsi="Arial Narrow" w:cs="Arial"/>
              </w:rPr>
            </w:pPr>
            <w:r w:rsidRPr="00186539">
              <w:rPr>
                <w:rFonts w:hint="eastAsia"/>
                <w:color w:val="000000"/>
                <w:w w:val="15"/>
                <w:fitText w:val="10" w:id="-1161539066"/>
                <w14:textFill>
                  <w14:solidFill>
                    <w14:srgbClr w14:val="000000">
                      <w14:alpha w14:val="100000"/>
                    </w14:srgbClr>
                  </w14:solidFill>
                </w14:textFill>
              </w:rPr>
              <w:t xml:space="preserve">　</w:t>
            </w:r>
            <w:r w:rsidRPr="00186539">
              <w:rPr>
                <w:color w:val="000000"/>
                <w:w w:val="15"/>
                <w:fitText w:val="10" w:id="-1161539066"/>
                <w14:textFill>
                  <w14:solidFill>
                    <w14:srgbClr w14:val="000000">
                      <w14:alpha w14:val="100000"/>
                    </w14:srgbClr>
                  </w14:solidFill>
                </w14:textFill>
              </w:rPr>
              <w:t>|</w:t>
            </w:r>
            <w:r w:rsidRPr="00186539">
              <w:rPr>
                <w:rFonts w:hint="eastAsia"/>
                <w:color w:val="000000"/>
                <w:spacing w:val="-64"/>
                <w:w w:val="15"/>
                <w:fitText w:val="10" w:id="-1161539066"/>
                <w14:textFill>
                  <w14:solidFill>
                    <w14:srgbClr w14:val="000000">
                      <w14:alpha w14:val="100000"/>
                    </w14:srgbClr>
                  </w14:solidFill>
                </w14:textFill>
              </w:rPr>
              <w:t xml:space="preserve">　</w:t>
            </w:r>
          </w:p>
        </w:tc>
        <w:tc>
          <w:tcPr>
            <w:tcW w:w="4508" w:type="dxa"/>
            <w:tcBorders>
              <w:bottom w:val="single" w:sz="4" w:space="0" w:color="auto"/>
            </w:tcBorders>
            <w:shd w:val="solid" w:color="000000" w:fill="000000"/>
          </w:tcPr>
          <w:p w14:paraId="60FDEAC7" w14:textId="5690121B" w:rsidR="00A7285E" w:rsidRPr="00CA23AA" w:rsidRDefault="00594907" w:rsidP="00A7285E">
            <w:pPr>
              <w:rPr>
                <w:rFonts w:ascii="Arial Narrow" w:hAnsi="Arial Narrow" w:cs="Arial"/>
              </w:rPr>
            </w:pPr>
            <w:r w:rsidRPr="00594907">
              <w:rPr>
                <w:color w:val="000000"/>
                <w:w w:val="87"/>
                <w:fitText w:val="350" w:id="-1161539065"/>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0824AC56" w14:textId="54A393A2" w:rsidR="00A7285E" w:rsidRPr="00CA23AA" w:rsidRDefault="00594907" w:rsidP="00A7285E">
            <w:pPr>
              <w:jc w:val="right"/>
              <w:rPr>
                <w:rFonts w:ascii="Arial Narrow" w:hAnsi="Arial Narrow" w:cs="Arial"/>
              </w:rPr>
            </w:pPr>
            <w:r w:rsidRPr="00594907">
              <w:rPr>
                <w:color w:val="000000"/>
                <w14:textFill>
                  <w14:solidFill>
                    <w14:srgbClr w14:val="000000">
                      <w14:alpha w14:val="100000"/>
                    </w14:srgbClr>
                  </w14:solidFill>
                </w14:textFill>
              </w:rPr>
              <w:t>|</w:t>
            </w:r>
          </w:p>
        </w:tc>
      </w:tr>
      <w:tr w:rsidR="00A7285E" w:rsidRPr="00CA23AA" w14:paraId="0912621D" w14:textId="77777777" w:rsidTr="00594907">
        <w:trPr>
          <w:trHeight w:val="255"/>
        </w:trPr>
        <w:tc>
          <w:tcPr>
            <w:tcW w:w="1481" w:type="dxa"/>
            <w:tcBorders>
              <w:bottom w:val="single" w:sz="4" w:space="0" w:color="auto"/>
            </w:tcBorders>
            <w:shd w:val="solid" w:color="000000" w:fill="000000"/>
            <w:noWrap/>
            <w:hideMark/>
          </w:tcPr>
          <w:p w14:paraId="0DF47232" w14:textId="095D48A9" w:rsidR="00A7285E" w:rsidRPr="00CA23AA" w:rsidRDefault="00594907" w:rsidP="00A7285E">
            <w:pPr>
              <w:rPr>
                <w:rFonts w:ascii="Arial Narrow" w:hAnsi="Arial Narrow" w:cs="Arial"/>
              </w:rPr>
            </w:pPr>
            <w:r w:rsidRPr="00594907">
              <w:rPr>
                <w:color w:val="000000"/>
                <w:w w:val="87"/>
                <w:fitText w:val="350" w:id="-1161539064"/>
                <w14:textFill>
                  <w14:solidFill>
                    <w14:srgbClr w14:val="000000">
                      <w14:alpha w14:val="100000"/>
                    </w14:srgbClr>
                  </w14:solidFill>
                </w14:textFill>
              </w:rPr>
              <w:t>||||</w:t>
            </w:r>
          </w:p>
        </w:tc>
        <w:tc>
          <w:tcPr>
            <w:tcW w:w="1377" w:type="dxa"/>
            <w:tcBorders>
              <w:bottom w:val="single" w:sz="4" w:space="0" w:color="auto"/>
            </w:tcBorders>
            <w:shd w:val="solid" w:color="000000" w:fill="000000"/>
            <w:noWrap/>
            <w:hideMark/>
          </w:tcPr>
          <w:p w14:paraId="75CDAD66" w14:textId="06EE11F3" w:rsidR="00A7285E" w:rsidRPr="00CA23AA" w:rsidRDefault="00594907" w:rsidP="00A7285E">
            <w:pPr>
              <w:jc w:val="center"/>
              <w:rPr>
                <w:rFonts w:ascii="Arial Narrow" w:hAnsi="Arial Narrow" w:cs="Arial"/>
              </w:rPr>
            </w:pPr>
            <w:r w:rsidRPr="00186539">
              <w:rPr>
                <w:rFonts w:hint="eastAsia"/>
                <w:color w:val="000000"/>
                <w:w w:val="15"/>
                <w:fitText w:val="10" w:id="-1161539063"/>
                <w14:textFill>
                  <w14:solidFill>
                    <w14:srgbClr w14:val="000000">
                      <w14:alpha w14:val="100000"/>
                    </w14:srgbClr>
                  </w14:solidFill>
                </w14:textFill>
              </w:rPr>
              <w:t xml:space="preserve">　</w:t>
            </w:r>
            <w:r w:rsidRPr="00186539">
              <w:rPr>
                <w:color w:val="000000"/>
                <w:w w:val="15"/>
                <w:fitText w:val="10" w:id="-1161539063"/>
                <w14:textFill>
                  <w14:solidFill>
                    <w14:srgbClr w14:val="000000">
                      <w14:alpha w14:val="100000"/>
                    </w14:srgbClr>
                  </w14:solidFill>
                </w14:textFill>
              </w:rPr>
              <w:t>|</w:t>
            </w:r>
            <w:r w:rsidRPr="00186539">
              <w:rPr>
                <w:rFonts w:hint="eastAsia"/>
                <w:color w:val="000000"/>
                <w:spacing w:val="-64"/>
                <w:w w:val="15"/>
                <w:fitText w:val="10" w:id="-1161539063"/>
                <w14:textFill>
                  <w14:solidFill>
                    <w14:srgbClr w14:val="000000">
                      <w14:alpha w14:val="100000"/>
                    </w14:srgbClr>
                  </w14:solidFill>
                </w14:textFill>
              </w:rPr>
              <w:t xml:space="preserve">　</w:t>
            </w:r>
          </w:p>
        </w:tc>
        <w:tc>
          <w:tcPr>
            <w:tcW w:w="4508" w:type="dxa"/>
            <w:tcBorders>
              <w:bottom w:val="single" w:sz="4" w:space="0" w:color="auto"/>
            </w:tcBorders>
            <w:shd w:val="solid" w:color="000000" w:fill="000000"/>
          </w:tcPr>
          <w:p w14:paraId="6E820C9A" w14:textId="20C6DB7F" w:rsidR="00A7285E" w:rsidRPr="00CA23AA" w:rsidRDefault="00594907" w:rsidP="00A7285E">
            <w:pPr>
              <w:rPr>
                <w:rFonts w:ascii="Arial Narrow" w:hAnsi="Arial Narrow" w:cs="Arial"/>
              </w:rPr>
            </w:pPr>
            <w:r w:rsidRPr="00594907">
              <w:rPr>
                <w:color w:val="000000"/>
                <w:w w:val="87"/>
                <w:fitText w:val="350" w:id="-1161539062"/>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0E2A552D" w14:textId="5B3288DC" w:rsidR="00A7285E" w:rsidRPr="00CA23AA" w:rsidRDefault="00594907" w:rsidP="00A7285E">
            <w:pPr>
              <w:jc w:val="right"/>
              <w:rPr>
                <w:rFonts w:ascii="Arial Narrow" w:hAnsi="Arial Narrow" w:cs="Arial"/>
              </w:rPr>
            </w:pPr>
            <w:r w:rsidRPr="00594907">
              <w:rPr>
                <w:color w:val="000000"/>
                <w14:textFill>
                  <w14:solidFill>
                    <w14:srgbClr w14:val="000000">
                      <w14:alpha w14:val="100000"/>
                    </w14:srgbClr>
                  </w14:solidFill>
                </w14:textFill>
              </w:rPr>
              <w:t>|</w:t>
            </w:r>
          </w:p>
        </w:tc>
      </w:tr>
      <w:tr w:rsidR="00A7285E" w:rsidRPr="00CA23AA" w14:paraId="480CE742" w14:textId="77777777" w:rsidTr="00594907">
        <w:trPr>
          <w:trHeight w:val="255"/>
        </w:trPr>
        <w:tc>
          <w:tcPr>
            <w:tcW w:w="1481" w:type="dxa"/>
            <w:tcBorders>
              <w:bottom w:val="single" w:sz="4" w:space="0" w:color="auto"/>
            </w:tcBorders>
            <w:shd w:val="solid" w:color="000000" w:fill="000000"/>
            <w:noWrap/>
            <w:hideMark/>
          </w:tcPr>
          <w:p w14:paraId="214A9FF2" w14:textId="49A06AB8" w:rsidR="00A7285E" w:rsidRPr="00CA23AA" w:rsidRDefault="00594907" w:rsidP="00A7285E">
            <w:pPr>
              <w:rPr>
                <w:rFonts w:ascii="Arial Narrow" w:hAnsi="Arial Narrow" w:cs="Arial"/>
                <w:vertAlign w:val="superscript"/>
              </w:rPr>
            </w:pPr>
            <w:r w:rsidRPr="00594907">
              <w:rPr>
                <w:color w:val="000000"/>
                <w:w w:val="87"/>
                <w:fitText w:val="350" w:id="-1161539061"/>
                <w14:textFill>
                  <w14:solidFill>
                    <w14:srgbClr w14:val="000000">
                      <w14:alpha w14:val="100000"/>
                    </w14:srgbClr>
                  </w14:solidFill>
                </w14:textFill>
              </w:rPr>
              <w:t>||||</w:t>
            </w:r>
          </w:p>
        </w:tc>
        <w:tc>
          <w:tcPr>
            <w:tcW w:w="1377" w:type="dxa"/>
            <w:tcBorders>
              <w:bottom w:val="single" w:sz="4" w:space="0" w:color="auto"/>
            </w:tcBorders>
            <w:shd w:val="solid" w:color="000000" w:fill="000000"/>
            <w:noWrap/>
            <w:hideMark/>
          </w:tcPr>
          <w:p w14:paraId="46E6BD3D" w14:textId="4935853A" w:rsidR="00A7285E" w:rsidRPr="00CA23AA" w:rsidRDefault="00594907" w:rsidP="00A7285E">
            <w:pPr>
              <w:jc w:val="center"/>
              <w:rPr>
                <w:rFonts w:ascii="Arial Narrow" w:hAnsi="Arial Narrow" w:cs="Arial"/>
              </w:rPr>
            </w:pPr>
            <w:r w:rsidRPr="00186539">
              <w:rPr>
                <w:rFonts w:hint="eastAsia"/>
                <w:color w:val="000000"/>
                <w:w w:val="15"/>
                <w:fitText w:val="10" w:id="-1161539060"/>
                <w14:textFill>
                  <w14:solidFill>
                    <w14:srgbClr w14:val="000000">
                      <w14:alpha w14:val="100000"/>
                    </w14:srgbClr>
                  </w14:solidFill>
                </w14:textFill>
              </w:rPr>
              <w:t xml:space="preserve">　</w:t>
            </w:r>
            <w:r w:rsidRPr="00186539">
              <w:rPr>
                <w:color w:val="000000"/>
                <w:w w:val="15"/>
                <w:fitText w:val="10" w:id="-1161539060"/>
                <w14:textFill>
                  <w14:solidFill>
                    <w14:srgbClr w14:val="000000">
                      <w14:alpha w14:val="100000"/>
                    </w14:srgbClr>
                  </w14:solidFill>
                </w14:textFill>
              </w:rPr>
              <w:t>|</w:t>
            </w:r>
            <w:r w:rsidRPr="00186539">
              <w:rPr>
                <w:rFonts w:hint="eastAsia"/>
                <w:color w:val="000000"/>
                <w:spacing w:val="-64"/>
                <w:w w:val="15"/>
                <w:fitText w:val="10" w:id="-1161539060"/>
                <w14:textFill>
                  <w14:solidFill>
                    <w14:srgbClr w14:val="000000">
                      <w14:alpha w14:val="100000"/>
                    </w14:srgbClr>
                  </w14:solidFill>
                </w14:textFill>
              </w:rPr>
              <w:t xml:space="preserve">　</w:t>
            </w:r>
          </w:p>
        </w:tc>
        <w:tc>
          <w:tcPr>
            <w:tcW w:w="4508" w:type="dxa"/>
            <w:tcBorders>
              <w:bottom w:val="single" w:sz="4" w:space="0" w:color="auto"/>
            </w:tcBorders>
            <w:shd w:val="solid" w:color="000000" w:fill="000000"/>
          </w:tcPr>
          <w:p w14:paraId="1CF69B17" w14:textId="1900F954" w:rsidR="00A7285E" w:rsidRPr="00CA23AA" w:rsidRDefault="00594907" w:rsidP="00A7285E">
            <w:pPr>
              <w:rPr>
                <w:rFonts w:ascii="Arial Narrow" w:hAnsi="Arial Narrow" w:cs="Arial"/>
              </w:rPr>
            </w:pPr>
            <w:r w:rsidRPr="00594907">
              <w:rPr>
                <w:color w:val="000000"/>
                <w:w w:val="87"/>
                <w:fitText w:val="350" w:id="-1161539059"/>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3BA8713C" w14:textId="3BE2CDCE" w:rsidR="00A7285E" w:rsidRPr="00CA23AA" w:rsidRDefault="00594907" w:rsidP="00A7285E">
            <w:pPr>
              <w:jc w:val="right"/>
              <w:rPr>
                <w:rFonts w:ascii="Arial Narrow" w:hAnsi="Arial Narrow" w:cs="Arial"/>
              </w:rPr>
            </w:pPr>
            <w:r w:rsidRPr="00594907">
              <w:rPr>
                <w:color w:val="000000"/>
                <w14:textFill>
                  <w14:solidFill>
                    <w14:srgbClr w14:val="000000">
                      <w14:alpha w14:val="100000"/>
                    </w14:srgbClr>
                  </w14:solidFill>
                </w14:textFill>
              </w:rPr>
              <w:t>|</w:t>
            </w:r>
          </w:p>
        </w:tc>
      </w:tr>
      <w:tr w:rsidR="00A7285E" w:rsidRPr="00CA23AA" w14:paraId="38F879A2" w14:textId="77777777" w:rsidTr="00594907">
        <w:trPr>
          <w:trHeight w:val="255"/>
        </w:trPr>
        <w:tc>
          <w:tcPr>
            <w:tcW w:w="1481" w:type="dxa"/>
            <w:tcBorders>
              <w:bottom w:val="single" w:sz="4" w:space="0" w:color="auto"/>
            </w:tcBorders>
            <w:shd w:val="solid" w:color="000000" w:fill="000000"/>
            <w:noWrap/>
          </w:tcPr>
          <w:p w14:paraId="3210AE5D" w14:textId="73ED41B7" w:rsidR="00A7285E" w:rsidRPr="00CA23AA" w:rsidRDefault="00594907" w:rsidP="00A7285E">
            <w:pPr>
              <w:rPr>
                <w:rFonts w:ascii="Arial Narrow" w:hAnsi="Arial Narrow" w:cs="Arial"/>
              </w:rPr>
            </w:pPr>
            <w:r w:rsidRPr="00594907">
              <w:rPr>
                <w:color w:val="000000"/>
                <w:w w:val="87"/>
                <w:fitText w:val="350" w:id="-1161539058"/>
                <w14:textFill>
                  <w14:solidFill>
                    <w14:srgbClr w14:val="000000">
                      <w14:alpha w14:val="100000"/>
                    </w14:srgbClr>
                  </w14:solidFill>
                </w14:textFill>
              </w:rPr>
              <w:t>||||</w:t>
            </w:r>
          </w:p>
        </w:tc>
        <w:tc>
          <w:tcPr>
            <w:tcW w:w="1377" w:type="dxa"/>
            <w:tcBorders>
              <w:bottom w:val="single" w:sz="4" w:space="0" w:color="auto"/>
            </w:tcBorders>
            <w:shd w:val="solid" w:color="000000" w:fill="000000"/>
            <w:noWrap/>
          </w:tcPr>
          <w:p w14:paraId="44FDE207" w14:textId="01EE75FB" w:rsidR="00A7285E" w:rsidRPr="00CA23AA" w:rsidRDefault="00594907" w:rsidP="00A7285E">
            <w:pPr>
              <w:jc w:val="center"/>
              <w:rPr>
                <w:rFonts w:ascii="Arial Narrow" w:hAnsi="Arial Narrow" w:cs="Arial"/>
              </w:rPr>
            </w:pPr>
            <w:r w:rsidRPr="00186539">
              <w:rPr>
                <w:rFonts w:hint="eastAsia"/>
                <w:color w:val="000000"/>
                <w:w w:val="15"/>
                <w:fitText w:val="10" w:id="-1161539057"/>
                <w14:textFill>
                  <w14:solidFill>
                    <w14:srgbClr w14:val="000000">
                      <w14:alpha w14:val="100000"/>
                    </w14:srgbClr>
                  </w14:solidFill>
                </w14:textFill>
              </w:rPr>
              <w:t xml:space="preserve">　</w:t>
            </w:r>
            <w:r w:rsidRPr="00186539">
              <w:rPr>
                <w:color w:val="000000"/>
                <w:w w:val="15"/>
                <w:fitText w:val="10" w:id="-1161539057"/>
                <w14:textFill>
                  <w14:solidFill>
                    <w14:srgbClr w14:val="000000">
                      <w14:alpha w14:val="100000"/>
                    </w14:srgbClr>
                  </w14:solidFill>
                </w14:textFill>
              </w:rPr>
              <w:t>|</w:t>
            </w:r>
            <w:r w:rsidRPr="00186539">
              <w:rPr>
                <w:rFonts w:hint="eastAsia"/>
                <w:color w:val="000000"/>
                <w:spacing w:val="-64"/>
                <w:w w:val="15"/>
                <w:fitText w:val="10" w:id="-1161539057"/>
                <w14:textFill>
                  <w14:solidFill>
                    <w14:srgbClr w14:val="000000">
                      <w14:alpha w14:val="100000"/>
                    </w14:srgbClr>
                  </w14:solidFill>
                </w14:textFill>
              </w:rPr>
              <w:t xml:space="preserve">　</w:t>
            </w:r>
          </w:p>
        </w:tc>
        <w:tc>
          <w:tcPr>
            <w:tcW w:w="4508" w:type="dxa"/>
            <w:tcBorders>
              <w:bottom w:val="single" w:sz="4" w:space="0" w:color="auto"/>
            </w:tcBorders>
            <w:shd w:val="solid" w:color="000000" w:fill="000000"/>
          </w:tcPr>
          <w:p w14:paraId="5AD501E1" w14:textId="268A677F" w:rsidR="00A7285E" w:rsidRPr="00CA23AA" w:rsidRDefault="00594907" w:rsidP="00A7285E">
            <w:pPr>
              <w:rPr>
                <w:rFonts w:ascii="Arial Narrow" w:hAnsi="Arial Narrow" w:cs="Arial"/>
              </w:rPr>
            </w:pPr>
            <w:r w:rsidRPr="00594907">
              <w:rPr>
                <w:color w:val="000000"/>
                <w:w w:val="87"/>
                <w:fitText w:val="350" w:id="-1161539056"/>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38B5FEB0" w14:textId="4C0C1E53" w:rsidR="00A7285E" w:rsidRPr="00CA23AA" w:rsidRDefault="00594907" w:rsidP="00A7285E">
            <w:pPr>
              <w:jc w:val="right"/>
              <w:rPr>
                <w:rFonts w:ascii="Arial Narrow" w:hAnsi="Arial Narrow" w:cs="Arial"/>
              </w:rPr>
            </w:pPr>
            <w:r w:rsidRPr="00594907">
              <w:rPr>
                <w:color w:val="000000"/>
                <w14:textFill>
                  <w14:solidFill>
                    <w14:srgbClr w14:val="000000">
                      <w14:alpha w14:val="100000"/>
                    </w14:srgbClr>
                  </w14:solidFill>
                </w14:textFill>
              </w:rPr>
              <w:t>|</w:t>
            </w:r>
          </w:p>
        </w:tc>
      </w:tr>
      <w:tr w:rsidR="00A7285E" w:rsidRPr="00CA23AA" w14:paraId="48C6B5A6" w14:textId="77777777" w:rsidTr="00594907">
        <w:trPr>
          <w:trHeight w:val="255"/>
        </w:trPr>
        <w:tc>
          <w:tcPr>
            <w:tcW w:w="1481" w:type="dxa"/>
            <w:tcBorders>
              <w:bottom w:val="single" w:sz="4" w:space="0" w:color="auto"/>
            </w:tcBorders>
            <w:shd w:val="solid" w:color="000000" w:fill="000000"/>
            <w:noWrap/>
            <w:hideMark/>
          </w:tcPr>
          <w:p w14:paraId="2F5F1192" w14:textId="484A994D" w:rsidR="00A7285E" w:rsidRPr="00CA23AA" w:rsidRDefault="00594907" w:rsidP="00A7285E">
            <w:pPr>
              <w:rPr>
                <w:rFonts w:ascii="Arial Narrow" w:hAnsi="Arial Narrow" w:cs="Arial"/>
              </w:rPr>
            </w:pPr>
            <w:r w:rsidRPr="00594907">
              <w:rPr>
                <w:color w:val="000000"/>
                <w:w w:val="87"/>
                <w:fitText w:val="350" w:id="-1161539072"/>
                <w14:textFill>
                  <w14:solidFill>
                    <w14:srgbClr w14:val="000000">
                      <w14:alpha w14:val="100000"/>
                    </w14:srgbClr>
                  </w14:solidFill>
                </w14:textFill>
              </w:rPr>
              <w:t>||||</w:t>
            </w:r>
          </w:p>
        </w:tc>
        <w:tc>
          <w:tcPr>
            <w:tcW w:w="1377" w:type="dxa"/>
            <w:tcBorders>
              <w:bottom w:val="single" w:sz="4" w:space="0" w:color="auto"/>
            </w:tcBorders>
            <w:shd w:val="solid" w:color="000000" w:fill="000000"/>
            <w:noWrap/>
            <w:hideMark/>
          </w:tcPr>
          <w:p w14:paraId="6D31E015" w14:textId="7C852395" w:rsidR="00A7285E" w:rsidRPr="00CA23AA" w:rsidRDefault="00594907" w:rsidP="00A7285E">
            <w:pPr>
              <w:jc w:val="center"/>
              <w:rPr>
                <w:rFonts w:ascii="Arial Narrow" w:hAnsi="Arial Narrow" w:cs="Arial"/>
              </w:rPr>
            </w:pPr>
            <w:r w:rsidRPr="00186539">
              <w:rPr>
                <w:rFonts w:hint="eastAsia"/>
                <w:color w:val="000000"/>
                <w:w w:val="15"/>
                <w:fitText w:val="10" w:id="-1161539071"/>
                <w14:textFill>
                  <w14:solidFill>
                    <w14:srgbClr w14:val="000000">
                      <w14:alpha w14:val="100000"/>
                    </w14:srgbClr>
                  </w14:solidFill>
                </w14:textFill>
              </w:rPr>
              <w:t xml:space="preserve">　</w:t>
            </w:r>
            <w:r w:rsidRPr="00186539">
              <w:rPr>
                <w:color w:val="000000"/>
                <w:w w:val="15"/>
                <w:fitText w:val="10" w:id="-1161539071"/>
                <w14:textFill>
                  <w14:solidFill>
                    <w14:srgbClr w14:val="000000">
                      <w14:alpha w14:val="100000"/>
                    </w14:srgbClr>
                  </w14:solidFill>
                </w14:textFill>
              </w:rPr>
              <w:t>|</w:t>
            </w:r>
            <w:r w:rsidRPr="00186539">
              <w:rPr>
                <w:rFonts w:hint="eastAsia"/>
                <w:color w:val="000000"/>
                <w:spacing w:val="-64"/>
                <w:w w:val="15"/>
                <w:fitText w:val="10" w:id="-1161539071"/>
                <w14:textFill>
                  <w14:solidFill>
                    <w14:srgbClr w14:val="000000">
                      <w14:alpha w14:val="100000"/>
                    </w14:srgbClr>
                  </w14:solidFill>
                </w14:textFill>
              </w:rPr>
              <w:t xml:space="preserve">　</w:t>
            </w:r>
          </w:p>
        </w:tc>
        <w:tc>
          <w:tcPr>
            <w:tcW w:w="4508" w:type="dxa"/>
            <w:tcBorders>
              <w:bottom w:val="single" w:sz="4" w:space="0" w:color="auto"/>
            </w:tcBorders>
            <w:shd w:val="solid" w:color="000000" w:fill="000000"/>
          </w:tcPr>
          <w:p w14:paraId="2D6E81DD" w14:textId="10205F3A" w:rsidR="00A7285E" w:rsidRPr="00CA23AA" w:rsidRDefault="00594907" w:rsidP="00A7285E">
            <w:pPr>
              <w:rPr>
                <w:rFonts w:ascii="Arial Narrow" w:hAnsi="Arial Narrow" w:cs="Arial"/>
              </w:rPr>
            </w:pPr>
            <w:r w:rsidRPr="00594907">
              <w:rPr>
                <w:color w:val="000000"/>
                <w:w w:val="87"/>
                <w:fitText w:val="350" w:id="-1161539070"/>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0378B50F" w14:textId="1694D93F" w:rsidR="00A7285E" w:rsidRPr="00CA23AA" w:rsidRDefault="00594907" w:rsidP="00A7285E">
            <w:pPr>
              <w:jc w:val="right"/>
              <w:rPr>
                <w:rFonts w:ascii="Arial Narrow" w:hAnsi="Arial Narrow" w:cs="Arial"/>
              </w:rPr>
            </w:pPr>
            <w:r w:rsidRPr="00594907">
              <w:rPr>
                <w:color w:val="000000"/>
                <w14:textFill>
                  <w14:solidFill>
                    <w14:srgbClr w14:val="000000">
                      <w14:alpha w14:val="100000"/>
                    </w14:srgbClr>
                  </w14:solidFill>
                </w14:textFill>
              </w:rPr>
              <w:t>|</w:t>
            </w:r>
          </w:p>
        </w:tc>
      </w:tr>
      <w:tr w:rsidR="00A7285E" w:rsidRPr="00CA23AA" w14:paraId="22BB7623" w14:textId="77777777" w:rsidTr="00594907">
        <w:trPr>
          <w:trHeight w:val="255"/>
        </w:trPr>
        <w:tc>
          <w:tcPr>
            <w:tcW w:w="1481" w:type="dxa"/>
            <w:tcBorders>
              <w:bottom w:val="single" w:sz="4" w:space="0" w:color="auto"/>
            </w:tcBorders>
            <w:shd w:val="solid" w:color="000000" w:fill="000000"/>
            <w:noWrap/>
            <w:hideMark/>
          </w:tcPr>
          <w:p w14:paraId="0A3379CC" w14:textId="28C8ECBF" w:rsidR="00A7285E" w:rsidRPr="00CA23AA" w:rsidRDefault="00594907" w:rsidP="00A7285E">
            <w:pPr>
              <w:rPr>
                <w:rFonts w:ascii="Arial Narrow" w:hAnsi="Arial Narrow" w:cs="Arial"/>
              </w:rPr>
            </w:pPr>
            <w:r w:rsidRPr="00594907">
              <w:rPr>
                <w:color w:val="000000"/>
                <w:w w:val="87"/>
                <w:fitText w:val="350" w:id="-1161539069"/>
                <w14:textFill>
                  <w14:solidFill>
                    <w14:srgbClr w14:val="000000">
                      <w14:alpha w14:val="100000"/>
                    </w14:srgbClr>
                  </w14:solidFill>
                </w14:textFill>
              </w:rPr>
              <w:t>||||</w:t>
            </w:r>
          </w:p>
        </w:tc>
        <w:tc>
          <w:tcPr>
            <w:tcW w:w="1377" w:type="dxa"/>
            <w:tcBorders>
              <w:bottom w:val="single" w:sz="4" w:space="0" w:color="auto"/>
            </w:tcBorders>
            <w:shd w:val="solid" w:color="000000" w:fill="000000"/>
            <w:noWrap/>
            <w:hideMark/>
          </w:tcPr>
          <w:p w14:paraId="73D44E70" w14:textId="6E7529C4" w:rsidR="00A7285E" w:rsidRPr="00CA23AA" w:rsidRDefault="00594907" w:rsidP="00A7285E">
            <w:pPr>
              <w:jc w:val="center"/>
              <w:rPr>
                <w:rFonts w:ascii="Arial Narrow" w:hAnsi="Arial Narrow" w:cs="Arial"/>
              </w:rPr>
            </w:pPr>
            <w:r w:rsidRPr="00186539">
              <w:rPr>
                <w:rFonts w:hint="eastAsia"/>
                <w:color w:val="000000"/>
                <w:w w:val="15"/>
                <w:fitText w:val="10" w:id="-1161539068"/>
                <w14:textFill>
                  <w14:solidFill>
                    <w14:srgbClr w14:val="000000">
                      <w14:alpha w14:val="100000"/>
                    </w14:srgbClr>
                  </w14:solidFill>
                </w14:textFill>
              </w:rPr>
              <w:t xml:space="preserve">　</w:t>
            </w:r>
            <w:r w:rsidRPr="00186539">
              <w:rPr>
                <w:color w:val="000000"/>
                <w:w w:val="15"/>
                <w:fitText w:val="10" w:id="-1161539068"/>
                <w14:textFill>
                  <w14:solidFill>
                    <w14:srgbClr w14:val="000000">
                      <w14:alpha w14:val="100000"/>
                    </w14:srgbClr>
                  </w14:solidFill>
                </w14:textFill>
              </w:rPr>
              <w:t>|</w:t>
            </w:r>
            <w:r w:rsidRPr="00186539">
              <w:rPr>
                <w:rFonts w:hint="eastAsia"/>
                <w:color w:val="000000"/>
                <w:spacing w:val="-64"/>
                <w:w w:val="15"/>
                <w:fitText w:val="10" w:id="-1161539068"/>
                <w14:textFill>
                  <w14:solidFill>
                    <w14:srgbClr w14:val="000000">
                      <w14:alpha w14:val="100000"/>
                    </w14:srgbClr>
                  </w14:solidFill>
                </w14:textFill>
              </w:rPr>
              <w:t xml:space="preserve">　</w:t>
            </w:r>
          </w:p>
        </w:tc>
        <w:tc>
          <w:tcPr>
            <w:tcW w:w="4508" w:type="dxa"/>
            <w:tcBorders>
              <w:bottom w:val="single" w:sz="4" w:space="0" w:color="auto"/>
            </w:tcBorders>
            <w:shd w:val="solid" w:color="000000" w:fill="000000"/>
          </w:tcPr>
          <w:p w14:paraId="32D21BE5" w14:textId="3F2500C6" w:rsidR="00A7285E" w:rsidRPr="00CA23AA" w:rsidRDefault="00594907" w:rsidP="00A7285E">
            <w:pPr>
              <w:rPr>
                <w:rFonts w:ascii="Arial Narrow" w:hAnsi="Arial Narrow" w:cs="Arial"/>
              </w:rPr>
            </w:pPr>
            <w:r w:rsidRPr="00594907">
              <w:rPr>
                <w:color w:val="000000"/>
                <w:w w:val="87"/>
                <w:fitText w:val="350" w:id="-1161539067"/>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4184E7C0" w14:textId="3AD04D6E" w:rsidR="00A7285E" w:rsidRPr="00CA23AA" w:rsidRDefault="00594907" w:rsidP="00A7285E">
            <w:pPr>
              <w:jc w:val="right"/>
              <w:rPr>
                <w:rFonts w:ascii="Arial Narrow" w:hAnsi="Arial Narrow" w:cs="Arial"/>
              </w:rPr>
            </w:pPr>
            <w:r w:rsidRPr="00594907">
              <w:rPr>
                <w:color w:val="000000"/>
                <w14:textFill>
                  <w14:solidFill>
                    <w14:srgbClr w14:val="000000">
                      <w14:alpha w14:val="100000"/>
                    </w14:srgbClr>
                  </w14:solidFill>
                </w14:textFill>
              </w:rPr>
              <w:t>|</w:t>
            </w:r>
          </w:p>
        </w:tc>
      </w:tr>
      <w:tr w:rsidR="00A7285E" w:rsidRPr="00CA23AA" w14:paraId="1356CD58" w14:textId="77777777" w:rsidTr="00594907">
        <w:trPr>
          <w:trHeight w:val="255"/>
        </w:trPr>
        <w:tc>
          <w:tcPr>
            <w:tcW w:w="1481" w:type="dxa"/>
            <w:tcBorders>
              <w:bottom w:val="single" w:sz="4" w:space="0" w:color="auto"/>
            </w:tcBorders>
            <w:shd w:val="solid" w:color="000000" w:fill="000000"/>
            <w:noWrap/>
            <w:hideMark/>
          </w:tcPr>
          <w:p w14:paraId="0CAFD7D6" w14:textId="66E68EF8" w:rsidR="00A7285E" w:rsidRPr="00CA23AA" w:rsidRDefault="00594907" w:rsidP="00A7285E">
            <w:pPr>
              <w:rPr>
                <w:rFonts w:ascii="Arial Narrow" w:hAnsi="Arial Narrow" w:cs="Arial"/>
              </w:rPr>
            </w:pPr>
            <w:r w:rsidRPr="00594907">
              <w:rPr>
                <w:color w:val="000000"/>
                <w:w w:val="87"/>
                <w:fitText w:val="350" w:id="-1161539066"/>
                <w14:textFill>
                  <w14:solidFill>
                    <w14:srgbClr w14:val="000000">
                      <w14:alpha w14:val="100000"/>
                    </w14:srgbClr>
                  </w14:solidFill>
                </w14:textFill>
              </w:rPr>
              <w:t>||||</w:t>
            </w:r>
          </w:p>
        </w:tc>
        <w:tc>
          <w:tcPr>
            <w:tcW w:w="1377" w:type="dxa"/>
            <w:tcBorders>
              <w:bottom w:val="single" w:sz="4" w:space="0" w:color="auto"/>
            </w:tcBorders>
            <w:shd w:val="solid" w:color="000000" w:fill="000000"/>
            <w:noWrap/>
            <w:hideMark/>
          </w:tcPr>
          <w:p w14:paraId="50F7EC48" w14:textId="1AB59840" w:rsidR="00A7285E" w:rsidRPr="00CA23AA" w:rsidRDefault="00594907" w:rsidP="00A7285E">
            <w:pPr>
              <w:jc w:val="center"/>
              <w:rPr>
                <w:rFonts w:ascii="Arial Narrow" w:hAnsi="Arial Narrow" w:cs="Arial"/>
              </w:rPr>
            </w:pPr>
            <w:r w:rsidRPr="00186539">
              <w:rPr>
                <w:rFonts w:hint="eastAsia"/>
                <w:color w:val="000000"/>
                <w:w w:val="15"/>
                <w:fitText w:val="10" w:id="-1161539065"/>
                <w14:textFill>
                  <w14:solidFill>
                    <w14:srgbClr w14:val="000000">
                      <w14:alpha w14:val="100000"/>
                    </w14:srgbClr>
                  </w14:solidFill>
                </w14:textFill>
              </w:rPr>
              <w:t xml:space="preserve">　</w:t>
            </w:r>
            <w:r w:rsidRPr="00186539">
              <w:rPr>
                <w:color w:val="000000"/>
                <w:w w:val="15"/>
                <w:fitText w:val="10" w:id="-1161539065"/>
                <w14:textFill>
                  <w14:solidFill>
                    <w14:srgbClr w14:val="000000">
                      <w14:alpha w14:val="100000"/>
                    </w14:srgbClr>
                  </w14:solidFill>
                </w14:textFill>
              </w:rPr>
              <w:t>|</w:t>
            </w:r>
            <w:r w:rsidRPr="00186539">
              <w:rPr>
                <w:rFonts w:hint="eastAsia"/>
                <w:color w:val="000000"/>
                <w:spacing w:val="-64"/>
                <w:w w:val="15"/>
                <w:fitText w:val="10" w:id="-1161539065"/>
                <w14:textFill>
                  <w14:solidFill>
                    <w14:srgbClr w14:val="000000">
                      <w14:alpha w14:val="100000"/>
                    </w14:srgbClr>
                  </w14:solidFill>
                </w14:textFill>
              </w:rPr>
              <w:t xml:space="preserve">　</w:t>
            </w:r>
          </w:p>
        </w:tc>
        <w:tc>
          <w:tcPr>
            <w:tcW w:w="4508" w:type="dxa"/>
            <w:tcBorders>
              <w:bottom w:val="single" w:sz="4" w:space="0" w:color="auto"/>
            </w:tcBorders>
            <w:shd w:val="solid" w:color="000000" w:fill="000000"/>
          </w:tcPr>
          <w:p w14:paraId="52306131" w14:textId="17C866FF" w:rsidR="00A7285E" w:rsidRPr="00CA23AA" w:rsidRDefault="00594907" w:rsidP="00A7285E">
            <w:pPr>
              <w:rPr>
                <w:rFonts w:ascii="Arial Narrow" w:hAnsi="Arial Narrow" w:cs="Arial"/>
              </w:rPr>
            </w:pPr>
            <w:r w:rsidRPr="00594907">
              <w:rPr>
                <w:color w:val="000000"/>
                <w:w w:val="87"/>
                <w:fitText w:val="350" w:id="-1161539064"/>
                <w14:textFill>
                  <w14:solidFill>
                    <w14:srgbClr w14:val="000000">
                      <w14:alpha w14:val="100000"/>
                    </w14:srgbClr>
                  </w14:solidFill>
                </w14:textFill>
              </w:rPr>
              <w:t>||||</w:t>
            </w:r>
          </w:p>
        </w:tc>
        <w:tc>
          <w:tcPr>
            <w:tcW w:w="1560" w:type="dxa"/>
            <w:tcBorders>
              <w:bottom w:val="single" w:sz="4" w:space="0" w:color="auto"/>
            </w:tcBorders>
            <w:shd w:val="solid" w:color="000000" w:fill="000000"/>
          </w:tcPr>
          <w:p w14:paraId="250D893E" w14:textId="6A428BB9" w:rsidR="00A7285E" w:rsidRPr="00CA23AA" w:rsidRDefault="00594907" w:rsidP="00A7285E">
            <w:pPr>
              <w:jc w:val="right"/>
              <w:rPr>
                <w:rFonts w:ascii="Arial Narrow" w:hAnsi="Arial Narrow" w:cs="Arial"/>
              </w:rPr>
            </w:pPr>
            <w:r w:rsidRPr="00594907">
              <w:rPr>
                <w:color w:val="000000"/>
                <w14:textFill>
                  <w14:solidFill>
                    <w14:srgbClr w14:val="000000">
                      <w14:alpha w14:val="100000"/>
                    </w14:srgbClr>
                  </w14:solidFill>
                </w14:textFill>
              </w:rPr>
              <w:t>|</w:t>
            </w:r>
          </w:p>
        </w:tc>
      </w:tr>
      <w:tr w:rsidR="00A7285E" w:rsidRPr="00CA23AA" w14:paraId="0D02A41A" w14:textId="77777777" w:rsidTr="00594907">
        <w:trPr>
          <w:trHeight w:val="255"/>
        </w:trPr>
        <w:tc>
          <w:tcPr>
            <w:tcW w:w="1481" w:type="dxa"/>
            <w:shd w:val="solid" w:color="000000" w:fill="000000"/>
            <w:noWrap/>
            <w:hideMark/>
          </w:tcPr>
          <w:p w14:paraId="041056D4" w14:textId="47855415" w:rsidR="00A7285E" w:rsidRPr="00CA23AA" w:rsidRDefault="00594907" w:rsidP="00A7285E">
            <w:pPr>
              <w:rPr>
                <w:rFonts w:ascii="Arial Narrow" w:hAnsi="Arial Narrow" w:cs="Arial"/>
              </w:rPr>
            </w:pPr>
            <w:r w:rsidRPr="00594907">
              <w:rPr>
                <w:color w:val="000000"/>
                <w:w w:val="87"/>
                <w:fitText w:val="350" w:id="-1161539063"/>
                <w14:textFill>
                  <w14:solidFill>
                    <w14:srgbClr w14:val="000000">
                      <w14:alpha w14:val="100000"/>
                    </w14:srgbClr>
                  </w14:solidFill>
                </w14:textFill>
              </w:rPr>
              <w:t>||||</w:t>
            </w:r>
          </w:p>
        </w:tc>
        <w:tc>
          <w:tcPr>
            <w:tcW w:w="1377" w:type="dxa"/>
            <w:shd w:val="solid" w:color="000000" w:fill="000000"/>
            <w:noWrap/>
            <w:hideMark/>
          </w:tcPr>
          <w:p w14:paraId="01DFBCCA" w14:textId="44E02955" w:rsidR="00A7285E" w:rsidRPr="00CA23AA" w:rsidRDefault="00594907" w:rsidP="00A7285E">
            <w:pPr>
              <w:jc w:val="center"/>
              <w:rPr>
                <w:rFonts w:ascii="Arial Narrow" w:hAnsi="Arial Narrow" w:cs="Arial"/>
              </w:rPr>
            </w:pPr>
            <w:r w:rsidRPr="00186539">
              <w:rPr>
                <w:rFonts w:hint="eastAsia"/>
                <w:color w:val="000000"/>
                <w:w w:val="15"/>
                <w:fitText w:val="10" w:id="-1161539062"/>
                <w14:textFill>
                  <w14:solidFill>
                    <w14:srgbClr w14:val="000000">
                      <w14:alpha w14:val="100000"/>
                    </w14:srgbClr>
                  </w14:solidFill>
                </w14:textFill>
              </w:rPr>
              <w:t xml:space="preserve">　</w:t>
            </w:r>
            <w:r w:rsidRPr="00186539">
              <w:rPr>
                <w:color w:val="000000"/>
                <w:w w:val="15"/>
                <w:fitText w:val="10" w:id="-1161539062"/>
                <w14:textFill>
                  <w14:solidFill>
                    <w14:srgbClr w14:val="000000">
                      <w14:alpha w14:val="100000"/>
                    </w14:srgbClr>
                  </w14:solidFill>
                </w14:textFill>
              </w:rPr>
              <w:t>|</w:t>
            </w:r>
            <w:r w:rsidRPr="00186539">
              <w:rPr>
                <w:rFonts w:hint="eastAsia"/>
                <w:color w:val="000000"/>
                <w:spacing w:val="-64"/>
                <w:w w:val="15"/>
                <w:fitText w:val="10" w:id="-1161539062"/>
                <w14:textFill>
                  <w14:solidFill>
                    <w14:srgbClr w14:val="000000">
                      <w14:alpha w14:val="100000"/>
                    </w14:srgbClr>
                  </w14:solidFill>
                </w14:textFill>
              </w:rPr>
              <w:t xml:space="preserve">　</w:t>
            </w:r>
          </w:p>
        </w:tc>
        <w:tc>
          <w:tcPr>
            <w:tcW w:w="4508" w:type="dxa"/>
            <w:shd w:val="solid" w:color="000000" w:fill="000000"/>
          </w:tcPr>
          <w:p w14:paraId="7F5A4694" w14:textId="4321125F" w:rsidR="00A7285E" w:rsidRPr="00CA23AA" w:rsidRDefault="00594907" w:rsidP="00A7285E">
            <w:pPr>
              <w:rPr>
                <w:rFonts w:ascii="Arial Narrow" w:hAnsi="Arial Narrow" w:cs="Arial"/>
              </w:rPr>
            </w:pPr>
            <w:r w:rsidRPr="00594907">
              <w:rPr>
                <w:color w:val="000000"/>
                <w:w w:val="87"/>
                <w:fitText w:val="350" w:id="-1161539061"/>
                <w14:textFill>
                  <w14:solidFill>
                    <w14:srgbClr w14:val="000000">
                      <w14:alpha w14:val="100000"/>
                    </w14:srgbClr>
                  </w14:solidFill>
                </w14:textFill>
              </w:rPr>
              <w:t>||||</w:t>
            </w:r>
          </w:p>
        </w:tc>
        <w:tc>
          <w:tcPr>
            <w:tcW w:w="1560" w:type="dxa"/>
            <w:shd w:val="solid" w:color="000000" w:fill="000000"/>
          </w:tcPr>
          <w:p w14:paraId="45529A9F" w14:textId="748E858D" w:rsidR="00A7285E" w:rsidRPr="00CA23AA" w:rsidRDefault="00594907" w:rsidP="00A7285E">
            <w:pPr>
              <w:jc w:val="right"/>
              <w:rPr>
                <w:rFonts w:ascii="Arial Narrow" w:hAnsi="Arial Narrow" w:cs="Arial"/>
                <w:b/>
              </w:rPr>
            </w:pPr>
            <w:r w:rsidRPr="00594907">
              <w:rPr>
                <w:color w:val="000000"/>
                <w14:textFill>
                  <w14:solidFill>
                    <w14:srgbClr w14:val="000000">
                      <w14:alpha w14:val="100000"/>
                    </w14:srgbClr>
                  </w14:solidFill>
                </w14:textFill>
              </w:rPr>
              <w:t>|</w:t>
            </w:r>
          </w:p>
        </w:tc>
      </w:tr>
    </w:tbl>
    <w:p w14:paraId="2DBB75C6" w14:textId="5C68263C" w:rsidR="006A00C7" w:rsidRPr="00CA23AA" w:rsidRDefault="00594907" w:rsidP="00A7285E">
      <w:pPr>
        <w:pStyle w:val="Tablenotes0"/>
      </w:pPr>
      <w:r w:rsidRPr="00594907">
        <w:rPr>
          <w:color w:val="000000"/>
          <w:spacing w:val="23"/>
          <w:shd w:val="solid" w:color="000000" w:fill="000000"/>
          <w:fitText w:val="230" w:id="-1161539060"/>
          <w14:textFill>
            <w14:solidFill>
              <w14:srgbClr w14:val="000000">
                <w14:alpha w14:val="100000"/>
              </w14:srgbClr>
            </w14:solidFill>
          </w14:textFill>
        </w:rPr>
        <w:t xml:space="preserve">|  </w:t>
      </w:r>
      <w:r w:rsidRPr="00594907">
        <w:rPr>
          <w:color w:val="000000"/>
          <w:spacing w:val="3"/>
          <w:shd w:val="solid" w:color="000000" w:fill="000000"/>
          <w:fitText w:val="230" w:id="-1161539060"/>
          <w14:textFill>
            <w14:solidFill>
              <w14:srgbClr w14:val="000000">
                <w14:alpha w14:val="100000"/>
              </w14:srgbClr>
            </w14:solidFill>
          </w14:textFill>
        </w:rPr>
        <w:t>|</w:t>
      </w:r>
    </w:p>
    <w:p w14:paraId="57D37FEE" w14:textId="028010CD" w:rsidR="00D42355" w:rsidRPr="00CA23AA" w:rsidRDefault="00D42355" w:rsidP="00D42355">
      <w:r w:rsidRPr="00CA23AA">
        <w:t>Based on additional evidence for TIS, including longer-term trial evidence and ABMTRR data</w:t>
      </w:r>
      <w:r w:rsidR="00841418" w:rsidRPr="00CA23AA">
        <w:t>, the</w:t>
      </w:r>
      <w:r w:rsidRPr="00CA23AA">
        <w:t xml:space="preserve"> sponsor claimed that the incremental cost per QALY for TIS is below the threshold previously accepted by MSAC. </w:t>
      </w:r>
      <w:r w:rsidR="003C7424" w:rsidRPr="00CA23AA">
        <w:t>However</w:t>
      </w:r>
      <w:r w:rsidR="00A56D95" w:rsidRPr="00CA23AA">
        <w:t>,</w:t>
      </w:r>
      <w:r w:rsidR="003C7424" w:rsidRPr="00CA23AA">
        <w:t xml:space="preserve"> </w:t>
      </w:r>
      <w:r w:rsidR="0025421E" w:rsidRPr="00CA23AA">
        <w:t>while the</w:t>
      </w:r>
      <w:r w:rsidR="00AF45AA" w:rsidRPr="00CA23AA">
        <w:t xml:space="preserve"> </w:t>
      </w:r>
      <w:r w:rsidR="000B6C6F" w:rsidRPr="00CA23AA">
        <w:t xml:space="preserve">sponsor’s estimate of the ICER in </w:t>
      </w:r>
      <w:r w:rsidR="00C245E9" w:rsidRPr="00CA23AA">
        <w:t>ADAR 1748</w:t>
      </w:r>
      <w:r w:rsidR="007A0682" w:rsidRPr="00CA23AA">
        <w:t xml:space="preserve"> </w:t>
      </w:r>
      <w:r w:rsidR="00B80C26" w:rsidRPr="00CA23AA">
        <w:t xml:space="preserve">is reduced </w:t>
      </w:r>
      <w:r w:rsidR="000B6C6F" w:rsidRPr="00CA23AA">
        <w:t>($</w:t>
      </w:r>
      <w:r w:rsidR="00594907" w:rsidRPr="00594907">
        <w:rPr>
          <w:color w:val="000000"/>
          <w:w w:val="88"/>
          <w:shd w:val="solid" w:color="000000" w:fill="000000"/>
          <w:fitText w:val="390" w:id="-1161539059"/>
          <w14:textFill>
            <w14:solidFill>
              <w14:srgbClr w14:val="000000">
                <w14:alpha w14:val="100000"/>
              </w14:srgbClr>
            </w14:solidFill>
          </w14:textFill>
        </w:rPr>
        <w:t>|||</w:t>
      </w:r>
      <w:r w:rsidR="00594907" w:rsidRPr="00594907">
        <w:rPr>
          <w:color w:val="000000"/>
          <w:spacing w:val="2"/>
          <w:w w:val="88"/>
          <w:shd w:val="solid" w:color="000000" w:fill="000000"/>
          <w:fitText w:val="390" w:id="-1161539059"/>
          <w14:textFill>
            <w14:solidFill>
              <w14:srgbClr w14:val="000000">
                <w14:alpha w14:val="100000"/>
              </w14:srgbClr>
            </w14:solidFill>
          </w14:textFill>
        </w:rPr>
        <w:t>|</w:t>
      </w:r>
      <w:r w:rsidR="000B6C6F" w:rsidRPr="00CA23AA">
        <w:t>vs $</w:t>
      </w:r>
      <w:r w:rsidR="00594907" w:rsidRPr="00594907">
        <w:rPr>
          <w:color w:val="000000"/>
          <w:w w:val="86"/>
          <w:shd w:val="solid" w:color="000000" w:fill="000000"/>
          <w:fitText w:val="380" w:id="-1161539058"/>
          <w14:textFill>
            <w14:solidFill>
              <w14:srgbClr w14:val="000000">
                <w14:alpha w14:val="100000"/>
              </w14:srgbClr>
            </w14:solidFill>
          </w14:textFill>
        </w:rPr>
        <w:t>|||</w:t>
      </w:r>
      <w:r w:rsidR="00594907" w:rsidRPr="00594907">
        <w:rPr>
          <w:color w:val="000000"/>
          <w:spacing w:val="1"/>
          <w:w w:val="86"/>
          <w:shd w:val="solid" w:color="000000" w:fill="000000"/>
          <w:fitText w:val="380" w:id="-1161539058"/>
          <w14:textFill>
            <w14:solidFill>
              <w14:srgbClr w14:val="000000">
                <w14:alpha w14:val="100000"/>
              </w14:srgbClr>
            </w14:solidFill>
          </w14:textFill>
        </w:rPr>
        <w:t>|</w:t>
      </w:r>
      <w:r w:rsidR="000B6C6F" w:rsidRPr="00CA23AA">
        <w:t>in the previous ADAR</w:t>
      </w:r>
      <w:r w:rsidR="002D51CB" w:rsidRPr="00CA23AA">
        <w:t xml:space="preserve"> 15</w:t>
      </w:r>
      <w:r w:rsidR="001407A9" w:rsidRPr="00CA23AA">
        <w:t>19 (April 2019)</w:t>
      </w:r>
      <w:r w:rsidR="00237538" w:rsidRPr="00CA23AA">
        <w:t xml:space="preserve">), </w:t>
      </w:r>
      <w:r w:rsidR="002A6FD1" w:rsidRPr="00CA23AA">
        <w:t xml:space="preserve">after the Commentary applied </w:t>
      </w:r>
      <w:r w:rsidR="002C173B" w:rsidRPr="00CA23AA">
        <w:t xml:space="preserve">corrections </w:t>
      </w:r>
      <w:r w:rsidR="002A6FD1" w:rsidRPr="00CA23AA">
        <w:t xml:space="preserve">to the model and </w:t>
      </w:r>
      <w:r w:rsidR="00195CE3" w:rsidRPr="00CA23AA">
        <w:t xml:space="preserve">respecified some of the </w:t>
      </w:r>
      <w:r w:rsidR="00E9154B" w:rsidRPr="00CA23AA">
        <w:t xml:space="preserve">resource use </w:t>
      </w:r>
      <w:r w:rsidR="00195CE3" w:rsidRPr="00CA23AA">
        <w:t>input values</w:t>
      </w:r>
      <w:r w:rsidR="00E9154B" w:rsidRPr="00CA23AA">
        <w:t xml:space="preserve">, the ICER </w:t>
      </w:r>
      <w:r w:rsidR="00320ADC" w:rsidRPr="00CA23AA">
        <w:t xml:space="preserve">was estimated to be </w:t>
      </w:r>
      <w:r w:rsidR="004A0E78" w:rsidRPr="00CA23AA">
        <w:t>$</w:t>
      </w:r>
      <w:r w:rsidR="00594907" w:rsidRPr="00594907">
        <w:rPr>
          <w:color w:val="000000"/>
          <w:w w:val="88"/>
          <w:shd w:val="solid" w:color="000000" w:fill="000000"/>
          <w:fitText w:val="390" w:id="-1161539057"/>
          <w14:textFill>
            <w14:solidFill>
              <w14:srgbClr w14:val="000000">
                <w14:alpha w14:val="100000"/>
              </w14:srgbClr>
            </w14:solidFill>
          </w14:textFill>
        </w:rPr>
        <w:t>|||</w:t>
      </w:r>
      <w:r w:rsidR="00594907" w:rsidRPr="00594907">
        <w:rPr>
          <w:color w:val="000000"/>
          <w:spacing w:val="2"/>
          <w:w w:val="88"/>
          <w:shd w:val="solid" w:color="000000" w:fill="000000"/>
          <w:fitText w:val="390" w:id="-1161539057"/>
          <w14:textFill>
            <w14:solidFill>
              <w14:srgbClr w14:val="000000">
                <w14:alpha w14:val="100000"/>
              </w14:srgbClr>
            </w14:solidFill>
          </w14:textFill>
        </w:rPr>
        <w:t>|</w:t>
      </w:r>
      <w:r w:rsidR="00904458" w:rsidRPr="00CA23AA">
        <w:t>).</w:t>
      </w:r>
      <w:r w:rsidR="00195CE3" w:rsidRPr="00CA23AA">
        <w:t xml:space="preserve"> </w:t>
      </w:r>
      <w:r w:rsidR="00594907" w:rsidRPr="00594907">
        <w:rPr>
          <w:color w:val="000000"/>
          <w:w w:val="88"/>
          <w:shd w:val="solid" w:color="000000" w:fill="000000"/>
          <w:fitText w:val="390" w:id="-1161539056"/>
          <w14:textFill>
            <w14:solidFill>
              <w14:srgbClr w14:val="000000">
                <w14:alpha w14:val="100000"/>
              </w14:srgbClr>
            </w14:solidFill>
          </w14:textFill>
        </w:rPr>
        <w:t>|||</w:t>
      </w:r>
      <w:r w:rsidR="00594907" w:rsidRPr="00594907">
        <w:rPr>
          <w:color w:val="000000"/>
          <w:spacing w:val="2"/>
          <w:w w:val="88"/>
          <w:shd w:val="solid" w:color="000000" w:fill="000000"/>
          <w:fitText w:val="390" w:id="-1161539056"/>
          <w14:textFill>
            <w14:solidFill>
              <w14:srgbClr w14:val="000000">
                <w14:alpha w14:val="100000"/>
              </w14:srgbClr>
            </w14:solidFill>
          </w14:textFill>
        </w:rPr>
        <w:t>|</w:t>
      </w:r>
      <w:r w:rsidRPr="00CA23AA">
        <w:t xml:space="preserve">Additionally, the utilisation of TIS for </w:t>
      </w:r>
      <w:proofErr w:type="spellStart"/>
      <w:r w:rsidRPr="00CA23AA">
        <w:t>pALL</w:t>
      </w:r>
      <w:proofErr w:type="spellEnd"/>
      <w:r w:rsidRPr="00CA23AA">
        <w:t xml:space="preserve"> has been substantially lower than </w:t>
      </w:r>
      <w:r w:rsidR="00B72388" w:rsidRPr="00CA23AA">
        <w:t xml:space="preserve">was </w:t>
      </w:r>
      <w:r w:rsidRPr="00CA23AA">
        <w:t>estimated by Novartis and accepted by MSAC.</w:t>
      </w:r>
    </w:p>
    <w:p w14:paraId="67DFAC9E" w14:textId="3C45684B" w:rsidR="00D42355" w:rsidRPr="00CA23AA" w:rsidRDefault="00594907" w:rsidP="004F5820">
      <w:pPr>
        <w:keepNext/>
        <w:keepLines/>
      </w:pPr>
      <w:r w:rsidRPr="00594907">
        <w:rPr>
          <w:color w:val="000000"/>
          <w:w w:val="88"/>
          <w:shd w:val="solid" w:color="000000" w:fill="000000"/>
          <w:fitText w:val="390" w:id="-1161539072"/>
          <w14:textFill>
            <w14:solidFill>
              <w14:srgbClr w14:val="000000">
                <w14:alpha w14:val="100000"/>
              </w14:srgbClr>
            </w14:solidFill>
          </w14:textFill>
        </w:rPr>
        <w:t>|||</w:t>
      </w:r>
      <w:r w:rsidRPr="00594907">
        <w:rPr>
          <w:color w:val="000000"/>
          <w:spacing w:val="2"/>
          <w:w w:val="88"/>
          <w:shd w:val="solid" w:color="000000" w:fill="000000"/>
          <w:fitText w:val="390" w:id="-1161539072"/>
          <w14:textFill>
            <w14:solidFill>
              <w14:srgbClr w14:val="000000">
                <w14:alpha w14:val="100000"/>
              </w14:srgbClr>
            </w14:solidFill>
          </w14:textFill>
        </w:rPr>
        <w:t>|</w:t>
      </w:r>
      <w:r w:rsidR="00D42355" w:rsidRPr="00CA23AA">
        <w:t xml:space="preserve">: </w:t>
      </w:r>
    </w:p>
    <w:p w14:paraId="0AEE1D77" w14:textId="62023C71" w:rsidR="00D42355" w:rsidRPr="00CA23AA" w:rsidRDefault="00594907" w:rsidP="004F5820">
      <w:pPr>
        <w:pStyle w:val="ListParagraph"/>
        <w:keepNext/>
        <w:keepLines/>
        <w:numPr>
          <w:ilvl w:val="0"/>
          <w:numId w:val="14"/>
        </w:numPr>
      </w:pPr>
      <w:r w:rsidRPr="00594907">
        <w:rPr>
          <w:color w:val="000000"/>
          <w:w w:val="88"/>
          <w:shd w:val="solid" w:color="000000" w:fill="000000"/>
          <w:fitText w:val="390" w:id="-1161539071"/>
          <w14:textFill>
            <w14:solidFill>
              <w14:srgbClr w14:val="000000">
                <w14:alpha w14:val="100000"/>
              </w14:srgbClr>
            </w14:solidFill>
          </w14:textFill>
        </w:rPr>
        <w:t>|||</w:t>
      </w:r>
      <w:r w:rsidRPr="00594907">
        <w:rPr>
          <w:color w:val="000000"/>
          <w:spacing w:val="2"/>
          <w:w w:val="88"/>
          <w:shd w:val="solid" w:color="000000" w:fill="000000"/>
          <w:fitText w:val="390" w:id="-1161539071"/>
          <w14:textFill>
            <w14:solidFill>
              <w14:srgbClr w14:val="000000">
                <w14:alpha w14:val="100000"/>
              </w14:srgbClr>
            </w14:solidFill>
          </w14:textFill>
        </w:rPr>
        <w:t>|</w:t>
      </w:r>
    </w:p>
    <w:p w14:paraId="6BED1F91" w14:textId="58F644A0" w:rsidR="00D42355" w:rsidRPr="00CA23AA" w:rsidRDefault="00594907" w:rsidP="008C66F4">
      <w:pPr>
        <w:pStyle w:val="ListParagraph"/>
        <w:numPr>
          <w:ilvl w:val="0"/>
          <w:numId w:val="14"/>
        </w:numPr>
      </w:pPr>
      <w:r w:rsidRPr="00594907">
        <w:rPr>
          <w:color w:val="000000"/>
          <w:w w:val="88"/>
          <w:shd w:val="solid" w:color="000000" w:fill="000000"/>
          <w:fitText w:val="390" w:id="-1161539070"/>
          <w14:textFill>
            <w14:solidFill>
              <w14:srgbClr w14:val="000000">
                <w14:alpha w14:val="100000"/>
              </w14:srgbClr>
            </w14:solidFill>
          </w14:textFill>
        </w:rPr>
        <w:t>|||</w:t>
      </w:r>
      <w:r w:rsidRPr="00594907">
        <w:rPr>
          <w:color w:val="000000"/>
          <w:spacing w:val="2"/>
          <w:w w:val="88"/>
          <w:shd w:val="solid" w:color="000000" w:fill="000000"/>
          <w:fitText w:val="390" w:id="-1161539070"/>
          <w14:textFill>
            <w14:solidFill>
              <w14:srgbClr w14:val="000000">
                <w14:alpha w14:val="100000"/>
              </w14:srgbClr>
            </w14:solidFill>
          </w14:textFill>
        </w:rPr>
        <w:t>|</w:t>
      </w:r>
    </w:p>
    <w:p w14:paraId="02E0E681" w14:textId="7AA47F65" w:rsidR="00D42355" w:rsidRPr="00CA23AA" w:rsidRDefault="00594907" w:rsidP="00D42355">
      <w:r w:rsidRPr="00594907">
        <w:rPr>
          <w:color w:val="000000"/>
          <w:w w:val="88"/>
          <w:shd w:val="solid" w:color="000000" w:fill="000000"/>
          <w:fitText w:val="390" w:id="-1161539069"/>
          <w14:textFill>
            <w14:solidFill>
              <w14:srgbClr w14:val="000000">
                <w14:alpha w14:val="100000"/>
              </w14:srgbClr>
            </w14:solidFill>
          </w14:textFill>
        </w:rPr>
        <w:t>|||</w:t>
      </w:r>
      <w:r w:rsidRPr="00594907">
        <w:rPr>
          <w:color w:val="000000"/>
          <w:spacing w:val="2"/>
          <w:w w:val="88"/>
          <w:shd w:val="solid" w:color="000000" w:fill="000000"/>
          <w:fitText w:val="390" w:id="-1161539069"/>
          <w14:textFill>
            <w14:solidFill>
              <w14:srgbClr w14:val="000000">
                <w14:alpha w14:val="100000"/>
              </w14:srgbClr>
            </w14:solidFill>
          </w14:textFill>
        </w:rPr>
        <w:t>|</w:t>
      </w:r>
    </w:p>
    <w:p w14:paraId="435F21A3" w14:textId="2DFC2D7F" w:rsidR="0005100D" w:rsidRPr="00CA23AA" w:rsidRDefault="00D42355" w:rsidP="00D42355">
      <w:proofErr w:type="gramStart"/>
      <w:r w:rsidRPr="00CA23AA">
        <w:t>A number of</w:t>
      </w:r>
      <w:proofErr w:type="gramEnd"/>
      <w:r w:rsidRPr="00CA23AA">
        <w:t xml:space="preserve"> patients received out of specification product or re-infusions of </w:t>
      </w:r>
      <w:r w:rsidR="001E310E" w:rsidRPr="00CA23AA">
        <w:t>TIS</w:t>
      </w:r>
      <w:r w:rsidRPr="00CA23AA">
        <w:t xml:space="preserve">. </w:t>
      </w:r>
      <w:r w:rsidR="00594907" w:rsidRPr="00594907">
        <w:rPr>
          <w:color w:val="000000"/>
          <w:w w:val="88"/>
          <w:shd w:val="solid" w:color="000000" w:fill="000000"/>
          <w:fitText w:val="390" w:id="-1161539068"/>
          <w14:textFill>
            <w14:solidFill>
              <w14:srgbClr w14:val="000000">
                <w14:alpha w14:val="100000"/>
              </w14:srgbClr>
            </w14:solidFill>
          </w14:textFill>
        </w:rPr>
        <w:t>|||</w:t>
      </w:r>
      <w:r w:rsidR="00594907" w:rsidRPr="00594907">
        <w:rPr>
          <w:color w:val="000000"/>
          <w:spacing w:val="2"/>
          <w:w w:val="88"/>
          <w:shd w:val="solid" w:color="000000" w:fill="000000"/>
          <w:fitText w:val="390" w:id="-1161539068"/>
          <w14:textFill>
            <w14:solidFill>
              <w14:srgbClr w14:val="000000">
                <w14:alpha w14:val="100000"/>
              </w14:srgbClr>
            </w14:solidFill>
          </w14:textFill>
        </w:rPr>
        <w:t>|</w:t>
      </w:r>
      <w:r w:rsidRPr="00CA23AA">
        <w:t xml:space="preserve"> patients received </w:t>
      </w:r>
      <w:proofErr w:type="gramStart"/>
      <w:r w:rsidRPr="00CA23AA">
        <w:t>infusion</w:t>
      </w:r>
      <w:proofErr w:type="gramEnd"/>
      <w:r w:rsidRPr="00CA23AA">
        <w:t xml:space="preserve"> but it was unsuccessful. Although, sponsor </w:t>
      </w:r>
      <w:r w:rsidR="00F44FF3" w:rsidRPr="00CA23AA">
        <w:t>was not reimbursed</w:t>
      </w:r>
      <w:r w:rsidRPr="00CA23AA">
        <w:t xml:space="preserve"> for these patients, other costs associated with the treatment program were still incurred. Overall, the other program costs associated with TIS infusion are significant and much higher than estimated by the modelled evaluation.</w:t>
      </w:r>
    </w:p>
    <w:p w14:paraId="1DFBD186" w14:textId="1BEE8788" w:rsidR="00D42355" w:rsidRPr="00CA23AA" w:rsidRDefault="00D42355" w:rsidP="00D42355">
      <w:r w:rsidRPr="00CA23AA">
        <w:t xml:space="preserve">The utilisation of </w:t>
      </w:r>
      <w:r w:rsidR="00AF74DA" w:rsidRPr="00CA23AA">
        <w:t>TIS</w:t>
      </w:r>
      <w:r w:rsidRPr="00CA23AA">
        <w:t xml:space="preserve"> was likely lower in Australia due to many possible reasons, including the COVID-19 pandemic, implementation issues, low clinician confidence in the therapy being first in the class and lack of provider awareness for eligibility and toxicity management. Also, as </w:t>
      </w:r>
      <w:r w:rsidR="00AF74DA" w:rsidRPr="00CA23AA">
        <w:t>TIS</w:t>
      </w:r>
      <w:r w:rsidRPr="00CA23AA">
        <w:t xml:space="preserve"> treatment availability is limited to only few centres in Australia, there are patient accessibility and equity concerns. The</w:t>
      </w:r>
      <w:r w:rsidR="00725387" w:rsidRPr="00CA23AA">
        <w:t xml:space="preserve">refore, </w:t>
      </w:r>
      <w:r w:rsidRPr="00CA23AA">
        <w:t xml:space="preserve">the uptake of </w:t>
      </w:r>
      <w:r w:rsidR="00AF74DA" w:rsidRPr="00CA23AA">
        <w:t>TIS</w:t>
      </w:r>
      <w:r w:rsidRPr="00CA23AA">
        <w:t xml:space="preserve"> will likely increase in future, in contrast to ADAR’s claim of low utilisation.</w:t>
      </w:r>
    </w:p>
    <w:p w14:paraId="499EF663" w14:textId="0A49DB5E" w:rsidR="00F00839" w:rsidRPr="00CA23AA" w:rsidRDefault="00835742" w:rsidP="00F00839">
      <w:bookmarkStart w:id="83" w:name="_Hlk131601334"/>
      <w:proofErr w:type="gramStart"/>
      <w:r w:rsidRPr="00CA23AA">
        <w:t>A n</w:t>
      </w:r>
      <w:r w:rsidR="00047179" w:rsidRPr="00CA23AA">
        <w:t>umber</w:t>
      </w:r>
      <w:r w:rsidR="00F00839" w:rsidRPr="00CA23AA">
        <w:t xml:space="preserve"> of</w:t>
      </w:r>
      <w:proofErr w:type="gramEnd"/>
      <w:r w:rsidR="00F00839" w:rsidRPr="00CA23AA">
        <w:t xml:space="preserve"> Australian patients </w:t>
      </w:r>
      <w:r w:rsidR="00047179" w:rsidRPr="00CA23AA">
        <w:t>(</w:t>
      </w:r>
      <w:r w:rsidR="00594907" w:rsidRPr="00594907">
        <w:rPr>
          <w:color w:val="000000"/>
          <w:w w:val="86"/>
          <w:shd w:val="solid" w:color="000000" w:fill="000000"/>
          <w:fitText w:val="380" w:id="-1161539067"/>
          <w14:textFill>
            <w14:solidFill>
              <w14:srgbClr w14:val="000000">
                <w14:alpha w14:val="100000"/>
              </w14:srgbClr>
            </w14:solidFill>
          </w14:textFill>
        </w:rPr>
        <w:t>|||</w:t>
      </w:r>
      <w:r w:rsidR="00594907" w:rsidRPr="00594907">
        <w:rPr>
          <w:color w:val="000000"/>
          <w:spacing w:val="1"/>
          <w:w w:val="86"/>
          <w:shd w:val="solid" w:color="000000" w:fill="000000"/>
          <w:fitText w:val="380" w:id="-1161539067"/>
          <w14:textFill>
            <w14:solidFill>
              <w14:srgbClr w14:val="000000">
                <w14:alpha w14:val="100000"/>
              </w14:srgbClr>
            </w14:solidFill>
          </w14:textFill>
        </w:rPr>
        <w:t>|</w:t>
      </w:r>
      <w:r w:rsidR="00F94B71" w:rsidRPr="00CA23AA">
        <w:t xml:space="preserve">%) </w:t>
      </w:r>
      <w:r w:rsidR="00F00839" w:rsidRPr="00CA23AA">
        <w:t xml:space="preserve">received TIS during complete remission, which was achieved during bridging chemotherapy. It is unclear whether this indicates that Australian patients were in better health at time of TIS-infusion. This is partially supported by the fact that the ABMTRR reported healthier patients according to the </w:t>
      </w:r>
      <w:proofErr w:type="spellStart"/>
      <w:r w:rsidR="00F00839" w:rsidRPr="00CA23AA">
        <w:t>Karnofsky</w:t>
      </w:r>
      <w:proofErr w:type="spellEnd"/>
      <w:r w:rsidR="00F00839" w:rsidRPr="00CA23AA">
        <w:t>/Lansky performance status. There remain concerns of leakage of TIS utilisation in earlier lines of therapy.</w:t>
      </w:r>
      <w:bookmarkEnd w:id="83"/>
    </w:p>
    <w:p w14:paraId="7838A9FF" w14:textId="63356273" w:rsidR="00772829" w:rsidRPr="00CA23AA" w:rsidRDefault="00C36633" w:rsidP="002A18BE">
      <w:pPr>
        <w:pStyle w:val="Heading2"/>
        <w:numPr>
          <w:ilvl w:val="1"/>
          <w:numId w:val="0"/>
        </w:numPr>
      </w:pPr>
      <w:bookmarkStart w:id="84" w:name="_Toc69491427"/>
      <w:r w:rsidRPr="00CA23AA">
        <w:t>1</w:t>
      </w:r>
      <w:r w:rsidR="005527A3" w:rsidRPr="00CA23AA">
        <w:t>5</w:t>
      </w:r>
      <w:r w:rsidRPr="00CA23AA">
        <w:t>.</w:t>
      </w:r>
      <w:r w:rsidRPr="00CA23AA">
        <w:tab/>
      </w:r>
      <w:r w:rsidR="00772829" w:rsidRPr="00CA23AA">
        <w:t xml:space="preserve">Other relevant </w:t>
      </w:r>
      <w:bookmarkEnd w:id="84"/>
      <w:r w:rsidR="00FA5766" w:rsidRPr="00CA23AA">
        <w:t>information</w:t>
      </w:r>
    </w:p>
    <w:p w14:paraId="216AB8FD" w14:textId="74D5798C" w:rsidR="005C7CE2" w:rsidRPr="00CA23AA" w:rsidRDefault="73B976EB" w:rsidP="6ADD0616">
      <w:pPr>
        <w:pStyle w:val="Heading3"/>
      </w:pPr>
      <w:r w:rsidRPr="00CA23AA">
        <w:t>Australian data</w:t>
      </w:r>
    </w:p>
    <w:p w14:paraId="40654CA4" w14:textId="3621D896" w:rsidR="00F368E3" w:rsidRPr="00CA23AA" w:rsidRDefault="73B976EB" w:rsidP="00F368E3">
      <w:r w:rsidRPr="00CA23AA">
        <w:rPr>
          <w:rFonts w:eastAsiaTheme="minorEastAsia"/>
        </w:rPr>
        <w:t>Across Australia, only three states provide CAR-T infusion services (</w:t>
      </w:r>
      <w:r w:rsidR="00B31B21" w:rsidRPr="00CA23AA">
        <w:rPr>
          <w:rFonts w:eastAsiaTheme="minorEastAsia"/>
        </w:rPr>
        <w:fldChar w:fldCharType="begin"/>
      </w:r>
      <w:r w:rsidR="00B31B21" w:rsidRPr="00CA23AA">
        <w:rPr>
          <w:rFonts w:eastAsiaTheme="minorEastAsia"/>
        </w:rPr>
        <w:instrText xml:space="preserve"> REF _Ref131600446 \h </w:instrText>
      </w:r>
      <w:r w:rsidR="00CA23AA">
        <w:rPr>
          <w:rFonts w:eastAsiaTheme="minorEastAsia"/>
        </w:rPr>
        <w:instrText xml:space="preserve"> \* MERGEFORMAT </w:instrText>
      </w:r>
      <w:r w:rsidR="00B31B21" w:rsidRPr="00CA23AA">
        <w:rPr>
          <w:rFonts w:eastAsiaTheme="minorEastAsia"/>
        </w:rPr>
      </w:r>
      <w:r w:rsidR="00B31B21" w:rsidRPr="00CA23AA">
        <w:rPr>
          <w:rFonts w:eastAsiaTheme="minorEastAsia"/>
        </w:rPr>
        <w:fldChar w:fldCharType="separate"/>
      </w:r>
      <w:r w:rsidR="00175880" w:rsidRPr="00CA23AA">
        <w:t xml:space="preserve">Table </w:t>
      </w:r>
      <w:r w:rsidR="00175880" w:rsidRPr="00CA23AA">
        <w:rPr>
          <w:noProof/>
        </w:rPr>
        <w:t>24</w:t>
      </w:r>
      <w:r w:rsidR="00B31B21" w:rsidRPr="00CA23AA">
        <w:rPr>
          <w:rFonts w:eastAsiaTheme="minorEastAsia"/>
        </w:rPr>
        <w:fldChar w:fldCharType="end"/>
      </w:r>
      <w:r w:rsidRPr="00CA23AA">
        <w:rPr>
          <w:rFonts w:eastAsiaTheme="minorEastAsia"/>
        </w:rPr>
        <w:t>)</w:t>
      </w:r>
      <w:r w:rsidR="00F368E3" w:rsidRPr="00CA23AA">
        <w:rPr>
          <w:rFonts w:eastAsiaTheme="minorEastAsia"/>
        </w:rPr>
        <w:t>.</w:t>
      </w:r>
      <w:r w:rsidR="00F368E3" w:rsidRPr="00CA23AA">
        <w:t xml:space="preserve"> Presently, there is one TGA approved commercial manufacturing site for CAR-T therapies in Australia, Cell Therapies Pty Ltd, (in the Peter MacCallum Cancer Centre in Victoria), in addition to locations in the US and France.</w:t>
      </w:r>
    </w:p>
    <w:p w14:paraId="4A698DBC" w14:textId="691DDB71" w:rsidR="005C7CE2" w:rsidRPr="00CA23AA" w:rsidRDefault="73B976EB" w:rsidP="00B31B21">
      <w:pPr>
        <w:pStyle w:val="Caption"/>
      </w:pPr>
      <w:bookmarkStart w:id="85" w:name="_Ref131600446"/>
      <w:r w:rsidRPr="00CA23AA">
        <w:t xml:space="preserve">Table </w:t>
      </w:r>
      <w:r w:rsidRPr="00CA23AA">
        <w:fldChar w:fldCharType="begin"/>
      </w:r>
      <w:r w:rsidRPr="00CA23AA">
        <w:instrText>SEQ Table \* ARABIC</w:instrText>
      </w:r>
      <w:r w:rsidRPr="00CA23AA">
        <w:fldChar w:fldCharType="separate"/>
      </w:r>
      <w:r w:rsidR="00175880" w:rsidRPr="00CA23AA">
        <w:rPr>
          <w:noProof/>
        </w:rPr>
        <w:t>24</w:t>
      </w:r>
      <w:r w:rsidRPr="00CA23AA">
        <w:fldChar w:fldCharType="end"/>
      </w:r>
      <w:bookmarkEnd w:id="85"/>
      <w:r w:rsidR="000444E7" w:rsidRPr="00CA23AA">
        <w:tab/>
      </w:r>
      <w:r w:rsidRPr="00CA23AA">
        <w:t xml:space="preserve">Service availability in states and territories across Australia, by </w:t>
      </w:r>
      <w:r w:rsidR="00F368E3" w:rsidRPr="00CA23AA">
        <w:t xml:space="preserve">indicated </w:t>
      </w:r>
      <w:r w:rsidRPr="00CA23AA">
        <w:t xml:space="preserve">age </w:t>
      </w:r>
      <w:proofErr w:type="gramStart"/>
      <w:r w:rsidRPr="00CA23AA">
        <w:t>group</w:t>
      </w:r>
      <w:proofErr w:type="gramEnd"/>
    </w:p>
    <w:tbl>
      <w:tblPr>
        <w:tblStyle w:val="TableGrid"/>
        <w:tblW w:w="5000" w:type="pct"/>
        <w:jc w:val="center"/>
        <w:tblLook w:val="04A0" w:firstRow="1" w:lastRow="0" w:firstColumn="1" w:lastColumn="0" w:noHBand="0" w:noVBand="1"/>
      </w:tblPr>
      <w:tblGrid>
        <w:gridCol w:w="1370"/>
        <w:gridCol w:w="1912"/>
        <w:gridCol w:w="1912"/>
        <w:gridCol w:w="1911"/>
        <w:gridCol w:w="1911"/>
      </w:tblGrid>
      <w:tr w:rsidR="6ADD0616" w:rsidRPr="00CA23AA" w14:paraId="061D8E56" w14:textId="77777777" w:rsidTr="007F34D3">
        <w:trPr>
          <w:trHeight w:val="300"/>
          <w:jc w:val="center"/>
        </w:trPr>
        <w:tc>
          <w:tcPr>
            <w:tcW w:w="759" w:type="pct"/>
            <w:tcMar>
              <w:left w:w="108" w:type="dxa"/>
              <w:right w:w="108" w:type="dxa"/>
            </w:tcMar>
          </w:tcPr>
          <w:p w14:paraId="0FAAB72B" w14:textId="00DCEBCE" w:rsidR="6ADD0616" w:rsidRPr="00CA23AA" w:rsidRDefault="73B976EB" w:rsidP="6ADD0616">
            <w:pPr>
              <w:pStyle w:val="TableHeading0"/>
            </w:pPr>
            <w:r w:rsidRPr="00CA23AA">
              <w:t>Age group</w:t>
            </w:r>
          </w:p>
        </w:tc>
        <w:tc>
          <w:tcPr>
            <w:tcW w:w="1060" w:type="pct"/>
            <w:tcMar>
              <w:left w:w="108" w:type="dxa"/>
              <w:right w:w="108" w:type="dxa"/>
            </w:tcMar>
          </w:tcPr>
          <w:p w14:paraId="6F4738A7" w14:textId="646AFA75" w:rsidR="6ADD0616" w:rsidRPr="00CA23AA" w:rsidRDefault="6ADD0616" w:rsidP="6ADD0616">
            <w:pPr>
              <w:pStyle w:val="TableHeading0"/>
            </w:pPr>
            <w:r w:rsidRPr="00CA23AA">
              <w:t>WA/SA/NT/ACT</w:t>
            </w:r>
          </w:p>
        </w:tc>
        <w:tc>
          <w:tcPr>
            <w:tcW w:w="1060" w:type="pct"/>
            <w:tcMar>
              <w:left w:w="108" w:type="dxa"/>
              <w:right w:w="108" w:type="dxa"/>
            </w:tcMar>
          </w:tcPr>
          <w:p w14:paraId="6A52976B" w14:textId="74CFB1A7" w:rsidR="6ADD0616" w:rsidRPr="00CA23AA" w:rsidRDefault="6ADD0616" w:rsidP="6ADD0616">
            <w:pPr>
              <w:pStyle w:val="TableHeading0"/>
            </w:pPr>
            <w:r w:rsidRPr="00CA23AA">
              <w:t>NSW</w:t>
            </w:r>
          </w:p>
        </w:tc>
        <w:tc>
          <w:tcPr>
            <w:tcW w:w="1060" w:type="pct"/>
            <w:tcMar>
              <w:left w:w="108" w:type="dxa"/>
              <w:right w:w="108" w:type="dxa"/>
            </w:tcMar>
          </w:tcPr>
          <w:p w14:paraId="11835A5F" w14:textId="7EAC9739" w:rsidR="6ADD0616" w:rsidRPr="00CA23AA" w:rsidRDefault="6ADD0616" w:rsidP="6ADD0616">
            <w:pPr>
              <w:pStyle w:val="TableHeading0"/>
            </w:pPr>
            <w:r w:rsidRPr="00CA23AA">
              <w:t>VIC</w:t>
            </w:r>
          </w:p>
        </w:tc>
        <w:tc>
          <w:tcPr>
            <w:tcW w:w="1060" w:type="pct"/>
            <w:tcMar>
              <w:left w:w="108" w:type="dxa"/>
              <w:right w:w="108" w:type="dxa"/>
            </w:tcMar>
          </w:tcPr>
          <w:p w14:paraId="5606A7AD" w14:textId="15E53D76" w:rsidR="6ADD0616" w:rsidRPr="00CA23AA" w:rsidRDefault="6ADD0616" w:rsidP="6ADD0616">
            <w:pPr>
              <w:pStyle w:val="TableHeading0"/>
            </w:pPr>
            <w:r w:rsidRPr="00CA23AA">
              <w:t>QLD</w:t>
            </w:r>
          </w:p>
        </w:tc>
      </w:tr>
      <w:tr w:rsidR="6ADD0616" w:rsidRPr="00CA23AA" w14:paraId="2125B1A5" w14:textId="77777777" w:rsidTr="007F34D3">
        <w:trPr>
          <w:trHeight w:val="300"/>
          <w:jc w:val="center"/>
        </w:trPr>
        <w:tc>
          <w:tcPr>
            <w:tcW w:w="759" w:type="pct"/>
            <w:tcMar>
              <w:left w:w="108" w:type="dxa"/>
              <w:right w:w="108" w:type="dxa"/>
            </w:tcMar>
          </w:tcPr>
          <w:p w14:paraId="0F84CFBF" w14:textId="42199143" w:rsidR="6ADD0616" w:rsidRPr="00CA23AA" w:rsidRDefault="6ADD0616" w:rsidP="6ADD0616">
            <w:pPr>
              <w:pStyle w:val="Tabletext0"/>
              <w:jc w:val="left"/>
            </w:pPr>
            <w:r w:rsidRPr="00CA23AA">
              <w:t>Paediatrics</w:t>
            </w:r>
          </w:p>
        </w:tc>
        <w:tc>
          <w:tcPr>
            <w:tcW w:w="1060" w:type="pct"/>
            <w:vMerge w:val="restart"/>
            <w:tcMar>
              <w:left w:w="108" w:type="dxa"/>
              <w:right w:w="108" w:type="dxa"/>
            </w:tcMar>
          </w:tcPr>
          <w:p w14:paraId="6402B1D1" w14:textId="6260F8E9" w:rsidR="6ADD0616" w:rsidRPr="00CA23AA" w:rsidRDefault="6ADD0616" w:rsidP="6ADD0616">
            <w:pPr>
              <w:pStyle w:val="Tabletext0"/>
              <w:jc w:val="left"/>
            </w:pPr>
            <w:r w:rsidRPr="00CA23AA">
              <w:t>Interstate travel required</w:t>
            </w:r>
          </w:p>
        </w:tc>
        <w:tc>
          <w:tcPr>
            <w:tcW w:w="1060" w:type="pct"/>
            <w:tcMar>
              <w:left w:w="108" w:type="dxa"/>
              <w:right w:w="108" w:type="dxa"/>
            </w:tcMar>
          </w:tcPr>
          <w:p w14:paraId="6013CAFC" w14:textId="4D673470" w:rsidR="6ADD0616" w:rsidRPr="00CA23AA" w:rsidRDefault="6ADD0616" w:rsidP="6ADD0616">
            <w:pPr>
              <w:pStyle w:val="Tabletext0"/>
              <w:jc w:val="left"/>
            </w:pPr>
            <w:r w:rsidRPr="00CA23AA">
              <w:t>Sydney Children’s Hospital Randwick</w:t>
            </w:r>
            <w:r w:rsidRPr="00CA23AA">
              <w:br/>
              <w:t xml:space="preserve">The Children’s Hospital </w:t>
            </w:r>
          </w:p>
          <w:p w14:paraId="54C16537" w14:textId="28D740E5" w:rsidR="6ADD0616" w:rsidRPr="00CA23AA" w:rsidRDefault="6ADD0616" w:rsidP="6ADD0616">
            <w:pPr>
              <w:pStyle w:val="Tabletext0"/>
              <w:jc w:val="left"/>
            </w:pPr>
            <w:r w:rsidRPr="00CA23AA">
              <w:t xml:space="preserve"> </w:t>
            </w:r>
          </w:p>
        </w:tc>
        <w:tc>
          <w:tcPr>
            <w:tcW w:w="1060" w:type="pct"/>
            <w:vMerge w:val="restart"/>
            <w:tcMar>
              <w:left w:w="108" w:type="dxa"/>
              <w:right w:w="108" w:type="dxa"/>
            </w:tcMar>
          </w:tcPr>
          <w:p w14:paraId="217EB8A3" w14:textId="3EE7181D" w:rsidR="6ADD0616" w:rsidRPr="00CA23AA" w:rsidRDefault="6ADD0616" w:rsidP="6ADD0616">
            <w:pPr>
              <w:pStyle w:val="Tabletext0"/>
              <w:jc w:val="left"/>
            </w:pPr>
            <w:r w:rsidRPr="00CA23AA">
              <w:t>Royal Children’s Hospital</w:t>
            </w:r>
          </w:p>
        </w:tc>
        <w:tc>
          <w:tcPr>
            <w:tcW w:w="1060" w:type="pct"/>
            <w:vMerge w:val="restart"/>
            <w:tcMar>
              <w:left w:w="108" w:type="dxa"/>
              <w:right w:w="108" w:type="dxa"/>
            </w:tcMar>
          </w:tcPr>
          <w:p w14:paraId="1B4F3893" w14:textId="46EBC4B3" w:rsidR="6ADD0616" w:rsidRPr="00CA23AA" w:rsidRDefault="6ADD0616" w:rsidP="6ADD0616">
            <w:pPr>
              <w:pStyle w:val="Tabletext0"/>
              <w:jc w:val="left"/>
            </w:pPr>
            <w:r w:rsidRPr="00CA23AA">
              <w:t xml:space="preserve">Queensland Children’s Hospital </w:t>
            </w:r>
          </w:p>
        </w:tc>
      </w:tr>
      <w:tr w:rsidR="6ADD0616" w:rsidRPr="00CA23AA" w14:paraId="45739C5B" w14:textId="77777777" w:rsidTr="007F34D3">
        <w:trPr>
          <w:trHeight w:val="60"/>
          <w:jc w:val="center"/>
        </w:trPr>
        <w:tc>
          <w:tcPr>
            <w:tcW w:w="759" w:type="pct"/>
            <w:tcMar>
              <w:left w:w="108" w:type="dxa"/>
              <w:right w:w="108" w:type="dxa"/>
            </w:tcMar>
          </w:tcPr>
          <w:p w14:paraId="1B552374" w14:textId="216C4A6B" w:rsidR="6ADD0616" w:rsidRPr="00CA23AA" w:rsidRDefault="6ADD0616" w:rsidP="6ADD0616">
            <w:pPr>
              <w:pStyle w:val="Tabletext0"/>
              <w:jc w:val="left"/>
            </w:pPr>
            <w:r w:rsidRPr="00CA23AA">
              <w:t>Adolescents</w:t>
            </w:r>
          </w:p>
        </w:tc>
        <w:tc>
          <w:tcPr>
            <w:tcW w:w="1060" w:type="pct"/>
            <w:vMerge/>
          </w:tcPr>
          <w:p w14:paraId="77E22F11" w14:textId="77777777" w:rsidR="003C5AD8" w:rsidRPr="00CA23AA" w:rsidRDefault="003C5AD8"/>
        </w:tc>
        <w:tc>
          <w:tcPr>
            <w:tcW w:w="1060" w:type="pct"/>
            <w:vMerge w:val="restart"/>
            <w:tcMar>
              <w:left w:w="108" w:type="dxa"/>
              <w:right w:w="108" w:type="dxa"/>
            </w:tcMar>
          </w:tcPr>
          <w:p w14:paraId="112213A9" w14:textId="67CCB0B3" w:rsidR="6ADD0616" w:rsidRPr="00CA23AA" w:rsidRDefault="6ADD0616" w:rsidP="6ADD0616">
            <w:pPr>
              <w:pStyle w:val="Tabletext0"/>
              <w:jc w:val="left"/>
            </w:pPr>
            <w:r w:rsidRPr="00CA23AA">
              <w:t>Royal Prince Alfred</w:t>
            </w:r>
          </w:p>
        </w:tc>
        <w:tc>
          <w:tcPr>
            <w:tcW w:w="1060" w:type="pct"/>
            <w:vMerge/>
          </w:tcPr>
          <w:p w14:paraId="7C09DF77" w14:textId="77777777" w:rsidR="003C5AD8" w:rsidRPr="00CA23AA" w:rsidRDefault="003C5AD8"/>
        </w:tc>
        <w:tc>
          <w:tcPr>
            <w:tcW w:w="1060" w:type="pct"/>
            <w:vMerge/>
          </w:tcPr>
          <w:p w14:paraId="2C347A4E" w14:textId="77777777" w:rsidR="003C5AD8" w:rsidRPr="00CA23AA" w:rsidRDefault="003C5AD8"/>
        </w:tc>
      </w:tr>
      <w:tr w:rsidR="6ADD0616" w:rsidRPr="00CA23AA" w14:paraId="29B7F76A" w14:textId="77777777" w:rsidTr="007F34D3">
        <w:trPr>
          <w:trHeight w:val="300"/>
          <w:jc w:val="center"/>
        </w:trPr>
        <w:tc>
          <w:tcPr>
            <w:tcW w:w="759" w:type="pct"/>
            <w:tcMar>
              <w:left w:w="108" w:type="dxa"/>
              <w:right w:w="108" w:type="dxa"/>
            </w:tcMar>
          </w:tcPr>
          <w:p w14:paraId="6A2DB8B1" w14:textId="33522FFF" w:rsidR="6ADD0616" w:rsidRPr="00CA23AA" w:rsidRDefault="6ADD0616" w:rsidP="6ADD0616">
            <w:pPr>
              <w:pStyle w:val="Tabletext0"/>
              <w:jc w:val="left"/>
            </w:pPr>
            <w:r w:rsidRPr="00CA23AA">
              <w:t>Young adults</w:t>
            </w:r>
          </w:p>
        </w:tc>
        <w:tc>
          <w:tcPr>
            <w:tcW w:w="1060" w:type="pct"/>
            <w:vMerge/>
          </w:tcPr>
          <w:p w14:paraId="5042D94F" w14:textId="77777777" w:rsidR="003C5AD8" w:rsidRPr="00CA23AA" w:rsidRDefault="003C5AD8"/>
        </w:tc>
        <w:tc>
          <w:tcPr>
            <w:tcW w:w="1060" w:type="pct"/>
            <w:vMerge/>
          </w:tcPr>
          <w:p w14:paraId="02A030D6" w14:textId="77777777" w:rsidR="003C5AD8" w:rsidRPr="00CA23AA" w:rsidRDefault="003C5AD8"/>
        </w:tc>
        <w:tc>
          <w:tcPr>
            <w:tcW w:w="1060" w:type="pct"/>
            <w:tcMar>
              <w:left w:w="108" w:type="dxa"/>
              <w:right w:w="108" w:type="dxa"/>
            </w:tcMar>
          </w:tcPr>
          <w:p w14:paraId="0A5E1E60" w14:textId="0081D039" w:rsidR="6ADD0616" w:rsidRPr="00CA23AA" w:rsidRDefault="6ADD0616" w:rsidP="6ADD0616">
            <w:pPr>
              <w:pStyle w:val="Tabletext0"/>
              <w:jc w:val="left"/>
            </w:pPr>
            <w:r w:rsidRPr="00CA23AA">
              <w:t>Peter MacCallum Cancer Centre</w:t>
            </w:r>
          </w:p>
        </w:tc>
        <w:tc>
          <w:tcPr>
            <w:tcW w:w="1060" w:type="pct"/>
            <w:tcMar>
              <w:left w:w="108" w:type="dxa"/>
              <w:right w:w="108" w:type="dxa"/>
            </w:tcMar>
          </w:tcPr>
          <w:p w14:paraId="7A3ADB30" w14:textId="59A6A9DE" w:rsidR="6ADD0616" w:rsidRPr="00CA23AA" w:rsidRDefault="6ADD0616" w:rsidP="6ADD0616">
            <w:pPr>
              <w:pStyle w:val="Tabletext0"/>
              <w:jc w:val="left"/>
            </w:pPr>
            <w:r w:rsidRPr="00CA23AA">
              <w:t>Royal Brisbane and Women’s Hospital</w:t>
            </w:r>
          </w:p>
        </w:tc>
      </w:tr>
    </w:tbl>
    <w:p w14:paraId="03A816B9" w14:textId="15C50A11" w:rsidR="00E252B6" w:rsidRPr="00CA23AA" w:rsidRDefault="00E252B6" w:rsidP="00E252B6">
      <w:pPr>
        <w:pStyle w:val="Tablenotes0"/>
      </w:pPr>
      <w:r w:rsidRPr="00CA23AA">
        <w:t xml:space="preserve">ACT = Australian Capital Territory; </w:t>
      </w:r>
      <w:r w:rsidR="00924CFA" w:rsidRPr="00CA23AA">
        <w:t xml:space="preserve">NSW = New South Wales; NT = Northern Territory; </w:t>
      </w:r>
      <w:r w:rsidR="676D48FF" w:rsidRPr="00CA23AA">
        <w:t xml:space="preserve">QLD = Queensland; </w:t>
      </w:r>
      <w:r w:rsidR="00924CFA" w:rsidRPr="00CA23AA">
        <w:t>SA = South Australia</w:t>
      </w:r>
      <w:r w:rsidR="00C616B5" w:rsidRPr="00CA23AA">
        <w:t>; Vic = Victoria; WA = Western Australia</w:t>
      </w:r>
    </w:p>
    <w:p w14:paraId="0ADF9B0C" w14:textId="4869B8BD" w:rsidR="4B6CB68D" w:rsidRPr="00CA23AA" w:rsidRDefault="7BD29F4B" w:rsidP="4B6CB68D">
      <w:pPr>
        <w:pStyle w:val="Tablenotes0"/>
      </w:pPr>
      <w:r w:rsidRPr="00CA23AA">
        <w:t xml:space="preserve">Source: </w:t>
      </w:r>
      <w:r w:rsidR="1F077B3D" w:rsidRPr="00CA23AA">
        <w:t>Australian Bone Marrow Transplant Recipient Registry (ABMTRR) report version 4, and the reviews submitted by state and territories Departments of Health (provided by Department of Health and Aged Care during the evaluation).</w:t>
      </w:r>
    </w:p>
    <w:p w14:paraId="2534E30F" w14:textId="6C5255E7" w:rsidR="0019147A" w:rsidRPr="00CA23AA" w:rsidRDefault="73B976EB" w:rsidP="00D869C1">
      <w:r w:rsidRPr="00CA23AA">
        <w:t>Data from the sponsor show that most patients requiring treatment were from Victoria (</w:t>
      </w:r>
      <w:r w:rsidR="00594907" w:rsidRPr="00594907">
        <w:rPr>
          <w:color w:val="000000"/>
          <w:w w:val="88"/>
          <w:shd w:val="solid" w:color="000000" w:fill="000000"/>
          <w:fitText w:val="390" w:id="-1161539066"/>
          <w14:textFill>
            <w14:solidFill>
              <w14:srgbClr w14:val="000000">
                <w14:alpha w14:val="100000"/>
              </w14:srgbClr>
            </w14:solidFill>
          </w14:textFill>
        </w:rPr>
        <w:t>|||</w:t>
      </w:r>
      <w:r w:rsidR="00594907" w:rsidRPr="00594907">
        <w:rPr>
          <w:color w:val="000000"/>
          <w:spacing w:val="2"/>
          <w:w w:val="88"/>
          <w:shd w:val="solid" w:color="000000" w:fill="000000"/>
          <w:fitText w:val="390" w:id="-1161539066"/>
          <w14:textFill>
            <w14:solidFill>
              <w14:srgbClr w14:val="000000">
                <w14:alpha w14:val="100000"/>
              </w14:srgbClr>
            </w14:solidFill>
          </w14:textFill>
        </w:rPr>
        <w:t>|</w:t>
      </w:r>
      <w:r w:rsidRPr="00CA23AA">
        <w:t>%), and New South Wales (</w:t>
      </w:r>
      <w:r w:rsidR="00594907" w:rsidRPr="00594907">
        <w:rPr>
          <w:color w:val="000000"/>
          <w:w w:val="88"/>
          <w:shd w:val="solid" w:color="000000" w:fill="000000"/>
          <w:fitText w:val="390" w:id="-1161539065"/>
          <w14:textFill>
            <w14:solidFill>
              <w14:srgbClr w14:val="000000">
                <w14:alpha w14:val="100000"/>
              </w14:srgbClr>
            </w14:solidFill>
          </w14:textFill>
        </w:rPr>
        <w:t>|||</w:t>
      </w:r>
      <w:r w:rsidR="00594907" w:rsidRPr="00594907">
        <w:rPr>
          <w:color w:val="000000"/>
          <w:spacing w:val="2"/>
          <w:w w:val="88"/>
          <w:shd w:val="solid" w:color="000000" w:fill="000000"/>
          <w:fitText w:val="390" w:id="-1161539065"/>
          <w14:textFill>
            <w14:solidFill>
              <w14:srgbClr w14:val="000000">
                <w14:alpha w14:val="100000"/>
              </w14:srgbClr>
            </w14:solidFill>
          </w14:textFill>
        </w:rPr>
        <w:t>|</w:t>
      </w:r>
      <w:r w:rsidRPr="00CA23AA">
        <w:t xml:space="preserve">%). A total of </w:t>
      </w:r>
      <w:r w:rsidR="00594907" w:rsidRPr="00594907">
        <w:rPr>
          <w:color w:val="000000"/>
          <w:w w:val="88"/>
          <w:shd w:val="solid" w:color="000000" w:fill="000000"/>
          <w:fitText w:val="390" w:id="-1161539064"/>
          <w14:textFill>
            <w14:solidFill>
              <w14:srgbClr w14:val="000000">
                <w14:alpha w14:val="100000"/>
              </w14:srgbClr>
            </w14:solidFill>
          </w14:textFill>
        </w:rPr>
        <w:t>|||</w:t>
      </w:r>
      <w:r w:rsidR="00594907" w:rsidRPr="00594907">
        <w:rPr>
          <w:color w:val="000000"/>
          <w:spacing w:val="2"/>
          <w:w w:val="88"/>
          <w:shd w:val="solid" w:color="000000" w:fill="000000"/>
          <w:fitText w:val="390" w:id="-1161539064"/>
          <w14:textFill>
            <w14:solidFill>
              <w14:srgbClr w14:val="000000">
                <w14:alpha w14:val="100000"/>
              </w14:srgbClr>
            </w14:solidFill>
          </w14:textFill>
        </w:rPr>
        <w:t>|</w:t>
      </w:r>
      <w:r w:rsidRPr="00CA23AA">
        <w:t>% of patients required interstate travel for treatment</w:t>
      </w:r>
      <w:r w:rsidR="00B31B21" w:rsidRPr="00CA23AA">
        <w:t xml:space="preserve"> (</w:t>
      </w:r>
      <w:r w:rsidR="00B31B21" w:rsidRPr="00CA23AA">
        <w:fldChar w:fldCharType="begin"/>
      </w:r>
      <w:r w:rsidR="00B31B21" w:rsidRPr="00CA23AA">
        <w:instrText xml:space="preserve"> REF _Ref131600409 \h </w:instrText>
      </w:r>
      <w:r w:rsidR="00CA23AA">
        <w:instrText xml:space="preserve"> \* MERGEFORMAT </w:instrText>
      </w:r>
      <w:r w:rsidR="00B31B21" w:rsidRPr="00CA23AA">
        <w:fldChar w:fldCharType="separate"/>
      </w:r>
      <w:r w:rsidR="00175880" w:rsidRPr="00CA23AA">
        <w:t xml:space="preserve">Table </w:t>
      </w:r>
      <w:r w:rsidR="00175880" w:rsidRPr="00CA23AA">
        <w:rPr>
          <w:noProof/>
        </w:rPr>
        <w:t>25</w:t>
      </w:r>
      <w:r w:rsidR="00B31B21" w:rsidRPr="00CA23AA">
        <w:fldChar w:fldCharType="end"/>
      </w:r>
      <w:r w:rsidR="00B31B21" w:rsidRPr="00CA23AA">
        <w:t>)</w:t>
      </w:r>
      <w:r w:rsidRPr="00CA23AA">
        <w:t>.</w:t>
      </w:r>
    </w:p>
    <w:p w14:paraId="30D8353E" w14:textId="661DE87D" w:rsidR="005C7CE2" w:rsidRPr="00CA23AA" w:rsidRDefault="00B31B21" w:rsidP="00B31B21">
      <w:pPr>
        <w:pStyle w:val="Caption"/>
      </w:pPr>
      <w:bookmarkStart w:id="86" w:name="_Ref131600409"/>
      <w:r w:rsidRPr="00CA23AA">
        <w:t xml:space="preserve">Table </w:t>
      </w:r>
      <w:r w:rsidRPr="00CA23AA">
        <w:fldChar w:fldCharType="begin"/>
      </w:r>
      <w:r w:rsidRPr="00CA23AA">
        <w:instrText>SEQ Table \* ARABIC</w:instrText>
      </w:r>
      <w:r w:rsidRPr="00CA23AA">
        <w:fldChar w:fldCharType="separate"/>
      </w:r>
      <w:r w:rsidR="00175880" w:rsidRPr="00CA23AA">
        <w:rPr>
          <w:noProof/>
        </w:rPr>
        <w:t>25</w:t>
      </w:r>
      <w:r w:rsidRPr="00CA23AA">
        <w:fldChar w:fldCharType="end"/>
      </w:r>
      <w:bookmarkEnd w:id="86"/>
      <w:r w:rsidRPr="00CA23AA">
        <w:t xml:space="preserve"> Disposition of patients who required interstate </w:t>
      </w:r>
      <w:proofErr w:type="gramStart"/>
      <w:r w:rsidRPr="00CA23AA">
        <w:t>travel</w:t>
      </w:r>
      <w:proofErr w:type="gramEnd"/>
    </w:p>
    <w:tbl>
      <w:tblPr>
        <w:tblStyle w:val="TableGrid"/>
        <w:tblW w:w="5000" w:type="pct"/>
        <w:jc w:val="center"/>
        <w:tblLook w:val="04A0" w:firstRow="1" w:lastRow="0" w:firstColumn="1" w:lastColumn="0" w:noHBand="0" w:noVBand="1"/>
      </w:tblPr>
      <w:tblGrid>
        <w:gridCol w:w="1722"/>
        <w:gridCol w:w="2755"/>
        <w:gridCol w:w="4539"/>
      </w:tblGrid>
      <w:tr w:rsidR="6ADD0616" w:rsidRPr="00CA23AA" w14:paraId="748ECA1D" w14:textId="77777777" w:rsidTr="00594907">
        <w:trPr>
          <w:trHeight w:val="300"/>
          <w:jc w:val="center"/>
        </w:trPr>
        <w:tc>
          <w:tcPr>
            <w:tcW w:w="955" w:type="pct"/>
            <w:tcMar>
              <w:top w:w="57" w:type="dxa"/>
              <w:left w:w="57" w:type="dxa"/>
              <w:bottom w:w="57" w:type="dxa"/>
              <w:right w:w="57" w:type="dxa"/>
            </w:tcMar>
            <w:vAlign w:val="center"/>
          </w:tcPr>
          <w:p w14:paraId="07991777" w14:textId="1988E06F" w:rsidR="6ADD0616" w:rsidRPr="00CA23AA" w:rsidRDefault="6ADD0616" w:rsidP="6ADD0616">
            <w:pPr>
              <w:pStyle w:val="Tabletext0"/>
              <w:jc w:val="left"/>
              <w:rPr>
                <w:b/>
                <w:bCs/>
              </w:rPr>
            </w:pPr>
            <w:r w:rsidRPr="00CA23AA">
              <w:rPr>
                <w:b/>
                <w:bCs/>
              </w:rPr>
              <w:t>State/Territory</w:t>
            </w:r>
          </w:p>
        </w:tc>
        <w:tc>
          <w:tcPr>
            <w:tcW w:w="1528" w:type="pct"/>
            <w:tcBorders>
              <w:bottom w:val="single" w:sz="4" w:space="0" w:color="auto"/>
            </w:tcBorders>
            <w:tcMar>
              <w:top w:w="57" w:type="dxa"/>
              <w:left w:w="57" w:type="dxa"/>
              <w:bottom w:w="57" w:type="dxa"/>
              <w:right w:w="57" w:type="dxa"/>
            </w:tcMar>
            <w:vAlign w:val="center"/>
          </w:tcPr>
          <w:p w14:paraId="37BFF3D8" w14:textId="0F42F292" w:rsidR="6ADD0616" w:rsidRPr="00CA23AA" w:rsidRDefault="6ADD0616" w:rsidP="6ADD0616">
            <w:pPr>
              <w:pStyle w:val="Tabletext0"/>
              <w:jc w:val="left"/>
              <w:rPr>
                <w:b/>
                <w:bCs/>
              </w:rPr>
            </w:pPr>
            <w:r w:rsidRPr="00CA23AA">
              <w:rPr>
                <w:b/>
                <w:bCs/>
              </w:rPr>
              <w:t>Total patients treated, n</w:t>
            </w:r>
          </w:p>
        </w:tc>
        <w:tc>
          <w:tcPr>
            <w:tcW w:w="2517" w:type="pct"/>
            <w:tcBorders>
              <w:bottom w:val="single" w:sz="4" w:space="0" w:color="auto"/>
            </w:tcBorders>
            <w:tcMar>
              <w:top w:w="57" w:type="dxa"/>
              <w:left w:w="57" w:type="dxa"/>
              <w:bottom w:w="57" w:type="dxa"/>
              <w:right w:w="57" w:type="dxa"/>
            </w:tcMar>
            <w:vAlign w:val="center"/>
          </w:tcPr>
          <w:p w14:paraId="663CD938" w14:textId="5131D70E" w:rsidR="6ADD0616" w:rsidRPr="00CA23AA" w:rsidRDefault="6ADD0616" w:rsidP="6ADD0616">
            <w:pPr>
              <w:pStyle w:val="Tabletext0"/>
              <w:jc w:val="left"/>
              <w:rPr>
                <w:b/>
                <w:bCs/>
              </w:rPr>
            </w:pPr>
            <w:r w:rsidRPr="00CA23AA">
              <w:rPr>
                <w:b/>
                <w:bCs/>
              </w:rPr>
              <w:t xml:space="preserve">Patients who required interstate </w:t>
            </w:r>
            <w:r w:rsidR="35DA8DE6" w:rsidRPr="00CA23AA">
              <w:rPr>
                <w:b/>
                <w:bCs/>
              </w:rPr>
              <w:t>travel</w:t>
            </w:r>
            <w:r w:rsidR="2465012F" w:rsidRPr="00CA23AA">
              <w:rPr>
                <w:b/>
                <w:bCs/>
                <w:vertAlign w:val="superscript"/>
              </w:rPr>
              <w:t>1</w:t>
            </w:r>
          </w:p>
        </w:tc>
      </w:tr>
      <w:tr w:rsidR="6ADD0616" w:rsidRPr="00CA23AA" w14:paraId="69BE5235" w14:textId="77777777" w:rsidTr="00594907">
        <w:trPr>
          <w:trHeight w:val="300"/>
          <w:jc w:val="center"/>
        </w:trPr>
        <w:tc>
          <w:tcPr>
            <w:tcW w:w="955" w:type="pct"/>
            <w:tcMar>
              <w:top w:w="57" w:type="dxa"/>
              <w:left w:w="57" w:type="dxa"/>
              <w:bottom w:w="57" w:type="dxa"/>
              <w:right w:w="57" w:type="dxa"/>
            </w:tcMar>
            <w:vAlign w:val="center"/>
          </w:tcPr>
          <w:p w14:paraId="2C7AB2C8" w14:textId="616336F1" w:rsidR="6ADD0616" w:rsidRPr="00CA23AA" w:rsidRDefault="6ADD0616" w:rsidP="6ADD0616">
            <w:pPr>
              <w:pStyle w:val="Tabletext0"/>
              <w:jc w:val="left"/>
            </w:pPr>
            <w:r w:rsidRPr="00CA23AA">
              <w:t>ACT</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2B56FCD0" w14:textId="07F8E5FA"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598E5AFA" w14:textId="7CE86AE2"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114204DC" w14:textId="77777777" w:rsidTr="00594907">
        <w:trPr>
          <w:trHeight w:val="300"/>
          <w:jc w:val="center"/>
        </w:trPr>
        <w:tc>
          <w:tcPr>
            <w:tcW w:w="955" w:type="pct"/>
            <w:tcMar>
              <w:top w:w="57" w:type="dxa"/>
              <w:left w:w="57" w:type="dxa"/>
              <w:bottom w:w="57" w:type="dxa"/>
              <w:right w:w="57" w:type="dxa"/>
            </w:tcMar>
            <w:vAlign w:val="center"/>
          </w:tcPr>
          <w:p w14:paraId="4FBEBAD4" w14:textId="189FFABB" w:rsidR="6ADD0616" w:rsidRPr="00CA23AA" w:rsidRDefault="6ADD0616" w:rsidP="6ADD0616">
            <w:pPr>
              <w:pStyle w:val="Tabletext0"/>
              <w:jc w:val="left"/>
            </w:pPr>
            <w:r w:rsidRPr="00CA23AA">
              <w:t>NSW</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54D16AAD" w14:textId="0068AFE7"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31ED1322" w14:textId="1C46D100"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67195946" w14:textId="77777777" w:rsidTr="00594907">
        <w:trPr>
          <w:trHeight w:val="300"/>
          <w:jc w:val="center"/>
        </w:trPr>
        <w:tc>
          <w:tcPr>
            <w:tcW w:w="955" w:type="pct"/>
            <w:tcMar>
              <w:top w:w="57" w:type="dxa"/>
              <w:left w:w="57" w:type="dxa"/>
              <w:bottom w:w="57" w:type="dxa"/>
              <w:right w:w="57" w:type="dxa"/>
            </w:tcMar>
            <w:vAlign w:val="center"/>
          </w:tcPr>
          <w:p w14:paraId="13285AAB" w14:textId="6E7AC19E" w:rsidR="6ADD0616" w:rsidRPr="00CA23AA" w:rsidRDefault="6ADD0616" w:rsidP="6ADD0616">
            <w:pPr>
              <w:pStyle w:val="Tabletext0"/>
              <w:jc w:val="left"/>
            </w:pPr>
            <w:r w:rsidRPr="00CA23AA">
              <w:t>NT</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5E7416DC" w14:textId="5723B700"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703F6DBD" w14:textId="6854D574"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5448C9C7" w14:textId="77777777" w:rsidTr="00594907">
        <w:trPr>
          <w:trHeight w:val="300"/>
          <w:jc w:val="center"/>
        </w:trPr>
        <w:tc>
          <w:tcPr>
            <w:tcW w:w="955" w:type="pct"/>
            <w:tcMar>
              <w:top w:w="57" w:type="dxa"/>
              <w:left w:w="57" w:type="dxa"/>
              <w:bottom w:w="57" w:type="dxa"/>
              <w:right w:w="57" w:type="dxa"/>
            </w:tcMar>
            <w:vAlign w:val="center"/>
          </w:tcPr>
          <w:p w14:paraId="1B61A9DC" w14:textId="642575C6" w:rsidR="6ADD0616" w:rsidRPr="00CA23AA" w:rsidRDefault="6ADD0616" w:rsidP="6ADD0616">
            <w:pPr>
              <w:pStyle w:val="Tabletext0"/>
              <w:jc w:val="left"/>
            </w:pPr>
            <w:r w:rsidRPr="00CA23AA">
              <w:t>QLD</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2CCA21E1" w14:textId="39AA41D2"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29166642" w14:textId="4AF38896"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2B9FA821" w14:textId="77777777" w:rsidTr="00594907">
        <w:trPr>
          <w:trHeight w:val="300"/>
          <w:jc w:val="center"/>
        </w:trPr>
        <w:tc>
          <w:tcPr>
            <w:tcW w:w="955" w:type="pct"/>
            <w:tcMar>
              <w:top w:w="57" w:type="dxa"/>
              <w:left w:w="57" w:type="dxa"/>
              <w:bottom w:w="57" w:type="dxa"/>
              <w:right w:w="57" w:type="dxa"/>
            </w:tcMar>
            <w:vAlign w:val="center"/>
          </w:tcPr>
          <w:p w14:paraId="60A76C1A" w14:textId="5D900FD0" w:rsidR="6ADD0616" w:rsidRPr="00CA23AA" w:rsidRDefault="6ADD0616" w:rsidP="6ADD0616">
            <w:pPr>
              <w:pStyle w:val="Tabletext0"/>
              <w:jc w:val="left"/>
            </w:pPr>
            <w:r w:rsidRPr="00CA23AA">
              <w:t>SA</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06EEFDB8" w14:textId="638F356A"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5F129084" w14:textId="36D4CFD7"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011FD922" w14:textId="77777777" w:rsidTr="00594907">
        <w:trPr>
          <w:trHeight w:val="300"/>
          <w:jc w:val="center"/>
        </w:trPr>
        <w:tc>
          <w:tcPr>
            <w:tcW w:w="955" w:type="pct"/>
            <w:tcMar>
              <w:top w:w="57" w:type="dxa"/>
              <w:left w:w="57" w:type="dxa"/>
              <w:bottom w:w="57" w:type="dxa"/>
              <w:right w:w="57" w:type="dxa"/>
            </w:tcMar>
            <w:vAlign w:val="center"/>
          </w:tcPr>
          <w:p w14:paraId="6CAB68F4" w14:textId="69AC8659" w:rsidR="6ADD0616" w:rsidRPr="00CA23AA" w:rsidRDefault="6ADD0616" w:rsidP="6ADD0616">
            <w:pPr>
              <w:pStyle w:val="Tabletext0"/>
              <w:jc w:val="left"/>
            </w:pPr>
            <w:r w:rsidRPr="00CA23AA">
              <w:t>TAS</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6E0CAA03" w14:textId="05AB06A1"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310516F3" w14:textId="5D4AB6E1"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2220C20C" w14:textId="77777777" w:rsidTr="00594907">
        <w:trPr>
          <w:trHeight w:val="300"/>
          <w:jc w:val="center"/>
        </w:trPr>
        <w:tc>
          <w:tcPr>
            <w:tcW w:w="955" w:type="pct"/>
            <w:tcMar>
              <w:top w:w="57" w:type="dxa"/>
              <w:left w:w="57" w:type="dxa"/>
              <w:bottom w:w="57" w:type="dxa"/>
              <w:right w:w="57" w:type="dxa"/>
            </w:tcMar>
            <w:vAlign w:val="center"/>
          </w:tcPr>
          <w:p w14:paraId="49EE405A" w14:textId="4BA429BB" w:rsidR="6ADD0616" w:rsidRPr="00CA23AA" w:rsidRDefault="6ADD0616" w:rsidP="6ADD0616">
            <w:pPr>
              <w:pStyle w:val="Tabletext0"/>
              <w:jc w:val="left"/>
            </w:pPr>
            <w:r w:rsidRPr="00CA23AA">
              <w:t>VIC</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4351DA19" w14:textId="515E6485"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78327E7A" w14:textId="10927579"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0CF673B7" w14:textId="77777777" w:rsidTr="00594907">
        <w:trPr>
          <w:trHeight w:val="300"/>
          <w:jc w:val="center"/>
        </w:trPr>
        <w:tc>
          <w:tcPr>
            <w:tcW w:w="955" w:type="pct"/>
            <w:tcMar>
              <w:top w:w="57" w:type="dxa"/>
              <w:left w:w="57" w:type="dxa"/>
              <w:bottom w:w="57" w:type="dxa"/>
              <w:right w:w="57" w:type="dxa"/>
            </w:tcMar>
            <w:vAlign w:val="center"/>
          </w:tcPr>
          <w:p w14:paraId="4A8B5260" w14:textId="735D83FD" w:rsidR="6ADD0616" w:rsidRPr="00CA23AA" w:rsidRDefault="6ADD0616" w:rsidP="6ADD0616">
            <w:pPr>
              <w:pStyle w:val="Tabletext0"/>
              <w:jc w:val="left"/>
            </w:pPr>
            <w:r w:rsidRPr="00CA23AA">
              <w:t>WA</w:t>
            </w:r>
          </w:p>
        </w:tc>
        <w:tc>
          <w:tcPr>
            <w:tcW w:w="1528" w:type="pct"/>
            <w:tcBorders>
              <w:bottom w:val="single" w:sz="4" w:space="0" w:color="auto"/>
            </w:tcBorders>
            <w:shd w:val="solid" w:color="000000" w:fill="000000"/>
            <w:tcMar>
              <w:top w:w="57" w:type="dxa"/>
              <w:left w:w="57" w:type="dxa"/>
              <w:bottom w:w="57" w:type="dxa"/>
              <w:right w:w="57" w:type="dxa"/>
            </w:tcMar>
            <w:vAlign w:val="center"/>
          </w:tcPr>
          <w:p w14:paraId="02BDB296" w14:textId="14AD14F5"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tcBorders>
              <w:bottom w:val="single" w:sz="4" w:space="0" w:color="auto"/>
            </w:tcBorders>
            <w:shd w:val="solid" w:color="000000" w:fill="000000"/>
            <w:tcMar>
              <w:top w:w="57" w:type="dxa"/>
              <w:left w:w="57" w:type="dxa"/>
              <w:bottom w:w="57" w:type="dxa"/>
              <w:right w:w="57" w:type="dxa"/>
            </w:tcMar>
            <w:vAlign w:val="bottom"/>
          </w:tcPr>
          <w:p w14:paraId="157DAA72" w14:textId="4DE6D8FA"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r w:rsidR="6ADD0616" w:rsidRPr="00CA23AA" w14:paraId="7C9C9499" w14:textId="77777777" w:rsidTr="00594907">
        <w:trPr>
          <w:trHeight w:val="300"/>
          <w:jc w:val="center"/>
        </w:trPr>
        <w:tc>
          <w:tcPr>
            <w:tcW w:w="955" w:type="pct"/>
            <w:tcMar>
              <w:top w:w="57" w:type="dxa"/>
              <w:left w:w="57" w:type="dxa"/>
              <w:bottom w:w="57" w:type="dxa"/>
              <w:right w:w="57" w:type="dxa"/>
            </w:tcMar>
            <w:vAlign w:val="center"/>
          </w:tcPr>
          <w:p w14:paraId="4A7B26A0" w14:textId="27CB0491" w:rsidR="6ADD0616" w:rsidRPr="00CA23AA" w:rsidRDefault="6ADD0616" w:rsidP="6ADD0616">
            <w:pPr>
              <w:pStyle w:val="Tabletext0"/>
              <w:jc w:val="left"/>
            </w:pPr>
            <w:r w:rsidRPr="00CA23AA">
              <w:t>Total</w:t>
            </w:r>
          </w:p>
        </w:tc>
        <w:tc>
          <w:tcPr>
            <w:tcW w:w="1528" w:type="pct"/>
            <w:shd w:val="solid" w:color="000000" w:fill="000000"/>
            <w:tcMar>
              <w:top w:w="57" w:type="dxa"/>
              <w:left w:w="57" w:type="dxa"/>
              <w:bottom w:w="57" w:type="dxa"/>
              <w:right w:w="57" w:type="dxa"/>
            </w:tcMar>
            <w:vAlign w:val="center"/>
          </w:tcPr>
          <w:p w14:paraId="38D48AC3" w14:textId="3EF6A369"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c>
          <w:tcPr>
            <w:tcW w:w="2517" w:type="pct"/>
            <w:shd w:val="solid" w:color="000000" w:fill="000000"/>
            <w:tcMar>
              <w:top w:w="57" w:type="dxa"/>
              <w:left w:w="57" w:type="dxa"/>
              <w:bottom w:w="57" w:type="dxa"/>
              <w:right w:w="57" w:type="dxa"/>
            </w:tcMar>
            <w:vAlign w:val="center"/>
          </w:tcPr>
          <w:p w14:paraId="4FC603DF" w14:textId="3686872A" w:rsidR="6ADD0616" w:rsidRPr="00CA23AA" w:rsidRDefault="00594907" w:rsidP="00900F61">
            <w:pPr>
              <w:pStyle w:val="Tabletext0"/>
              <w:jc w:val="center"/>
            </w:pPr>
            <w:r w:rsidRPr="00594907">
              <w:rPr>
                <w:color w:val="000000"/>
                <w14:textFill>
                  <w14:solidFill>
                    <w14:srgbClr w14:val="000000">
                      <w14:alpha w14:val="100000"/>
                    </w14:srgbClr>
                  </w14:solidFill>
                </w14:textFill>
              </w:rPr>
              <w:t>|</w:t>
            </w:r>
          </w:p>
        </w:tc>
      </w:tr>
    </w:tbl>
    <w:p w14:paraId="1F63150F" w14:textId="5E1D5C41" w:rsidR="00C616B5" w:rsidRPr="00CA23AA" w:rsidRDefault="00C616B5" w:rsidP="00C616B5">
      <w:pPr>
        <w:pStyle w:val="Tablenotes0"/>
      </w:pPr>
      <w:r w:rsidRPr="00CA23AA">
        <w:t xml:space="preserve">ACT = Australian Capital Territory; NSW = New South Wales; NT = Northern Territory; </w:t>
      </w:r>
      <w:r w:rsidR="20A6A078" w:rsidRPr="00CA23AA">
        <w:t>QLD = Queensland;</w:t>
      </w:r>
      <w:r w:rsidR="3DD02279" w:rsidRPr="00CA23AA">
        <w:t xml:space="preserve"> </w:t>
      </w:r>
      <w:r w:rsidRPr="00CA23AA">
        <w:t>SA = South Australia; Vic = Victoria; WA = Western Australia</w:t>
      </w:r>
    </w:p>
    <w:p w14:paraId="7FEB01F2" w14:textId="7AAA0331" w:rsidR="722B6E2B" w:rsidRPr="00CA23AA" w:rsidRDefault="722B6E2B" w:rsidP="47CC6FA6">
      <w:pPr>
        <w:pStyle w:val="Tablenotes0"/>
        <w:rPr>
          <w:vertAlign w:val="superscript"/>
        </w:rPr>
      </w:pPr>
      <w:r w:rsidRPr="00CA23AA">
        <w:rPr>
          <w:vertAlign w:val="superscript"/>
        </w:rPr>
        <w:t>1</w:t>
      </w:r>
      <w:r w:rsidRPr="00CA23AA">
        <w:t>Reported as %, (n/N)</w:t>
      </w:r>
    </w:p>
    <w:p w14:paraId="42A5E876" w14:textId="7BDC56A1" w:rsidR="00982D5F" w:rsidRPr="00CA23AA" w:rsidRDefault="00EB56FA" w:rsidP="00982D5F">
      <w:pPr>
        <w:pStyle w:val="Tablenotes0"/>
      </w:pPr>
      <w:r w:rsidRPr="00CA23AA">
        <w:t>Source: Australian Bone Marrow Transplant Recipient Registry (ABMTRR) report version 4, and the reviews submitted by state and territories Departments of Health (provided by Department of Health and Aged Care during the evaluation).</w:t>
      </w:r>
      <w:r w:rsidR="00982D5F" w:rsidRPr="00CA23AA">
        <w:br w:type="page"/>
      </w:r>
    </w:p>
    <w:p w14:paraId="3455ED7C" w14:textId="69ED7113" w:rsidR="00F94EB1" w:rsidRPr="00CA23AA" w:rsidRDefault="003F5931" w:rsidP="008C179A">
      <w:pPr>
        <w:pStyle w:val="Heading2"/>
        <w:numPr>
          <w:ilvl w:val="1"/>
          <w:numId w:val="0"/>
        </w:numPr>
      </w:pPr>
      <w:r w:rsidRPr="00CA23AA">
        <w:t>17.</w:t>
      </w:r>
      <w:r w:rsidRPr="00CA23AA">
        <w:tab/>
      </w:r>
      <w:r w:rsidR="00DF47BE" w:rsidRPr="00CA23AA">
        <w:t>Key issues from ESC to MSAC</w:t>
      </w:r>
    </w:p>
    <w:p w14:paraId="6B607C5D" w14:textId="77777777" w:rsidR="00F94EB1" w:rsidRPr="00CA23AA" w:rsidRDefault="00F94EB1" w:rsidP="00F94EB1">
      <w:pPr>
        <w:pStyle w:val="BoxName0"/>
      </w:pPr>
      <w:r w:rsidRPr="00CA23AA">
        <w:t>Main issues for MSAC consideration</w:t>
      </w:r>
    </w:p>
    <w:p w14:paraId="6F8FDFD0" w14:textId="77777777" w:rsidR="00F94EB1" w:rsidRPr="00CA23AA" w:rsidRDefault="00F94EB1" w:rsidP="00F94EB1">
      <w:pPr>
        <w:pStyle w:val="BoxName0"/>
      </w:pPr>
      <w:r w:rsidRPr="00CA23AA">
        <w:t>Clinical issues:</w:t>
      </w:r>
    </w:p>
    <w:p w14:paraId="7D8A1B48" w14:textId="5BD82F3B" w:rsidR="00F94EB1" w:rsidRPr="00CA23AA" w:rsidRDefault="00F94EB1" w:rsidP="00F94EB1">
      <w:pPr>
        <w:pStyle w:val="BoxBullet"/>
      </w:pPr>
      <w:r w:rsidRPr="00CA23AA">
        <w:t>The updated clinical evidence did not adequately address the uncertainty in clinical outcomes beyond 12 months. The updated studies were single arm only and provided limited data to inform long-term event-free survival (EFS) as the studies had median follow-up of less than 12 months, substantial loss to follow up and for some endpoints, no additional information than was provided in the original ADAR. The applicant claimed that registry data show that response outcomes are better than expected in clinical practice compared with clinical trials. However, registry data were incomplete and confounded by other therapies. The available data on mortality suggests tisagenlecleucel (TIS) is not a curative treatment for most patients.</w:t>
      </w:r>
    </w:p>
    <w:p w14:paraId="36458893" w14:textId="77777777" w:rsidR="00F94EB1" w:rsidRPr="00CA23AA" w:rsidRDefault="00F94EB1" w:rsidP="00F94EB1">
      <w:pPr>
        <w:pStyle w:val="BoxBullet"/>
      </w:pPr>
      <w:r w:rsidRPr="00CA23AA">
        <w:t xml:space="preserve">Updated data suggests a </w:t>
      </w:r>
      <w:proofErr w:type="gramStart"/>
      <w:r w:rsidRPr="00CA23AA">
        <w:t>higher than expected</w:t>
      </w:r>
      <w:proofErr w:type="gramEnd"/>
      <w:r w:rsidRPr="00CA23AA">
        <w:t xml:space="preserve"> rate of allogenic haematopoietic stem cell transplantation (</w:t>
      </w:r>
      <w:proofErr w:type="spellStart"/>
      <w:r w:rsidRPr="00CA23AA">
        <w:t>aHSCT</w:t>
      </w:r>
      <w:proofErr w:type="spellEnd"/>
      <w:r w:rsidRPr="00CA23AA">
        <w:t>) after TIS in clinical practice, with the role of TIS changed to a conditioning therapy prior to transplant. This suggests that for most patients, TIS is not a stand-alone, curative therapy as it was positioned and evaluated in the original assessment. There is currently insufficient evidence to fully understand the optimal clinical role of TIS.</w:t>
      </w:r>
    </w:p>
    <w:p w14:paraId="24954D24" w14:textId="77777777" w:rsidR="00F94EB1" w:rsidRPr="00CA23AA" w:rsidRDefault="00F94EB1" w:rsidP="00F94EB1">
      <w:pPr>
        <w:pStyle w:val="BoxHeading"/>
      </w:pPr>
      <w:r w:rsidRPr="00CA23AA">
        <w:t>Economic issues:</w:t>
      </w:r>
    </w:p>
    <w:p w14:paraId="0EBD1A79" w14:textId="77777777" w:rsidR="00F94EB1" w:rsidRPr="00CA23AA" w:rsidRDefault="00F94EB1" w:rsidP="00F94EB1">
      <w:pPr>
        <w:pStyle w:val="BoxBullet"/>
      </w:pPr>
      <w:r w:rsidRPr="00CA23AA">
        <w:t xml:space="preserve">The economic model likely overestimated the benefits of TIS and potentially underestimated the benefits of blinatumomab in the comparator arm. ESC considered the revised economic model that corrected for the application of the cure function was more reliable than the ADAR’s economic model. </w:t>
      </w:r>
    </w:p>
    <w:p w14:paraId="07AD56DF" w14:textId="2F689EFA" w:rsidR="00F94EB1" w:rsidRPr="00CA23AA" w:rsidRDefault="00F94EB1" w:rsidP="00F94EB1">
      <w:pPr>
        <w:pStyle w:val="BoxBullet"/>
      </w:pPr>
      <w:r w:rsidRPr="00CA23AA">
        <w:t>Costs per TIS treatment were estimated as $</w:t>
      </w:r>
      <w:r w:rsidR="00594907" w:rsidRPr="00594907">
        <w:rPr>
          <w:w w:val="88"/>
          <w:shd w:val="solid" w:color="000000" w:fill="000000"/>
          <w:fitText w:val="390" w:id="-1161539063"/>
          <w14:textFill>
            <w14:solidFill>
              <w14:srgbClr w14:val="000000">
                <w14:alpha w14:val="100000"/>
              </w14:srgbClr>
            </w14:solidFill>
          </w14:textFill>
        </w:rPr>
        <w:t>|||</w:t>
      </w:r>
      <w:r w:rsidR="00594907" w:rsidRPr="00594907">
        <w:rPr>
          <w:spacing w:val="2"/>
          <w:w w:val="88"/>
          <w:shd w:val="solid" w:color="000000" w:fill="000000"/>
          <w:fitText w:val="390" w:id="-1161539063"/>
          <w14:textFill>
            <w14:solidFill>
              <w14:srgbClr w14:val="000000">
                <w14:alpha w14:val="100000"/>
              </w14:srgbClr>
            </w14:solidFill>
          </w14:textFill>
        </w:rPr>
        <w:t>|</w:t>
      </w:r>
      <w:r w:rsidRPr="00CA23AA">
        <w:t>per patient in the submission, but New South Wales reported an average cost of $</w:t>
      </w:r>
      <w:r w:rsidR="00594907" w:rsidRPr="00186539">
        <w:rPr>
          <w:rFonts w:hint="eastAsia"/>
          <w:w w:val="15"/>
          <w:shd w:val="solid" w:color="000000" w:fill="000000"/>
          <w:fitText w:val="30" w:id="-1161539062"/>
          <w14:textFill>
            <w14:solidFill>
              <w14:srgbClr w14:val="000000">
                <w14:alpha w14:val="100000"/>
              </w14:srgbClr>
            </w14:solidFill>
          </w14:textFill>
        </w:rPr>
        <w:t xml:space="preserve">　</w:t>
      </w:r>
      <w:r w:rsidR="00594907" w:rsidRPr="00186539">
        <w:rPr>
          <w:w w:val="15"/>
          <w:shd w:val="solid" w:color="000000" w:fill="000000"/>
          <w:fitText w:val="30" w:id="-1161539062"/>
          <w14:textFill>
            <w14:solidFill>
              <w14:srgbClr w14:val="000000">
                <w14:alpha w14:val="100000"/>
              </w14:srgbClr>
            </w14:solidFill>
          </w14:textFill>
        </w:rPr>
        <w:t>|</w:t>
      </w:r>
      <w:r w:rsidR="00594907" w:rsidRPr="00186539">
        <w:rPr>
          <w:rFonts w:hint="eastAsia"/>
          <w:spacing w:val="-51"/>
          <w:w w:val="15"/>
          <w:shd w:val="solid" w:color="000000" w:fill="000000"/>
          <w:fitText w:val="30" w:id="-1161539062"/>
          <w14:textFill>
            <w14:solidFill>
              <w14:srgbClr w14:val="000000">
                <w14:alpha w14:val="100000"/>
              </w14:srgbClr>
            </w14:solidFill>
          </w14:textFill>
        </w:rPr>
        <w:t xml:space="preserve">　</w:t>
      </w:r>
      <w:r w:rsidRPr="00CA23AA">
        <w:t>(range $</w:t>
      </w:r>
      <w:r w:rsidR="00594907" w:rsidRPr="00186539">
        <w:rPr>
          <w:rFonts w:hint="eastAsia"/>
          <w:w w:val="15"/>
          <w:shd w:val="solid" w:color="000000" w:fill="000000"/>
          <w:fitText w:val="30" w:id="-1161539061"/>
          <w14:textFill>
            <w14:solidFill>
              <w14:srgbClr w14:val="000000">
                <w14:alpha w14:val="100000"/>
              </w14:srgbClr>
            </w14:solidFill>
          </w14:textFill>
        </w:rPr>
        <w:t xml:space="preserve">　</w:t>
      </w:r>
      <w:r w:rsidR="00594907" w:rsidRPr="00186539">
        <w:rPr>
          <w:w w:val="15"/>
          <w:shd w:val="solid" w:color="000000" w:fill="000000"/>
          <w:fitText w:val="30" w:id="-1161539061"/>
          <w14:textFill>
            <w14:solidFill>
              <w14:srgbClr w14:val="000000">
                <w14:alpha w14:val="100000"/>
              </w14:srgbClr>
            </w14:solidFill>
          </w14:textFill>
        </w:rPr>
        <w:t>|</w:t>
      </w:r>
      <w:r w:rsidR="00594907" w:rsidRPr="00186539">
        <w:rPr>
          <w:rFonts w:hint="eastAsia"/>
          <w:spacing w:val="-51"/>
          <w:w w:val="15"/>
          <w:shd w:val="solid" w:color="000000" w:fill="000000"/>
          <w:fitText w:val="30" w:id="-1161539061"/>
          <w14:textFill>
            <w14:solidFill>
              <w14:srgbClr w14:val="000000">
                <w14:alpha w14:val="100000"/>
              </w14:srgbClr>
            </w14:solidFill>
          </w14:textFill>
        </w:rPr>
        <w:t xml:space="preserve">　</w:t>
      </w:r>
      <w:r w:rsidRPr="00CA23AA">
        <w:t>to $</w:t>
      </w:r>
      <w:r w:rsidR="00594907" w:rsidRPr="00186539">
        <w:rPr>
          <w:rFonts w:hint="eastAsia"/>
          <w:w w:val="15"/>
          <w:shd w:val="solid" w:color="000000" w:fill="000000"/>
          <w:fitText w:val="20" w:id="-1161539060"/>
          <w14:textFill>
            <w14:solidFill>
              <w14:srgbClr w14:val="000000">
                <w14:alpha w14:val="100000"/>
              </w14:srgbClr>
            </w14:solidFill>
          </w14:textFill>
        </w:rPr>
        <w:t xml:space="preserve">　</w:t>
      </w:r>
      <w:proofErr w:type="gramStart"/>
      <w:r w:rsidR="00594907" w:rsidRPr="00186539">
        <w:rPr>
          <w:w w:val="15"/>
          <w:shd w:val="solid" w:color="000000" w:fill="000000"/>
          <w:fitText w:val="20" w:id="-1161539060"/>
          <w14:textFill>
            <w14:solidFill>
              <w14:srgbClr w14:val="000000">
                <w14:alpha w14:val="100000"/>
              </w14:srgbClr>
            </w14:solidFill>
          </w14:textFill>
        </w:rPr>
        <w:t>|</w:t>
      </w:r>
      <w:r w:rsidR="00594907" w:rsidRPr="00186539">
        <w:rPr>
          <w:rFonts w:hint="eastAsia"/>
          <w:spacing w:val="-61"/>
          <w:w w:val="15"/>
          <w:shd w:val="solid" w:color="000000" w:fill="000000"/>
          <w:fitText w:val="20" w:id="-1161539060"/>
          <w14:textFill>
            <w14:solidFill>
              <w14:srgbClr w14:val="000000">
                <w14:alpha w14:val="100000"/>
              </w14:srgbClr>
            </w14:solidFill>
          </w14:textFill>
        </w:rPr>
        <w:t xml:space="preserve">　</w:t>
      </w:r>
      <w:r w:rsidRPr="00CA23AA">
        <w:t>,</w:t>
      </w:r>
      <w:proofErr w:type="gramEnd"/>
      <w:r w:rsidRPr="00CA23AA">
        <w:t xml:space="preserve"> including the cost of TIS) per patient. Using the higher costs increased the ICER substantially (over $</w:t>
      </w:r>
      <w:r w:rsidR="00594907" w:rsidRPr="00186539">
        <w:rPr>
          <w:rFonts w:hint="eastAsia"/>
          <w:w w:val="15"/>
          <w:shd w:val="solid" w:color="000000" w:fill="000000"/>
          <w:fitText w:val="20" w:id="-1161539059"/>
          <w14:textFill>
            <w14:solidFill>
              <w14:srgbClr w14:val="000000">
                <w14:alpha w14:val="100000"/>
              </w14:srgbClr>
            </w14:solidFill>
          </w14:textFill>
        </w:rPr>
        <w:t xml:space="preserve">　</w:t>
      </w:r>
      <w:r w:rsidR="00594907" w:rsidRPr="00186539">
        <w:rPr>
          <w:w w:val="15"/>
          <w:shd w:val="solid" w:color="000000" w:fill="000000"/>
          <w:fitText w:val="20" w:id="-1161539059"/>
          <w14:textFill>
            <w14:solidFill>
              <w14:srgbClr w14:val="000000">
                <w14:alpha w14:val="100000"/>
              </w14:srgbClr>
            </w14:solidFill>
          </w14:textFill>
        </w:rPr>
        <w:t>|</w:t>
      </w:r>
      <w:r w:rsidR="00594907" w:rsidRPr="00186539">
        <w:rPr>
          <w:rFonts w:hint="eastAsia"/>
          <w:spacing w:val="-61"/>
          <w:w w:val="15"/>
          <w:shd w:val="solid" w:color="000000" w:fill="000000"/>
          <w:fitText w:val="20" w:id="-1161539059"/>
          <w14:textFill>
            <w14:solidFill>
              <w14:srgbClr w14:val="000000">
                <w14:alpha w14:val="100000"/>
              </w14:srgbClr>
            </w14:solidFill>
          </w14:textFill>
        </w:rPr>
        <w:t xml:space="preserve">　</w:t>
      </w:r>
      <w:r w:rsidRPr="00CA23AA">
        <w:t xml:space="preserve">per QALY). However, the costs for the comparator arm were not updated and may also be higher. </w:t>
      </w:r>
    </w:p>
    <w:p w14:paraId="1FEA645B" w14:textId="0EACFAC7" w:rsidR="00F94EB1" w:rsidRPr="00CA23AA" w:rsidRDefault="00F94EB1" w:rsidP="00F94EB1">
      <w:pPr>
        <w:pStyle w:val="BoxBullet"/>
      </w:pPr>
      <w:r w:rsidRPr="00CA23AA">
        <w:t xml:space="preserve">The ICER is uncertain. While the commentary applied a corrected model, the ICER is sensitive to the estimates used for program costs and the proportion of patients receiving </w:t>
      </w:r>
      <w:proofErr w:type="spellStart"/>
      <w:r w:rsidRPr="00CA23AA">
        <w:t>aHSCT</w:t>
      </w:r>
      <w:proofErr w:type="spellEnd"/>
      <w:r w:rsidRPr="00CA23AA">
        <w:t>. Sensitivity analyses show a range of ICERs, from $</w:t>
      </w:r>
      <w:r w:rsidR="00594907" w:rsidRPr="00186539">
        <w:rPr>
          <w:rFonts w:hint="eastAsia"/>
          <w:w w:val="15"/>
          <w:shd w:val="solid" w:color="000000" w:fill="000000"/>
          <w:fitText w:val="30" w:id="-1161539058"/>
          <w14:textFill>
            <w14:solidFill>
              <w14:srgbClr w14:val="000000">
                <w14:alpha w14:val="100000"/>
              </w14:srgbClr>
            </w14:solidFill>
          </w14:textFill>
        </w:rPr>
        <w:t xml:space="preserve">　</w:t>
      </w:r>
      <w:r w:rsidR="00594907" w:rsidRPr="00186539">
        <w:rPr>
          <w:w w:val="15"/>
          <w:shd w:val="solid" w:color="000000" w:fill="000000"/>
          <w:fitText w:val="30" w:id="-1161539058"/>
          <w14:textFill>
            <w14:solidFill>
              <w14:srgbClr w14:val="000000">
                <w14:alpha w14:val="100000"/>
              </w14:srgbClr>
            </w14:solidFill>
          </w14:textFill>
        </w:rPr>
        <w:t>|</w:t>
      </w:r>
      <w:r w:rsidR="00594907" w:rsidRPr="00186539">
        <w:rPr>
          <w:rFonts w:hint="eastAsia"/>
          <w:spacing w:val="-51"/>
          <w:w w:val="15"/>
          <w:shd w:val="solid" w:color="000000" w:fill="000000"/>
          <w:fitText w:val="30" w:id="-1161539058"/>
          <w14:textFill>
            <w14:solidFill>
              <w14:srgbClr w14:val="000000">
                <w14:alpha w14:val="100000"/>
              </w14:srgbClr>
            </w14:solidFill>
          </w14:textFill>
        </w:rPr>
        <w:t xml:space="preserve">　</w:t>
      </w:r>
      <w:r w:rsidRPr="00CA23AA">
        <w:t>to $</w:t>
      </w:r>
      <w:r w:rsidR="00594907" w:rsidRPr="00186539">
        <w:rPr>
          <w:rFonts w:hint="eastAsia"/>
          <w:w w:val="15"/>
          <w:shd w:val="solid" w:color="000000" w:fill="000000"/>
          <w:fitText w:val="20" w:id="-1161539057"/>
          <w14:textFill>
            <w14:solidFill>
              <w14:srgbClr w14:val="000000">
                <w14:alpha w14:val="100000"/>
              </w14:srgbClr>
            </w14:solidFill>
          </w14:textFill>
        </w:rPr>
        <w:t xml:space="preserve">　</w:t>
      </w:r>
      <w:proofErr w:type="gramStart"/>
      <w:r w:rsidR="00594907" w:rsidRPr="00186539">
        <w:rPr>
          <w:w w:val="15"/>
          <w:shd w:val="solid" w:color="000000" w:fill="000000"/>
          <w:fitText w:val="20" w:id="-1161539057"/>
          <w14:textFill>
            <w14:solidFill>
              <w14:srgbClr w14:val="000000">
                <w14:alpha w14:val="100000"/>
              </w14:srgbClr>
            </w14:solidFill>
          </w14:textFill>
        </w:rPr>
        <w:t>|</w:t>
      </w:r>
      <w:r w:rsidR="00594907" w:rsidRPr="00186539">
        <w:rPr>
          <w:rFonts w:hint="eastAsia"/>
          <w:spacing w:val="-61"/>
          <w:w w:val="15"/>
          <w:shd w:val="solid" w:color="000000" w:fill="000000"/>
          <w:fitText w:val="20" w:id="-1161539057"/>
          <w14:textFill>
            <w14:solidFill>
              <w14:srgbClr w14:val="000000">
                <w14:alpha w14:val="100000"/>
              </w14:srgbClr>
            </w14:solidFill>
          </w14:textFill>
        </w:rPr>
        <w:t xml:space="preserve">　</w:t>
      </w:r>
      <w:r w:rsidRPr="00CA23AA">
        <w:t>.</w:t>
      </w:r>
      <w:proofErr w:type="gramEnd"/>
      <w:r w:rsidRPr="00CA23AA">
        <w:t xml:space="preserve"> </w:t>
      </w:r>
    </w:p>
    <w:p w14:paraId="7E18CB80" w14:textId="1BE7998F" w:rsidR="00F94EB1" w:rsidRPr="00CA23AA" w:rsidRDefault="00F94EB1" w:rsidP="00F94EB1">
      <w:pPr>
        <w:pStyle w:val="BoxBullet"/>
      </w:pPr>
      <w:r w:rsidRPr="00CA23AA">
        <w:t xml:space="preserve">The economic evidence remains unclear. There was no update to the comparator and there is no clear evidence to support a change in price. </w:t>
      </w:r>
      <w:r w:rsidR="00982219" w:rsidRPr="00186539">
        <w:rPr>
          <w:rFonts w:hint="eastAsia"/>
          <w:w w:val="15"/>
          <w:shd w:val="solid" w:color="000000" w:fill="000000"/>
          <w:fitText w:val="30" w:id="-1157969651"/>
          <w14:textFill>
            <w14:solidFill>
              <w14:srgbClr w14:val="000000">
                <w14:alpha w14:val="100000"/>
              </w14:srgbClr>
            </w14:solidFill>
          </w14:textFill>
        </w:rPr>
        <w:t xml:space="preserve">　</w:t>
      </w:r>
      <w:r w:rsidR="00982219" w:rsidRPr="00186539">
        <w:rPr>
          <w:w w:val="15"/>
          <w:shd w:val="solid" w:color="000000" w:fill="000000"/>
          <w:fitText w:val="30" w:id="-1157969651"/>
          <w14:textFill>
            <w14:solidFill>
              <w14:srgbClr w14:val="000000">
                <w14:alpha w14:val="100000"/>
              </w14:srgbClr>
            </w14:solidFill>
          </w14:textFill>
        </w:rPr>
        <w:t>|</w:t>
      </w:r>
      <w:r w:rsidR="00982219" w:rsidRPr="00186539">
        <w:rPr>
          <w:rFonts w:hint="eastAsia"/>
          <w:spacing w:val="-51"/>
          <w:w w:val="15"/>
          <w:shd w:val="solid" w:color="000000" w:fill="000000"/>
          <w:fitText w:val="30" w:id="-1157969651"/>
          <w14:textFill>
            <w14:solidFill>
              <w14:srgbClr w14:val="000000">
                <w14:alpha w14:val="100000"/>
              </w14:srgbClr>
            </w14:solidFill>
          </w14:textFill>
        </w:rPr>
        <w:t xml:space="preserve">　</w:t>
      </w:r>
      <w:r w:rsidRPr="00CA23AA">
        <w:t>.</w:t>
      </w:r>
    </w:p>
    <w:p w14:paraId="1843E28A" w14:textId="77777777" w:rsidR="00F94EB1" w:rsidRPr="00CA23AA" w:rsidRDefault="00F94EB1" w:rsidP="00F94EB1">
      <w:pPr>
        <w:pStyle w:val="BoxHeading"/>
      </w:pPr>
      <w:r w:rsidRPr="00CA23AA">
        <w:t>Financial issues:</w:t>
      </w:r>
    </w:p>
    <w:p w14:paraId="7F56977A" w14:textId="77777777" w:rsidR="00F94EB1" w:rsidRPr="00CA23AA" w:rsidRDefault="00F94EB1" w:rsidP="00F94EB1">
      <w:pPr>
        <w:pStyle w:val="BoxBullet"/>
      </w:pPr>
      <w:r w:rsidRPr="00CA23AA">
        <w:t xml:space="preserve">Utilisation was lower than predicted in the original submission in terms of patient numbers. Year-to-year variation is expected for this condition as TIS is intended to be used in a very small group of patients meeting certain criteria.  </w:t>
      </w:r>
    </w:p>
    <w:p w14:paraId="37FE313C" w14:textId="77777777" w:rsidR="00F94EB1" w:rsidRPr="00CA23AA" w:rsidRDefault="00F94EB1" w:rsidP="00F94EB1">
      <w:pPr>
        <w:pStyle w:val="BoxBullet"/>
      </w:pPr>
      <w:r w:rsidRPr="00CA23AA">
        <w:t xml:space="preserve">The total financial impact of providing TIS, including ancillary and adjunct costs is likely close to what was expected in the original application (intended to treat a larger number of patients than were </w:t>
      </w:r>
      <w:proofErr w:type="gramStart"/>
      <w:r w:rsidRPr="00CA23AA">
        <w:t>actually treated</w:t>
      </w:r>
      <w:proofErr w:type="gramEnd"/>
      <w:r w:rsidRPr="00CA23AA">
        <w:t xml:space="preserve">). This was due to higher ancillary and adjunct costs of providing TIS than presented in the original application. </w:t>
      </w:r>
    </w:p>
    <w:p w14:paraId="2DB3A5D6" w14:textId="77777777" w:rsidR="00F94EB1" w:rsidRPr="00CA23AA" w:rsidRDefault="00F94EB1" w:rsidP="00F94EB1">
      <w:pPr>
        <w:pStyle w:val="BoxHeading"/>
      </w:pPr>
      <w:r w:rsidRPr="00CA23AA">
        <w:t>Other relevant information:</w:t>
      </w:r>
    </w:p>
    <w:p w14:paraId="5FEDD0D1" w14:textId="6C0F2D35" w:rsidR="00F94EB1" w:rsidRPr="00CA23AA" w:rsidRDefault="00F94EB1" w:rsidP="00F94EB1">
      <w:pPr>
        <w:pStyle w:val="BoxBullet"/>
      </w:pPr>
      <w:r w:rsidRPr="00CA23AA">
        <w:t xml:space="preserve">Substantial uncertainty remains regarding the longer-term outcomes (beyond 1 year) and utilisation of </w:t>
      </w:r>
      <w:proofErr w:type="gramStart"/>
      <w:r w:rsidRPr="00CA23AA">
        <w:t xml:space="preserve">TIS </w:t>
      </w:r>
      <w:r w:rsidR="00594907" w:rsidRPr="00186539">
        <w:rPr>
          <w:rFonts w:hint="eastAsia"/>
          <w:w w:val="15"/>
          <w:shd w:val="solid" w:color="000000" w:fill="000000"/>
          <w:fitText w:val="20" w:id="-1161539056"/>
          <w14:textFill>
            <w14:solidFill>
              <w14:srgbClr w14:val="000000">
                <w14:alpha w14:val="100000"/>
              </w14:srgbClr>
            </w14:solidFill>
          </w14:textFill>
        </w:rPr>
        <w:t xml:space="preserve">　</w:t>
      </w:r>
      <w:r w:rsidR="00594907" w:rsidRPr="00186539">
        <w:rPr>
          <w:w w:val="15"/>
          <w:shd w:val="solid" w:color="000000" w:fill="000000"/>
          <w:fitText w:val="20" w:id="-1161539056"/>
          <w14:textFill>
            <w14:solidFill>
              <w14:srgbClr w14:val="000000">
                <w14:alpha w14:val="100000"/>
              </w14:srgbClr>
            </w14:solidFill>
          </w14:textFill>
        </w:rPr>
        <w:t>|</w:t>
      </w:r>
      <w:proofErr w:type="gramEnd"/>
      <w:r w:rsidR="00594907" w:rsidRPr="00186539">
        <w:rPr>
          <w:rFonts w:hint="eastAsia"/>
          <w:spacing w:val="-61"/>
          <w:w w:val="15"/>
          <w:shd w:val="solid" w:color="000000" w:fill="000000"/>
          <w:fitText w:val="20" w:id="-1161539056"/>
          <w14:textFill>
            <w14:solidFill>
              <w14:srgbClr w14:val="000000">
                <w14:alpha w14:val="100000"/>
              </w14:srgbClr>
            </w14:solidFill>
          </w14:textFill>
        </w:rPr>
        <w:t xml:space="preserve">　</w:t>
      </w:r>
    </w:p>
    <w:p w14:paraId="4170C61B" w14:textId="77777777" w:rsidR="00F94EB1" w:rsidRPr="00CA23AA" w:rsidRDefault="00F94EB1" w:rsidP="00F94EB1">
      <w:pPr>
        <w:pStyle w:val="BoxBullet"/>
      </w:pPr>
      <w:r w:rsidRPr="00CA23AA">
        <w:t>The registry has not been capturing all the data requested by MSAC. State and registry data do not align (the applicant did not have access to the state data). Registry data capture has been incomplete</w:t>
      </w:r>
      <w:r w:rsidRPr="00CA23AA" w:rsidDel="003819E4">
        <w:t>,</w:t>
      </w:r>
      <w:r w:rsidRPr="00CA23AA">
        <w:t xml:space="preserve"> </w:t>
      </w:r>
      <w:proofErr w:type="gramStart"/>
      <w:r w:rsidRPr="00CA23AA">
        <w:t>delayed</w:t>
      </w:r>
      <w:proofErr w:type="gramEnd"/>
      <w:r w:rsidRPr="00CA23AA">
        <w:t xml:space="preserve"> or absent.</w:t>
      </w:r>
      <w:r w:rsidRPr="00CA23AA" w:rsidDel="003819E4">
        <w:t xml:space="preserve"> </w:t>
      </w:r>
      <w:r w:rsidRPr="00CA23AA">
        <w:t xml:space="preserve">Registry arrangements need review to improve data capture and access. </w:t>
      </w:r>
    </w:p>
    <w:p w14:paraId="1E6CCE08" w14:textId="77777777" w:rsidR="00F94EB1" w:rsidRPr="00CA23AA" w:rsidRDefault="00F94EB1" w:rsidP="00F94EB1">
      <w:pPr>
        <w:pStyle w:val="BoxBullet"/>
      </w:pPr>
      <w:r w:rsidRPr="00CA23AA">
        <w:t xml:space="preserve">Future reviews for other CAR T products and indications </w:t>
      </w:r>
      <w:r w:rsidRPr="00CA23AA" w:rsidDel="00D25685">
        <w:t xml:space="preserve">should </w:t>
      </w:r>
      <w:r w:rsidRPr="00CA23AA">
        <w:t>update evidence and real-world cost data for both the intervention and the comparator. Information could be elicited using a logically ordered information request template with data tables.</w:t>
      </w:r>
    </w:p>
    <w:p w14:paraId="4F28C2AD" w14:textId="77777777" w:rsidR="00F94EB1" w:rsidRPr="00CA23AA" w:rsidRDefault="00F94EB1" w:rsidP="003F5931">
      <w:pPr>
        <w:spacing w:before="240" w:after="240" w:line="240" w:lineRule="auto"/>
        <w:rPr>
          <w:rFonts w:eastAsia="Times New Roman" w:cs="Times New Roman"/>
          <w:b/>
          <w:bCs/>
          <w:color w:val="000000"/>
          <w:szCs w:val="20"/>
          <w:lang w:eastAsia="en-AU"/>
        </w:rPr>
      </w:pPr>
      <w:r w:rsidRPr="00CA23AA">
        <w:rPr>
          <w:rFonts w:eastAsia="Times New Roman" w:cs="Times New Roman"/>
          <w:b/>
          <w:bCs/>
          <w:color w:val="000000"/>
          <w:szCs w:val="20"/>
          <w:lang w:eastAsia="en-AU"/>
        </w:rPr>
        <w:t>ESC discussion</w:t>
      </w:r>
    </w:p>
    <w:p w14:paraId="69C14268" w14:textId="3F401508" w:rsidR="00F94EB1" w:rsidRPr="00CA23AA" w:rsidRDefault="00F94EB1" w:rsidP="00F94EB1">
      <w:pPr>
        <w:spacing w:before="0" w:after="240" w:line="240" w:lineRule="auto"/>
        <w:rPr>
          <w:iCs/>
        </w:rPr>
      </w:pPr>
      <w:r w:rsidRPr="00CA23AA">
        <w:rPr>
          <w:rFonts w:eastAsia="Times New Roman" w:cs="Times New Roman"/>
          <w:iCs/>
          <w:color w:val="000000"/>
          <w:szCs w:val="20"/>
          <w:lang w:eastAsia="en-AU"/>
        </w:rPr>
        <w:t>ESC noted that in 2019, MSAC supported public</w:t>
      </w:r>
      <w:r w:rsidRPr="00CA23AA" w:rsidDel="00F96BA9">
        <w:rPr>
          <w:rFonts w:eastAsia="Times New Roman" w:cs="Times New Roman"/>
          <w:iCs/>
          <w:color w:val="000000"/>
          <w:szCs w:val="20"/>
          <w:lang w:eastAsia="en-AU"/>
        </w:rPr>
        <w:t xml:space="preserve"> </w:t>
      </w:r>
      <w:r w:rsidRPr="00CA23AA">
        <w:rPr>
          <w:rFonts w:eastAsia="Times New Roman" w:cs="Times New Roman"/>
          <w:iCs/>
          <w:color w:val="000000"/>
          <w:szCs w:val="20"/>
          <w:lang w:eastAsia="en-AU"/>
        </w:rPr>
        <w:t>funding for tisagenlecleucel (TIS) for the treatment of confirmed relapsed/refractory CD19-positive acute lymphoblastic leukaemia (</w:t>
      </w:r>
      <w:proofErr w:type="spellStart"/>
      <w:r w:rsidRPr="00CA23AA">
        <w:rPr>
          <w:rFonts w:eastAsia="Times New Roman" w:cs="Times New Roman"/>
          <w:iCs/>
          <w:color w:val="000000"/>
          <w:szCs w:val="20"/>
          <w:lang w:eastAsia="en-AU"/>
        </w:rPr>
        <w:t>pALL</w:t>
      </w:r>
      <w:proofErr w:type="spellEnd"/>
      <w:r w:rsidRPr="00CA23AA">
        <w:rPr>
          <w:rFonts w:eastAsia="Times New Roman" w:cs="Times New Roman"/>
          <w:iCs/>
          <w:color w:val="000000"/>
          <w:szCs w:val="20"/>
          <w:lang w:eastAsia="en-AU"/>
        </w:rPr>
        <w:t>) in children and young adults up to 25 years of age (</w:t>
      </w:r>
      <w:hyperlink r:id="rId34" w:history="1">
        <w:r w:rsidRPr="00CA23AA">
          <w:rPr>
            <w:rFonts w:eastAsia="Times New Roman" w:cs="Times New Roman"/>
            <w:iCs/>
            <w:color w:val="0000FF"/>
            <w:szCs w:val="20"/>
            <w:u w:val="single"/>
            <w:lang w:eastAsia="en-AU"/>
          </w:rPr>
          <w:t>MSAC application 1519</w:t>
        </w:r>
      </w:hyperlink>
      <w:r w:rsidRPr="00CA23AA">
        <w:rPr>
          <w:rFonts w:eastAsia="Times New Roman" w:cs="Times New Roman"/>
          <w:iCs/>
          <w:color w:val="000000"/>
          <w:szCs w:val="20"/>
          <w:lang w:eastAsia="en-AU"/>
        </w:rPr>
        <w:t xml:space="preserve">). Further, ESC noted that, due to considerable clinical, </w:t>
      </w:r>
      <w:proofErr w:type="gramStart"/>
      <w:r w:rsidRPr="00CA23AA">
        <w:rPr>
          <w:rFonts w:eastAsia="Times New Roman" w:cs="Times New Roman"/>
          <w:iCs/>
          <w:color w:val="000000"/>
          <w:szCs w:val="20"/>
          <w:lang w:eastAsia="en-AU"/>
        </w:rPr>
        <w:t>economic</w:t>
      </w:r>
      <w:proofErr w:type="gramEnd"/>
      <w:r w:rsidRPr="00CA23AA">
        <w:rPr>
          <w:rFonts w:eastAsia="Times New Roman" w:cs="Times New Roman"/>
          <w:iCs/>
          <w:color w:val="000000"/>
          <w:szCs w:val="20"/>
          <w:lang w:eastAsia="en-AU"/>
        </w:rPr>
        <w:t xml:space="preserve"> and financial uncertainty, MSAC’s recommendation required a risk sharing arrangement (RSA). The subsequent Deed of Agreement for funding of TIS under the National Health Reform Agreement outlines the RSA supported by MSAC which</w:t>
      </w:r>
      <w:r w:rsidRPr="00CA23AA">
        <w:rPr>
          <w:iCs/>
        </w:rPr>
        <w:t xml:space="preserve"> included </w:t>
      </w:r>
      <w:r w:rsidR="00594907" w:rsidRPr="00982219">
        <w:rPr>
          <w:iCs/>
          <w:color w:val="000000"/>
          <w:w w:val="86"/>
          <w:shd w:val="solid" w:color="000000" w:fill="000000"/>
          <w:fitText w:val="380" w:id="-1161539072"/>
          <w14:textFill>
            <w14:solidFill>
              <w14:srgbClr w14:val="000000">
                <w14:alpha w14:val="100000"/>
              </w14:srgbClr>
            </w14:solidFill>
          </w14:textFill>
        </w:rPr>
        <w:t>|||</w:t>
      </w:r>
      <w:r w:rsidR="00594907" w:rsidRPr="00982219">
        <w:rPr>
          <w:iCs/>
          <w:color w:val="000000"/>
          <w:spacing w:val="1"/>
          <w:w w:val="86"/>
          <w:shd w:val="solid" w:color="000000" w:fill="000000"/>
          <w:fitText w:val="380" w:id="-1161539072"/>
          <w14:textFill>
            <w14:solidFill>
              <w14:srgbClr w14:val="000000">
                <w14:alpha w14:val="100000"/>
              </w14:srgbClr>
            </w14:solidFill>
          </w14:textFill>
        </w:rPr>
        <w:t>|</w:t>
      </w:r>
      <w:r w:rsidRPr="00CA23AA">
        <w:rPr>
          <w:iCs/>
        </w:rPr>
        <w:t xml:space="preserve">, </w:t>
      </w:r>
      <w:r w:rsidR="00982219" w:rsidRPr="00982219">
        <w:rPr>
          <w:iCs/>
          <w:color w:val="000000"/>
          <w:w w:val="88"/>
          <w:shd w:val="solid" w:color="000000" w:fill="000000"/>
          <w:fitText w:val="390" w:id="-1157969650"/>
          <w14:textFill>
            <w14:solidFill>
              <w14:srgbClr w14:val="000000">
                <w14:alpha w14:val="100000"/>
              </w14:srgbClr>
            </w14:solidFill>
          </w14:textFill>
        </w:rPr>
        <w:t>|||</w:t>
      </w:r>
      <w:r w:rsidR="00982219" w:rsidRPr="00982219">
        <w:rPr>
          <w:iCs/>
          <w:color w:val="000000"/>
          <w:spacing w:val="2"/>
          <w:w w:val="88"/>
          <w:shd w:val="solid" w:color="000000" w:fill="000000"/>
          <w:fitText w:val="390" w:id="-1157969650"/>
          <w14:textFill>
            <w14:solidFill>
              <w14:srgbClr w14:val="000000">
                <w14:alpha w14:val="100000"/>
              </w14:srgbClr>
            </w14:solidFill>
          </w14:textFill>
        </w:rPr>
        <w:t>|</w:t>
      </w:r>
      <w:r w:rsidRPr="00CA23AA">
        <w:rPr>
          <w:iCs/>
        </w:rPr>
        <w:t xml:space="preserve">, a single course of treatment per patient, and the requirement for review of all matters relevant to the provision of the treatment with a new agreement to be renegotiated based upon the review outcomes. The Deed also required the collection and provision of data on the provision of TIS in the Australasian Bone Marrow Transplant Recipient Registry (ABMTRR). </w:t>
      </w:r>
    </w:p>
    <w:p w14:paraId="361D8EA3" w14:textId="77777777" w:rsidR="00F94EB1" w:rsidRPr="00CA23AA" w:rsidRDefault="00F94EB1" w:rsidP="00F94EB1">
      <w:pPr>
        <w:spacing w:before="0" w:after="240" w:line="240" w:lineRule="auto"/>
        <w:rPr>
          <w:rFonts w:eastAsia="Times New Roman" w:cs="Times New Roman"/>
          <w:iCs/>
          <w:color w:val="000000"/>
          <w:szCs w:val="20"/>
          <w:lang w:eastAsia="en-AU"/>
        </w:rPr>
      </w:pPr>
      <w:r w:rsidRPr="00CA23AA">
        <w:rPr>
          <w:rFonts w:eastAsia="Times New Roman" w:cs="Times New Roman"/>
          <w:iCs/>
          <w:color w:val="000000"/>
          <w:szCs w:val="20"/>
          <w:lang w:eastAsia="en-AU"/>
        </w:rPr>
        <w:t>ESC noted that the applicant, Novartis, had lodged an updated Applicant Developed Assessment Report (ADAR) to satisfy the review requirements in the Deed. As per the Deed, the purpose is to review</w:t>
      </w:r>
      <w:r w:rsidRPr="00CA23AA">
        <w:rPr>
          <w:iCs/>
        </w:rPr>
        <w:t xml:space="preserve"> all matters relevant to the provision of the treatment, including but not limited to the clinical and cost-effectiveness of the treatment, usage of the treatment, financial costs of the treatment or any other matter relevant to the effectiveness, </w:t>
      </w:r>
      <w:proofErr w:type="gramStart"/>
      <w:r w:rsidRPr="00CA23AA">
        <w:rPr>
          <w:iCs/>
        </w:rPr>
        <w:t>supply</w:t>
      </w:r>
      <w:proofErr w:type="gramEnd"/>
      <w:r w:rsidRPr="00CA23AA">
        <w:rPr>
          <w:iCs/>
        </w:rPr>
        <w:t xml:space="preserve"> or funding of the treatment.</w:t>
      </w:r>
      <w:r w:rsidRPr="00CA23AA">
        <w:rPr>
          <w:rFonts w:eastAsia="Times New Roman" w:cs="Times New Roman"/>
          <w:iCs/>
          <w:color w:val="000000"/>
          <w:szCs w:val="20"/>
          <w:lang w:eastAsia="en-AU"/>
        </w:rPr>
        <w:t xml:space="preserve"> ESC noted that input from states and territories was also received to inform the review. </w:t>
      </w:r>
    </w:p>
    <w:p w14:paraId="3E6833B4" w14:textId="6DE11AFC" w:rsidR="00F94EB1" w:rsidRPr="00CA23AA" w:rsidRDefault="00F94EB1" w:rsidP="00F94EB1">
      <w:pPr>
        <w:spacing w:before="0" w:after="240" w:line="240" w:lineRule="auto"/>
        <w:rPr>
          <w:rFonts w:eastAsia="Times New Roman" w:cs="Times New Roman"/>
          <w:iCs/>
          <w:szCs w:val="20"/>
          <w:lang w:eastAsia="en-AU"/>
        </w:rPr>
      </w:pPr>
      <w:r w:rsidRPr="00CA23AA">
        <w:rPr>
          <w:rFonts w:eastAsia="Times New Roman" w:cs="Times New Roman"/>
          <w:color w:val="000000"/>
          <w:szCs w:val="20"/>
          <w:lang w:eastAsia="en-AU"/>
        </w:rPr>
        <w:t xml:space="preserve">ESC noted that there are only eight hospitals in Australia that can deliver TIS therapy, meaning many patients need to travel to metropolitan areas and stay there for months. This may be a significant financial barrier if subsidised travel and accommodation is not available. ESC noted feedback from a patient/carer survey commissioned by NSW Health. </w:t>
      </w:r>
      <w:r w:rsidR="00626B5E" w:rsidRPr="00CA23AA">
        <w:rPr>
          <w:rFonts w:eastAsia="Times New Roman" w:cs="Times New Roman"/>
          <w:color w:val="000000"/>
          <w:szCs w:val="20"/>
          <w:lang w:eastAsia="en-AU"/>
        </w:rPr>
        <w:t xml:space="preserve">The survey highlighted the importance of support from the medical team delivering TIS treatment. Medical staff require time to answer questions from patients and their families. Access to social workers is helpful for patients and their families. The decision to proceed with CAR-T treatment can be traumatic, and mental health support would benefit patients and their </w:t>
      </w:r>
      <w:proofErr w:type="spellStart"/>
      <w:r w:rsidR="00626B5E" w:rsidRPr="00CA23AA">
        <w:rPr>
          <w:rFonts w:eastAsia="Times New Roman" w:cs="Times New Roman"/>
          <w:color w:val="000000"/>
          <w:szCs w:val="20"/>
          <w:lang w:eastAsia="en-AU"/>
        </w:rPr>
        <w:t>carers</w:t>
      </w:r>
      <w:proofErr w:type="spellEnd"/>
      <w:r w:rsidR="00626B5E" w:rsidRPr="00CA23AA">
        <w:rPr>
          <w:rFonts w:eastAsia="Times New Roman" w:cs="Times New Roman"/>
          <w:color w:val="000000"/>
          <w:szCs w:val="20"/>
          <w:lang w:eastAsia="en-AU"/>
        </w:rPr>
        <w:t>. ESC noted that patient/carer feedback related more to the experience of going through CAR-T therapy rather than the results achieved. It was perceived as gentler than bone marrow transplant, but patients/carers often reported feeling that there were no other options at their stage of treatment.</w:t>
      </w:r>
      <w:r w:rsidR="00626B5E" w:rsidRPr="00CA23AA">
        <w:rPr>
          <w:rFonts w:eastAsia="Times New Roman" w:cs="Times New Roman"/>
          <w:b/>
          <w:bCs/>
          <w:color w:val="000000"/>
          <w:szCs w:val="20"/>
          <w:lang w:eastAsia="en-AU"/>
        </w:rPr>
        <w:t xml:space="preserve"> </w:t>
      </w:r>
      <w:r w:rsidR="00626B5E" w:rsidRPr="00CA23AA" w:rsidDel="00B031FF">
        <w:rPr>
          <w:rFonts w:eastAsia="Times New Roman" w:cs="Times New Roman"/>
          <w:b/>
          <w:bCs/>
          <w:color w:val="000000"/>
          <w:szCs w:val="20"/>
          <w:lang w:eastAsia="en-AU"/>
        </w:rPr>
        <w:t xml:space="preserve"> </w:t>
      </w:r>
    </w:p>
    <w:p w14:paraId="3E9447DF" w14:textId="77777777"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ESC reviewed whether the updated clinical evidence supported the clinical outcomes from the original application. ESC noted the updated evidence included updated clinical trial data from the ELIANA (n=79), ENSIGN (n=64) and B2001X (n=69) studies which were all single-arm studies with small numbers of participants. ESC noted that</w:t>
      </w:r>
      <w:r w:rsidRPr="00CA23AA">
        <w:t xml:space="preserve"> </w:t>
      </w:r>
      <w:r w:rsidRPr="00CA23AA">
        <w:rPr>
          <w:rFonts w:eastAsia="Times New Roman" w:cs="Times New Roman"/>
          <w:color w:val="000000"/>
          <w:szCs w:val="20"/>
          <w:lang w:eastAsia="en-AU"/>
        </w:rPr>
        <w:t xml:space="preserve">B2001X was primarily focussed on safety but also reported effectiveness outcomes. ESC noted that outcomes in B2001X were not assessed by an independent committee and considered this may be a potential source of bias in outcome assessment. ESC considered patients in B2001X may be in a different phase of disease as it enrolled some patients who had already used blinatumomab. </w:t>
      </w:r>
    </w:p>
    <w:p w14:paraId="59961ACA" w14:textId="77777777"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The ADAR presented pooled data from ELIANA and ENSIGN to provide updated data on event free survival (EFS) and overall survival (OS). No randomised controlled trial data were available. Data from two observational studies and from the Australasian Bone Marrow Transplant Recipient Registry (ABMTRR) was also reviewed but not included in economic models. ESC noted the commentary also included analysis from observational studies that were excluded in the ADAR. ESC noted the applicant’s pre-ESC response, which stated that it did not believe the retrospective studies materially changed its clinical conclusion or reliably informed the subsequent economic and financial analyses. However, ESC considered that these data are useful and provide evidence of real-world experience of TIS treatment.</w:t>
      </w:r>
    </w:p>
    <w:p w14:paraId="6E8E9CFC" w14:textId="3316596E" w:rsidR="00F94EB1" w:rsidRPr="00CA23AA" w:rsidRDefault="00F94EB1" w:rsidP="00F94EB1">
      <w:pPr>
        <w:spacing w:before="0" w:after="240" w:line="240" w:lineRule="auto"/>
        <w:rPr>
          <w:rFonts w:eastAsia="Times New Roman" w:cs="Times New Roman"/>
          <w:color w:val="000000"/>
          <w:lang w:eastAsia="en-AU"/>
        </w:rPr>
      </w:pPr>
      <w:r w:rsidRPr="00CA23AA">
        <w:rPr>
          <w:rFonts w:eastAsia="Times New Roman" w:cs="Times New Roman"/>
          <w:color w:val="000000" w:themeColor="text1"/>
          <w:lang w:eastAsia="en-AU"/>
        </w:rPr>
        <w:t xml:space="preserve">Regarding safety, ESC noted that updated data were consistent with the previously known safety profile of TIS. Some rare side effects were noted that should be added to the registry capture (human herpesvirus 6 encephalitis, </w:t>
      </w:r>
      <w:proofErr w:type="spellStart"/>
      <w:r w:rsidRPr="00CA23AA">
        <w:rPr>
          <w:rFonts w:eastAsia="Times New Roman" w:cs="Times New Roman"/>
          <w:color w:val="000000" w:themeColor="text1"/>
          <w:lang w:eastAsia="en-AU"/>
        </w:rPr>
        <w:t>haemophagocytic</w:t>
      </w:r>
      <w:proofErr w:type="spellEnd"/>
      <w:r w:rsidRPr="00CA23AA">
        <w:rPr>
          <w:rFonts w:eastAsia="Times New Roman" w:cs="Times New Roman"/>
          <w:color w:val="000000" w:themeColor="text1"/>
          <w:lang w:eastAsia="en-AU"/>
        </w:rPr>
        <w:t xml:space="preserve"> </w:t>
      </w:r>
      <w:proofErr w:type="spellStart"/>
      <w:r w:rsidRPr="00CA23AA">
        <w:rPr>
          <w:rFonts w:eastAsia="Times New Roman" w:cs="Times New Roman"/>
          <w:color w:val="000000" w:themeColor="text1"/>
          <w:lang w:eastAsia="en-AU"/>
        </w:rPr>
        <w:t>lymphohistiocytosis</w:t>
      </w:r>
      <w:proofErr w:type="spellEnd"/>
      <w:r w:rsidRPr="00CA23AA">
        <w:rPr>
          <w:rFonts w:eastAsia="Times New Roman" w:cs="Times New Roman"/>
          <w:color w:val="000000" w:themeColor="text1"/>
          <w:lang w:eastAsia="en-AU"/>
        </w:rPr>
        <w:t xml:space="preserve">). ESC noted that the registry was incomplete as it often did not capture data on whether or not patients experienced common adverse events, with event rates of up to </w:t>
      </w:r>
      <w:r w:rsidR="00594907" w:rsidRPr="00186539">
        <w:rPr>
          <w:rFonts w:eastAsia="Times New Roman" w:cs="Times New Roman"/>
          <w:color w:val="000000" w:themeColor="text1"/>
          <w:w w:val="88"/>
          <w:shd w:val="solid" w:color="000000" w:fill="000000"/>
          <w:fitText w:val="390" w:id="-1161539071"/>
          <w:lang w:eastAsia="en-AU"/>
          <w14:textFill>
            <w14:solidFill>
              <w14:schemeClr w14:val="tx1">
                <w14:alpha w14:val="100000"/>
              </w14:schemeClr>
            </w14:solidFill>
          </w14:textFill>
        </w:rPr>
        <w:t>|||</w:t>
      </w:r>
      <w:proofErr w:type="gramStart"/>
      <w:r w:rsidR="00594907" w:rsidRPr="00186539">
        <w:rPr>
          <w:rFonts w:eastAsia="Times New Roman" w:cs="Times New Roman"/>
          <w:color w:val="000000" w:themeColor="text1"/>
          <w:spacing w:val="2"/>
          <w:w w:val="88"/>
          <w:shd w:val="solid" w:color="000000" w:fill="000000"/>
          <w:fitText w:val="390" w:id="-1161539071"/>
          <w:lang w:eastAsia="en-AU"/>
          <w14:textFill>
            <w14:solidFill>
              <w14:schemeClr w14:val="tx1">
                <w14:alpha w14:val="100000"/>
              </w14:schemeClr>
            </w14:solidFill>
          </w14:textFill>
        </w:rPr>
        <w:t>|</w:t>
      </w:r>
      <w:r w:rsidRPr="00CA23AA">
        <w:rPr>
          <w:rFonts w:eastAsia="Times New Roman" w:cs="Times New Roman"/>
          <w:color w:val="000000" w:themeColor="text1"/>
          <w:lang w:eastAsia="en-AU"/>
        </w:rPr>
        <w:t>(</w:t>
      </w:r>
      <w:proofErr w:type="gramEnd"/>
      <w:r w:rsidR="00594907" w:rsidRPr="00186539">
        <w:rPr>
          <w:color w:val="000000"/>
          <w:w w:val="86"/>
          <w:shd w:val="solid" w:color="000000" w:fill="000000"/>
          <w:fitText w:val="380" w:id="-1161539070"/>
          <w14:textFill>
            <w14:solidFill>
              <w14:srgbClr w14:val="000000">
                <w14:alpha w14:val="100000"/>
              </w14:srgbClr>
            </w14:solidFill>
          </w14:textFill>
        </w:rPr>
        <w:t>|||</w:t>
      </w:r>
      <w:r w:rsidR="00594907" w:rsidRPr="00186539">
        <w:rPr>
          <w:color w:val="000000"/>
          <w:spacing w:val="1"/>
          <w:w w:val="86"/>
          <w:shd w:val="solid" w:color="000000" w:fill="000000"/>
          <w:fitText w:val="380" w:id="-1161539070"/>
          <w14:textFill>
            <w14:solidFill>
              <w14:srgbClr w14:val="000000">
                <w14:alpha w14:val="100000"/>
              </w14:srgbClr>
            </w14:solidFill>
          </w14:textFill>
        </w:rPr>
        <w:t>|</w:t>
      </w:r>
      <w:r w:rsidRPr="00CA23AA">
        <w:rPr>
          <w:rFonts w:eastAsia="Times New Roman" w:cs="Times New Roman"/>
          <w:color w:val="000000" w:themeColor="text1"/>
          <w:lang w:eastAsia="en-AU"/>
        </w:rPr>
        <w:t xml:space="preserve">%), following infusion with TIS. </w:t>
      </w:r>
      <w:r w:rsidR="00594907" w:rsidRPr="00186539">
        <w:rPr>
          <w:rFonts w:eastAsia="Times New Roman" w:cs="Times New Roman"/>
          <w:color w:val="000000" w:themeColor="text1"/>
          <w:w w:val="88"/>
          <w:shd w:val="solid" w:color="000000" w:fill="000000"/>
          <w:fitText w:val="390" w:id="-1161539069"/>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2"/>
          <w:w w:val="88"/>
          <w:shd w:val="solid" w:color="000000" w:fill="000000"/>
          <w:fitText w:val="390" w:id="-1161539069"/>
          <w:lang w:eastAsia="en-AU"/>
          <w14:textFill>
            <w14:solidFill>
              <w14:schemeClr w14:val="tx1">
                <w14:alpha w14:val="100000"/>
              </w14:schemeClr>
            </w14:solidFill>
          </w14:textFill>
        </w:rPr>
        <w:t>|</w:t>
      </w:r>
      <w:r w:rsidR="00CA23AA" w:rsidRPr="00CA23AA">
        <w:rPr>
          <w:rFonts w:eastAsia="Times New Roman" w:cs="Times New Roman"/>
          <w:color w:val="000000" w:themeColor="text1"/>
          <w:lang w:eastAsia="en-AU"/>
        </w:rPr>
        <w:t xml:space="preserve"> </w:t>
      </w:r>
      <w:r w:rsidRPr="00CA23AA">
        <w:rPr>
          <w:rFonts w:eastAsia="Times New Roman" w:cs="Times New Roman"/>
          <w:color w:val="000000" w:themeColor="text1"/>
          <w:lang w:eastAsia="en-AU"/>
        </w:rPr>
        <w:t>following common adverse events were not completely reported (with rate of non-reporting shown): intensive care unit admission (</w:t>
      </w:r>
      <w:r w:rsidR="00594907" w:rsidRPr="00186539">
        <w:rPr>
          <w:rFonts w:eastAsia="Times New Roman" w:cs="Times New Roman"/>
          <w:color w:val="000000" w:themeColor="text1"/>
          <w:w w:val="88"/>
          <w:shd w:val="solid" w:color="000000" w:fill="000000"/>
          <w:fitText w:val="390" w:id="-1161539068"/>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2"/>
          <w:w w:val="88"/>
          <w:shd w:val="solid" w:color="000000" w:fill="000000"/>
          <w:fitText w:val="390" w:id="-1161539068"/>
          <w:lang w:eastAsia="en-AU"/>
          <w14:textFill>
            <w14:solidFill>
              <w14:schemeClr w14:val="tx1">
                <w14:alpha w14:val="100000"/>
              </w14:schemeClr>
            </w14:solidFill>
          </w14:textFill>
        </w:rPr>
        <w:t>|</w:t>
      </w:r>
      <w:r w:rsidRPr="00CA23AA">
        <w:rPr>
          <w:rFonts w:eastAsia="Times New Roman" w:cs="Times New Roman"/>
          <w:color w:val="000000" w:themeColor="text1"/>
          <w:lang w:eastAsia="en-AU"/>
        </w:rPr>
        <w:t xml:space="preserve">%), cytokine release syndrome </w:t>
      </w:r>
      <w:r w:rsidR="00CA23AA" w:rsidRPr="00CA23AA">
        <w:rPr>
          <w:rFonts w:eastAsia="Times New Roman" w:cs="Times New Roman"/>
          <w:color w:val="000000" w:themeColor="text1"/>
          <w:lang w:eastAsia="en-AU"/>
        </w:rPr>
        <w:t>(</w:t>
      </w:r>
      <w:r w:rsidR="00594907" w:rsidRPr="00186539">
        <w:rPr>
          <w:rFonts w:eastAsia="Times New Roman" w:cs="Times New Roman"/>
          <w:color w:val="000000" w:themeColor="text1"/>
          <w:w w:val="88"/>
          <w:shd w:val="solid" w:color="000000" w:fill="000000"/>
          <w:fitText w:val="390" w:id="-1161539067"/>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2"/>
          <w:w w:val="88"/>
          <w:shd w:val="solid" w:color="000000" w:fill="000000"/>
          <w:fitText w:val="390" w:id="-1161539067"/>
          <w:lang w:eastAsia="en-AU"/>
          <w14:textFill>
            <w14:solidFill>
              <w14:schemeClr w14:val="tx1">
                <w14:alpha w14:val="100000"/>
              </w14:schemeClr>
            </w14:solidFill>
          </w14:textFill>
        </w:rPr>
        <w:t>|</w:t>
      </w:r>
      <w:r w:rsidR="00CA23AA" w:rsidRPr="00CA23AA">
        <w:rPr>
          <w:rFonts w:eastAsia="Times New Roman" w:cs="Times New Roman"/>
          <w:color w:val="000000" w:themeColor="text1"/>
          <w:lang w:eastAsia="en-AU"/>
        </w:rPr>
        <w:t>%),</w:t>
      </w:r>
      <w:r w:rsidRPr="00CA23AA">
        <w:rPr>
          <w:rFonts w:eastAsia="Times New Roman" w:cs="Times New Roman"/>
          <w:color w:val="000000" w:themeColor="text1"/>
          <w:lang w:eastAsia="en-AU"/>
        </w:rPr>
        <w:t xml:space="preserve">immune effector cell–associated neurotoxicity syndrome </w:t>
      </w:r>
      <w:r w:rsidR="00CA23AA" w:rsidRPr="00CA23AA">
        <w:rPr>
          <w:rFonts w:eastAsia="Times New Roman" w:cs="Times New Roman"/>
          <w:color w:val="000000" w:themeColor="text1"/>
          <w:lang w:eastAsia="en-AU"/>
        </w:rPr>
        <w:t>(</w:t>
      </w:r>
      <w:r w:rsidR="00594907" w:rsidRPr="00186539">
        <w:rPr>
          <w:rFonts w:eastAsia="Times New Roman" w:cs="Times New Roman"/>
          <w:color w:val="000000" w:themeColor="text1"/>
          <w:w w:val="88"/>
          <w:shd w:val="solid" w:color="000000" w:fill="000000"/>
          <w:fitText w:val="390" w:id="-1161539066"/>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2"/>
          <w:w w:val="88"/>
          <w:shd w:val="solid" w:color="000000" w:fill="000000"/>
          <w:fitText w:val="390" w:id="-1161539066"/>
          <w:lang w:eastAsia="en-AU"/>
          <w14:textFill>
            <w14:solidFill>
              <w14:schemeClr w14:val="tx1">
                <w14:alpha w14:val="100000"/>
              </w14:schemeClr>
            </w14:solidFill>
          </w14:textFill>
        </w:rPr>
        <w:t>|</w:t>
      </w:r>
      <w:r w:rsidR="00CA23AA" w:rsidRPr="00CA23AA">
        <w:rPr>
          <w:rFonts w:eastAsia="Times New Roman" w:cs="Times New Roman"/>
          <w:color w:val="000000" w:themeColor="text1"/>
          <w:lang w:eastAsia="en-AU"/>
        </w:rPr>
        <w:t>%),</w:t>
      </w:r>
      <w:r w:rsidRPr="00CA23AA">
        <w:rPr>
          <w:rFonts w:eastAsia="Times New Roman" w:cs="Times New Roman"/>
          <w:color w:val="000000" w:themeColor="text1"/>
          <w:lang w:eastAsia="en-AU"/>
        </w:rPr>
        <w:t xml:space="preserve">hypogammaglobinaemia </w:t>
      </w:r>
      <w:r w:rsidR="00CA23AA" w:rsidRPr="00CA23AA">
        <w:rPr>
          <w:rFonts w:eastAsia="Times New Roman" w:cs="Times New Roman"/>
          <w:color w:val="000000" w:themeColor="text1"/>
          <w:lang w:eastAsia="en-AU"/>
        </w:rPr>
        <w:t>(</w:t>
      </w:r>
      <w:r w:rsidR="00594907" w:rsidRPr="00186539">
        <w:rPr>
          <w:rFonts w:eastAsia="Times New Roman" w:cs="Times New Roman"/>
          <w:color w:val="000000" w:themeColor="text1"/>
          <w:w w:val="86"/>
          <w:shd w:val="solid" w:color="000000" w:fill="000000"/>
          <w:fitText w:val="380" w:id="-1161539065"/>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1"/>
          <w:w w:val="86"/>
          <w:shd w:val="solid" w:color="000000" w:fill="000000"/>
          <w:fitText w:val="380" w:id="-1161539065"/>
          <w:lang w:eastAsia="en-AU"/>
          <w14:textFill>
            <w14:solidFill>
              <w14:schemeClr w14:val="tx1">
                <w14:alpha w14:val="100000"/>
              </w14:schemeClr>
            </w14:solidFill>
          </w14:textFill>
        </w:rPr>
        <w:t>|</w:t>
      </w:r>
      <w:r w:rsidR="00CA23AA" w:rsidRPr="00CA23AA">
        <w:rPr>
          <w:rFonts w:eastAsia="Times New Roman" w:cs="Times New Roman"/>
          <w:color w:val="000000" w:themeColor="text1"/>
          <w:lang w:eastAsia="en-AU"/>
        </w:rPr>
        <w:t xml:space="preserve">%), </w:t>
      </w:r>
      <w:r w:rsidRPr="00CA23AA">
        <w:rPr>
          <w:rFonts w:eastAsia="Times New Roman" w:cs="Times New Roman"/>
          <w:color w:val="000000" w:themeColor="text1"/>
          <w:lang w:eastAsia="en-AU"/>
        </w:rPr>
        <w:t>organ toxicity (</w:t>
      </w:r>
      <w:r w:rsidR="00594907" w:rsidRPr="00186539">
        <w:rPr>
          <w:rFonts w:eastAsia="Times New Roman" w:cs="Times New Roman"/>
          <w:color w:val="000000" w:themeColor="text1"/>
          <w:w w:val="86"/>
          <w:shd w:val="solid" w:color="000000" w:fill="000000"/>
          <w:fitText w:val="380" w:id="-1161539064"/>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1"/>
          <w:w w:val="86"/>
          <w:shd w:val="solid" w:color="000000" w:fill="000000"/>
          <w:fitText w:val="380" w:id="-1161539064"/>
          <w:lang w:eastAsia="en-AU"/>
          <w14:textFill>
            <w14:solidFill>
              <w14:schemeClr w14:val="tx1">
                <w14:alpha w14:val="100000"/>
              </w14:schemeClr>
            </w14:solidFill>
          </w14:textFill>
        </w:rPr>
        <w:t>|</w:t>
      </w:r>
      <w:r w:rsidRPr="00CA23AA">
        <w:rPr>
          <w:rFonts w:eastAsia="Times New Roman" w:cs="Times New Roman"/>
          <w:color w:val="000000" w:themeColor="text1"/>
          <w:lang w:eastAsia="en-AU"/>
        </w:rPr>
        <w:t>%), infection (</w:t>
      </w:r>
      <w:r w:rsidR="00594907" w:rsidRPr="00186539">
        <w:rPr>
          <w:rFonts w:eastAsia="Times New Roman" w:cs="Times New Roman"/>
          <w:color w:val="000000" w:themeColor="text1"/>
          <w:w w:val="88"/>
          <w:shd w:val="solid" w:color="000000" w:fill="000000"/>
          <w:fitText w:val="390" w:id="-1161539063"/>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2"/>
          <w:w w:val="88"/>
          <w:shd w:val="solid" w:color="000000" w:fill="000000"/>
          <w:fitText w:val="390" w:id="-1161539063"/>
          <w:lang w:eastAsia="en-AU"/>
          <w14:textFill>
            <w14:solidFill>
              <w14:schemeClr w14:val="tx1">
                <w14:alpha w14:val="100000"/>
              </w14:schemeClr>
            </w14:solidFill>
          </w14:textFill>
        </w:rPr>
        <w:t>|</w:t>
      </w:r>
      <w:r w:rsidRPr="00CA23AA">
        <w:rPr>
          <w:rFonts w:eastAsia="Times New Roman" w:cs="Times New Roman"/>
          <w:color w:val="000000" w:themeColor="text1"/>
          <w:lang w:eastAsia="en-AU"/>
        </w:rPr>
        <w:t>%), and prolonged cytopenia (</w:t>
      </w:r>
      <w:r w:rsidR="00594907" w:rsidRPr="00186539">
        <w:rPr>
          <w:rFonts w:eastAsia="Times New Roman" w:cs="Times New Roman"/>
          <w:color w:val="000000" w:themeColor="text1"/>
          <w:w w:val="88"/>
          <w:shd w:val="solid" w:color="000000" w:fill="000000"/>
          <w:fitText w:val="390" w:id="-1161539062"/>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2"/>
          <w:w w:val="88"/>
          <w:shd w:val="solid" w:color="000000" w:fill="000000"/>
          <w:fitText w:val="390" w:id="-1161539062"/>
          <w:lang w:eastAsia="en-AU"/>
          <w14:textFill>
            <w14:solidFill>
              <w14:schemeClr w14:val="tx1">
                <w14:alpha w14:val="100000"/>
              </w14:schemeClr>
            </w14:solidFill>
          </w14:textFill>
        </w:rPr>
        <w:t>|</w:t>
      </w:r>
      <w:r w:rsidRPr="00CA23AA">
        <w:rPr>
          <w:rFonts w:eastAsia="Times New Roman" w:cs="Times New Roman"/>
          <w:color w:val="000000" w:themeColor="text1"/>
          <w:lang w:eastAsia="en-AU"/>
        </w:rPr>
        <w:t xml:space="preserve">). ESC noted that safety data were only captured to 100 days in the ABMTRR. ESC noted that the registry data on intravenous immunoglobulin G (IVIg) use (used to treat </w:t>
      </w:r>
      <w:proofErr w:type="spellStart"/>
      <w:r w:rsidRPr="00CA23AA">
        <w:rPr>
          <w:rFonts w:eastAsia="Times New Roman" w:cs="Times New Roman"/>
          <w:color w:val="000000" w:themeColor="text1"/>
          <w:lang w:eastAsia="en-AU"/>
        </w:rPr>
        <w:t>hypogammaglobulinaemia</w:t>
      </w:r>
      <w:proofErr w:type="spellEnd"/>
      <w:r w:rsidRPr="00CA23AA">
        <w:rPr>
          <w:rFonts w:eastAsia="Times New Roman" w:cs="Times New Roman"/>
          <w:color w:val="000000" w:themeColor="text1"/>
          <w:lang w:eastAsia="en-AU"/>
        </w:rPr>
        <w:t>) was insufficient and so uncertainty remains regarding the use and duration of IVIg treatment</w:t>
      </w:r>
      <w:r w:rsidR="00594907" w:rsidRPr="00186539">
        <w:rPr>
          <w:rFonts w:eastAsia="Times New Roman" w:cs="Times New Roman"/>
          <w:color w:val="000000" w:themeColor="text1"/>
          <w:w w:val="88"/>
          <w:shd w:val="solid" w:color="000000" w:fill="000000"/>
          <w:fitText w:val="390" w:id="-1161539061"/>
          <w:lang w:eastAsia="en-AU"/>
          <w14:textFill>
            <w14:solidFill>
              <w14:schemeClr w14:val="tx1">
                <w14:alpha w14:val="100000"/>
              </w14:schemeClr>
            </w14:solidFill>
          </w14:textFill>
        </w:rPr>
        <w:t>|||</w:t>
      </w:r>
      <w:r w:rsidR="00594907" w:rsidRPr="00186539">
        <w:rPr>
          <w:rFonts w:eastAsia="Times New Roman" w:cs="Times New Roman"/>
          <w:color w:val="000000" w:themeColor="text1"/>
          <w:spacing w:val="2"/>
          <w:w w:val="88"/>
          <w:shd w:val="solid" w:color="000000" w:fill="000000"/>
          <w:fitText w:val="390" w:id="-1161539061"/>
          <w:lang w:eastAsia="en-AU"/>
          <w14:textFill>
            <w14:solidFill>
              <w14:schemeClr w14:val="tx1">
                <w14:alpha w14:val="100000"/>
              </w14:schemeClr>
            </w14:solidFill>
          </w14:textFill>
        </w:rPr>
        <w:t>|</w:t>
      </w:r>
      <w:r w:rsidRPr="00CA23AA">
        <w:rPr>
          <w:rFonts w:eastAsia="Times New Roman" w:cs="Times New Roman"/>
          <w:color w:val="000000" w:themeColor="text1"/>
          <w:lang w:eastAsia="en-AU"/>
        </w:rPr>
        <w:t>. The key long-term safety concern is secondary malignancies. ESC considered this should be explicitly captured in the ABMTRR, with a 15-year funded registry timeframe to ensure any events are captured.</w:t>
      </w:r>
    </w:p>
    <w:p w14:paraId="70295512" w14:textId="77777777"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Regarding effectiveness, ESC noted that the applicant claimed the updated data from the ENSIGN and ELIANA trials supported the longer-term efficacy for TIS in </w:t>
      </w:r>
      <w:proofErr w:type="spellStart"/>
      <w:r w:rsidRPr="00CA23AA">
        <w:rPr>
          <w:rFonts w:eastAsia="Times New Roman" w:cs="Times New Roman"/>
          <w:color w:val="000000"/>
          <w:szCs w:val="20"/>
          <w:lang w:eastAsia="en-AU"/>
        </w:rPr>
        <w:t>pALL</w:t>
      </w:r>
      <w:proofErr w:type="spellEnd"/>
      <w:r w:rsidRPr="00CA23AA">
        <w:rPr>
          <w:rFonts w:eastAsia="Times New Roman" w:cs="Times New Roman"/>
          <w:color w:val="000000"/>
          <w:szCs w:val="20"/>
          <w:lang w:eastAsia="en-AU"/>
        </w:rPr>
        <w:t>, demonstrated by sustained duration of response, EFS and OS with a median follow up of up to 46 months. However, ESC noted that the median follow-up for EFS was less than 12 months for the ELIANA</w:t>
      </w:r>
      <w:r w:rsidRPr="00CA23AA">
        <w:rPr>
          <w:rStyle w:val="CommentReference"/>
          <w:rFonts w:ascii="Calibri" w:eastAsia="Times New Roman" w:hAnsi="Calibri" w:cs="Times New Roman"/>
          <w:color w:val="000000"/>
          <w:lang w:eastAsia="en-AU"/>
        </w:rPr>
        <w:t xml:space="preserve">, </w:t>
      </w:r>
      <w:r w:rsidRPr="00CA23AA">
        <w:rPr>
          <w:rFonts w:eastAsia="Times New Roman" w:cs="Times New Roman"/>
          <w:color w:val="000000"/>
          <w:szCs w:val="20"/>
          <w:lang w:eastAsia="en-AU"/>
        </w:rPr>
        <w:t xml:space="preserve">ENSIGN trials, and B2001X studies. ESC considered the estimates of EFS after 9 months (median follow-up) in the ELIANA trial were unreliable as they were informed by small patient numbers due to significant loss to follow up. In the ENSIGN study, only 4/64 patients completed 12 months as per protocol, and the sponsor terminated the study in 2019. The estimated EFS from the pooled ELIANA and ENSIGN studies was 48% at 12 months compared with 44% in the original ADAR (for the intention-to-treat population). </w:t>
      </w:r>
    </w:p>
    <w:p w14:paraId="7CB19889" w14:textId="4D803FC2"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In the ELIANA study, 42% of patients had died by September 2021. In the ENSIGN study, 47% of patients had died at study termination (median 15-month follow up for OS).  Previously, 12-month overall survival was estimated to be 71.0% (95%CI: 61.8, 78.4) pooled analysis of results from the ELIANA/ENSIGN studies. ESC noted that MSAC had supported funding for a single treatment of TIS on the basis that there was a large unmet clinical need for a small group of patients and the preliminary supportive evidence of a clinically important treatment effect. ESC noted that although TIS has been considered a potentially curative treatment, ESC considered that these outcomes were not consistent with a treatment that is curative for many patients. Overall, b</w:t>
      </w:r>
      <w:r w:rsidRPr="00CA23AA" w:rsidDel="00DD7867">
        <w:rPr>
          <w:rFonts w:eastAsia="Times New Roman" w:cs="Times New Roman"/>
          <w:color w:val="000000"/>
          <w:szCs w:val="20"/>
          <w:lang w:eastAsia="en-AU"/>
        </w:rPr>
        <w:t xml:space="preserve">ased on </w:t>
      </w:r>
      <w:r w:rsidRPr="00CA23AA">
        <w:rPr>
          <w:rFonts w:eastAsia="Times New Roman" w:cs="Times New Roman"/>
          <w:color w:val="000000"/>
          <w:szCs w:val="20"/>
          <w:lang w:eastAsia="en-AU"/>
        </w:rPr>
        <w:t xml:space="preserve">the available </w:t>
      </w:r>
      <w:r w:rsidRPr="00CA23AA" w:rsidDel="00DD7867">
        <w:rPr>
          <w:rFonts w:eastAsia="Times New Roman" w:cs="Times New Roman"/>
          <w:color w:val="000000"/>
          <w:szCs w:val="20"/>
          <w:lang w:eastAsia="en-AU"/>
        </w:rPr>
        <w:t xml:space="preserve">updated clinical </w:t>
      </w:r>
      <w:r w:rsidRPr="00CA23AA">
        <w:rPr>
          <w:rFonts w:eastAsia="Times New Roman" w:cs="Times New Roman"/>
          <w:color w:val="000000"/>
          <w:szCs w:val="20"/>
          <w:lang w:eastAsia="en-AU"/>
        </w:rPr>
        <w:t>evidence</w:t>
      </w:r>
      <w:r w:rsidRPr="00CA23AA" w:rsidDel="00DD7867">
        <w:rPr>
          <w:rFonts w:eastAsia="Times New Roman" w:cs="Times New Roman"/>
          <w:color w:val="000000"/>
          <w:szCs w:val="20"/>
          <w:lang w:eastAsia="en-AU"/>
        </w:rPr>
        <w:t xml:space="preserve">, ESC considered that EFS data remain short-term and there is little new clinical trial evidence to </w:t>
      </w:r>
      <w:r w:rsidRPr="00CA23AA">
        <w:rPr>
          <w:rFonts w:eastAsia="Times New Roman" w:cs="Times New Roman"/>
          <w:color w:val="000000"/>
          <w:szCs w:val="20"/>
          <w:lang w:eastAsia="en-AU"/>
        </w:rPr>
        <w:t>increase</w:t>
      </w:r>
      <w:r w:rsidRPr="00CA23AA" w:rsidDel="00DD7867">
        <w:rPr>
          <w:rFonts w:eastAsia="Times New Roman" w:cs="Times New Roman"/>
          <w:color w:val="000000"/>
          <w:szCs w:val="20"/>
          <w:lang w:eastAsia="en-AU"/>
        </w:rPr>
        <w:t xml:space="preserve"> MSAC’s confidence</w:t>
      </w:r>
      <w:r w:rsidRPr="00CA23AA">
        <w:rPr>
          <w:rFonts w:eastAsia="Times New Roman" w:cs="Times New Roman"/>
          <w:color w:val="000000"/>
          <w:szCs w:val="20"/>
          <w:lang w:eastAsia="en-AU"/>
        </w:rPr>
        <w:t xml:space="preserve"> that TIS offers</w:t>
      </w:r>
      <w:r w:rsidRPr="00CA23AA" w:rsidDel="00DD7867">
        <w:rPr>
          <w:rFonts w:eastAsia="Times New Roman" w:cs="Times New Roman"/>
          <w:color w:val="000000"/>
          <w:szCs w:val="20"/>
          <w:lang w:eastAsia="en-AU"/>
        </w:rPr>
        <w:t xml:space="preserve"> a durable long-term response.</w:t>
      </w:r>
      <w:r w:rsidRPr="00CA23AA">
        <w:rPr>
          <w:rFonts w:eastAsia="Times New Roman" w:cs="Times New Roman"/>
          <w:color w:val="000000"/>
          <w:szCs w:val="20"/>
          <w:lang w:eastAsia="en-AU"/>
        </w:rPr>
        <w:t xml:space="preserve"> Overall, ESC considered that substantial uncertainty remains regarding the longer-term outcomes (beyond 1 year) from TIS</w:t>
      </w:r>
      <w:r w:rsidR="00594907" w:rsidRPr="00186539">
        <w:rPr>
          <w:rFonts w:eastAsia="Times New Roman" w:cs="Times New Roman"/>
          <w:color w:val="000000"/>
          <w:w w:val="88"/>
          <w:szCs w:val="20"/>
          <w:shd w:val="solid" w:color="000000" w:fill="000000"/>
          <w:fitText w:val="390" w:id="-1161539060"/>
          <w:lang w:eastAsia="en-AU"/>
          <w14:textFill>
            <w14:solidFill>
              <w14:srgbClr w14:val="000000">
                <w14:alpha w14:val="100000"/>
              </w14:srgbClr>
            </w14:solidFill>
          </w14:textFill>
        </w:rPr>
        <w:t>|||</w:t>
      </w:r>
      <w:r w:rsidR="00594907" w:rsidRPr="00186539">
        <w:rPr>
          <w:rFonts w:eastAsia="Times New Roman" w:cs="Times New Roman"/>
          <w:color w:val="000000"/>
          <w:spacing w:val="2"/>
          <w:w w:val="88"/>
          <w:szCs w:val="20"/>
          <w:shd w:val="solid" w:color="000000" w:fill="000000"/>
          <w:fitText w:val="390" w:id="-1161539060"/>
          <w:lang w:eastAsia="en-AU"/>
          <w14:textFill>
            <w14:solidFill>
              <w14:srgbClr w14:val="000000">
                <w14:alpha w14:val="100000"/>
              </w14:srgbClr>
            </w14:solidFill>
          </w14:textFill>
        </w:rPr>
        <w:t>|</w:t>
      </w:r>
      <w:r w:rsidRPr="00CA23AA">
        <w:rPr>
          <w:rFonts w:eastAsia="Times New Roman" w:cs="Times New Roman"/>
          <w:color w:val="000000"/>
          <w:szCs w:val="20"/>
          <w:lang w:eastAsia="en-AU"/>
        </w:rPr>
        <w:t>.</w:t>
      </w:r>
    </w:p>
    <w:p w14:paraId="4435A97E" w14:textId="7D6A1779"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noted that in the models for EFS and OS based on the ELIANA and ENSIGN studies, patients were censored if they had an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and there is no information for this group of patients. ESC considered this was problematic as there is no data available to inform whether treatment with TIS contributes to patients achieving better outcomes after receiving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ESC considered that the decision to undergo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after TIS may be informed by clinical and patient preference and may not only be offered to patients who have relapsed following infusion with TIS. It appears that TIS is being used as consolidating treatment in practice, facilitating patients to subsequently undergo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ESC considered that registry data on the number of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performed following infusion with TIS are incomplete – </w:t>
      </w:r>
      <w:r w:rsidR="00594907" w:rsidRPr="00186539">
        <w:rPr>
          <w:rFonts w:eastAsia="Times New Roman" w:cs="Times New Roman"/>
          <w:color w:val="000000"/>
          <w:w w:val="88"/>
          <w:szCs w:val="20"/>
          <w:shd w:val="solid" w:color="000000" w:fill="000000"/>
          <w:fitText w:val="390" w:id="-1161539059"/>
          <w:lang w:eastAsia="en-AU"/>
          <w14:textFill>
            <w14:solidFill>
              <w14:srgbClr w14:val="000000">
                <w14:alpha w14:val="100000"/>
              </w14:srgbClr>
            </w14:solidFill>
          </w14:textFill>
        </w:rPr>
        <w:t>|||</w:t>
      </w:r>
      <w:r w:rsidR="00594907" w:rsidRPr="00186539">
        <w:rPr>
          <w:rFonts w:eastAsia="Times New Roman" w:cs="Times New Roman"/>
          <w:color w:val="000000"/>
          <w:spacing w:val="2"/>
          <w:w w:val="88"/>
          <w:szCs w:val="20"/>
          <w:shd w:val="solid" w:color="000000" w:fill="000000"/>
          <w:fitText w:val="390" w:id="-1161539059"/>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patients subsequently underwent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w:t>
      </w:r>
      <w:r w:rsidR="00594907" w:rsidRPr="00186539">
        <w:rPr>
          <w:rFonts w:eastAsia="Times New Roman" w:cs="Times New Roman"/>
          <w:color w:val="000000"/>
          <w:w w:val="88"/>
          <w:szCs w:val="20"/>
          <w:shd w:val="solid" w:color="000000" w:fill="000000"/>
          <w:fitText w:val="390" w:id="-1161538816"/>
          <w:lang w:eastAsia="en-AU"/>
          <w14:textFill>
            <w14:solidFill>
              <w14:srgbClr w14:val="000000">
                <w14:alpha w14:val="100000"/>
              </w14:srgbClr>
            </w14:solidFill>
          </w14:textFill>
        </w:rPr>
        <w:t>|||</w:t>
      </w:r>
      <w:r w:rsidR="00594907" w:rsidRPr="00186539">
        <w:rPr>
          <w:rFonts w:eastAsia="Times New Roman" w:cs="Times New Roman"/>
          <w:color w:val="000000"/>
          <w:spacing w:val="2"/>
          <w:w w:val="88"/>
          <w:szCs w:val="20"/>
          <w:shd w:val="solid" w:color="000000" w:fill="000000"/>
          <w:fitText w:val="390" w:id="-1161538816"/>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Data provided by the states suggest that approximately 31% of patents will have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after TIS treatment (compared with 19% as previously modelled in the 1519 ADAR). ESC considered that there is an increasing recognition that there are sub-groups of patients, most notably those with early loss of B cell aplasia who may benefit from a consolidative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if eligible. ESC considered that it is unclear whether TIS should be reimbursed at the same price when used as a bridge to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(by achieving higher rates of MRD-negative remission) as the treatment effect is derived from both TIS and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w:t>
      </w:r>
    </w:p>
    <w:p w14:paraId="59B42C00" w14:textId="77777777"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considered the cost-effectiveness as estimated in the original application to be uncertain. ESC noted the ADAR had updated the previous economic model to incorporate updated clinical evidence for TIS. ESC noted that EFS and OS data were extrapolated and that estimates on the tails of the Kaplan-Meier curves are highly uncertain due to small numbers and censoring. There is limited observed (as opposed to extrapolated) data for TIS after 12 months. ESC noted the commentary had revised the cure assumption (applied at 5 years) in the economic </w:t>
      </w:r>
      <w:proofErr w:type="gramStart"/>
      <w:r w:rsidRPr="00CA23AA">
        <w:rPr>
          <w:rFonts w:eastAsia="Times New Roman" w:cs="Times New Roman"/>
          <w:color w:val="000000"/>
          <w:szCs w:val="20"/>
          <w:lang w:eastAsia="en-AU"/>
        </w:rPr>
        <w:t>model</w:t>
      </w:r>
      <w:proofErr w:type="gramEnd"/>
      <w:r w:rsidRPr="00CA23AA">
        <w:rPr>
          <w:rFonts w:eastAsia="Times New Roman" w:cs="Times New Roman"/>
          <w:color w:val="000000"/>
          <w:szCs w:val="20"/>
          <w:lang w:eastAsia="en-AU"/>
        </w:rPr>
        <w:t xml:space="preserve"> so it does not assume patients with progressive disease have been cured. ESC accepted the revisions which were also accepted by the applicant in the pre-ESC response. However, the pre-ESC response considered the previous model was acceptable as it did not assume a complete cure. </w:t>
      </w:r>
    </w:p>
    <w:p w14:paraId="7008E50C" w14:textId="77777777"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ESC noted the clinical evidence for blinatumomab was unchanged, however additional evidence has since been published</w:t>
      </w:r>
      <w:r w:rsidRPr="00CA23AA">
        <w:rPr>
          <w:rStyle w:val="FootnoteReference"/>
          <w:rFonts w:eastAsia="Times New Roman" w:cs="Times New Roman"/>
          <w:color w:val="000000"/>
          <w:szCs w:val="20"/>
          <w:lang w:eastAsia="en-AU"/>
        </w:rPr>
        <w:footnoteReference w:id="26"/>
      </w:r>
      <w:r w:rsidRPr="00CA23AA">
        <w:rPr>
          <w:rFonts w:eastAsia="Times New Roman" w:cs="Times New Roman"/>
          <w:color w:val="000000"/>
          <w:szCs w:val="20"/>
          <w:vertAlign w:val="superscript"/>
          <w:lang w:eastAsia="en-AU"/>
        </w:rPr>
        <w:t>,</w:t>
      </w:r>
      <w:r w:rsidRPr="00CA23AA">
        <w:rPr>
          <w:rStyle w:val="FootnoteReference"/>
          <w:rFonts w:eastAsia="Times New Roman" w:cs="Times New Roman"/>
          <w:color w:val="000000"/>
          <w:szCs w:val="20"/>
          <w:lang w:eastAsia="en-AU"/>
        </w:rPr>
        <w:footnoteReference w:id="27"/>
      </w:r>
      <w:r w:rsidRPr="00CA23AA">
        <w:rPr>
          <w:rFonts w:eastAsia="Times New Roman" w:cs="Times New Roman"/>
          <w:color w:val="000000"/>
          <w:szCs w:val="20"/>
          <w:lang w:eastAsia="en-AU"/>
        </w:rPr>
        <w:t xml:space="preserve">, including observational data from Australian patients. ESC considered the lack of updated data for the comparator is major limitation as the data for the comparator is no longer informed by contemporaneous evidence. ESC considered the lack of updated data for the blinatumomab to also be a major limitation in the economic model. ESC noted the proportion of patients alive in the comparator arm decreased rapidly. ESC considered that this may underestimate the effectiveness of blinatumomab as it was informed by older trials with sicker patients. </w:t>
      </w:r>
    </w:p>
    <w:p w14:paraId="2047F087" w14:textId="7E25FE71"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ESC noted that MSAC’s recommendation was based on an incremental cost-effectiveness ratio (ICER) of $</w:t>
      </w:r>
      <w:r w:rsidR="00594907" w:rsidRPr="00594907">
        <w:rPr>
          <w:rFonts w:eastAsia="Times New Roman" w:cs="Times New Roman"/>
          <w:color w:val="000000"/>
          <w:w w:val="86"/>
          <w:szCs w:val="20"/>
          <w:shd w:val="solid" w:color="000000" w:fill="000000"/>
          <w:fitText w:val="380" w:id="-1161538815"/>
          <w:lang w:eastAsia="en-AU"/>
          <w14:textFill>
            <w14:solidFill>
              <w14:srgbClr w14:val="000000">
                <w14:alpha w14:val="100000"/>
              </w14:srgbClr>
            </w14:solidFill>
          </w14:textFill>
        </w:rPr>
        <w:t>|||</w:t>
      </w:r>
      <w:r w:rsidR="00594907" w:rsidRPr="00594907">
        <w:rPr>
          <w:rFonts w:eastAsia="Times New Roman" w:cs="Times New Roman"/>
          <w:color w:val="000000"/>
          <w:spacing w:val="1"/>
          <w:w w:val="86"/>
          <w:szCs w:val="20"/>
          <w:shd w:val="solid" w:color="000000" w:fill="000000"/>
          <w:fitText w:val="380" w:id="-1161538815"/>
          <w:lang w:eastAsia="en-AU"/>
          <w14:textFill>
            <w14:solidFill>
              <w14:srgbClr w14:val="000000">
                <w14:alpha w14:val="100000"/>
              </w14:srgbClr>
            </w14:solidFill>
          </w14:textFill>
        </w:rPr>
        <w:t>|</w:t>
      </w:r>
      <w:r w:rsidRPr="00CA23AA">
        <w:rPr>
          <w:rFonts w:eastAsia="Times New Roman" w:cs="Times New Roman"/>
          <w:color w:val="000000"/>
          <w:szCs w:val="20"/>
          <w:lang w:eastAsia="en-AU"/>
        </w:rPr>
        <w:t>. A model using updated cost data and applying technical corrections found the updated ICER to be $</w:t>
      </w:r>
      <w:r w:rsidR="00594907" w:rsidRPr="00594907">
        <w:rPr>
          <w:rFonts w:eastAsia="Times New Roman" w:cs="Times New Roman"/>
          <w:color w:val="000000"/>
          <w:w w:val="88"/>
          <w:szCs w:val="20"/>
          <w:shd w:val="solid" w:color="000000" w:fill="000000"/>
          <w:fitText w:val="390" w:id="-1161538814"/>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14"/>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ESC considered that the economic model likely overestimated the benefits of TIS and underestimated the benefits from the comparator. </w:t>
      </w:r>
    </w:p>
    <w:p w14:paraId="02E32591" w14:textId="6B910FB6"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agreed with the commentary revision to increase the proportion of patients undergoing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(to 31%) as this better reflected Australian clinical practice. ESC noted the updated economic model decreased the proportion of IVIg use to </w:t>
      </w:r>
      <w:r w:rsidR="00594907" w:rsidRPr="00594907">
        <w:rPr>
          <w:rFonts w:eastAsia="Times New Roman" w:cs="Times New Roman"/>
          <w:color w:val="000000"/>
          <w:w w:val="86"/>
          <w:szCs w:val="20"/>
          <w:shd w:val="solid" w:color="000000" w:fill="000000"/>
          <w:fitText w:val="380" w:id="-1161538813"/>
          <w:lang w:eastAsia="en-AU"/>
          <w14:textFill>
            <w14:solidFill>
              <w14:srgbClr w14:val="000000">
                <w14:alpha w14:val="100000"/>
              </w14:srgbClr>
            </w14:solidFill>
          </w14:textFill>
        </w:rPr>
        <w:t>|||</w:t>
      </w:r>
      <w:r w:rsidR="00594907" w:rsidRPr="00594907">
        <w:rPr>
          <w:rFonts w:eastAsia="Times New Roman" w:cs="Times New Roman"/>
          <w:color w:val="000000"/>
          <w:spacing w:val="1"/>
          <w:w w:val="86"/>
          <w:szCs w:val="20"/>
          <w:shd w:val="solid" w:color="000000" w:fill="000000"/>
          <w:fitText w:val="380" w:id="-1161538813"/>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for 3 years (previous </w:t>
      </w:r>
      <w:r w:rsidR="00ED7C00" w:rsidRPr="00CA23AA">
        <w:rPr>
          <w:rFonts w:eastAsia="Times New Roman" w:cs="Times New Roman"/>
          <w:color w:val="000000"/>
          <w:szCs w:val="20"/>
          <w:lang w:eastAsia="en-AU"/>
        </w:rPr>
        <w:t>submission</w:t>
      </w:r>
      <w:r w:rsidRPr="00CA23AA">
        <w:rPr>
          <w:rFonts w:eastAsia="Times New Roman" w:cs="Times New Roman"/>
          <w:color w:val="000000"/>
          <w:szCs w:val="20"/>
          <w:lang w:eastAsia="en-AU"/>
        </w:rPr>
        <w:t xml:space="preserve"> assumed 88% for 3 years) and considered the duration of use may be underestimated. ESC noted the updated economic model increased tocilizumab use to </w:t>
      </w:r>
      <w:r w:rsidR="00594907" w:rsidRPr="00594907">
        <w:rPr>
          <w:rFonts w:eastAsia="Times New Roman" w:cs="Times New Roman"/>
          <w:color w:val="000000"/>
          <w:w w:val="86"/>
          <w:szCs w:val="20"/>
          <w:shd w:val="solid" w:color="000000" w:fill="000000"/>
          <w:fitText w:val="380" w:id="-1161538812"/>
          <w:lang w:eastAsia="en-AU"/>
          <w14:textFill>
            <w14:solidFill>
              <w14:srgbClr w14:val="000000">
                <w14:alpha w14:val="100000"/>
              </w14:srgbClr>
            </w14:solidFill>
          </w14:textFill>
        </w:rPr>
        <w:t>|||</w:t>
      </w:r>
      <w:r w:rsidR="00594907" w:rsidRPr="00594907">
        <w:rPr>
          <w:rFonts w:eastAsia="Times New Roman" w:cs="Times New Roman"/>
          <w:color w:val="000000"/>
          <w:spacing w:val="1"/>
          <w:w w:val="86"/>
          <w:szCs w:val="20"/>
          <w:shd w:val="solid" w:color="000000" w:fill="000000"/>
          <w:fitText w:val="380" w:id="-1161538812"/>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(previously 5.7%) and decreased intensive care unit (ICU) admission for cytokine release syndrome to </w:t>
      </w:r>
      <w:r w:rsidR="00594907" w:rsidRPr="00594907">
        <w:rPr>
          <w:rFonts w:eastAsia="Times New Roman" w:cs="Times New Roman"/>
          <w:color w:val="000000"/>
          <w:w w:val="86"/>
          <w:szCs w:val="20"/>
          <w:shd w:val="solid" w:color="000000" w:fill="000000"/>
          <w:fitText w:val="380" w:id="-1161538811"/>
          <w:lang w:eastAsia="en-AU"/>
          <w14:textFill>
            <w14:solidFill>
              <w14:srgbClr w14:val="000000">
                <w14:alpha w14:val="100000"/>
              </w14:srgbClr>
            </w14:solidFill>
          </w14:textFill>
        </w:rPr>
        <w:t>|||</w:t>
      </w:r>
      <w:r w:rsidR="00594907" w:rsidRPr="00594907">
        <w:rPr>
          <w:rFonts w:eastAsia="Times New Roman" w:cs="Times New Roman"/>
          <w:color w:val="000000"/>
          <w:spacing w:val="1"/>
          <w:w w:val="86"/>
          <w:szCs w:val="20"/>
          <w:shd w:val="solid" w:color="000000" w:fill="000000"/>
          <w:fitText w:val="380" w:id="-1161538811"/>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(previously 48.1%). </w:t>
      </w:r>
    </w:p>
    <w:p w14:paraId="5F24D9D4" w14:textId="2C3C38C2"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noted that data from the states and territories show that the actual costs associated with providing TIS treatment for patients in Australia (called ancillary and adjunctive costs) are substantially higher than both the estimates in the initial submission and the updated model used in the review. Submissions from the states and territories identified high staff and resource requirements for apheresis, TIS infusion, adverse event monitoring and treatment, additional hospital admission, subsequent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and/or additional cancer treatments, and outpatient care for ongoing management. The original estimate was that costs per TIS treatment would be $</w:t>
      </w:r>
      <w:r w:rsidR="00594907" w:rsidRPr="00594907">
        <w:rPr>
          <w:rFonts w:eastAsia="Times New Roman" w:cs="Times New Roman"/>
          <w:color w:val="000000"/>
          <w:w w:val="88"/>
          <w:szCs w:val="20"/>
          <w:shd w:val="solid" w:color="000000" w:fill="000000"/>
          <w:fitText w:val="390" w:id="-1161538810"/>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10"/>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per patient. The average cost of providing TIS in New South Wales and </w:t>
      </w:r>
      <w:r w:rsidR="00594907" w:rsidRPr="00594907">
        <w:rPr>
          <w:rFonts w:eastAsia="Times New Roman" w:cs="Times New Roman"/>
          <w:color w:val="000000"/>
          <w:w w:val="88"/>
          <w:szCs w:val="20"/>
          <w:shd w:val="solid" w:color="000000" w:fill="000000"/>
          <w:fitText w:val="390" w:id="-1161538809"/>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9"/>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was approximately $</w:t>
      </w:r>
      <w:r w:rsidR="00594907" w:rsidRPr="00594907">
        <w:rPr>
          <w:rFonts w:eastAsia="Times New Roman" w:cs="Times New Roman"/>
          <w:color w:val="000000"/>
          <w:w w:val="88"/>
          <w:szCs w:val="20"/>
          <w:shd w:val="solid" w:color="000000" w:fill="000000"/>
          <w:fitText w:val="390" w:id="-1161538808"/>
          <w:lang w:eastAsia="en-AU"/>
          <w14:textFill>
            <w14:solidFill>
              <w14:srgbClr w14:val="000000">
                <w14:alpha w14:val="100000"/>
              </w14:srgbClr>
            </w14:solidFill>
          </w14:textFill>
        </w:rPr>
        <w:t>|||</w:t>
      </w:r>
      <w:proofErr w:type="gramStart"/>
      <w:r w:rsidR="00594907" w:rsidRPr="00594907">
        <w:rPr>
          <w:rFonts w:eastAsia="Times New Roman" w:cs="Times New Roman"/>
          <w:color w:val="000000"/>
          <w:spacing w:val="2"/>
          <w:w w:val="88"/>
          <w:szCs w:val="20"/>
          <w:shd w:val="solid" w:color="000000" w:fill="000000"/>
          <w:fitText w:val="390" w:id="-1161538808"/>
          <w:lang w:eastAsia="en-AU"/>
          <w14:textFill>
            <w14:solidFill>
              <w14:srgbClr w14:val="000000">
                <w14:alpha w14:val="100000"/>
              </w14:srgbClr>
            </w14:solidFill>
          </w14:textFill>
        </w:rPr>
        <w:t>|</w:t>
      </w:r>
      <w:r w:rsidRPr="00CA23AA">
        <w:rPr>
          <w:rFonts w:eastAsia="Times New Roman" w:cs="Times New Roman"/>
          <w:color w:val="000000"/>
          <w:szCs w:val="20"/>
          <w:lang w:eastAsia="en-AU"/>
        </w:rPr>
        <w:t>(</w:t>
      </w:r>
      <w:proofErr w:type="gramEnd"/>
      <w:r w:rsidRPr="00CA23AA">
        <w:rPr>
          <w:rFonts w:eastAsia="Times New Roman" w:cs="Times New Roman"/>
          <w:color w:val="000000"/>
          <w:szCs w:val="20"/>
          <w:lang w:eastAsia="en-AU"/>
        </w:rPr>
        <w:t>range $</w:t>
      </w:r>
      <w:r w:rsidR="00594907" w:rsidRPr="00594907">
        <w:rPr>
          <w:rFonts w:eastAsia="Times New Roman" w:cs="Times New Roman"/>
          <w:color w:val="000000"/>
          <w:w w:val="88"/>
          <w:szCs w:val="20"/>
          <w:shd w:val="solid" w:color="000000" w:fill="000000"/>
          <w:fitText w:val="390" w:id="-1161538807"/>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7"/>
          <w:lang w:eastAsia="en-AU"/>
          <w14:textFill>
            <w14:solidFill>
              <w14:srgbClr w14:val="000000">
                <w14:alpha w14:val="100000"/>
              </w14:srgbClr>
            </w14:solidFill>
          </w14:textFill>
        </w:rPr>
        <w:t>|</w:t>
      </w:r>
      <w:r w:rsidRPr="00CA23AA">
        <w:rPr>
          <w:rFonts w:eastAsia="Times New Roman" w:cs="Times New Roman"/>
          <w:color w:val="000000"/>
          <w:szCs w:val="20"/>
          <w:lang w:eastAsia="en-AU"/>
        </w:rPr>
        <w:t>to $</w:t>
      </w:r>
      <w:r w:rsidR="00594907" w:rsidRPr="00594907">
        <w:rPr>
          <w:rFonts w:eastAsia="Times New Roman" w:cs="Times New Roman"/>
          <w:color w:val="000000"/>
          <w:w w:val="88"/>
          <w:szCs w:val="20"/>
          <w:shd w:val="solid" w:color="000000" w:fill="000000"/>
          <w:fitText w:val="390" w:id="-1161538806"/>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6"/>
          <w:lang w:eastAsia="en-AU"/>
          <w14:textFill>
            <w14:solidFill>
              <w14:srgbClr w14:val="000000">
                <w14:alpha w14:val="100000"/>
              </w14:srgbClr>
            </w14:solidFill>
          </w14:textFill>
        </w:rPr>
        <w:t>|</w:t>
      </w:r>
      <w:r w:rsidRPr="00CA23AA">
        <w:rPr>
          <w:rFonts w:eastAsia="Times New Roman" w:cs="Times New Roman"/>
          <w:color w:val="000000"/>
          <w:szCs w:val="20"/>
          <w:lang w:eastAsia="en-AU"/>
        </w:rPr>
        <w:t>, including TIS) per patient. Data from Queensland also supported this figure. The ICER increased substantially (&gt;$</w:t>
      </w:r>
      <w:r w:rsidR="00594907" w:rsidRPr="00594907">
        <w:rPr>
          <w:rFonts w:eastAsia="Times New Roman" w:cs="Times New Roman"/>
          <w:color w:val="000000"/>
          <w:w w:val="86"/>
          <w:szCs w:val="20"/>
          <w:shd w:val="solid" w:color="000000" w:fill="000000"/>
          <w:fitText w:val="380" w:id="-1161538805"/>
          <w:lang w:eastAsia="en-AU"/>
          <w14:textFill>
            <w14:solidFill>
              <w14:srgbClr w14:val="000000">
                <w14:alpha w14:val="100000"/>
              </w14:srgbClr>
            </w14:solidFill>
          </w14:textFill>
        </w:rPr>
        <w:t>|||</w:t>
      </w:r>
      <w:r w:rsidR="00594907" w:rsidRPr="00594907">
        <w:rPr>
          <w:rFonts w:eastAsia="Times New Roman" w:cs="Times New Roman"/>
          <w:color w:val="000000"/>
          <w:spacing w:val="1"/>
          <w:w w:val="86"/>
          <w:szCs w:val="20"/>
          <w:shd w:val="solid" w:color="000000" w:fill="000000"/>
          <w:fitText w:val="380" w:id="-1161538805"/>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/QALY) when the higher costs provided by the states and territories were applied ($457,656 per infused patient excluding TIS cost). ESC considered that although these represent real-world costs, the costs are non-comparative and the costs associated with the comparator may also be higher as raised by the applicant in the pre-ESC response. ESC considered that comparator costs should be updated in reviews of this kind. States and territories also reflected the requirement for real-time access to the data captured by the ABMTRR to assist with costing and resource allocation and were supportive of continuing to collect data for surveillance of long-term safety and efficacy to 15 years. </w:t>
      </w:r>
    </w:p>
    <w:p w14:paraId="23C59607" w14:textId="3B6607E3"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noted the applicant’s claim that observational data from the Centre for International Blood and Marrow Transplant Research and ABMTRR supported the efficacy and safety of TIS in clinical practice. ESC considered this claim was not adequately supported by the data captured in the ABMTRR. ABMTRR data varied from the data in reports received from the states and territories, indicating the extent of the incomplete registry data. ESC considered the ABMTRR data capture to be incomplete, delayed or missing in many instances. In its current state, ESC did not consider the data currently captured by the ABMTRR was adequately reporting the minimum data requested by MSAC (MSAC 1519 Public Summary Document, </w:t>
      </w:r>
      <w:proofErr w:type="spellStart"/>
      <w:r w:rsidRPr="00CA23AA">
        <w:rPr>
          <w:rFonts w:eastAsia="Times New Roman" w:cs="Times New Roman"/>
          <w:color w:val="000000"/>
          <w:szCs w:val="20"/>
          <w:lang w:eastAsia="en-AU"/>
        </w:rPr>
        <w:t>pg</w:t>
      </w:r>
      <w:proofErr w:type="spellEnd"/>
      <w:r w:rsidRPr="00CA23AA">
        <w:rPr>
          <w:rFonts w:eastAsia="Times New Roman" w:cs="Times New Roman"/>
          <w:color w:val="000000"/>
          <w:szCs w:val="20"/>
          <w:lang w:eastAsia="en-AU"/>
        </w:rPr>
        <w:t xml:space="preserve"> 6). ESC noted that only 62% of patients had efficacy data reported at 12 months which was confounded given 35% of patients were in remission at the time of infusion with TIS and multiple therapies including </w:t>
      </w:r>
      <w:proofErr w:type="spellStart"/>
      <w:r w:rsidRPr="00CA23AA">
        <w:rPr>
          <w:rFonts w:eastAsia="Times New Roman" w:cs="Times New Roman"/>
          <w:color w:val="000000"/>
          <w:szCs w:val="20"/>
          <w:lang w:eastAsia="en-AU"/>
        </w:rPr>
        <w:t>aHSCT</w:t>
      </w:r>
      <w:proofErr w:type="spellEnd"/>
      <w:r w:rsidRPr="00CA23AA">
        <w:rPr>
          <w:rFonts w:eastAsia="Times New Roman" w:cs="Times New Roman"/>
          <w:color w:val="000000"/>
          <w:szCs w:val="20"/>
          <w:lang w:eastAsia="en-AU"/>
        </w:rPr>
        <w:t xml:space="preserve"> were performed in the same time frame; safety data was only recorded to 100 days; and quality of life data was inadequate with </w:t>
      </w:r>
      <w:r w:rsidR="00594907" w:rsidRPr="00594907">
        <w:rPr>
          <w:rFonts w:eastAsia="Times New Roman" w:cs="Times New Roman"/>
          <w:color w:val="000000"/>
          <w:w w:val="88"/>
          <w:szCs w:val="20"/>
          <w:shd w:val="solid" w:color="000000" w:fill="000000"/>
          <w:fitText w:val="390" w:id="-1161538804"/>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4"/>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available at baseline and only </w:t>
      </w:r>
      <w:r w:rsidR="00594907" w:rsidRPr="00594907">
        <w:rPr>
          <w:rFonts w:eastAsia="Times New Roman" w:cs="Times New Roman"/>
          <w:color w:val="000000"/>
          <w:w w:val="88"/>
          <w:szCs w:val="20"/>
          <w:shd w:val="solid" w:color="000000" w:fill="000000"/>
          <w:fitText w:val="390" w:id="-1161538803"/>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3"/>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Patient Reported Outcome Measures (PROM) at 12 months were recorded. ESC considered the registry data are insufficient to understand true clinical outcomes of CAR-T (TIS) alone, costs, or the </w:t>
      </w:r>
      <w:proofErr w:type="gramStart"/>
      <w:r w:rsidRPr="00CA23AA">
        <w:rPr>
          <w:rFonts w:eastAsia="Times New Roman" w:cs="Times New Roman"/>
          <w:color w:val="000000"/>
          <w:szCs w:val="20"/>
          <w:lang w:eastAsia="en-AU"/>
        </w:rPr>
        <w:t>quality of life</w:t>
      </w:r>
      <w:proofErr w:type="gramEnd"/>
      <w:r w:rsidRPr="00CA23AA">
        <w:rPr>
          <w:rFonts w:eastAsia="Times New Roman" w:cs="Times New Roman"/>
          <w:color w:val="000000"/>
          <w:szCs w:val="20"/>
          <w:lang w:eastAsia="en-AU"/>
        </w:rPr>
        <w:t xml:space="preserve"> outcomes of patients. </w:t>
      </w:r>
    </w:p>
    <w:p w14:paraId="6E194642" w14:textId="2BA79169"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noted that the applicant is responsible for collecting and reporting the data specified in the Deed. ESC considered that the requirement for data reporting to the registry needed to be strengthened to ensure the registry accurately captures </w:t>
      </w:r>
      <w:proofErr w:type="gramStart"/>
      <w:r w:rsidRPr="00CA23AA">
        <w:rPr>
          <w:rFonts w:eastAsia="Times New Roman" w:cs="Times New Roman"/>
          <w:color w:val="000000"/>
          <w:szCs w:val="20"/>
          <w:lang w:eastAsia="en-AU"/>
        </w:rPr>
        <w:t>all of</w:t>
      </w:r>
      <w:proofErr w:type="gramEnd"/>
      <w:r w:rsidRPr="00CA23AA">
        <w:rPr>
          <w:rFonts w:eastAsia="Times New Roman" w:cs="Times New Roman"/>
          <w:color w:val="000000"/>
          <w:szCs w:val="20"/>
          <w:lang w:eastAsia="en-AU"/>
        </w:rPr>
        <w:t xml:space="preserve"> the data requested by MSAC, including long-term side effects, for each patient. ESC considered that outcome data should be collected at specific timepoints, </w:t>
      </w:r>
      <w:r w:rsidR="00594907" w:rsidRPr="00594907">
        <w:rPr>
          <w:rFonts w:eastAsia="Times New Roman" w:cs="Times New Roman"/>
          <w:color w:val="000000"/>
          <w:w w:val="88"/>
          <w:szCs w:val="20"/>
          <w:shd w:val="solid" w:color="000000" w:fill="000000"/>
          <w:fitText w:val="390" w:id="-1161538802"/>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2"/>
          <w:lang w:eastAsia="en-AU"/>
          <w14:textFill>
            <w14:solidFill>
              <w14:srgbClr w14:val="000000">
                <w14:alpha w14:val="100000"/>
              </w14:srgbClr>
            </w14:solidFill>
          </w14:textFill>
        </w:rPr>
        <w:t>|</w:t>
      </w:r>
      <w:r w:rsidRPr="00CA23AA">
        <w:rPr>
          <w:rFonts w:eastAsia="Times New Roman" w:cs="Times New Roman"/>
          <w:color w:val="000000"/>
          <w:szCs w:val="20"/>
          <w:lang w:eastAsia="en-AU"/>
        </w:rPr>
        <w:t>. ESC considered that other outcomes such as genomic risk factors and loss of B-cell aplasia could also be captured in the registry.  ESC noted that these variables help guide future treatment decisions, such as stem cell transplant.</w:t>
      </w:r>
    </w:p>
    <w:p w14:paraId="5AA94943" w14:textId="3885FD38"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noted that there had been issues with registry data access. ESC noted the feedback from the ABMTRR that sponsors have placed commercial confidentiality provisions in the contracts that limit the ABMTRR’s ability to easily share data with other stakeholders or compare across different products. ESC noted that the Department intends to implement measures to improve access and consistency in reporting across different CAR-T therapies.  ESC considered that how the registry is funded and how data can be accessed should be reviewed. The administrative load of managing multiple contracts with, and reports to, sponsors was also a concern for the ABMTRR. ESC considered that future contracts should require data access for all relevant stakeholders for research and reporting purposes. </w:t>
      </w:r>
      <w:proofErr w:type="gramStart"/>
      <w:r w:rsidRPr="00CA23AA">
        <w:rPr>
          <w:rFonts w:eastAsia="Times New Roman" w:cs="Times New Roman"/>
          <w:color w:val="000000"/>
          <w:szCs w:val="20"/>
          <w:lang w:eastAsia="en-AU"/>
        </w:rPr>
        <w:t>In particular, data</w:t>
      </w:r>
      <w:proofErr w:type="gramEnd"/>
      <w:r w:rsidRPr="00CA23AA">
        <w:rPr>
          <w:rFonts w:eastAsia="Times New Roman" w:cs="Times New Roman"/>
          <w:color w:val="000000"/>
          <w:szCs w:val="20"/>
          <w:lang w:eastAsia="en-AU"/>
        </w:rPr>
        <w:t xml:space="preserve"> should be available to clinicians to assist with ‘real time’ decision-making. </w:t>
      </w:r>
      <w:r w:rsidR="00594907" w:rsidRPr="00594907">
        <w:rPr>
          <w:rFonts w:eastAsia="Times New Roman" w:cs="Times New Roman"/>
          <w:color w:val="000000"/>
          <w:w w:val="88"/>
          <w:szCs w:val="20"/>
          <w:shd w:val="solid" w:color="000000" w:fill="000000"/>
          <w:fitText w:val="390" w:id="-1161538801"/>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1"/>
          <w:lang w:eastAsia="en-AU"/>
          <w14:textFill>
            <w14:solidFill>
              <w14:srgbClr w14:val="000000">
                <w14:alpha w14:val="100000"/>
              </w14:srgbClr>
            </w14:solidFill>
          </w14:textFill>
        </w:rPr>
        <w:t>|</w:t>
      </w:r>
    </w:p>
    <w:p w14:paraId="2B6C6FC6" w14:textId="7A004BB9"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considered that there were no data to support the safety or effectiveness of multiple doses of TIS. Therefore, ESC considered a limit of one treatment per lifetime remains appropriate. </w:t>
      </w:r>
      <w:proofErr w:type="gramStart"/>
      <w:r w:rsidRPr="00CA23AA">
        <w:rPr>
          <w:rFonts w:eastAsia="Times New Roman" w:cs="Times New Roman"/>
          <w:color w:val="000000"/>
          <w:szCs w:val="20"/>
          <w:lang w:eastAsia="en-AU"/>
        </w:rPr>
        <w:t>However</w:t>
      </w:r>
      <w:proofErr w:type="gramEnd"/>
      <w:r w:rsidRPr="00CA23AA">
        <w:rPr>
          <w:rFonts w:eastAsia="Times New Roman" w:cs="Times New Roman"/>
          <w:color w:val="000000"/>
          <w:szCs w:val="20"/>
          <w:lang w:eastAsia="en-AU"/>
        </w:rPr>
        <w:t xml:space="preserve"> ESC noted that </w:t>
      </w:r>
      <w:r w:rsidR="00594907" w:rsidRPr="00594907">
        <w:rPr>
          <w:rFonts w:eastAsia="Times New Roman" w:cs="Times New Roman"/>
          <w:color w:val="000000"/>
          <w:w w:val="88"/>
          <w:szCs w:val="20"/>
          <w:shd w:val="solid" w:color="000000" w:fill="000000"/>
          <w:fitText w:val="390" w:id="-1161538800"/>
          <w:lang w:eastAsia="en-AU"/>
          <w14:textFill>
            <w14:solidFill>
              <w14:srgbClr w14:val="000000">
                <w14:alpha w14:val="100000"/>
              </w14:srgbClr>
            </w14:solidFill>
          </w14:textFill>
        </w:rPr>
        <w:t>|||</w:t>
      </w:r>
      <w:r w:rsidR="00594907" w:rsidRPr="00594907">
        <w:rPr>
          <w:rFonts w:eastAsia="Times New Roman" w:cs="Times New Roman"/>
          <w:color w:val="000000"/>
          <w:spacing w:val="2"/>
          <w:w w:val="88"/>
          <w:szCs w:val="20"/>
          <w:shd w:val="solid" w:color="000000" w:fill="000000"/>
          <w:fitText w:val="390" w:id="-1161538800"/>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of patients had more than one TIS infusion which is associated with significant ancillary costs, despite the second treatment itself being made available free of charge, as per the Deed of Agreement. ESC noted the applicant indicated it will no longer provide more than one infusion per </w:t>
      </w:r>
      <w:proofErr w:type="gramStart"/>
      <w:r w:rsidRPr="00CA23AA">
        <w:rPr>
          <w:rFonts w:eastAsia="Times New Roman" w:cs="Times New Roman"/>
          <w:color w:val="000000"/>
          <w:szCs w:val="20"/>
          <w:lang w:eastAsia="en-AU"/>
        </w:rPr>
        <w:t>patient</w:t>
      </w:r>
      <w:proofErr w:type="gramEnd"/>
    </w:p>
    <w:p w14:paraId="7A08D000" w14:textId="11936BCC" w:rsidR="00F94EB1" w:rsidRPr="00CA23AA" w:rsidRDefault="00594907" w:rsidP="00F94EB1">
      <w:pPr>
        <w:spacing w:before="0" w:after="240" w:line="240" w:lineRule="auto"/>
        <w:rPr>
          <w:rFonts w:eastAsia="Times New Roman" w:cs="Times New Roman"/>
          <w:color w:val="000000"/>
          <w:szCs w:val="20"/>
          <w:lang w:eastAsia="en-AU"/>
        </w:rPr>
      </w:pPr>
      <w:r w:rsidRPr="00594907">
        <w:rPr>
          <w:rFonts w:eastAsia="Times New Roman" w:cs="Times New Roman"/>
          <w:color w:val="000000"/>
          <w:w w:val="88"/>
          <w:szCs w:val="20"/>
          <w:shd w:val="solid" w:color="000000" w:fill="000000"/>
          <w:fitText w:val="390" w:id="-1161538816"/>
          <w:lang w:eastAsia="en-AU"/>
          <w14:textFill>
            <w14:solidFill>
              <w14:srgbClr w14:val="000000">
                <w14:alpha w14:val="100000"/>
              </w14:srgbClr>
            </w14:solidFill>
          </w14:textFill>
        </w:rPr>
        <w:t>|||</w:t>
      </w:r>
      <w:r w:rsidRPr="00594907">
        <w:rPr>
          <w:rFonts w:eastAsia="Times New Roman" w:cs="Times New Roman"/>
          <w:color w:val="000000"/>
          <w:spacing w:val="2"/>
          <w:w w:val="88"/>
          <w:szCs w:val="20"/>
          <w:shd w:val="solid" w:color="000000" w:fill="000000"/>
          <w:fitText w:val="390" w:id="-1161538816"/>
          <w:lang w:eastAsia="en-AU"/>
          <w14:textFill>
            <w14:solidFill>
              <w14:srgbClr w14:val="000000">
                <w14:alpha w14:val="100000"/>
              </w14:srgbClr>
            </w14:solidFill>
          </w14:textFill>
        </w:rPr>
        <w:t>|</w:t>
      </w:r>
      <w:r w:rsidR="00F94EB1" w:rsidRPr="00CA23AA">
        <w:rPr>
          <w:rFonts w:eastAsia="Times New Roman" w:cs="Times New Roman"/>
          <w:color w:val="000000"/>
          <w:szCs w:val="20"/>
          <w:lang w:eastAsia="en-AU"/>
        </w:rPr>
        <w:t xml:space="preserve"> </w:t>
      </w:r>
      <w:r w:rsidRPr="00594907">
        <w:rPr>
          <w:rFonts w:eastAsia="Times New Roman" w:cs="Times New Roman"/>
          <w:color w:val="000000"/>
          <w:w w:val="88"/>
          <w:szCs w:val="20"/>
          <w:shd w:val="solid" w:color="000000" w:fill="000000"/>
          <w:fitText w:val="390" w:id="-1161538815"/>
          <w:lang w:eastAsia="en-AU"/>
          <w14:textFill>
            <w14:solidFill>
              <w14:srgbClr w14:val="000000">
                <w14:alpha w14:val="100000"/>
              </w14:srgbClr>
            </w14:solidFill>
          </w14:textFill>
        </w:rPr>
        <w:t>|||</w:t>
      </w:r>
      <w:r w:rsidRPr="00594907">
        <w:rPr>
          <w:rFonts w:eastAsia="Times New Roman" w:cs="Times New Roman"/>
          <w:color w:val="000000"/>
          <w:spacing w:val="2"/>
          <w:w w:val="88"/>
          <w:szCs w:val="20"/>
          <w:shd w:val="solid" w:color="000000" w:fill="000000"/>
          <w:fitText w:val="390" w:id="-1161538815"/>
          <w:lang w:eastAsia="en-AU"/>
          <w14:textFill>
            <w14:solidFill>
              <w14:srgbClr w14:val="000000">
                <w14:alpha w14:val="100000"/>
              </w14:srgbClr>
            </w14:solidFill>
          </w14:textFill>
        </w:rPr>
        <w:t>|</w:t>
      </w:r>
      <w:r w:rsidR="00F94EB1" w:rsidRPr="00CA23AA">
        <w:rPr>
          <w:rFonts w:eastAsia="Times New Roman" w:cs="Times New Roman"/>
          <w:color w:val="000000"/>
          <w:szCs w:val="20"/>
          <w:lang w:eastAsia="en-AU"/>
        </w:rPr>
        <w:t xml:space="preserve">. ESC considered that relapse after TIS may be common. ESC considered the response rates may be confounded due to the use of subsequent treatment and that 35% of patients were in remission prior to treatment with TIS. </w:t>
      </w:r>
      <w:r w:rsidR="00F94EB1" w:rsidRPr="00CA23AA" w:rsidDel="002C23FA">
        <w:rPr>
          <w:rFonts w:eastAsia="Times New Roman" w:cs="Times New Roman"/>
          <w:color w:val="000000"/>
          <w:szCs w:val="20"/>
          <w:lang w:eastAsia="en-AU"/>
        </w:rPr>
        <w:t xml:space="preserve"> </w:t>
      </w:r>
    </w:p>
    <w:p w14:paraId="3F207E5F" w14:textId="48B3431B" w:rsidR="00F94EB1" w:rsidRPr="00CA23AA" w:rsidRDefault="00594907" w:rsidP="00F94EB1">
      <w:pPr>
        <w:spacing w:before="0" w:after="240" w:line="240" w:lineRule="auto"/>
        <w:rPr>
          <w:rFonts w:eastAsia="Times New Roman" w:cs="Times New Roman"/>
          <w:color w:val="000000"/>
          <w:szCs w:val="20"/>
          <w:lang w:eastAsia="en-AU"/>
        </w:rPr>
      </w:pPr>
      <w:r w:rsidRPr="00594907">
        <w:rPr>
          <w:rFonts w:eastAsia="Times New Roman" w:cs="Times New Roman"/>
          <w:color w:val="000000"/>
          <w:w w:val="88"/>
          <w:szCs w:val="20"/>
          <w:shd w:val="solid" w:color="000000" w:fill="000000"/>
          <w:fitText w:val="390" w:id="-1161538814"/>
          <w:lang w:eastAsia="en-AU"/>
          <w14:textFill>
            <w14:solidFill>
              <w14:srgbClr w14:val="000000">
                <w14:alpha w14:val="100000"/>
              </w14:srgbClr>
            </w14:solidFill>
          </w14:textFill>
        </w:rPr>
        <w:t>|||</w:t>
      </w:r>
      <w:r w:rsidRPr="00594907">
        <w:rPr>
          <w:rFonts w:eastAsia="Times New Roman" w:cs="Times New Roman"/>
          <w:color w:val="000000"/>
          <w:spacing w:val="2"/>
          <w:w w:val="88"/>
          <w:szCs w:val="20"/>
          <w:shd w:val="solid" w:color="000000" w:fill="000000"/>
          <w:fitText w:val="390" w:id="-1161538814"/>
          <w:lang w:eastAsia="en-AU"/>
          <w14:textFill>
            <w14:solidFill>
              <w14:srgbClr w14:val="000000">
                <w14:alpha w14:val="100000"/>
              </w14:srgbClr>
            </w14:solidFill>
          </w14:textFill>
        </w:rPr>
        <w:t>|</w:t>
      </w:r>
      <w:r w:rsidR="00F94EB1" w:rsidRPr="00CA23AA">
        <w:rPr>
          <w:rFonts w:eastAsia="Times New Roman" w:cs="Times New Roman"/>
          <w:color w:val="000000"/>
          <w:szCs w:val="20"/>
          <w:lang w:eastAsia="en-AU"/>
        </w:rPr>
        <w:t xml:space="preserve"> There is increased uncertainty regarding curative benefit, and higher use of other therapies after CAR-T than originally estimated. </w:t>
      </w:r>
      <w:r w:rsidRPr="00594907">
        <w:rPr>
          <w:rFonts w:eastAsia="Times New Roman" w:cs="Times New Roman"/>
          <w:color w:val="000000"/>
          <w:w w:val="88"/>
          <w:szCs w:val="20"/>
          <w:shd w:val="solid" w:color="000000" w:fill="000000"/>
          <w:fitText w:val="390" w:id="-1161538813"/>
          <w:lang w:eastAsia="en-AU"/>
          <w14:textFill>
            <w14:solidFill>
              <w14:srgbClr w14:val="000000">
                <w14:alpha w14:val="100000"/>
              </w14:srgbClr>
            </w14:solidFill>
          </w14:textFill>
        </w:rPr>
        <w:t>|||</w:t>
      </w:r>
      <w:r w:rsidRPr="00594907">
        <w:rPr>
          <w:rFonts w:eastAsia="Times New Roman" w:cs="Times New Roman"/>
          <w:color w:val="000000"/>
          <w:spacing w:val="2"/>
          <w:w w:val="88"/>
          <w:szCs w:val="20"/>
          <w:shd w:val="solid" w:color="000000" w:fill="000000"/>
          <w:fitText w:val="390" w:id="-1161538813"/>
          <w:lang w:eastAsia="en-AU"/>
          <w14:textFill>
            <w14:solidFill>
              <w14:srgbClr w14:val="000000">
                <w14:alpha w14:val="100000"/>
              </w14:srgbClr>
            </w14:solidFill>
          </w14:textFill>
        </w:rPr>
        <w:t>|</w:t>
      </w:r>
      <w:r w:rsidR="00F94EB1" w:rsidRPr="00CA23AA">
        <w:rPr>
          <w:rFonts w:eastAsia="Times New Roman" w:cs="Times New Roman"/>
          <w:color w:val="000000"/>
          <w:szCs w:val="20"/>
          <w:lang w:eastAsia="en-AU"/>
        </w:rPr>
        <w:t xml:space="preserve"> </w:t>
      </w:r>
    </w:p>
    <w:p w14:paraId="5C9CCB6A" w14:textId="428B0075" w:rsidR="00F94EB1" w:rsidRPr="00CA23AA" w:rsidRDefault="00982219" w:rsidP="00F94EB1">
      <w:pPr>
        <w:spacing w:before="0" w:after="240" w:line="240" w:lineRule="auto"/>
        <w:rPr>
          <w:rFonts w:eastAsia="Times New Roman" w:cs="Times New Roman"/>
          <w:color w:val="000000"/>
          <w:szCs w:val="20"/>
          <w:lang w:eastAsia="en-AU"/>
        </w:rPr>
      </w:pPr>
      <w:r w:rsidRPr="00982219">
        <w:rPr>
          <w:rFonts w:eastAsia="Times New Roman" w:cs="Times New Roman"/>
          <w:color w:val="000000"/>
          <w:w w:val="85"/>
          <w:szCs w:val="20"/>
          <w:shd w:val="solid" w:color="000000" w:fill="000000"/>
          <w:fitText w:val="375" w:id="-1157969649"/>
          <w:lang w:eastAsia="en-AU"/>
          <w14:textFill>
            <w14:solidFill>
              <w14:srgbClr w14:val="000000">
                <w14:alpha w14:val="100000"/>
              </w14:srgbClr>
            </w14:solidFill>
          </w14:textFill>
        </w:rPr>
        <w:t>|||</w:t>
      </w:r>
      <w:r w:rsidRPr="00982219">
        <w:rPr>
          <w:rFonts w:eastAsia="Times New Roman" w:cs="Times New Roman"/>
          <w:color w:val="000000"/>
          <w:spacing w:val="1"/>
          <w:w w:val="85"/>
          <w:szCs w:val="20"/>
          <w:shd w:val="solid" w:color="000000" w:fill="000000"/>
          <w:fitText w:val="375" w:id="-1157969649"/>
          <w:lang w:eastAsia="en-AU"/>
          <w14:textFill>
            <w14:solidFill>
              <w14:srgbClr w14:val="000000">
                <w14:alpha w14:val="100000"/>
              </w14:srgbClr>
            </w14:solidFill>
          </w14:textFill>
        </w:rPr>
        <w:t>|</w:t>
      </w:r>
      <w:r w:rsidR="00F94EB1" w:rsidRPr="00CA23AA">
        <w:rPr>
          <w:rFonts w:eastAsia="Times New Roman" w:cs="Times New Roman"/>
          <w:color w:val="000000"/>
          <w:szCs w:val="20"/>
          <w:lang w:eastAsia="en-AU"/>
        </w:rPr>
        <w:t xml:space="preserve"> </w:t>
      </w:r>
      <w:r w:rsidRPr="00982219">
        <w:rPr>
          <w:rFonts w:eastAsia="Times New Roman" w:cs="Times New Roman"/>
          <w:color w:val="000000"/>
          <w:w w:val="88"/>
          <w:szCs w:val="20"/>
          <w:shd w:val="solid" w:color="000000" w:fill="000000"/>
          <w:fitText w:val="390" w:id="-1157969648"/>
          <w:lang w:eastAsia="en-AU"/>
          <w14:textFill>
            <w14:solidFill>
              <w14:srgbClr w14:val="000000">
                <w14:alpha w14:val="100000"/>
              </w14:srgbClr>
            </w14:solidFill>
          </w14:textFill>
        </w:rPr>
        <w:t>|||</w:t>
      </w:r>
      <w:r w:rsidRPr="00982219">
        <w:rPr>
          <w:rFonts w:eastAsia="Times New Roman" w:cs="Times New Roman"/>
          <w:color w:val="000000"/>
          <w:spacing w:val="2"/>
          <w:w w:val="88"/>
          <w:szCs w:val="20"/>
          <w:shd w:val="solid" w:color="000000" w:fill="000000"/>
          <w:fitText w:val="390" w:id="-1157969648"/>
          <w:lang w:eastAsia="en-AU"/>
          <w14:textFill>
            <w14:solidFill>
              <w14:srgbClr w14:val="000000">
                <w14:alpha w14:val="100000"/>
              </w14:srgbClr>
            </w14:solidFill>
          </w14:textFill>
        </w:rPr>
        <w:t>|</w:t>
      </w:r>
      <w:r w:rsidR="00F94EB1" w:rsidRPr="00CA23AA">
        <w:rPr>
          <w:rFonts w:eastAsia="Times New Roman" w:cs="Times New Roman"/>
          <w:color w:val="000000"/>
          <w:szCs w:val="20"/>
          <w:lang w:eastAsia="en-AU"/>
        </w:rPr>
        <w:t xml:space="preserve"> </w:t>
      </w:r>
      <w:r w:rsidR="00594907" w:rsidRPr="00982219">
        <w:rPr>
          <w:rFonts w:eastAsia="Times New Roman" w:cs="Times New Roman"/>
          <w:color w:val="000000"/>
          <w:w w:val="88"/>
          <w:szCs w:val="20"/>
          <w:shd w:val="solid" w:color="000000" w:fill="000000"/>
          <w:fitText w:val="390" w:id="-1161538812"/>
          <w:lang w:eastAsia="en-AU"/>
          <w14:textFill>
            <w14:solidFill>
              <w14:srgbClr w14:val="000000">
                <w14:alpha w14:val="100000"/>
              </w14:srgbClr>
            </w14:solidFill>
          </w14:textFill>
        </w:rPr>
        <w:t>|||</w:t>
      </w:r>
      <w:r w:rsidR="00594907" w:rsidRPr="00982219">
        <w:rPr>
          <w:rFonts w:eastAsia="Times New Roman" w:cs="Times New Roman"/>
          <w:color w:val="000000"/>
          <w:spacing w:val="2"/>
          <w:w w:val="88"/>
          <w:szCs w:val="20"/>
          <w:shd w:val="solid" w:color="000000" w:fill="000000"/>
          <w:fitText w:val="390" w:id="-1161538812"/>
          <w:lang w:eastAsia="en-AU"/>
          <w14:textFill>
            <w14:solidFill>
              <w14:srgbClr w14:val="000000">
                <w14:alpha w14:val="100000"/>
              </w14:srgbClr>
            </w14:solidFill>
          </w14:textFill>
        </w:rPr>
        <w:t>|</w:t>
      </w:r>
      <w:r w:rsidR="00F94EB1" w:rsidRPr="00CA23AA">
        <w:rPr>
          <w:rFonts w:eastAsia="Times New Roman" w:cs="Times New Roman"/>
          <w:color w:val="000000"/>
          <w:szCs w:val="20"/>
          <w:lang w:eastAsia="en-AU"/>
        </w:rPr>
        <w:t xml:space="preserve">.  </w:t>
      </w:r>
    </w:p>
    <w:p w14:paraId="06349799" w14:textId="45826CBC"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 xml:space="preserve">ESC noted that the number of patients using TIS has been lower than expected. </w:t>
      </w:r>
      <w:r w:rsidR="00982219" w:rsidRPr="00982219">
        <w:rPr>
          <w:rFonts w:eastAsia="Times New Roman" w:cs="Times New Roman"/>
          <w:color w:val="000000"/>
          <w:w w:val="88"/>
          <w:szCs w:val="20"/>
          <w:shd w:val="solid" w:color="000000" w:fill="000000"/>
          <w:fitText w:val="390" w:id="-1157969664"/>
          <w:lang w:eastAsia="en-AU"/>
          <w14:textFill>
            <w14:solidFill>
              <w14:srgbClr w14:val="000000">
                <w14:alpha w14:val="100000"/>
              </w14:srgbClr>
            </w14:solidFill>
          </w14:textFill>
        </w:rPr>
        <w:t>|||</w:t>
      </w:r>
      <w:r w:rsidR="00982219" w:rsidRPr="00982219">
        <w:rPr>
          <w:rFonts w:eastAsia="Times New Roman" w:cs="Times New Roman"/>
          <w:color w:val="000000"/>
          <w:spacing w:val="2"/>
          <w:w w:val="88"/>
          <w:szCs w:val="20"/>
          <w:shd w:val="solid" w:color="000000" w:fill="000000"/>
          <w:fitText w:val="390" w:id="-1157969664"/>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have ranged from </w:t>
      </w:r>
      <w:r w:rsidR="00594907" w:rsidRPr="00982219">
        <w:rPr>
          <w:rFonts w:eastAsia="Times New Roman" w:cs="Times New Roman"/>
          <w:color w:val="000000"/>
          <w:w w:val="88"/>
          <w:szCs w:val="20"/>
          <w:shd w:val="solid" w:color="000000" w:fill="000000"/>
          <w:fitText w:val="390" w:id="-1161538811"/>
          <w:lang w:eastAsia="en-AU"/>
          <w14:textFill>
            <w14:solidFill>
              <w14:srgbClr w14:val="000000">
                <w14:alpha w14:val="100000"/>
              </w14:srgbClr>
            </w14:solidFill>
          </w14:textFill>
        </w:rPr>
        <w:t>|||</w:t>
      </w:r>
      <w:r w:rsidR="00594907" w:rsidRPr="00982219">
        <w:rPr>
          <w:rFonts w:eastAsia="Times New Roman" w:cs="Times New Roman"/>
          <w:color w:val="000000"/>
          <w:spacing w:val="2"/>
          <w:w w:val="88"/>
          <w:szCs w:val="20"/>
          <w:shd w:val="solid" w:color="000000" w:fill="000000"/>
          <w:fitText w:val="390" w:id="-1161538811"/>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to </w:t>
      </w:r>
      <w:r w:rsidR="00594907" w:rsidRPr="00982219">
        <w:rPr>
          <w:rFonts w:eastAsia="Times New Roman" w:cs="Times New Roman"/>
          <w:color w:val="000000"/>
          <w:w w:val="88"/>
          <w:szCs w:val="20"/>
          <w:shd w:val="solid" w:color="000000" w:fill="000000"/>
          <w:fitText w:val="390" w:id="-1161538810"/>
          <w:lang w:eastAsia="en-AU"/>
          <w14:textFill>
            <w14:solidFill>
              <w14:srgbClr w14:val="000000">
                <w14:alpha w14:val="100000"/>
              </w14:srgbClr>
            </w14:solidFill>
          </w14:textFill>
        </w:rPr>
        <w:t>|||</w:t>
      </w:r>
      <w:r w:rsidR="00594907" w:rsidRPr="00982219">
        <w:rPr>
          <w:rFonts w:eastAsia="Times New Roman" w:cs="Times New Roman"/>
          <w:color w:val="000000"/>
          <w:spacing w:val="2"/>
          <w:w w:val="88"/>
          <w:szCs w:val="20"/>
          <w:shd w:val="solid" w:color="000000" w:fill="000000"/>
          <w:fitText w:val="390" w:id="-1161538810"/>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patients, but the numbers treated were </w:t>
      </w:r>
      <w:r w:rsidR="004148A9">
        <w:rPr>
          <w:rFonts w:eastAsia="Times New Roman" w:cs="Times New Roman"/>
          <w:color w:val="000000"/>
          <w:szCs w:val="20"/>
          <w:lang w:eastAsia="en-AU"/>
        </w:rPr>
        <w:t xml:space="preserve">&lt;10 </w:t>
      </w:r>
      <w:r w:rsidRPr="00CA23AA">
        <w:rPr>
          <w:rFonts w:eastAsia="Times New Roman" w:cs="Times New Roman"/>
          <w:color w:val="000000"/>
          <w:szCs w:val="20"/>
          <w:lang w:eastAsia="en-AU"/>
        </w:rPr>
        <w:t xml:space="preserve">in 2020, </w:t>
      </w:r>
      <w:r w:rsidR="004148A9">
        <w:rPr>
          <w:rFonts w:eastAsia="Times New Roman" w:cs="Times New Roman"/>
          <w:color w:val="000000"/>
          <w:szCs w:val="20"/>
          <w:lang w:eastAsia="en-AU"/>
        </w:rPr>
        <w:t>&lt;100</w:t>
      </w:r>
      <w:r w:rsidRPr="00CA23AA">
        <w:rPr>
          <w:rFonts w:eastAsia="Times New Roman" w:cs="Times New Roman"/>
          <w:color w:val="000000"/>
          <w:szCs w:val="20"/>
          <w:lang w:eastAsia="en-AU"/>
        </w:rPr>
        <w:t xml:space="preserve"> in 2021, </w:t>
      </w:r>
      <w:r w:rsidR="004148A9">
        <w:rPr>
          <w:rFonts w:eastAsia="Times New Roman" w:cs="Times New Roman"/>
          <w:color w:val="000000"/>
          <w:szCs w:val="20"/>
          <w:lang w:eastAsia="en-AU"/>
        </w:rPr>
        <w:t>&lt;100</w:t>
      </w:r>
      <w:r w:rsidRPr="00CA23AA">
        <w:rPr>
          <w:rFonts w:eastAsia="Times New Roman" w:cs="Times New Roman"/>
          <w:color w:val="000000"/>
          <w:szCs w:val="20"/>
          <w:lang w:eastAsia="en-AU"/>
        </w:rPr>
        <w:t xml:space="preserve"> in 2022, and </w:t>
      </w:r>
      <w:r w:rsidR="00784EF8" w:rsidRPr="00CA23AA">
        <w:rPr>
          <w:rFonts w:eastAsia="Times New Roman" w:cs="Times New Roman"/>
          <w:color w:val="000000"/>
          <w:szCs w:val="20"/>
          <w:lang w:eastAsia="en-AU"/>
        </w:rPr>
        <w:t>&lt;</w:t>
      </w:r>
      <w:r w:rsidR="004148A9">
        <w:rPr>
          <w:rFonts w:eastAsia="Times New Roman" w:cs="Times New Roman"/>
          <w:color w:val="000000"/>
          <w:szCs w:val="20"/>
          <w:lang w:eastAsia="en-AU"/>
        </w:rPr>
        <w:t>100</w:t>
      </w:r>
      <w:r w:rsidR="00784EF8" w:rsidRPr="00CA23AA">
        <w:rPr>
          <w:rFonts w:eastAsia="Times New Roman" w:cs="Times New Roman"/>
          <w:color w:val="000000"/>
          <w:szCs w:val="20"/>
          <w:lang w:eastAsia="en-AU"/>
        </w:rPr>
        <w:t xml:space="preserve"> </w:t>
      </w:r>
      <w:r w:rsidRPr="00CA23AA">
        <w:rPr>
          <w:rFonts w:eastAsia="Times New Roman" w:cs="Times New Roman"/>
          <w:color w:val="000000"/>
          <w:szCs w:val="20"/>
          <w:lang w:eastAsia="en-AU"/>
        </w:rPr>
        <w:t xml:space="preserve">to date in 2023. ESC noted the commentary’s statement that uptake is likely to increase in the future. ESC noted the applicant had requested </w:t>
      </w:r>
      <w:r w:rsidR="00982219" w:rsidRPr="00982219">
        <w:rPr>
          <w:rFonts w:eastAsia="Times New Roman" w:cs="Times New Roman"/>
          <w:color w:val="000000"/>
          <w:w w:val="88"/>
          <w:szCs w:val="20"/>
          <w:shd w:val="solid" w:color="000000" w:fill="000000"/>
          <w:fitText w:val="390" w:id="-1157969663"/>
          <w:lang w:eastAsia="en-AU"/>
          <w14:textFill>
            <w14:solidFill>
              <w14:srgbClr w14:val="000000">
                <w14:alpha w14:val="100000"/>
              </w14:srgbClr>
            </w14:solidFill>
          </w14:textFill>
        </w:rPr>
        <w:t>|||</w:t>
      </w:r>
      <w:r w:rsidR="00982219" w:rsidRPr="00982219">
        <w:rPr>
          <w:rFonts w:eastAsia="Times New Roman" w:cs="Times New Roman"/>
          <w:color w:val="000000"/>
          <w:spacing w:val="2"/>
          <w:w w:val="88"/>
          <w:szCs w:val="20"/>
          <w:shd w:val="solid" w:color="000000" w:fill="000000"/>
          <w:fitText w:val="390" w:id="-1157969663"/>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w:t>
      </w:r>
      <w:r w:rsidR="00982219" w:rsidRPr="00982219">
        <w:rPr>
          <w:rFonts w:eastAsia="Times New Roman" w:cs="Times New Roman"/>
          <w:color w:val="000000"/>
          <w:w w:val="88"/>
          <w:szCs w:val="20"/>
          <w:shd w:val="solid" w:color="000000" w:fill="000000"/>
          <w:fitText w:val="390" w:id="-1157969662"/>
          <w:lang w:eastAsia="en-AU"/>
          <w14:textFill>
            <w14:solidFill>
              <w14:srgbClr w14:val="000000">
                <w14:alpha w14:val="100000"/>
              </w14:srgbClr>
            </w14:solidFill>
          </w14:textFill>
        </w:rPr>
        <w:t>|||</w:t>
      </w:r>
      <w:r w:rsidR="00982219" w:rsidRPr="00982219">
        <w:rPr>
          <w:rFonts w:eastAsia="Times New Roman" w:cs="Times New Roman"/>
          <w:color w:val="000000"/>
          <w:spacing w:val="2"/>
          <w:w w:val="88"/>
          <w:szCs w:val="20"/>
          <w:shd w:val="solid" w:color="000000" w:fill="000000"/>
          <w:fitText w:val="390" w:id="-1157969662"/>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ESC considered that year-to-year variation in the small number of patients using TIS was reasonable given that TIS is intended to be used in a very small group of patients meeting certain criteria.  ESC considered that there is a risk of leakage into earlier lines of therapy. For these reasons ESC advised that it would be reasonable </w:t>
      </w:r>
      <w:r w:rsidR="00982219" w:rsidRPr="00982219">
        <w:rPr>
          <w:rFonts w:eastAsia="Times New Roman" w:cs="Times New Roman"/>
          <w:color w:val="000000"/>
          <w:w w:val="88"/>
          <w:szCs w:val="20"/>
          <w:shd w:val="solid" w:color="000000" w:fill="000000"/>
          <w:fitText w:val="390" w:id="-1157969661"/>
          <w:lang w:eastAsia="en-AU"/>
          <w14:textFill>
            <w14:solidFill>
              <w14:srgbClr w14:val="000000">
                <w14:alpha w14:val="100000"/>
              </w14:srgbClr>
            </w14:solidFill>
          </w14:textFill>
        </w:rPr>
        <w:t>|||</w:t>
      </w:r>
      <w:r w:rsidR="00982219" w:rsidRPr="00982219">
        <w:rPr>
          <w:rFonts w:eastAsia="Times New Roman" w:cs="Times New Roman"/>
          <w:color w:val="000000"/>
          <w:spacing w:val="2"/>
          <w:w w:val="88"/>
          <w:szCs w:val="20"/>
          <w:shd w:val="solid" w:color="000000" w:fill="000000"/>
          <w:fitText w:val="390" w:id="-1157969661"/>
          <w:lang w:eastAsia="en-AU"/>
          <w14:textFill>
            <w14:solidFill>
              <w14:srgbClr w14:val="000000">
                <w14:alpha w14:val="100000"/>
              </w14:srgbClr>
            </w14:solidFill>
          </w14:textFill>
        </w:rPr>
        <w:t>|</w:t>
      </w:r>
      <w:r w:rsidRPr="00CA23AA">
        <w:rPr>
          <w:rFonts w:eastAsia="Times New Roman" w:cs="Times New Roman"/>
          <w:color w:val="000000"/>
          <w:szCs w:val="20"/>
          <w:lang w:eastAsia="en-AU"/>
        </w:rPr>
        <w:t xml:space="preserve">. ESC considered future utilisation would be affected by future evidence and clinical experience and may increase if longer term clinical outcomes are positive. </w:t>
      </w:r>
    </w:p>
    <w:p w14:paraId="2AA88640" w14:textId="77777777" w:rsidR="00F94EB1" w:rsidRPr="00CA23AA" w:rsidRDefault="00F94EB1" w:rsidP="00F94EB1">
      <w:pPr>
        <w:spacing w:before="0" w:after="240" w:line="240" w:lineRule="auto"/>
        <w:rPr>
          <w:rFonts w:eastAsia="Times New Roman" w:cs="Times New Roman"/>
          <w:color w:val="000000"/>
          <w:szCs w:val="20"/>
          <w:lang w:eastAsia="en-AU"/>
        </w:rPr>
      </w:pPr>
      <w:r w:rsidRPr="00CA23AA">
        <w:rPr>
          <w:rFonts w:eastAsia="Times New Roman" w:cs="Times New Roman"/>
          <w:color w:val="000000"/>
          <w:szCs w:val="20"/>
          <w:lang w:eastAsia="en-AU"/>
        </w:rPr>
        <w:t>ESC noted that the costs associated with providing TIS therapy in public hospitals (adjunctive and ancillary costs) were substantially higher per patient than those previously considered in MSAC Application 1519. ESC noted that including these costs resulted in the estimated net cost of TIS provision to be almost double the estimated costs in the submission. ESC considered that relapse was common following TIS and considered the costs of subsequent therapies should be included in financial implications.  ESC further noted that states reported concern that many costs are not captured in the state-based reconciliation, and the states recommended a national cost reconciliation initiative.</w:t>
      </w:r>
    </w:p>
    <w:p w14:paraId="1E330B89" w14:textId="77777777" w:rsidR="00F94EB1" w:rsidRPr="00CA23AA" w:rsidRDefault="00F94EB1" w:rsidP="00F94EB1">
      <w:pPr>
        <w:spacing w:before="0" w:after="240" w:line="240" w:lineRule="auto"/>
        <w:rPr>
          <w:rFonts w:eastAsia="Times New Roman" w:cs="Times New Roman"/>
          <w:color w:val="000000"/>
          <w:szCs w:val="20"/>
          <w:lang w:eastAsia="en-AU"/>
        </w:rPr>
      </w:pPr>
      <w:r w:rsidRPr="00CA23AA" w:rsidDel="00E666E9">
        <w:rPr>
          <w:rFonts w:eastAsia="Times New Roman" w:cs="Times New Roman"/>
          <w:color w:val="000000"/>
          <w:szCs w:val="20"/>
          <w:lang w:eastAsia="en-AU"/>
        </w:rPr>
        <w:t>ESC</w:t>
      </w:r>
      <w:r w:rsidRPr="00CA23AA">
        <w:rPr>
          <w:rFonts w:eastAsia="Times New Roman" w:cs="Times New Roman"/>
          <w:color w:val="000000"/>
          <w:szCs w:val="20"/>
          <w:lang w:eastAsia="en-AU"/>
        </w:rPr>
        <w:t xml:space="preserve"> noted that further CAR-T reviews will be scheduled in the future for other funded products and indications. ESC advised that the future CAR-T reviews </w:t>
      </w:r>
      <w:r w:rsidRPr="00CA23AA" w:rsidDel="00D25685">
        <w:rPr>
          <w:rFonts w:eastAsia="Times New Roman" w:cs="Times New Roman"/>
          <w:color w:val="000000"/>
          <w:szCs w:val="20"/>
          <w:lang w:eastAsia="en-AU"/>
        </w:rPr>
        <w:t xml:space="preserve">should </w:t>
      </w:r>
      <w:r w:rsidRPr="00CA23AA">
        <w:rPr>
          <w:rFonts w:eastAsia="Times New Roman" w:cs="Times New Roman"/>
          <w:color w:val="000000"/>
          <w:szCs w:val="20"/>
          <w:lang w:eastAsia="en-AU"/>
        </w:rPr>
        <w:t xml:space="preserve">update evidence and real-world cost data for both the intervention and the comparator. ESC considered that information for the reviews could be elicited from the relevant applicant(s) using a logically ordered information request template with data tables for the applicant to fill in. ESC noted that Department will develop a template to guide future reviews. ESC noted that the Health Technology and Genomics Collaboration is planning to produce an evaluation framework for highly specialised therapies, and ESC could contribute suggestions on what this framework should include. </w:t>
      </w:r>
    </w:p>
    <w:p w14:paraId="6AACDA35" w14:textId="09818B82" w:rsidR="000A65EE" w:rsidRPr="00CA23AA" w:rsidRDefault="000A65EE" w:rsidP="000A65EE">
      <w:pPr>
        <w:pStyle w:val="Heading2"/>
        <w:numPr>
          <w:ilvl w:val="0"/>
          <w:numId w:val="0"/>
        </w:numPr>
      </w:pPr>
      <w:r w:rsidRPr="00CA23AA">
        <w:t>18.</w:t>
      </w:r>
      <w:r w:rsidRPr="00CA23AA">
        <w:tab/>
        <w:t>Applicant comments on MSAC’s Public Summary Document</w:t>
      </w:r>
    </w:p>
    <w:p w14:paraId="51942B57" w14:textId="5D14D867" w:rsidR="0061096D" w:rsidRPr="00CA23AA" w:rsidRDefault="0061096D" w:rsidP="0061096D">
      <w:pPr>
        <w:spacing w:after="240"/>
        <w:rPr>
          <w:szCs w:val="24"/>
        </w:rPr>
      </w:pPr>
      <w:r w:rsidRPr="00CA23AA">
        <w:rPr>
          <w:szCs w:val="24"/>
        </w:rPr>
        <w:t>Tisagenlecleucel provides an important treatment option for children and young adults with relapse</w:t>
      </w:r>
      <w:r w:rsidR="00221E78" w:rsidRPr="00CA23AA">
        <w:rPr>
          <w:szCs w:val="24"/>
        </w:rPr>
        <w:t>d</w:t>
      </w:r>
      <w:r w:rsidRPr="00CA23AA">
        <w:rPr>
          <w:szCs w:val="24"/>
        </w:rPr>
        <w:t xml:space="preserve"> or refractory acute lymphoblastic leukaemia who have limited treatment options. Longer-term data (up to 5 years) from clinical trials demonstrate tisagenlecleucel continues to provide a major improvement in the treatment of these patients with high unmet medical need. Novartis will continue to work with</w:t>
      </w:r>
      <w:r w:rsidR="00854DD4" w:rsidRPr="00CA23AA">
        <w:rPr>
          <w:szCs w:val="24"/>
        </w:rPr>
        <w:t xml:space="preserve"> MSAC and</w:t>
      </w:r>
      <w:r w:rsidRPr="00CA23AA">
        <w:rPr>
          <w:szCs w:val="24"/>
        </w:rPr>
        <w:t xml:space="preserve"> the Department to ensure tisagenlecleucel remains an accessible treatment option in Australia. </w:t>
      </w:r>
    </w:p>
    <w:p w14:paraId="11EF93C4" w14:textId="0C801E60" w:rsidR="000A65EE" w:rsidRPr="00CA23AA" w:rsidRDefault="000A65EE" w:rsidP="000A65EE">
      <w:pPr>
        <w:pStyle w:val="Heading2"/>
        <w:numPr>
          <w:ilvl w:val="0"/>
          <w:numId w:val="0"/>
        </w:numPr>
      </w:pPr>
      <w:r w:rsidRPr="00CA23AA">
        <w:t>19.</w:t>
      </w:r>
      <w:r w:rsidRPr="00CA23AA">
        <w:tab/>
        <w:t>Further information on MSAC</w:t>
      </w:r>
    </w:p>
    <w:p w14:paraId="0441CCF5" w14:textId="558B8EE3" w:rsidR="00F94EB1" w:rsidRPr="000A65EE" w:rsidRDefault="000A65EE" w:rsidP="000A65EE">
      <w:pPr>
        <w:pStyle w:val="BodyText"/>
        <w:rPr>
          <w:rFonts w:ascii="Franklin Gothic Book" w:hAnsi="Franklin Gothic Book" w:cstheme="minorBidi"/>
          <w:b/>
          <w:bCs/>
          <w:i/>
          <w:iCs/>
          <w:sz w:val="22"/>
        </w:rPr>
      </w:pPr>
      <w:r w:rsidRPr="00CA23AA">
        <w:rPr>
          <w:rFonts w:ascii="Franklin Gothic Book" w:hAnsi="Franklin Gothic Book"/>
          <w:bCs/>
          <w:iCs/>
          <w:sz w:val="22"/>
        </w:rPr>
        <w:t xml:space="preserve">MSAC Terms of Reference and other information are available on the MSAC Website: </w:t>
      </w:r>
      <w:hyperlink r:id="rId35" w:tooltip="Link to the MSAC website" w:history="1">
        <w:r w:rsidRPr="00CA23AA">
          <w:rPr>
            <w:rStyle w:val="Hyperlink"/>
            <w:rFonts w:ascii="Franklin Gothic Book" w:hAnsi="Franklin Gothic Book"/>
            <w:bCs/>
            <w:iCs/>
            <w:sz w:val="22"/>
          </w:rPr>
          <w:t>visit the MSAC website</w:t>
        </w:r>
      </w:hyperlink>
    </w:p>
    <w:sectPr w:rsidR="00F94EB1" w:rsidRPr="000A65EE" w:rsidSect="0098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CDC" w14:textId="77777777" w:rsidR="00F244B5" w:rsidRDefault="00F244B5" w:rsidP="00B62DF2">
      <w:pPr>
        <w:spacing w:after="0" w:line="240" w:lineRule="auto"/>
      </w:pPr>
      <w:r>
        <w:separator/>
      </w:r>
    </w:p>
  </w:endnote>
  <w:endnote w:type="continuationSeparator" w:id="0">
    <w:p w14:paraId="5A313A8D" w14:textId="77777777" w:rsidR="00F244B5" w:rsidRDefault="00F244B5" w:rsidP="00B62DF2">
      <w:pPr>
        <w:spacing w:after="0" w:line="240" w:lineRule="auto"/>
      </w:pPr>
      <w:r>
        <w:continuationSeparator/>
      </w:r>
    </w:p>
  </w:endnote>
  <w:endnote w:type="continuationNotice" w:id="1">
    <w:p w14:paraId="719A7F8A" w14:textId="77777777" w:rsidR="00F244B5" w:rsidRDefault="00F244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9FA8" w14:textId="114A007C" w:rsidR="00A30983" w:rsidRDefault="009C345F" w:rsidP="009C345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D145" w14:textId="1D9E3F95" w:rsidR="00A30983" w:rsidRDefault="00A30983" w:rsidP="003E2662">
    <w:pPr>
      <w:pStyle w:val="Footer"/>
      <w:tabs>
        <w:tab w:val="clear" w:pos="4513"/>
        <w:tab w:val="right" w:pos="8931"/>
      </w:tabs>
      <w:spacing w:before="0"/>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1BED" w14:textId="3A8352CE" w:rsidR="00A30983" w:rsidRDefault="00A30983" w:rsidP="006111A0">
    <w:pPr>
      <w:pStyle w:val="Footer"/>
      <w:tabs>
        <w:tab w:val="clear" w:pos="4513"/>
        <w:tab w:val="clear" w:pos="9026"/>
        <w:tab w:val="right" w:pos="13892"/>
      </w:tabs>
      <w:spacing w:before="0"/>
    </w:pP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4BC1" w14:textId="70051693" w:rsidR="00A30983" w:rsidRDefault="00A30983" w:rsidP="0071633A">
    <w:pPr>
      <w:pStyle w:val="Footer"/>
      <w:tabs>
        <w:tab w:val="clear" w:pos="4513"/>
        <w:tab w:val="clear" w:pos="9026"/>
        <w:tab w:val="right" w:pos="13892"/>
      </w:tabs>
      <w:spacing w:before="0"/>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8034" w14:textId="61D7E045" w:rsidR="00A30983" w:rsidRDefault="00A30983" w:rsidP="0071633A">
    <w:pPr>
      <w:pStyle w:val="Footer"/>
      <w:tabs>
        <w:tab w:val="clear" w:pos="4513"/>
        <w:tab w:val="clear" w:pos="9026"/>
        <w:tab w:val="right" w:pos="13892"/>
      </w:tabs>
      <w:spacing w:before="0"/>
      <w:jc w:val="right"/>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1156" w14:textId="13C28254" w:rsidR="00A30983" w:rsidRDefault="00A30983" w:rsidP="00DE159A">
    <w:pPr>
      <w:pStyle w:val="Footer"/>
      <w:tabs>
        <w:tab w:val="clear" w:pos="4513"/>
        <w:tab w:val="clear" w:pos="9026"/>
        <w:tab w:val="right" w:pos="13750"/>
      </w:tabs>
      <w:spacing w:before="0"/>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816B" w14:textId="77777777" w:rsidR="00F244B5" w:rsidRDefault="00F244B5" w:rsidP="00B62DF2">
      <w:pPr>
        <w:spacing w:after="0" w:line="240" w:lineRule="auto"/>
      </w:pPr>
      <w:r>
        <w:separator/>
      </w:r>
    </w:p>
  </w:footnote>
  <w:footnote w:type="continuationSeparator" w:id="0">
    <w:p w14:paraId="303361CA" w14:textId="77777777" w:rsidR="00F244B5" w:rsidRDefault="00F244B5" w:rsidP="00B62DF2">
      <w:pPr>
        <w:spacing w:after="0" w:line="240" w:lineRule="auto"/>
      </w:pPr>
      <w:r>
        <w:continuationSeparator/>
      </w:r>
    </w:p>
  </w:footnote>
  <w:footnote w:type="continuationNotice" w:id="1">
    <w:p w14:paraId="06172AD7" w14:textId="77777777" w:rsidR="00F244B5" w:rsidRDefault="00F244B5">
      <w:pPr>
        <w:spacing w:before="0" w:after="0" w:line="240" w:lineRule="auto"/>
      </w:pPr>
    </w:p>
  </w:footnote>
  <w:footnote w:id="2">
    <w:p w14:paraId="7DD8DEC0" w14:textId="77777777" w:rsidR="00B56F4B" w:rsidRDefault="00B56F4B" w:rsidP="00B56F4B">
      <w:pPr>
        <w:pStyle w:val="FootnoteText"/>
      </w:pPr>
      <w:r>
        <w:rPr>
          <w:rStyle w:val="FootnoteReference"/>
        </w:rPr>
        <w:footnoteRef/>
      </w:r>
      <w:r>
        <w:t xml:space="preserve"> </w:t>
      </w:r>
      <w:proofErr w:type="spellStart"/>
      <w:r w:rsidRPr="00EB5820">
        <w:t>Ravich</w:t>
      </w:r>
      <w:proofErr w:type="spellEnd"/>
      <w:r w:rsidRPr="00EB5820">
        <w:t xml:space="preserve"> JW, Huang S, Zhou Y, Brown P, </w:t>
      </w:r>
      <w:proofErr w:type="spellStart"/>
      <w:r w:rsidRPr="00EB5820">
        <w:t>Pui</w:t>
      </w:r>
      <w:proofErr w:type="spellEnd"/>
      <w:r w:rsidRPr="00EB5820">
        <w:t xml:space="preserve"> CH, Inaba H, Cheng C, Gottschalk S, Triplett BM, </w:t>
      </w:r>
      <w:proofErr w:type="spellStart"/>
      <w:r w:rsidRPr="00EB5820">
        <w:t>Bonifant</w:t>
      </w:r>
      <w:proofErr w:type="spellEnd"/>
      <w:r w:rsidRPr="00EB5820">
        <w:t xml:space="preserve"> CL, </w:t>
      </w:r>
      <w:proofErr w:type="spellStart"/>
      <w:r w:rsidRPr="00EB5820">
        <w:t>Talleur</w:t>
      </w:r>
      <w:proofErr w:type="spellEnd"/>
      <w:r w:rsidRPr="00EB5820">
        <w:t xml:space="preserve"> AC. Impact of High Disease Burden on Survival in </w:t>
      </w:r>
      <w:proofErr w:type="spellStart"/>
      <w:r w:rsidRPr="00EB5820">
        <w:t>Pediatric</w:t>
      </w:r>
      <w:proofErr w:type="spellEnd"/>
      <w:r w:rsidRPr="00EB5820">
        <w:t xml:space="preserve"> Patients with B-ALL Treated with Tisagenlecleucel. Transplant Cell </w:t>
      </w:r>
      <w:proofErr w:type="spellStart"/>
      <w:r w:rsidRPr="00EB5820">
        <w:t>Ther</w:t>
      </w:r>
      <w:proofErr w:type="spellEnd"/>
      <w:r w:rsidRPr="00EB5820">
        <w:t>. 2022 Feb;28(2):</w:t>
      </w:r>
      <w:proofErr w:type="gramStart"/>
      <w:r w:rsidRPr="00EB5820">
        <w:t>73.e</w:t>
      </w:r>
      <w:proofErr w:type="gramEnd"/>
      <w:r w:rsidRPr="00EB5820">
        <w:t xml:space="preserve">1-73.e9. </w:t>
      </w:r>
      <w:proofErr w:type="spellStart"/>
      <w:r w:rsidRPr="00EB5820">
        <w:t>doi</w:t>
      </w:r>
      <w:proofErr w:type="spellEnd"/>
      <w:r w:rsidRPr="00EB5820">
        <w:t xml:space="preserve">: 10.1016/j.jtct.2021.11.019. </w:t>
      </w:r>
      <w:proofErr w:type="spellStart"/>
      <w:r w:rsidRPr="00EB5820">
        <w:t>Epub</w:t>
      </w:r>
      <w:proofErr w:type="spellEnd"/>
      <w:r w:rsidRPr="00EB5820">
        <w:t xml:space="preserve"> 2021 Dec 4. PMID: 34875402; PMCID: PMC8816862.</w:t>
      </w:r>
    </w:p>
  </w:footnote>
  <w:footnote w:id="3">
    <w:p w14:paraId="1A0F9F78" w14:textId="77777777" w:rsidR="00095AAB" w:rsidRPr="002250FA" w:rsidRDefault="00095AAB" w:rsidP="00095AAB">
      <w:pPr>
        <w:pStyle w:val="NoSpacing"/>
        <w:rPr>
          <w:sz w:val="16"/>
          <w:szCs w:val="16"/>
        </w:rPr>
      </w:pPr>
      <w:r w:rsidRPr="002250FA">
        <w:rPr>
          <w:rStyle w:val="FootnoteReference"/>
          <w:sz w:val="16"/>
          <w:szCs w:val="16"/>
        </w:rPr>
        <w:footnoteRef/>
      </w:r>
      <w:r w:rsidRPr="002250FA">
        <w:rPr>
          <w:sz w:val="16"/>
          <w:szCs w:val="16"/>
          <w:vertAlign w:val="superscript"/>
        </w:rPr>
        <w:t>5</w:t>
      </w:r>
      <w:r w:rsidRPr="002250FA">
        <w:rPr>
          <w:sz w:val="16"/>
          <w:szCs w:val="16"/>
        </w:rPr>
        <w:t xml:space="preserve"> </w:t>
      </w:r>
      <w:proofErr w:type="spellStart"/>
      <w:r w:rsidRPr="002250FA">
        <w:rPr>
          <w:sz w:val="16"/>
          <w:szCs w:val="16"/>
        </w:rPr>
        <w:t>Verneris</w:t>
      </w:r>
      <w:proofErr w:type="spellEnd"/>
      <w:r w:rsidRPr="002250FA">
        <w:rPr>
          <w:sz w:val="16"/>
          <w:szCs w:val="16"/>
        </w:rPr>
        <w:t xml:space="preserve"> MR et al. Indirect comparison of tisagenlecleucel and blinatumomab in </w:t>
      </w:r>
      <w:proofErr w:type="spellStart"/>
      <w:r w:rsidRPr="002250FA">
        <w:rPr>
          <w:sz w:val="16"/>
          <w:szCs w:val="16"/>
        </w:rPr>
        <w:t>pediatric</w:t>
      </w:r>
      <w:proofErr w:type="spellEnd"/>
      <w:r w:rsidRPr="002250FA">
        <w:rPr>
          <w:sz w:val="16"/>
          <w:szCs w:val="16"/>
        </w:rPr>
        <w:t xml:space="preserve"> relapsed/refractory acute lymphoblastic leukemia. Blood Adv. 2021;5(23):5387-95.</w:t>
      </w:r>
    </w:p>
    <w:p w14:paraId="64657105" w14:textId="77777777" w:rsidR="00095AAB" w:rsidRPr="002250FA" w:rsidRDefault="00095AAB" w:rsidP="00095AAB">
      <w:pPr>
        <w:pStyle w:val="NoSpacing"/>
        <w:rPr>
          <w:sz w:val="16"/>
          <w:szCs w:val="16"/>
        </w:rPr>
      </w:pPr>
      <w:r w:rsidRPr="002250FA">
        <w:rPr>
          <w:sz w:val="16"/>
          <w:szCs w:val="16"/>
          <w:vertAlign w:val="superscript"/>
        </w:rPr>
        <w:t>16</w:t>
      </w:r>
      <w:r>
        <w:rPr>
          <w:sz w:val="16"/>
          <w:szCs w:val="16"/>
        </w:rPr>
        <w:t xml:space="preserve"> </w:t>
      </w:r>
      <w:r w:rsidRPr="002250FA">
        <w:rPr>
          <w:sz w:val="16"/>
          <w:szCs w:val="16"/>
        </w:rPr>
        <w:t xml:space="preserve">Sutton R et al. Outcomes for Australian children with relapsed/refractory acute lymphoblastic leukaemia treated with blinatumomab. </w:t>
      </w:r>
      <w:proofErr w:type="spellStart"/>
      <w:r w:rsidRPr="002250FA">
        <w:rPr>
          <w:sz w:val="16"/>
          <w:szCs w:val="16"/>
        </w:rPr>
        <w:t>Pediatr</w:t>
      </w:r>
      <w:proofErr w:type="spellEnd"/>
      <w:r w:rsidRPr="002250FA">
        <w:rPr>
          <w:sz w:val="16"/>
          <w:szCs w:val="16"/>
        </w:rPr>
        <w:t xml:space="preserve"> Blood Cancer. 2021;68(5</w:t>
      </w:r>
      <w:proofErr w:type="gramStart"/>
      <w:r w:rsidRPr="002250FA">
        <w:rPr>
          <w:sz w:val="16"/>
          <w:szCs w:val="16"/>
        </w:rPr>
        <w:t>):e</w:t>
      </w:r>
      <w:proofErr w:type="gramEnd"/>
      <w:r w:rsidRPr="002250FA">
        <w:rPr>
          <w:sz w:val="16"/>
          <w:szCs w:val="16"/>
        </w:rPr>
        <w:t>28922.</w:t>
      </w:r>
    </w:p>
    <w:p w14:paraId="22ADB006" w14:textId="77777777" w:rsidR="00095AAB" w:rsidRDefault="00095AAB" w:rsidP="00095AAB">
      <w:pPr>
        <w:pStyle w:val="NoSpacing"/>
      </w:pPr>
      <w:r w:rsidRPr="002250FA">
        <w:rPr>
          <w:sz w:val="16"/>
          <w:szCs w:val="16"/>
          <w:vertAlign w:val="superscript"/>
        </w:rPr>
        <w:t>17</w:t>
      </w:r>
      <w:r>
        <w:rPr>
          <w:sz w:val="16"/>
          <w:szCs w:val="16"/>
        </w:rPr>
        <w:t xml:space="preserve"> </w:t>
      </w:r>
      <w:r w:rsidRPr="002250FA">
        <w:rPr>
          <w:sz w:val="16"/>
          <w:szCs w:val="16"/>
        </w:rPr>
        <w:t xml:space="preserve">Locatelli F et al. Blinatumomab in </w:t>
      </w:r>
      <w:proofErr w:type="spellStart"/>
      <w:r w:rsidRPr="002250FA">
        <w:rPr>
          <w:sz w:val="16"/>
          <w:szCs w:val="16"/>
        </w:rPr>
        <w:t>pediatric</w:t>
      </w:r>
      <w:proofErr w:type="spellEnd"/>
      <w:r w:rsidRPr="002250FA">
        <w:rPr>
          <w:sz w:val="16"/>
          <w:szCs w:val="16"/>
        </w:rPr>
        <w:t xml:space="preserve"> relapsed/refractory B-cell acute lymphoblastic leukemia: RIALTO expanded access study final analysis. Blood Adv. 2022;6(3):1004-14.</w:t>
      </w:r>
    </w:p>
  </w:footnote>
  <w:footnote w:id="4">
    <w:p w14:paraId="0886CDA6" w14:textId="47831D89" w:rsidR="008E0E9D" w:rsidRDefault="008E0E9D" w:rsidP="00B52B91">
      <w:pPr>
        <w:pStyle w:val="FootnoteText"/>
      </w:pPr>
      <w:r>
        <w:rPr>
          <w:rStyle w:val="FootnoteReference"/>
        </w:rPr>
        <w:footnoteRef/>
      </w:r>
      <w:r>
        <w:t xml:space="preserve"> </w:t>
      </w:r>
      <w:r w:rsidR="00AA6DCE">
        <w:t>MSAC</w:t>
      </w:r>
      <w:r w:rsidR="00C3443C">
        <w:t xml:space="preserve"> considered and</w:t>
      </w:r>
      <w:r w:rsidR="00AA6DCE">
        <w:t xml:space="preserve"> supported </w:t>
      </w:r>
      <w:r w:rsidR="00B52B91">
        <w:t xml:space="preserve">creating new </w:t>
      </w:r>
      <w:r w:rsidR="00C3443C">
        <w:t xml:space="preserve">MBS </w:t>
      </w:r>
      <w:r w:rsidR="00B52B91">
        <w:t>items</w:t>
      </w:r>
      <w:r w:rsidR="00C3443C">
        <w:t xml:space="preserve"> for </w:t>
      </w:r>
      <w:r w:rsidR="00B52B91">
        <w:t>the detection of MRD)in patients with ALL, using flow cytometry and next-generation sequencing (NGS) methods</w:t>
      </w:r>
      <w:r w:rsidR="003D3800">
        <w:t xml:space="preserve"> </w:t>
      </w:r>
      <w:r w:rsidR="0045043A">
        <w:t>in November 2022 (</w:t>
      </w:r>
      <w:hyperlink r:id="rId1" w:history="1">
        <w:r w:rsidR="003D3800" w:rsidRPr="001806AB">
          <w:rPr>
            <w:rStyle w:val="Hyperlink"/>
          </w:rPr>
          <w:t>MSAC application 1707</w:t>
        </w:r>
      </w:hyperlink>
      <w:r w:rsidR="003D3800">
        <w:t>)</w:t>
      </w:r>
      <w:r w:rsidR="0045043A">
        <w:t xml:space="preserve"> and quantitative molecular assays in March 2023 (</w:t>
      </w:r>
      <w:hyperlink r:id="rId2" w:history="1">
        <w:r w:rsidR="0045043A" w:rsidRPr="001806AB">
          <w:rPr>
            <w:rStyle w:val="Hyperlink"/>
          </w:rPr>
          <w:t>MSAC application 1703</w:t>
        </w:r>
      </w:hyperlink>
      <w:r w:rsidR="0045043A">
        <w:t>)</w:t>
      </w:r>
      <w:r w:rsidR="00B52B91">
        <w:t xml:space="preserve">. </w:t>
      </w:r>
    </w:p>
  </w:footnote>
  <w:footnote w:id="5">
    <w:p w14:paraId="57335F60" w14:textId="1FBBEF74" w:rsidR="00EA6A4A" w:rsidRDefault="00EA6A4A">
      <w:pPr>
        <w:pStyle w:val="FootnoteText"/>
      </w:pPr>
      <w:r>
        <w:rPr>
          <w:rStyle w:val="FootnoteReference"/>
        </w:rPr>
        <w:footnoteRef/>
      </w:r>
      <w:r>
        <w:t xml:space="preserve"> </w:t>
      </w:r>
      <w:r w:rsidR="00E456CF">
        <w:t xml:space="preserve">For example, the </w:t>
      </w:r>
      <w:r w:rsidR="0099153B">
        <w:t xml:space="preserve">clinical criteria for the </w:t>
      </w:r>
      <w:r w:rsidR="00E456CF">
        <w:t>PBS list</w:t>
      </w:r>
      <w:r w:rsidR="006A52E2">
        <w:t>ing for Blinatumomab (</w:t>
      </w:r>
      <w:hyperlink r:id="rId3" w:history="1">
        <w:r w:rsidR="006A52E2" w:rsidRPr="006A52E2">
          <w:rPr>
            <w:rStyle w:val="Hyperlink"/>
          </w:rPr>
          <w:t>11850Q</w:t>
        </w:r>
      </w:hyperlink>
      <w:r w:rsidR="006A52E2">
        <w:t xml:space="preserve">) </w:t>
      </w:r>
      <w:r w:rsidR="0099153B">
        <w:t>includes (amongst other things) ‘</w:t>
      </w:r>
      <w:r w:rsidR="00C1056E" w:rsidRPr="00C1056E">
        <w:t>Patient must have achieved a complete remission,</w:t>
      </w:r>
      <w:r w:rsidR="00C1056E">
        <w:t xml:space="preserve"> AND </w:t>
      </w:r>
      <w:r w:rsidR="00C1056E" w:rsidRPr="00C1056E">
        <w:t>Patient must be minimal residual disease negative, defined as either undetectable using the same method used to determine original eligibility or less than 10-4 (0.01%) blasts based on measurement in bone marrow</w:t>
      </w:r>
      <w:r w:rsidR="00C1056E">
        <w:t>’.</w:t>
      </w:r>
    </w:p>
  </w:footnote>
  <w:footnote w:id="6">
    <w:p w14:paraId="0C61A9CF" w14:textId="77777777" w:rsidR="00A30983" w:rsidRPr="00B46E73" w:rsidRDefault="00A30983" w:rsidP="00D024D4">
      <w:pPr>
        <w:pStyle w:val="FootnoteText"/>
        <w:rPr>
          <w:i/>
          <w:color w:val="0070C0"/>
        </w:rPr>
      </w:pPr>
      <w:r w:rsidRPr="00AE5548">
        <w:rPr>
          <w:rStyle w:val="FootnoteReference"/>
          <w:i/>
        </w:rPr>
        <w:footnoteRef/>
      </w:r>
      <w:r w:rsidRPr="00AE5548">
        <w:rPr>
          <w:i/>
        </w:rPr>
        <w:t xml:space="preserve"> </w:t>
      </w:r>
      <w:proofErr w:type="spellStart"/>
      <w:r w:rsidRPr="00AE5548">
        <w:rPr>
          <w:i/>
        </w:rPr>
        <w:t>EviQ</w:t>
      </w:r>
      <w:proofErr w:type="spellEnd"/>
      <w:r w:rsidRPr="00AE5548">
        <w:rPr>
          <w:i/>
        </w:rPr>
        <w:t xml:space="preserve">: Acute Lymphoblastic Leukaemia. Blinatumomab. URL: </w:t>
      </w:r>
      <w:hyperlink r:id="rId4" w:history="1">
        <w:r w:rsidRPr="00AE5548">
          <w:rPr>
            <w:rStyle w:val="Hyperlink"/>
            <w:color w:val="auto"/>
          </w:rPr>
          <w:t xml:space="preserve"> </w:t>
        </w:r>
        <w:r w:rsidRPr="00AE5548">
          <w:rPr>
            <w:rStyle w:val="Hyperlink"/>
            <w:i/>
            <w:color w:val="auto"/>
          </w:rPr>
          <w:t>https://www.eviq.org.au/haematology-and-bmt/leukaemias/acute-lymphoblastic-leukaemia/3404-acute-lymphoblastic-leukaemia-blinatumomab. Accessed 2 May 2023</w:t>
        </w:r>
      </w:hyperlink>
      <w:r w:rsidRPr="00AE5548">
        <w:rPr>
          <w:i/>
        </w:rPr>
        <w:t>, last updated 30 June 2022</w:t>
      </w:r>
    </w:p>
  </w:footnote>
  <w:footnote w:id="7">
    <w:p w14:paraId="19BC2878" w14:textId="77777777" w:rsidR="00A30983" w:rsidRDefault="00A30983" w:rsidP="00D024D4">
      <w:pPr>
        <w:pStyle w:val="FootnoteText"/>
      </w:pPr>
      <w:r>
        <w:rPr>
          <w:rStyle w:val="FootnoteReference"/>
        </w:rPr>
        <w:footnoteRef/>
      </w:r>
      <w:r>
        <w:t xml:space="preserve"> </w:t>
      </w:r>
      <w:r w:rsidRPr="007E3609">
        <w:t xml:space="preserve">Brown, P., Inaba, H., Annesley, C., Beck, J., </w:t>
      </w:r>
      <w:proofErr w:type="spellStart"/>
      <w:r w:rsidRPr="007E3609">
        <w:t>Colace</w:t>
      </w:r>
      <w:proofErr w:type="spellEnd"/>
      <w:r w:rsidRPr="007E3609">
        <w:t xml:space="preserve">, S., Dallas, M., </w:t>
      </w:r>
      <w:proofErr w:type="spellStart"/>
      <w:r w:rsidRPr="007E3609">
        <w:t>DeSantes</w:t>
      </w:r>
      <w:proofErr w:type="spellEnd"/>
      <w:r w:rsidRPr="007E3609">
        <w:t xml:space="preserve">, K., Kelly, K., </w:t>
      </w:r>
      <w:proofErr w:type="spellStart"/>
      <w:r w:rsidRPr="007E3609">
        <w:t>Kitko</w:t>
      </w:r>
      <w:proofErr w:type="spellEnd"/>
      <w:r w:rsidRPr="007E3609">
        <w:t xml:space="preserve">, C., </w:t>
      </w:r>
      <w:proofErr w:type="spellStart"/>
      <w:r w:rsidRPr="007E3609">
        <w:t>Lacayo</w:t>
      </w:r>
      <w:proofErr w:type="spellEnd"/>
      <w:r w:rsidRPr="007E3609">
        <w:t xml:space="preserve">, N. and Larrier, N., 2020. </w:t>
      </w:r>
      <w:proofErr w:type="spellStart"/>
      <w:r w:rsidRPr="007E3609">
        <w:t>Pediatric</w:t>
      </w:r>
      <w:proofErr w:type="spellEnd"/>
      <w:r w:rsidRPr="007E3609">
        <w:t xml:space="preserve"> acute lymphoblastic leukemia, version 2.2020, NCCN clinical practice guidelines in oncology. Journal of the National Comprehensive Cancer Network, 18(1), pp.81-112.</w:t>
      </w:r>
    </w:p>
  </w:footnote>
  <w:footnote w:id="8">
    <w:p w14:paraId="626934E5" w14:textId="77777777" w:rsidR="00A30983" w:rsidRDefault="00A30983" w:rsidP="00D024D4">
      <w:pPr>
        <w:pStyle w:val="FootnoteText"/>
      </w:pPr>
      <w:r>
        <w:rPr>
          <w:rStyle w:val="FootnoteReference"/>
        </w:rPr>
        <w:footnoteRef/>
      </w:r>
      <w:r>
        <w:t xml:space="preserve"> Brown, P.A., Shah, B., Advani, A., Aoun, P., Boyer, M.W., Burke, P.W., DeAngelo, D.J., Dinner, S., </w:t>
      </w:r>
      <w:proofErr w:type="spellStart"/>
      <w:r>
        <w:t>Fathi</w:t>
      </w:r>
      <w:proofErr w:type="spellEnd"/>
      <w:r>
        <w:t xml:space="preserve">, A.T., Gauthier, J. and Jain, N., 2021. Acute lymphoblastic leukemia, version 2.2021, NCCN clinical practice guidelines in oncology. </w:t>
      </w:r>
      <w:r>
        <w:rPr>
          <w:i/>
          <w:iCs/>
        </w:rPr>
        <w:t>Journal of the National Comprehensive Cancer Network</w:t>
      </w:r>
      <w:r>
        <w:t xml:space="preserve">, </w:t>
      </w:r>
      <w:r>
        <w:rPr>
          <w:i/>
          <w:iCs/>
        </w:rPr>
        <w:t>19</w:t>
      </w:r>
      <w:r>
        <w:t>(9), pp.1079-1109.</w:t>
      </w:r>
    </w:p>
  </w:footnote>
  <w:footnote w:id="9">
    <w:p w14:paraId="3B1A554A" w14:textId="66DFB763" w:rsidR="00A30983" w:rsidRPr="00FB6A73" w:rsidRDefault="00A30983">
      <w:pPr>
        <w:pStyle w:val="FootnoteText"/>
      </w:pPr>
      <w:r>
        <w:rPr>
          <w:rStyle w:val="FootnoteReference"/>
        </w:rPr>
        <w:footnoteRef/>
      </w:r>
      <w:r>
        <w:t xml:space="preserve"> </w:t>
      </w:r>
      <w:r w:rsidRPr="00FB6A73">
        <w:t>Xu, X., Chen, S., Zhao, Z., Xiao, X., Huang, S., Huo, Z., Li, Y. and Tu, S., 2021. Consolidative hematopoietic stem cell transplantation after CD19 CAR-T cell therapy for acute lymphoblastic leukemia: a systematic review and meta-analysis. Frontiers in oncology, 11, p.651944.</w:t>
      </w:r>
    </w:p>
  </w:footnote>
  <w:footnote w:id="10">
    <w:p w14:paraId="7E1EC1B5" w14:textId="77777777" w:rsidR="00B56F4B" w:rsidRDefault="00B56F4B" w:rsidP="00B56F4B">
      <w:pPr>
        <w:pStyle w:val="FootnoteText"/>
      </w:pPr>
      <w:r>
        <w:rPr>
          <w:rStyle w:val="FootnoteReference"/>
        </w:rPr>
        <w:footnoteRef/>
      </w:r>
      <w:r>
        <w:t xml:space="preserve"> </w:t>
      </w:r>
      <w:proofErr w:type="spellStart"/>
      <w:r w:rsidRPr="00EB5820">
        <w:t>Ravich</w:t>
      </w:r>
      <w:proofErr w:type="spellEnd"/>
      <w:r w:rsidRPr="00EB5820">
        <w:t xml:space="preserve"> JW, Huang S, Zhou Y, Brown P, </w:t>
      </w:r>
      <w:proofErr w:type="spellStart"/>
      <w:r w:rsidRPr="00EB5820">
        <w:t>Pui</w:t>
      </w:r>
      <w:proofErr w:type="spellEnd"/>
      <w:r w:rsidRPr="00EB5820">
        <w:t xml:space="preserve"> CH, Inaba H, Cheng C, Gottschalk S, Triplett BM, </w:t>
      </w:r>
      <w:proofErr w:type="spellStart"/>
      <w:r w:rsidRPr="00EB5820">
        <w:t>Bonifant</w:t>
      </w:r>
      <w:proofErr w:type="spellEnd"/>
      <w:r w:rsidRPr="00EB5820">
        <w:t xml:space="preserve"> CL, </w:t>
      </w:r>
      <w:proofErr w:type="spellStart"/>
      <w:r w:rsidRPr="00EB5820">
        <w:t>Talleur</w:t>
      </w:r>
      <w:proofErr w:type="spellEnd"/>
      <w:r w:rsidRPr="00EB5820">
        <w:t xml:space="preserve"> AC. Impact of High Disease Burden on Survival in </w:t>
      </w:r>
      <w:proofErr w:type="spellStart"/>
      <w:r w:rsidRPr="00EB5820">
        <w:t>Pediatric</w:t>
      </w:r>
      <w:proofErr w:type="spellEnd"/>
      <w:r w:rsidRPr="00EB5820">
        <w:t xml:space="preserve"> Patients with B-ALL Treated with Tisagenlecleucel. Transplant Cell </w:t>
      </w:r>
      <w:proofErr w:type="spellStart"/>
      <w:r w:rsidRPr="00EB5820">
        <w:t>Ther</w:t>
      </w:r>
      <w:proofErr w:type="spellEnd"/>
      <w:r w:rsidRPr="00EB5820">
        <w:t>. 2022 Feb;28(2):</w:t>
      </w:r>
      <w:proofErr w:type="gramStart"/>
      <w:r w:rsidRPr="00EB5820">
        <w:t>73.e</w:t>
      </w:r>
      <w:proofErr w:type="gramEnd"/>
      <w:r w:rsidRPr="00EB5820">
        <w:t xml:space="preserve">1-73.e9. </w:t>
      </w:r>
      <w:proofErr w:type="spellStart"/>
      <w:r w:rsidRPr="00EB5820">
        <w:t>doi</w:t>
      </w:r>
      <w:proofErr w:type="spellEnd"/>
      <w:r w:rsidRPr="00EB5820">
        <w:t xml:space="preserve">: 10.1016/j.jtct.2021.11.019. </w:t>
      </w:r>
      <w:proofErr w:type="spellStart"/>
      <w:r w:rsidRPr="00EB5820">
        <w:t>Epub</w:t>
      </w:r>
      <w:proofErr w:type="spellEnd"/>
      <w:r w:rsidRPr="00EB5820">
        <w:t xml:space="preserve"> 2021 Dec 4. PMID: 34875402; PMCID: PMC8816862.</w:t>
      </w:r>
    </w:p>
  </w:footnote>
  <w:footnote w:id="11">
    <w:p w14:paraId="1DCE9D1F" w14:textId="77777777" w:rsidR="00A30983" w:rsidRDefault="00A30983" w:rsidP="00CE46D1">
      <w:pPr>
        <w:pStyle w:val="FootnoteText"/>
      </w:pPr>
      <w:r>
        <w:rPr>
          <w:rStyle w:val="FootnoteReference"/>
        </w:rPr>
        <w:footnoteRef/>
      </w:r>
      <w:r>
        <w:t xml:space="preserve"> Commentary Table 13, ADAR 1748</w:t>
      </w:r>
    </w:p>
  </w:footnote>
  <w:footnote w:id="12">
    <w:p w14:paraId="1A6E6111" w14:textId="77777777" w:rsidR="00A30983" w:rsidRDefault="00A30983" w:rsidP="00CE46D1">
      <w:pPr>
        <w:pStyle w:val="FootnoteText"/>
      </w:pPr>
      <w:r>
        <w:rPr>
          <w:rStyle w:val="FootnoteReference"/>
        </w:rPr>
        <w:footnoteRef/>
      </w:r>
      <w:r>
        <w:t xml:space="preserve"> Additional data from Sponsor</w:t>
      </w:r>
    </w:p>
  </w:footnote>
  <w:footnote w:id="13">
    <w:p w14:paraId="241B30F0" w14:textId="155A1EB9" w:rsidR="00A30983" w:rsidRDefault="00A30983">
      <w:pPr>
        <w:pStyle w:val="FootnoteText"/>
      </w:pPr>
      <w:r>
        <w:rPr>
          <w:rStyle w:val="FootnoteReference"/>
        </w:rPr>
        <w:footnoteRef/>
      </w:r>
      <w:r>
        <w:t xml:space="preserve"> DOR is defined as: d</w:t>
      </w:r>
      <w:r w:rsidRPr="00C05DC1">
        <w:t xml:space="preserve">uration from the date when the response criteria of CR or </w:t>
      </w:r>
      <w:proofErr w:type="spellStart"/>
      <w:r w:rsidRPr="00C05DC1">
        <w:t>CRi</w:t>
      </w:r>
      <w:proofErr w:type="spellEnd"/>
      <w:r w:rsidRPr="00C05DC1">
        <w:t xml:space="preserve"> is first met to the date of relapse or death due to underlying cancer.</w:t>
      </w:r>
    </w:p>
  </w:footnote>
  <w:footnote w:id="14">
    <w:p w14:paraId="178E8280" w14:textId="77777777" w:rsidR="00A30983" w:rsidRDefault="00A30983" w:rsidP="00CE46D1">
      <w:pPr>
        <w:pStyle w:val="FootnoteText"/>
        <w:rPr>
          <w:sz w:val="22"/>
          <w:szCs w:val="22"/>
        </w:rPr>
      </w:pPr>
      <w:r w:rsidRPr="2A99FE84">
        <w:rPr>
          <w:rStyle w:val="FootnoteReference"/>
        </w:rPr>
        <w:footnoteRef/>
      </w:r>
      <w:r>
        <w:t xml:space="preserve"> </w:t>
      </w:r>
      <w:r w:rsidRPr="0071633A">
        <w:rPr>
          <w:sz w:val="20"/>
        </w:rPr>
        <w:t>Figure 14-.2-6.1 document in submission</w:t>
      </w:r>
    </w:p>
  </w:footnote>
  <w:footnote w:id="15">
    <w:p w14:paraId="51311A40" w14:textId="77777777" w:rsidR="00A30983" w:rsidRDefault="00A30983" w:rsidP="00CE46D1">
      <w:pPr>
        <w:pStyle w:val="FootnoteText"/>
      </w:pPr>
      <w:r>
        <w:rPr>
          <w:rStyle w:val="FootnoteReference"/>
        </w:rPr>
        <w:footnoteRef/>
      </w:r>
      <w:r>
        <w:t xml:space="preserve"> Commentary Table 12 the ADAR</w:t>
      </w:r>
    </w:p>
  </w:footnote>
  <w:footnote w:id="16">
    <w:p w14:paraId="45659239" w14:textId="0FD6D9E6" w:rsidR="00A30983" w:rsidRDefault="00A30983">
      <w:pPr>
        <w:pStyle w:val="FootnoteText"/>
      </w:pPr>
      <w:r>
        <w:rPr>
          <w:rStyle w:val="FootnoteReference"/>
        </w:rPr>
        <w:footnoteRef/>
      </w:r>
      <w:r>
        <w:t xml:space="preserve"> </w:t>
      </w:r>
      <w:proofErr w:type="spellStart"/>
      <w:r w:rsidRPr="00C10F3A">
        <w:t>Rossoff</w:t>
      </w:r>
      <w:proofErr w:type="spellEnd"/>
      <w:r w:rsidRPr="00C10F3A">
        <w:t xml:space="preserve"> J, Baggott C, Prabhu S, </w:t>
      </w:r>
      <w:proofErr w:type="spellStart"/>
      <w:r w:rsidRPr="00C10F3A">
        <w:t>Pacenta</w:t>
      </w:r>
      <w:proofErr w:type="spellEnd"/>
      <w:r w:rsidRPr="00C10F3A">
        <w:t xml:space="preserve"> H, Phillips CL, </w:t>
      </w:r>
      <w:proofErr w:type="spellStart"/>
      <w:r w:rsidRPr="00C10F3A">
        <w:t>Stefanski</w:t>
      </w:r>
      <w:proofErr w:type="spellEnd"/>
      <w:r w:rsidRPr="00C10F3A">
        <w:t xml:space="preserve"> H, </w:t>
      </w:r>
      <w:proofErr w:type="spellStart"/>
      <w:r w:rsidRPr="00C10F3A">
        <w:t>Talano</w:t>
      </w:r>
      <w:proofErr w:type="spellEnd"/>
      <w:r w:rsidRPr="00C10F3A">
        <w:t xml:space="preserve"> JA, </w:t>
      </w:r>
      <w:proofErr w:type="spellStart"/>
      <w:r w:rsidRPr="00C10F3A">
        <w:t>Moskop</w:t>
      </w:r>
      <w:proofErr w:type="spellEnd"/>
      <w:r w:rsidRPr="00C10F3A">
        <w:t xml:space="preserve"> A, </w:t>
      </w:r>
      <w:proofErr w:type="spellStart"/>
      <w:r w:rsidRPr="00C10F3A">
        <w:t>Margossian</w:t>
      </w:r>
      <w:proofErr w:type="spellEnd"/>
      <w:r w:rsidRPr="00C10F3A">
        <w:t xml:space="preserve"> SP, </w:t>
      </w:r>
      <w:proofErr w:type="spellStart"/>
      <w:r w:rsidRPr="00C10F3A">
        <w:t>Verneris</w:t>
      </w:r>
      <w:proofErr w:type="spellEnd"/>
      <w:r w:rsidRPr="00C10F3A">
        <w:t xml:space="preserve"> MR, Myers GD, </w:t>
      </w:r>
      <w:proofErr w:type="spellStart"/>
      <w:r w:rsidRPr="00C10F3A">
        <w:t>Karras</w:t>
      </w:r>
      <w:proofErr w:type="spellEnd"/>
      <w:r w:rsidRPr="00C10F3A">
        <w:t xml:space="preserve"> N, Brown PA, </w:t>
      </w:r>
      <w:proofErr w:type="spellStart"/>
      <w:r w:rsidRPr="00C10F3A">
        <w:t>Qayed</w:t>
      </w:r>
      <w:proofErr w:type="spellEnd"/>
      <w:r w:rsidRPr="00C10F3A">
        <w:t xml:space="preserve"> M, Hermiston M, </w:t>
      </w:r>
      <w:proofErr w:type="spellStart"/>
      <w:r w:rsidRPr="00C10F3A">
        <w:t>Satwani</w:t>
      </w:r>
      <w:proofErr w:type="spellEnd"/>
      <w:r w:rsidRPr="00C10F3A">
        <w:t xml:space="preserve"> P, </w:t>
      </w:r>
      <w:proofErr w:type="spellStart"/>
      <w:r w:rsidRPr="00C10F3A">
        <w:t>Krupski</w:t>
      </w:r>
      <w:proofErr w:type="spellEnd"/>
      <w:r w:rsidRPr="00C10F3A">
        <w:t xml:space="preserve"> C, Keating AK, Wilcox R, </w:t>
      </w:r>
      <w:proofErr w:type="spellStart"/>
      <w:r w:rsidRPr="00C10F3A">
        <w:t>Rabik</w:t>
      </w:r>
      <w:proofErr w:type="spellEnd"/>
      <w:r w:rsidRPr="00C10F3A">
        <w:t xml:space="preserve"> CA, Fabrizio VA, </w:t>
      </w:r>
      <w:proofErr w:type="spellStart"/>
      <w:r w:rsidRPr="00C10F3A">
        <w:t>Kunicki</w:t>
      </w:r>
      <w:proofErr w:type="spellEnd"/>
      <w:r w:rsidRPr="00C10F3A">
        <w:t xml:space="preserve"> M, </w:t>
      </w:r>
      <w:proofErr w:type="spellStart"/>
      <w:r w:rsidRPr="00C10F3A">
        <w:t>Chinnabhandar</w:t>
      </w:r>
      <w:proofErr w:type="spellEnd"/>
      <w:r w:rsidRPr="00C10F3A">
        <w:t xml:space="preserve"> V, </w:t>
      </w:r>
      <w:proofErr w:type="spellStart"/>
      <w:r w:rsidRPr="00C10F3A">
        <w:t>Goksenin</w:t>
      </w:r>
      <w:proofErr w:type="spellEnd"/>
      <w:r w:rsidRPr="00C10F3A">
        <w:t xml:space="preserve"> AY, Curran KJ, Mackall CL, </w:t>
      </w:r>
      <w:proofErr w:type="spellStart"/>
      <w:r w:rsidRPr="00C10F3A">
        <w:t>Laetsch</w:t>
      </w:r>
      <w:proofErr w:type="spellEnd"/>
      <w:r w:rsidRPr="00C10F3A">
        <w:t xml:space="preserve"> TW, Schultz LM. Out-of-specification tisagenlecleucel does not compromise safety or efficacy in </w:t>
      </w:r>
      <w:proofErr w:type="spellStart"/>
      <w:r w:rsidRPr="00C10F3A">
        <w:t>pediatric</w:t>
      </w:r>
      <w:proofErr w:type="spellEnd"/>
      <w:r w:rsidRPr="00C10F3A">
        <w:t xml:space="preserve"> acute lymphoblastic leukemia. Blood. 2021 Nov 25;138(21):2138-2142. </w:t>
      </w:r>
      <w:proofErr w:type="spellStart"/>
      <w:r w:rsidRPr="00C10F3A">
        <w:t>doi</w:t>
      </w:r>
      <w:proofErr w:type="spellEnd"/>
      <w:r w:rsidRPr="00C10F3A">
        <w:t>: 10.1182/blood.2021012392. PMID: 34499715; PMCID: PMC8617436.</w:t>
      </w:r>
    </w:p>
  </w:footnote>
  <w:footnote w:id="17">
    <w:p w14:paraId="6D502176" w14:textId="77777777" w:rsidR="00A30983" w:rsidRDefault="00A30983" w:rsidP="005711F5">
      <w:pPr>
        <w:pStyle w:val="FootnoteText"/>
      </w:pPr>
      <w:r>
        <w:rPr>
          <w:rStyle w:val="FootnoteReference"/>
        </w:rPr>
        <w:footnoteRef/>
      </w:r>
      <w:r>
        <w:t xml:space="preserve"> </w:t>
      </w:r>
      <w:r w:rsidRPr="00C4572F">
        <w:t xml:space="preserve">Hill JA, Giralt S, Torgerson TR, Lazarus HM. CAR-T - and a side order of IgG, to go? - Immunoglobulin replacement in patients receiving CAR-T cell therapy. Blood Rev. 2019 </w:t>
      </w:r>
      <w:proofErr w:type="gramStart"/>
      <w:r w:rsidRPr="00C4572F">
        <w:t>Nov;38:100596</w:t>
      </w:r>
      <w:proofErr w:type="gramEnd"/>
      <w:r w:rsidRPr="00C4572F">
        <w:t xml:space="preserve">. </w:t>
      </w:r>
      <w:proofErr w:type="spellStart"/>
      <w:r w:rsidRPr="00C4572F">
        <w:t>doi</w:t>
      </w:r>
      <w:proofErr w:type="spellEnd"/>
      <w:r w:rsidRPr="00C4572F">
        <w:t xml:space="preserve">: 10.1016/j.blre.2019.100596. </w:t>
      </w:r>
      <w:proofErr w:type="spellStart"/>
      <w:r w:rsidRPr="00C4572F">
        <w:t>Epub</w:t>
      </w:r>
      <w:proofErr w:type="spellEnd"/>
      <w:r w:rsidRPr="00C4572F">
        <w:t xml:space="preserve"> 2019 Aug 7. PMID: 31416717; PMCID: PMC6810871.</w:t>
      </w:r>
    </w:p>
  </w:footnote>
  <w:footnote w:id="18">
    <w:p w14:paraId="3620A6FA" w14:textId="77777777" w:rsidR="00A30983" w:rsidRDefault="00A30983" w:rsidP="005711F5">
      <w:pPr>
        <w:pStyle w:val="FootnoteText"/>
      </w:pPr>
      <w:r>
        <w:rPr>
          <w:rStyle w:val="FootnoteReference"/>
        </w:rPr>
        <w:footnoteRef/>
      </w:r>
      <w:r>
        <w:t xml:space="preserve"> </w:t>
      </w:r>
      <w:r w:rsidRPr="0098245E">
        <w:t xml:space="preserve">Hill JA, Giralt S, Torgerson TR, Lazarus HM. CAR-T - and a side order of IgG, to go? - Immunoglobulin replacement in patients receiving CAR-T cell therapy. Blood Rev. 2019 </w:t>
      </w:r>
      <w:proofErr w:type="gramStart"/>
      <w:r w:rsidRPr="0098245E">
        <w:t>Nov;38:100596</w:t>
      </w:r>
      <w:proofErr w:type="gramEnd"/>
      <w:r w:rsidRPr="0098245E">
        <w:t xml:space="preserve">. </w:t>
      </w:r>
      <w:proofErr w:type="spellStart"/>
      <w:r w:rsidRPr="0098245E">
        <w:t>doi</w:t>
      </w:r>
      <w:proofErr w:type="spellEnd"/>
      <w:r w:rsidRPr="0098245E">
        <w:t xml:space="preserve">: 10.1016/j.blre.2019.100596. </w:t>
      </w:r>
      <w:proofErr w:type="spellStart"/>
      <w:r w:rsidRPr="0098245E">
        <w:t>Epub</w:t>
      </w:r>
      <w:proofErr w:type="spellEnd"/>
      <w:r w:rsidRPr="0098245E">
        <w:t xml:space="preserve"> 2019 Aug 7. PMID: 31416717; PMCID: PMC6810871.</w:t>
      </w:r>
    </w:p>
  </w:footnote>
  <w:footnote w:id="19">
    <w:p w14:paraId="23422BD5" w14:textId="593DA425" w:rsidR="00A30983" w:rsidRDefault="00A30983">
      <w:pPr>
        <w:pStyle w:val="FootnoteText"/>
      </w:pPr>
      <w:r>
        <w:rPr>
          <w:rStyle w:val="FootnoteReference"/>
        </w:rPr>
        <w:footnoteRef/>
      </w:r>
      <w:r>
        <w:t xml:space="preserve"> </w:t>
      </w:r>
      <w:r w:rsidRPr="000F7B0A">
        <w:t>Xu, X., Chen, S., Zhao, Z., Xiao, X., Huang, S., Huo, Z., Li, Y. and Tu, S., 2021. Consolidative hematopoietic stem cell transplantation after CD19 CAR-T cell therapy for acute lymphoblastic leukemia: a systematic review and meta-analysis. Frontiers in oncology, 11, p.651944.</w:t>
      </w:r>
    </w:p>
  </w:footnote>
  <w:footnote w:id="20">
    <w:p w14:paraId="2E350728" w14:textId="664ADCCB" w:rsidR="00A30983" w:rsidRPr="009311CE" w:rsidRDefault="00A30983" w:rsidP="00572D77">
      <w:pPr>
        <w:pStyle w:val="FootnoteText"/>
        <w:rPr>
          <w:color w:val="0070C0"/>
          <w:lang w:val="es-ES"/>
        </w:rPr>
      </w:pPr>
      <w:r w:rsidRPr="00A5592E">
        <w:rPr>
          <w:rStyle w:val="FootnoteReference"/>
        </w:rPr>
        <w:footnoteRef/>
      </w:r>
      <w:r w:rsidRPr="00A5592E">
        <w:t xml:space="preserve"> Aamir S, Anwar MY, Khalid F, Khan SI, Ali MA, Khattak ZE. Systematic Review and Meta-analysis of CD19-Specific CAR-T Cell Therapy in Relapsed/Refractory Acute Lymphoblastic Leukemia in the </w:t>
      </w:r>
      <w:proofErr w:type="spellStart"/>
      <w:r w:rsidRPr="00A5592E">
        <w:t>Pediatric</w:t>
      </w:r>
      <w:proofErr w:type="spellEnd"/>
      <w:r w:rsidRPr="00A5592E">
        <w:t xml:space="preserve"> and Young Adult Population: Safety and Efficacy Outcomes. </w:t>
      </w:r>
      <w:r w:rsidRPr="009311CE">
        <w:rPr>
          <w:lang w:val="es-ES"/>
        </w:rPr>
        <w:t xml:space="preserve">Clin </w:t>
      </w:r>
      <w:proofErr w:type="spellStart"/>
      <w:r w:rsidRPr="009311CE">
        <w:rPr>
          <w:lang w:val="es-ES"/>
        </w:rPr>
        <w:t>Lymphoma</w:t>
      </w:r>
      <w:proofErr w:type="spellEnd"/>
      <w:r w:rsidRPr="009311CE">
        <w:rPr>
          <w:lang w:val="es-ES"/>
        </w:rPr>
        <w:t xml:space="preserve"> Myeloma </w:t>
      </w:r>
      <w:proofErr w:type="spellStart"/>
      <w:r w:rsidRPr="009311CE">
        <w:rPr>
          <w:lang w:val="es-ES"/>
        </w:rPr>
        <w:t>Leuk</w:t>
      </w:r>
      <w:proofErr w:type="spellEnd"/>
      <w:r w:rsidRPr="009311CE">
        <w:rPr>
          <w:lang w:val="es-ES"/>
        </w:rPr>
        <w:t>. 2021 Apr;21(4</w:t>
      </w:r>
      <w:proofErr w:type="gramStart"/>
      <w:r w:rsidRPr="009311CE">
        <w:rPr>
          <w:lang w:val="es-ES"/>
        </w:rPr>
        <w:t>):e</w:t>
      </w:r>
      <w:proofErr w:type="gramEnd"/>
      <w:r w:rsidRPr="009311CE">
        <w:rPr>
          <w:lang w:val="es-ES"/>
        </w:rPr>
        <w:t xml:space="preserve">334-e347. </w:t>
      </w:r>
      <w:proofErr w:type="spellStart"/>
      <w:r w:rsidRPr="009311CE">
        <w:rPr>
          <w:lang w:val="es-ES"/>
        </w:rPr>
        <w:t>doi</w:t>
      </w:r>
      <w:proofErr w:type="spellEnd"/>
      <w:r w:rsidRPr="009311CE">
        <w:rPr>
          <w:lang w:val="es-ES"/>
        </w:rPr>
        <w:t xml:space="preserve">: 10.1016/j.clml.2020.12.010. </w:t>
      </w:r>
      <w:proofErr w:type="spellStart"/>
      <w:r w:rsidRPr="009311CE">
        <w:rPr>
          <w:lang w:val="es-ES"/>
        </w:rPr>
        <w:t>Epub</w:t>
      </w:r>
      <w:proofErr w:type="spellEnd"/>
      <w:r w:rsidRPr="009311CE">
        <w:rPr>
          <w:lang w:val="es-ES"/>
        </w:rPr>
        <w:t xml:space="preserve"> 2020 </w:t>
      </w:r>
      <w:proofErr w:type="spellStart"/>
      <w:r w:rsidRPr="009311CE">
        <w:rPr>
          <w:lang w:val="es-ES"/>
        </w:rPr>
        <w:t>Dec</w:t>
      </w:r>
      <w:proofErr w:type="spellEnd"/>
      <w:r w:rsidRPr="009311CE">
        <w:rPr>
          <w:lang w:val="es-ES"/>
        </w:rPr>
        <w:t xml:space="preserve"> 17. PMID: 33573914.</w:t>
      </w:r>
    </w:p>
  </w:footnote>
  <w:footnote w:id="21">
    <w:p w14:paraId="6CAC08F1" w14:textId="4C84CD5F" w:rsidR="00E94568" w:rsidRPr="00BE22DA" w:rsidRDefault="00E94568">
      <w:pPr>
        <w:pStyle w:val="FootnoteText"/>
        <w:rPr>
          <w:i/>
          <w:iCs/>
        </w:rPr>
      </w:pPr>
      <w:r>
        <w:rPr>
          <w:rStyle w:val="FootnoteReference"/>
        </w:rPr>
        <w:footnoteRef/>
      </w:r>
      <w:r>
        <w:t xml:space="preserve"> </w:t>
      </w:r>
      <w:r w:rsidRPr="00BE22DA">
        <w:rPr>
          <w:i/>
          <w:iCs/>
        </w:rPr>
        <w:t>This sentence has been modified to protect patient privacy.</w:t>
      </w:r>
      <w:r>
        <w:t xml:space="preserve"> </w:t>
      </w:r>
    </w:p>
  </w:footnote>
  <w:footnote w:id="22">
    <w:p w14:paraId="5A239BA0" w14:textId="512067A8" w:rsidR="00A30983" w:rsidRPr="009311CE" w:rsidRDefault="00A30983">
      <w:pPr>
        <w:pStyle w:val="FootnoteText"/>
        <w:rPr>
          <w:lang w:val="es-ES"/>
        </w:rPr>
      </w:pPr>
      <w:r>
        <w:rPr>
          <w:rStyle w:val="FootnoteReference"/>
        </w:rPr>
        <w:footnoteRef/>
      </w:r>
      <w:r w:rsidRPr="009311CE">
        <w:rPr>
          <w:lang w:val="es-ES"/>
        </w:rPr>
        <w:t xml:space="preserve"> </w:t>
      </w:r>
      <w:proofErr w:type="spellStart"/>
      <w:r w:rsidRPr="009311CE">
        <w:rPr>
          <w:lang w:val="es-ES"/>
        </w:rPr>
        <w:t>von</w:t>
      </w:r>
      <w:proofErr w:type="spellEnd"/>
      <w:r w:rsidRPr="009311CE">
        <w:rPr>
          <w:lang w:val="es-ES"/>
        </w:rPr>
        <w:t xml:space="preserve"> </w:t>
      </w:r>
      <w:proofErr w:type="spellStart"/>
      <w:r w:rsidRPr="009311CE">
        <w:rPr>
          <w:lang w:val="es-ES"/>
        </w:rPr>
        <w:t>Stackelberg</w:t>
      </w:r>
      <w:proofErr w:type="spellEnd"/>
      <w:r w:rsidRPr="009311CE">
        <w:rPr>
          <w:lang w:val="es-ES"/>
        </w:rPr>
        <w:t xml:space="preserve">, A, </w:t>
      </w:r>
      <w:proofErr w:type="spellStart"/>
      <w:r w:rsidRPr="009311CE">
        <w:rPr>
          <w:lang w:val="es-ES"/>
        </w:rPr>
        <w:t>Locatelli</w:t>
      </w:r>
      <w:proofErr w:type="spellEnd"/>
      <w:r w:rsidRPr="009311CE">
        <w:rPr>
          <w:lang w:val="es-ES"/>
        </w:rPr>
        <w:t xml:space="preserve">, F, </w:t>
      </w:r>
      <w:proofErr w:type="spellStart"/>
      <w:r w:rsidRPr="009311CE">
        <w:rPr>
          <w:lang w:val="es-ES"/>
        </w:rPr>
        <w:t>Zugmaier</w:t>
      </w:r>
      <w:proofErr w:type="spellEnd"/>
      <w:r w:rsidRPr="009311CE">
        <w:rPr>
          <w:lang w:val="es-ES"/>
        </w:rPr>
        <w:t xml:space="preserve">, G, </w:t>
      </w:r>
      <w:proofErr w:type="spellStart"/>
      <w:r w:rsidRPr="009311CE">
        <w:rPr>
          <w:lang w:val="es-ES"/>
        </w:rPr>
        <w:t>Handgretinger</w:t>
      </w:r>
      <w:proofErr w:type="spellEnd"/>
      <w:r w:rsidRPr="009311CE">
        <w:rPr>
          <w:lang w:val="es-ES"/>
        </w:rPr>
        <w:t xml:space="preserve">, R, </w:t>
      </w:r>
      <w:proofErr w:type="spellStart"/>
      <w:r w:rsidRPr="009311CE">
        <w:rPr>
          <w:lang w:val="es-ES"/>
        </w:rPr>
        <w:t>Trippett</w:t>
      </w:r>
      <w:proofErr w:type="spellEnd"/>
      <w:r w:rsidRPr="009311CE">
        <w:rPr>
          <w:lang w:val="es-ES"/>
        </w:rPr>
        <w:t xml:space="preserve">, TM, </w:t>
      </w:r>
      <w:proofErr w:type="spellStart"/>
      <w:r w:rsidRPr="009311CE">
        <w:rPr>
          <w:lang w:val="es-ES"/>
        </w:rPr>
        <w:t>Rizzari</w:t>
      </w:r>
      <w:proofErr w:type="spellEnd"/>
      <w:r w:rsidRPr="009311CE">
        <w:rPr>
          <w:lang w:val="es-ES"/>
        </w:rPr>
        <w:t xml:space="preserve">, C, </w:t>
      </w:r>
      <w:proofErr w:type="spellStart"/>
      <w:r w:rsidRPr="009311CE">
        <w:rPr>
          <w:lang w:val="es-ES"/>
        </w:rPr>
        <w:t>Bader</w:t>
      </w:r>
      <w:proofErr w:type="spellEnd"/>
      <w:r w:rsidRPr="009311CE">
        <w:rPr>
          <w:lang w:val="es-ES"/>
        </w:rPr>
        <w:t xml:space="preserve">, P, O'Brien, MM, </w:t>
      </w:r>
      <w:proofErr w:type="spellStart"/>
      <w:r w:rsidRPr="009311CE">
        <w:rPr>
          <w:lang w:val="es-ES"/>
        </w:rPr>
        <w:t>Brethon</w:t>
      </w:r>
      <w:proofErr w:type="spellEnd"/>
      <w:r w:rsidRPr="009311CE">
        <w:rPr>
          <w:lang w:val="es-ES"/>
        </w:rPr>
        <w:t xml:space="preserve">, B, </w:t>
      </w:r>
      <w:proofErr w:type="spellStart"/>
      <w:r w:rsidRPr="009311CE">
        <w:rPr>
          <w:lang w:val="es-ES"/>
        </w:rPr>
        <w:t>Bhojwani</w:t>
      </w:r>
      <w:proofErr w:type="spellEnd"/>
      <w:r w:rsidRPr="009311CE">
        <w:rPr>
          <w:lang w:val="es-ES"/>
        </w:rPr>
        <w:t xml:space="preserve">, D, Schlegel, PG, </w:t>
      </w:r>
      <w:proofErr w:type="spellStart"/>
      <w:r w:rsidRPr="009311CE">
        <w:rPr>
          <w:lang w:val="es-ES"/>
        </w:rPr>
        <w:t>Borkhardt</w:t>
      </w:r>
      <w:proofErr w:type="spellEnd"/>
      <w:r w:rsidRPr="009311CE">
        <w:rPr>
          <w:lang w:val="es-ES"/>
        </w:rPr>
        <w:t xml:space="preserve">, A, </w:t>
      </w:r>
      <w:proofErr w:type="spellStart"/>
      <w:r w:rsidRPr="009311CE">
        <w:rPr>
          <w:lang w:val="es-ES"/>
        </w:rPr>
        <w:t>Rheingold</w:t>
      </w:r>
      <w:proofErr w:type="spellEnd"/>
      <w:r w:rsidRPr="009311CE">
        <w:rPr>
          <w:lang w:val="es-ES"/>
        </w:rPr>
        <w:t xml:space="preserve">, SR, Cooper, TM, </w:t>
      </w:r>
      <w:proofErr w:type="spellStart"/>
      <w:r w:rsidRPr="009311CE">
        <w:rPr>
          <w:lang w:val="es-ES"/>
        </w:rPr>
        <w:t>Zwaan</w:t>
      </w:r>
      <w:proofErr w:type="spellEnd"/>
      <w:r w:rsidRPr="009311CE">
        <w:rPr>
          <w:lang w:val="es-ES"/>
        </w:rPr>
        <w:t xml:space="preserve">, CM, </w:t>
      </w:r>
      <w:proofErr w:type="spellStart"/>
      <w:r w:rsidRPr="009311CE">
        <w:rPr>
          <w:lang w:val="es-ES"/>
        </w:rPr>
        <w:t>Barnette</w:t>
      </w:r>
      <w:proofErr w:type="spellEnd"/>
      <w:r w:rsidRPr="009311CE">
        <w:rPr>
          <w:lang w:val="es-ES"/>
        </w:rPr>
        <w:t xml:space="preserve">, P, Messina, C, Michel, G, </w:t>
      </w:r>
      <w:proofErr w:type="spellStart"/>
      <w:r w:rsidRPr="009311CE">
        <w:rPr>
          <w:lang w:val="es-ES"/>
        </w:rPr>
        <w:t>DuBois</w:t>
      </w:r>
      <w:proofErr w:type="spellEnd"/>
      <w:r w:rsidRPr="009311CE">
        <w:rPr>
          <w:lang w:val="es-ES"/>
        </w:rPr>
        <w:t xml:space="preserve">, SG, </w:t>
      </w:r>
      <w:proofErr w:type="spellStart"/>
      <w:r w:rsidRPr="009311CE">
        <w:rPr>
          <w:lang w:val="es-ES"/>
        </w:rPr>
        <w:t>Hu</w:t>
      </w:r>
      <w:proofErr w:type="spellEnd"/>
      <w:r w:rsidRPr="009311CE">
        <w:rPr>
          <w:lang w:val="es-ES"/>
        </w:rPr>
        <w:t xml:space="preserve">, K, Zhu, M, </w:t>
      </w:r>
      <w:proofErr w:type="spellStart"/>
      <w:r w:rsidRPr="009311CE">
        <w:rPr>
          <w:lang w:val="es-ES"/>
        </w:rPr>
        <w:t>Whitlock</w:t>
      </w:r>
      <w:proofErr w:type="spellEnd"/>
      <w:r w:rsidRPr="009311CE">
        <w:rPr>
          <w:lang w:val="es-ES"/>
        </w:rPr>
        <w:t>, JA &amp; Gore, L 2016, '</w:t>
      </w:r>
      <w:proofErr w:type="spellStart"/>
      <w:r w:rsidRPr="009311CE">
        <w:rPr>
          <w:lang w:val="es-ES"/>
        </w:rPr>
        <w:t>Phase</w:t>
      </w:r>
      <w:proofErr w:type="spellEnd"/>
      <w:r w:rsidRPr="009311CE">
        <w:rPr>
          <w:lang w:val="es-ES"/>
        </w:rPr>
        <w:t xml:space="preserve"> I/</w:t>
      </w:r>
      <w:proofErr w:type="spellStart"/>
      <w:r w:rsidRPr="009311CE">
        <w:rPr>
          <w:lang w:val="es-ES"/>
        </w:rPr>
        <w:t>Phase</w:t>
      </w:r>
      <w:proofErr w:type="spellEnd"/>
      <w:r w:rsidRPr="009311CE">
        <w:rPr>
          <w:lang w:val="es-ES"/>
        </w:rPr>
        <w:t xml:space="preserve"> II </w:t>
      </w:r>
      <w:proofErr w:type="spellStart"/>
      <w:r w:rsidRPr="009311CE">
        <w:rPr>
          <w:lang w:val="es-ES"/>
        </w:rPr>
        <w:t>Study</w:t>
      </w:r>
      <w:proofErr w:type="spellEnd"/>
      <w:r w:rsidRPr="009311CE">
        <w:rPr>
          <w:lang w:val="es-ES"/>
        </w:rPr>
        <w:t xml:space="preserve"> </w:t>
      </w:r>
      <w:proofErr w:type="spellStart"/>
      <w:r w:rsidRPr="009311CE">
        <w:rPr>
          <w:lang w:val="es-ES"/>
        </w:rPr>
        <w:t>of</w:t>
      </w:r>
      <w:proofErr w:type="spellEnd"/>
      <w:r w:rsidRPr="009311CE">
        <w:rPr>
          <w:lang w:val="es-ES"/>
        </w:rPr>
        <w:t xml:space="preserve"> </w:t>
      </w:r>
      <w:proofErr w:type="spellStart"/>
      <w:r w:rsidRPr="009311CE">
        <w:rPr>
          <w:lang w:val="es-ES"/>
        </w:rPr>
        <w:t>Blinatumomab</w:t>
      </w:r>
      <w:proofErr w:type="spellEnd"/>
      <w:r w:rsidRPr="009311CE">
        <w:rPr>
          <w:lang w:val="es-ES"/>
        </w:rPr>
        <w:t xml:space="preserve"> in </w:t>
      </w:r>
      <w:proofErr w:type="spellStart"/>
      <w:r w:rsidRPr="009311CE">
        <w:rPr>
          <w:lang w:val="es-ES"/>
        </w:rPr>
        <w:t>Pediatric</w:t>
      </w:r>
      <w:proofErr w:type="spellEnd"/>
      <w:r w:rsidRPr="009311CE">
        <w:rPr>
          <w:lang w:val="es-ES"/>
        </w:rPr>
        <w:t xml:space="preserve"> </w:t>
      </w:r>
      <w:proofErr w:type="spellStart"/>
      <w:r w:rsidRPr="009311CE">
        <w:rPr>
          <w:lang w:val="es-ES"/>
        </w:rPr>
        <w:t>Patients</w:t>
      </w:r>
      <w:proofErr w:type="spellEnd"/>
      <w:r w:rsidRPr="009311CE">
        <w:rPr>
          <w:lang w:val="es-ES"/>
        </w:rPr>
        <w:t xml:space="preserve"> </w:t>
      </w:r>
      <w:proofErr w:type="spellStart"/>
      <w:r w:rsidRPr="009311CE">
        <w:rPr>
          <w:lang w:val="es-ES"/>
        </w:rPr>
        <w:t>With</w:t>
      </w:r>
      <w:proofErr w:type="spellEnd"/>
      <w:r w:rsidRPr="009311CE">
        <w:rPr>
          <w:lang w:val="es-ES"/>
        </w:rPr>
        <w:t xml:space="preserve"> </w:t>
      </w:r>
      <w:proofErr w:type="spellStart"/>
      <w:r w:rsidRPr="009311CE">
        <w:rPr>
          <w:lang w:val="es-ES"/>
        </w:rPr>
        <w:t>Relapsed</w:t>
      </w:r>
      <w:proofErr w:type="spellEnd"/>
      <w:r w:rsidRPr="009311CE">
        <w:rPr>
          <w:lang w:val="es-ES"/>
        </w:rPr>
        <w:t>/</w:t>
      </w:r>
      <w:proofErr w:type="spellStart"/>
      <w:r w:rsidRPr="009311CE">
        <w:rPr>
          <w:lang w:val="es-ES"/>
        </w:rPr>
        <w:t>Refractory</w:t>
      </w:r>
      <w:proofErr w:type="spellEnd"/>
      <w:r w:rsidRPr="009311CE">
        <w:rPr>
          <w:lang w:val="es-ES"/>
        </w:rPr>
        <w:t xml:space="preserve"> Acute </w:t>
      </w:r>
      <w:proofErr w:type="spellStart"/>
      <w:r w:rsidRPr="009311CE">
        <w:rPr>
          <w:lang w:val="es-ES"/>
        </w:rPr>
        <w:t>Lymphoblastic</w:t>
      </w:r>
      <w:proofErr w:type="spellEnd"/>
      <w:r w:rsidRPr="009311CE">
        <w:rPr>
          <w:lang w:val="es-ES"/>
        </w:rPr>
        <w:t xml:space="preserve"> </w:t>
      </w:r>
      <w:proofErr w:type="spellStart"/>
      <w:r w:rsidRPr="009311CE">
        <w:rPr>
          <w:lang w:val="es-ES"/>
        </w:rPr>
        <w:t>Leukemia</w:t>
      </w:r>
      <w:proofErr w:type="spellEnd"/>
      <w:r w:rsidRPr="009311CE">
        <w:rPr>
          <w:lang w:val="es-ES"/>
        </w:rPr>
        <w:t xml:space="preserve">', J Clin Oncol, vol. 34, no. 36, </w:t>
      </w:r>
      <w:proofErr w:type="spellStart"/>
      <w:r w:rsidRPr="009311CE">
        <w:rPr>
          <w:lang w:val="es-ES"/>
        </w:rPr>
        <w:t>Dec</w:t>
      </w:r>
      <w:proofErr w:type="spellEnd"/>
      <w:r w:rsidRPr="009311CE">
        <w:rPr>
          <w:lang w:val="es-ES"/>
        </w:rPr>
        <w:t xml:space="preserve"> 20, pp. 4381-4389.</w:t>
      </w:r>
    </w:p>
  </w:footnote>
  <w:footnote w:id="23">
    <w:p w14:paraId="76FA8E21" w14:textId="28D86B74" w:rsidR="00A30983" w:rsidRDefault="00A30983" w:rsidP="00B51042">
      <w:pPr>
        <w:pStyle w:val="FootnoteText"/>
      </w:pPr>
      <w:r>
        <w:rPr>
          <w:rStyle w:val="FootnoteReference"/>
        </w:rPr>
        <w:footnoteRef/>
      </w:r>
      <w:r>
        <w:t xml:space="preserve"> </w:t>
      </w:r>
      <w:proofErr w:type="spellStart"/>
      <w:r>
        <w:t>Muszbek</w:t>
      </w:r>
      <w:proofErr w:type="spellEnd"/>
      <w:r>
        <w:t xml:space="preserve">, N., A. </w:t>
      </w:r>
      <w:proofErr w:type="spellStart"/>
      <w:r>
        <w:t>Kadambi</w:t>
      </w:r>
      <w:proofErr w:type="spellEnd"/>
      <w:r>
        <w:t xml:space="preserve">, T. </w:t>
      </w:r>
      <w:proofErr w:type="spellStart"/>
      <w:r>
        <w:t>Lanitis</w:t>
      </w:r>
      <w:proofErr w:type="spellEnd"/>
      <w:r>
        <w:t xml:space="preserve">, A. J. </w:t>
      </w:r>
      <w:proofErr w:type="spellStart"/>
      <w:r>
        <w:t>Hatswell</w:t>
      </w:r>
      <w:proofErr w:type="spellEnd"/>
      <w:r>
        <w:t xml:space="preserve">, D. Patel, L. Wang, J. W. </w:t>
      </w:r>
      <w:proofErr w:type="gramStart"/>
      <w:r>
        <w:t>Singer</w:t>
      </w:r>
      <w:proofErr w:type="gramEnd"/>
      <w:r>
        <w:t xml:space="preserve"> and R. </w:t>
      </w:r>
      <w:proofErr w:type="spellStart"/>
      <w:r>
        <w:t>Pettengell</w:t>
      </w:r>
      <w:proofErr w:type="spellEnd"/>
      <w:r>
        <w:t xml:space="preserve"> (2016). "The Cost-effectiveness of Pixantrone for Third/Fourth-line Treatment of Aggressive Non-Hodgkin's Lymphoma." Clin </w:t>
      </w:r>
      <w:proofErr w:type="spellStart"/>
      <w:r>
        <w:t>Ther</w:t>
      </w:r>
      <w:proofErr w:type="spellEnd"/>
      <w:r>
        <w:t xml:space="preserve"> 38(3): 503-515.</w:t>
      </w:r>
    </w:p>
  </w:footnote>
  <w:footnote w:id="24">
    <w:p w14:paraId="6367405A" w14:textId="2057425C" w:rsidR="00A30983" w:rsidRDefault="00A30983">
      <w:pPr>
        <w:pStyle w:val="FootnoteText"/>
      </w:pPr>
      <w:r>
        <w:rPr>
          <w:rStyle w:val="FootnoteReference"/>
        </w:rPr>
        <w:footnoteRef/>
      </w:r>
      <w:r>
        <w:t xml:space="preserve"> Source: “13. 1519 – Assessment group critique of additional data_Final.docx”</w:t>
      </w:r>
    </w:p>
  </w:footnote>
  <w:footnote w:id="25">
    <w:p w14:paraId="60A4C4B4" w14:textId="7248C0FD" w:rsidR="00A30983" w:rsidRPr="00DA4D9D" w:rsidRDefault="00A30983" w:rsidP="00EB08B0">
      <w:pPr>
        <w:pStyle w:val="FootnoteText"/>
      </w:pPr>
      <w:r w:rsidRPr="006B231E">
        <w:rPr>
          <w:rStyle w:val="FootnoteReference"/>
        </w:rPr>
        <w:footnoteRef/>
      </w:r>
      <w:r w:rsidRPr="006B231E">
        <w:rPr>
          <w:rStyle w:val="FootnoteReference"/>
        </w:rPr>
        <w:t xml:space="preserve"> </w:t>
      </w:r>
      <w:r w:rsidRPr="006B231E">
        <w:t xml:space="preserve">ABMTRR has data on </w:t>
      </w:r>
      <w:r w:rsidR="00982219">
        <w:t>###</w:t>
      </w:r>
      <w:r w:rsidRPr="006B231E">
        <w:t xml:space="preserve"> (</w:t>
      </w:r>
      <w:r w:rsidR="00982219" w:rsidRPr="00982219">
        <w:rPr>
          <w:color w:val="000000"/>
          <w:spacing w:val="104"/>
          <w:shd w:val="solid" w:color="000000" w:fill="000000"/>
          <w:fitText w:val="270" w:id="-1157969660"/>
          <w14:textFill>
            <w14:solidFill>
              <w14:srgbClr w14:val="000000">
                <w14:alpha w14:val="100000"/>
              </w14:srgbClr>
            </w14:solidFill>
          </w14:textFill>
        </w:rPr>
        <w:t>|</w:t>
      </w:r>
      <w:r w:rsidR="00982219" w:rsidRPr="00982219">
        <w:rPr>
          <w:color w:val="000000"/>
          <w:shd w:val="solid" w:color="000000" w:fill="000000"/>
          <w:fitText w:val="270" w:id="-1157969660"/>
          <w14:textFill>
            <w14:solidFill>
              <w14:srgbClr w14:val="000000">
                <w14:alpha w14:val="100000"/>
              </w14:srgbClr>
            </w14:solidFill>
          </w14:textFill>
        </w:rPr>
        <w:t>|</w:t>
      </w:r>
      <w:r w:rsidRPr="006B231E">
        <w:t xml:space="preserve">%) patients reported as having subsequent SCT, however this appears likely to rise with longer follow-up. </w:t>
      </w:r>
      <w:r w:rsidR="00982219" w:rsidRPr="00982219">
        <w:rPr>
          <w:color w:val="000000"/>
          <w:spacing w:val="104"/>
          <w:shd w:val="solid" w:color="000000" w:fill="000000"/>
          <w:fitText w:val="270" w:id="-1157969659"/>
          <w14:textFill>
            <w14:solidFill>
              <w14:srgbClr w14:val="000000">
                <w14:alpha w14:val="100000"/>
              </w14:srgbClr>
            </w14:solidFill>
          </w14:textFill>
        </w:rPr>
        <w:t>|</w:t>
      </w:r>
      <w:r w:rsidR="00982219" w:rsidRPr="00982219">
        <w:rPr>
          <w:color w:val="000000"/>
          <w:shd w:val="solid" w:color="000000" w:fill="000000"/>
          <w:fitText w:val="270" w:id="-1157969659"/>
          <w14:textFill>
            <w14:solidFill>
              <w14:srgbClr w14:val="000000">
                <w14:alpha w14:val="100000"/>
              </w14:srgbClr>
            </w14:solidFill>
          </w14:textFill>
        </w:rPr>
        <w:t>|</w:t>
      </w:r>
      <w:r w:rsidRPr="00BE22DA">
        <w:rPr>
          <w:highlight w:val="cyan"/>
        </w:rPr>
        <w:t xml:space="preserve">. </w:t>
      </w:r>
      <w:r w:rsidRPr="005075FA">
        <w:t xml:space="preserve">NSW reported </w:t>
      </w:r>
      <w:r w:rsidR="00257986" w:rsidRPr="005075FA">
        <w:t>&lt;5</w:t>
      </w:r>
      <w:r w:rsidRPr="005075FA">
        <w:t xml:space="preserve">/13 (8%) patients treated at NSW had a subsequent </w:t>
      </w:r>
      <w:proofErr w:type="spellStart"/>
      <w:r w:rsidR="0033257E" w:rsidRPr="005075FA">
        <w:t>a</w:t>
      </w:r>
      <w:r w:rsidRPr="005075FA">
        <w:t>HSCT</w:t>
      </w:r>
      <w:proofErr w:type="spellEnd"/>
      <w:r w:rsidRPr="005075FA">
        <w:t xml:space="preserve">. Queensland reported </w:t>
      </w:r>
      <w:r w:rsidR="00982219" w:rsidRPr="00982219">
        <w:rPr>
          <w:color w:val="000000"/>
          <w:spacing w:val="104"/>
          <w:shd w:val="solid" w:color="000000" w:fill="000000"/>
          <w:fitText w:val="270" w:id="-1157969658"/>
          <w14:textFill>
            <w14:solidFill>
              <w14:srgbClr w14:val="000000">
                <w14:alpha w14:val="100000"/>
              </w14:srgbClr>
            </w14:solidFill>
          </w14:textFill>
        </w:rPr>
        <w:t>|</w:t>
      </w:r>
      <w:r w:rsidR="00982219" w:rsidRPr="00982219">
        <w:rPr>
          <w:color w:val="000000"/>
          <w:shd w:val="solid" w:color="000000" w:fill="000000"/>
          <w:fitText w:val="270" w:id="-1157969658"/>
          <w14:textFill>
            <w14:solidFill>
              <w14:srgbClr w14:val="000000">
                <w14:alpha w14:val="100000"/>
              </w14:srgbClr>
            </w14:solidFill>
          </w14:textFill>
        </w:rPr>
        <w:t>|</w:t>
      </w:r>
      <w:r w:rsidRPr="00BE22DA">
        <w:rPr>
          <w:highlight w:val="cyan"/>
        </w:rPr>
        <w:t>/</w:t>
      </w:r>
      <w:r w:rsidR="00982219" w:rsidRPr="00982219">
        <w:rPr>
          <w:color w:val="000000"/>
          <w:spacing w:val="104"/>
          <w:shd w:val="solid" w:color="000000" w:fill="000000"/>
          <w:fitText w:val="270" w:id="-1157969657"/>
          <w14:textFill>
            <w14:solidFill>
              <w14:srgbClr w14:val="000000">
                <w14:alpha w14:val="100000"/>
              </w14:srgbClr>
            </w14:solidFill>
          </w14:textFill>
        </w:rPr>
        <w:t>|</w:t>
      </w:r>
      <w:r w:rsidR="00982219" w:rsidRPr="00982219">
        <w:rPr>
          <w:color w:val="000000"/>
          <w:shd w:val="solid" w:color="000000" w:fill="000000"/>
          <w:fitText w:val="270" w:id="-1157969657"/>
          <w14:textFill>
            <w14:solidFill>
              <w14:srgbClr w14:val="000000">
                <w14:alpha w14:val="100000"/>
              </w14:srgbClr>
            </w14:solidFill>
          </w14:textFill>
        </w:rPr>
        <w:t>|</w:t>
      </w:r>
      <w:r w:rsidRPr="00BE22DA">
        <w:rPr>
          <w:highlight w:val="cyan"/>
        </w:rPr>
        <w:t xml:space="preserve"> </w:t>
      </w:r>
      <w:r w:rsidRPr="00BE22DA">
        <w:rPr>
          <w:highlight w:val="darkGray"/>
        </w:rPr>
        <w:t>(</w:t>
      </w:r>
      <w:r w:rsidRPr="005075FA">
        <w:t xml:space="preserve">50%) patients treated in Queensland had a subsequent </w:t>
      </w:r>
      <w:proofErr w:type="spellStart"/>
      <w:r w:rsidR="0033257E" w:rsidRPr="005075FA">
        <w:t>aH</w:t>
      </w:r>
      <w:r w:rsidRPr="005075FA">
        <w:t>SCT</w:t>
      </w:r>
      <w:proofErr w:type="spellEnd"/>
      <w:r w:rsidRPr="005075FA">
        <w:t xml:space="preserve">. This indicates approximately 31-35% (16-18 out of 52) of patients had, or are planned to have, </w:t>
      </w:r>
      <w:proofErr w:type="spellStart"/>
      <w:r w:rsidRPr="005075FA">
        <w:t>a</w:t>
      </w:r>
      <w:r w:rsidR="0033257E" w:rsidRPr="005075FA">
        <w:t>H</w:t>
      </w:r>
      <w:r w:rsidRPr="005075FA">
        <w:t>SCT</w:t>
      </w:r>
      <w:proofErr w:type="spellEnd"/>
      <w:r w:rsidRPr="005075FA">
        <w:t>, in the available follow-up period.</w:t>
      </w:r>
    </w:p>
  </w:footnote>
  <w:footnote w:id="26">
    <w:p w14:paraId="274E48C8" w14:textId="77777777" w:rsidR="00F94EB1" w:rsidRDefault="00F94EB1" w:rsidP="00F94EB1">
      <w:pPr>
        <w:pStyle w:val="FootnoteText"/>
      </w:pPr>
      <w:r>
        <w:rPr>
          <w:rStyle w:val="FootnoteReference"/>
        </w:rPr>
        <w:footnoteRef/>
      </w:r>
      <w:r>
        <w:t xml:space="preserve"> </w:t>
      </w:r>
      <w:r w:rsidRPr="00461836">
        <w:t>Locatelli F</w:t>
      </w:r>
      <w:r>
        <w:t xml:space="preserve"> </w:t>
      </w:r>
      <w:r w:rsidRPr="00D3324F">
        <w:rPr>
          <w:i/>
          <w:iCs/>
        </w:rPr>
        <w:t>et al</w:t>
      </w:r>
      <w:r w:rsidRPr="00461836">
        <w:t xml:space="preserve">. Blinatumomab in </w:t>
      </w:r>
      <w:proofErr w:type="spellStart"/>
      <w:r w:rsidRPr="00461836">
        <w:t>pediatric</w:t>
      </w:r>
      <w:proofErr w:type="spellEnd"/>
      <w:r w:rsidRPr="00461836">
        <w:t xml:space="preserve"> relapsed/refractory B-cell acute lymphoblastic leukemia: RIALTO expanded access study final analysis. </w:t>
      </w:r>
      <w:r w:rsidRPr="00461836">
        <w:rPr>
          <w:i/>
          <w:iCs/>
        </w:rPr>
        <w:t>Blood Adv</w:t>
      </w:r>
      <w:r w:rsidRPr="00461836">
        <w:t>. 2022;6(3):1004-1014.</w:t>
      </w:r>
    </w:p>
  </w:footnote>
  <w:footnote w:id="27">
    <w:p w14:paraId="014AFB79" w14:textId="77777777" w:rsidR="00F94EB1" w:rsidRDefault="00F94EB1" w:rsidP="00F94EB1">
      <w:pPr>
        <w:pStyle w:val="FootnoteText"/>
      </w:pPr>
      <w:r>
        <w:rPr>
          <w:rStyle w:val="FootnoteReference"/>
        </w:rPr>
        <w:footnoteRef/>
      </w:r>
      <w:r>
        <w:t xml:space="preserve"> </w:t>
      </w:r>
      <w:r w:rsidRPr="00652DE1">
        <w:t>Sutton R</w:t>
      </w:r>
      <w:r>
        <w:t xml:space="preserve"> </w:t>
      </w:r>
      <w:r w:rsidRPr="00652DE1">
        <w:t>al. Outcomes for Australian children with relapsed/refractory acute lymphoblastic leukaemia treated with blinatumomab. </w:t>
      </w:r>
      <w:proofErr w:type="spellStart"/>
      <w:r w:rsidRPr="00652DE1">
        <w:rPr>
          <w:i/>
          <w:iCs/>
        </w:rPr>
        <w:t>Pediatr</w:t>
      </w:r>
      <w:proofErr w:type="spellEnd"/>
      <w:r w:rsidRPr="00652DE1">
        <w:rPr>
          <w:i/>
          <w:iCs/>
        </w:rPr>
        <w:t xml:space="preserve"> Blood Cancer</w:t>
      </w:r>
      <w:r w:rsidRPr="00652DE1">
        <w:t>. 2021;68(5</w:t>
      </w:r>
      <w:proofErr w:type="gramStart"/>
      <w:r w:rsidRPr="00652DE1">
        <w:t>):e</w:t>
      </w:r>
      <w:proofErr w:type="gramEnd"/>
      <w:r w:rsidRPr="00652DE1">
        <w:t>28922. 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1351" w14:textId="792600F2" w:rsidR="00A30983" w:rsidRDefault="00A30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6C2E" w14:textId="478D793D" w:rsidR="00A30983" w:rsidRDefault="00A30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6A4" w14:textId="519BD12F" w:rsidR="00A30983" w:rsidRDefault="00A30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D4F3" w14:textId="7ED12D12" w:rsidR="00A30983" w:rsidRDefault="00A309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915F" w14:textId="622EACDA" w:rsidR="00A30983" w:rsidRDefault="00A309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A519" w14:textId="1107AD51" w:rsidR="00A30983" w:rsidRDefault="00A309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4DD6" w14:textId="1D2EAFF5" w:rsidR="00A30983" w:rsidRDefault="00A309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BC68" w14:textId="19F0B7A5" w:rsidR="00A30983" w:rsidRDefault="00A30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E64"/>
    <w:multiLevelType w:val="hybridMultilevel"/>
    <w:tmpl w:val="9934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7458A"/>
    <w:multiLevelType w:val="hybridMultilevel"/>
    <w:tmpl w:val="DF962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B443B"/>
    <w:multiLevelType w:val="hybridMultilevel"/>
    <w:tmpl w:val="9B0456E0"/>
    <w:lvl w:ilvl="0" w:tplc="41222A68">
      <w:start w:val="1"/>
      <w:numFmt w:val="bullet"/>
      <w:lvlText w:val=""/>
      <w:lvlJc w:val="left"/>
      <w:pPr>
        <w:tabs>
          <w:tab w:val="num" w:pos="720"/>
        </w:tabs>
        <w:ind w:left="720" w:hanging="360"/>
      </w:pPr>
      <w:rPr>
        <w:rFonts w:ascii="Wingdings" w:hAnsi="Wingdings" w:hint="default"/>
      </w:rPr>
    </w:lvl>
    <w:lvl w:ilvl="1" w:tplc="2A602024" w:tentative="1">
      <w:start w:val="1"/>
      <w:numFmt w:val="bullet"/>
      <w:lvlText w:val=""/>
      <w:lvlJc w:val="left"/>
      <w:pPr>
        <w:tabs>
          <w:tab w:val="num" w:pos="1440"/>
        </w:tabs>
        <w:ind w:left="1440" w:hanging="360"/>
      </w:pPr>
      <w:rPr>
        <w:rFonts w:ascii="Wingdings" w:hAnsi="Wingdings" w:hint="default"/>
      </w:rPr>
    </w:lvl>
    <w:lvl w:ilvl="2" w:tplc="86201E38" w:tentative="1">
      <w:start w:val="1"/>
      <w:numFmt w:val="bullet"/>
      <w:lvlText w:val=""/>
      <w:lvlJc w:val="left"/>
      <w:pPr>
        <w:tabs>
          <w:tab w:val="num" w:pos="2160"/>
        </w:tabs>
        <w:ind w:left="2160" w:hanging="360"/>
      </w:pPr>
      <w:rPr>
        <w:rFonts w:ascii="Wingdings" w:hAnsi="Wingdings" w:hint="default"/>
      </w:rPr>
    </w:lvl>
    <w:lvl w:ilvl="3" w:tplc="CF64DF06" w:tentative="1">
      <w:start w:val="1"/>
      <w:numFmt w:val="bullet"/>
      <w:lvlText w:val=""/>
      <w:lvlJc w:val="left"/>
      <w:pPr>
        <w:tabs>
          <w:tab w:val="num" w:pos="2880"/>
        </w:tabs>
        <w:ind w:left="2880" w:hanging="360"/>
      </w:pPr>
      <w:rPr>
        <w:rFonts w:ascii="Wingdings" w:hAnsi="Wingdings" w:hint="default"/>
      </w:rPr>
    </w:lvl>
    <w:lvl w:ilvl="4" w:tplc="AAE23C56" w:tentative="1">
      <w:start w:val="1"/>
      <w:numFmt w:val="bullet"/>
      <w:lvlText w:val=""/>
      <w:lvlJc w:val="left"/>
      <w:pPr>
        <w:tabs>
          <w:tab w:val="num" w:pos="3600"/>
        </w:tabs>
        <w:ind w:left="3600" w:hanging="360"/>
      </w:pPr>
      <w:rPr>
        <w:rFonts w:ascii="Wingdings" w:hAnsi="Wingdings" w:hint="default"/>
      </w:rPr>
    </w:lvl>
    <w:lvl w:ilvl="5" w:tplc="02802026" w:tentative="1">
      <w:start w:val="1"/>
      <w:numFmt w:val="bullet"/>
      <w:lvlText w:val=""/>
      <w:lvlJc w:val="left"/>
      <w:pPr>
        <w:tabs>
          <w:tab w:val="num" w:pos="4320"/>
        </w:tabs>
        <w:ind w:left="4320" w:hanging="360"/>
      </w:pPr>
      <w:rPr>
        <w:rFonts w:ascii="Wingdings" w:hAnsi="Wingdings" w:hint="default"/>
      </w:rPr>
    </w:lvl>
    <w:lvl w:ilvl="6" w:tplc="C464C6B6" w:tentative="1">
      <w:start w:val="1"/>
      <w:numFmt w:val="bullet"/>
      <w:lvlText w:val=""/>
      <w:lvlJc w:val="left"/>
      <w:pPr>
        <w:tabs>
          <w:tab w:val="num" w:pos="5040"/>
        </w:tabs>
        <w:ind w:left="5040" w:hanging="360"/>
      </w:pPr>
      <w:rPr>
        <w:rFonts w:ascii="Wingdings" w:hAnsi="Wingdings" w:hint="default"/>
      </w:rPr>
    </w:lvl>
    <w:lvl w:ilvl="7" w:tplc="C720A66C" w:tentative="1">
      <w:start w:val="1"/>
      <w:numFmt w:val="bullet"/>
      <w:lvlText w:val=""/>
      <w:lvlJc w:val="left"/>
      <w:pPr>
        <w:tabs>
          <w:tab w:val="num" w:pos="5760"/>
        </w:tabs>
        <w:ind w:left="5760" w:hanging="360"/>
      </w:pPr>
      <w:rPr>
        <w:rFonts w:ascii="Wingdings" w:hAnsi="Wingdings" w:hint="default"/>
      </w:rPr>
    </w:lvl>
    <w:lvl w:ilvl="8" w:tplc="E7CAB5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413B"/>
    <w:multiLevelType w:val="hybridMultilevel"/>
    <w:tmpl w:val="8A989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D4831"/>
    <w:multiLevelType w:val="hybridMultilevel"/>
    <w:tmpl w:val="A330F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92CAC"/>
    <w:multiLevelType w:val="hybridMultilevel"/>
    <w:tmpl w:val="1D4E87FE"/>
    <w:lvl w:ilvl="0" w:tplc="ED72F244">
      <w:numFmt w:val="bullet"/>
      <w:lvlText w:val="•"/>
      <w:lvlJc w:val="left"/>
      <w:pPr>
        <w:ind w:left="720" w:hanging="72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0657349"/>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7F3AB4"/>
    <w:multiLevelType w:val="hybridMultilevel"/>
    <w:tmpl w:val="918E8F2A"/>
    <w:lvl w:ilvl="0" w:tplc="2C8673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E16BB"/>
    <w:multiLevelType w:val="hybridMultilevel"/>
    <w:tmpl w:val="9D844582"/>
    <w:lvl w:ilvl="0" w:tplc="F5487CC4">
      <w:start w:val="1"/>
      <w:numFmt w:val="bullet"/>
      <w:lvlText w:val=""/>
      <w:lvlJc w:val="left"/>
      <w:pPr>
        <w:ind w:left="720" w:hanging="360"/>
      </w:pPr>
      <w:rPr>
        <w:rFonts w:ascii="Symbol" w:hAnsi="Symbol" w:hint="default"/>
      </w:rPr>
    </w:lvl>
    <w:lvl w:ilvl="1" w:tplc="029450E0">
      <w:start w:val="1"/>
      <w:numFmt w:val="bullet"/>
      <w:lvlText w:val="o"/>
      <w:lvlJc w:val="left"/>
      <w:pPr>
        <w:ind w:left="1440" w:hanging="360"/>
      </w:pPr>
      <w:rPr>
        <w:rFonts w:ascii="Courier New" w:hAnsi="Courier New" w:hint="default"/>
      </w:rPr>
    </w:lvl>
    <w:lvl w:ilvl="2" w:tplc="2BB04D98">
      <w:start w:val="1"/>
      <w:numFmt w:val="bullet"/>
      <w:lvlText w:val=""/>
      <w:lvlJc w:val="left"/>
      <w:pPr>
        <w:ind w:left="2160" w:hanging="360"/>
      </w:pPr>
      <w:rPr>
        <w:rFonts w:ascii="Wingdings" w:hAnsi="Wingdings" w:hint="default"/>
      </w:rPr>
    </w:lvl>
    <w:lvl w:ilvl="3" w:tplc="1150A46C">
      <w:start w:val="1"/>
      <w:numFmt w:val="bullet"/>
      <w:lvlText w:val=""/>
      <w:lvlJc w:val="left"/>
      <w:pPr>
        <w:ind w:left="2880" w:hanging="360"/>
      </w:pPr>
      <w:rPr>
        <w:rFonts w:ascii="Symbol" w:hAnsi="Symbol" w:hint="default"/>
      </w:rPr>
    </w:lvl>
    <w:lvl w:ilvl="4" w:tplc="5F0E3164">
      <w:start w:val="1"/>
      <w:numFmt w:val="bullet"/>
      <w:lvlText w:val="o"/>
      <w:lvlJc w:val="left"/>
      <w:pPr>
        <w:ind w:left="3600" w:hanging="360"/>
      </w:pPr>
      <w:rPr>
        <w:rFonts w:ascii="Courier New" w:hAnsi="Courier New" w:hint="default"/>
      </w:rPr>
    </w:lvl>
    <w:lvl w:ilvl="5" w:tplc="3EB4F596">
      <w:start w:val="1"/>
      <w:numFmt w:val="bullet"/>
      <w:lvlText w:val=""/>
      <w:lvlJc w:val="left"/>
      <w:pPr>
        <w:ind w:left="4320" w:hanging="360"/>
      </w:pPr>
      <w:rPr>
        <w:rFonts w:ascii="Wingdings" w:hAnsi="Wingdings" w:hint="default"/>
      </w:rPr>
    </w:lvl>
    <w:lvl w:ilvl="6" w:tplc="04D472F0">
      <w:start w:val="1"/>
      <w:numFmt w:val="bullet"/>
      <w:lvlText w:val=""/>
      <w:lvlJc w:val="left"/>
      <w:pPr>
        <w:ind w:left="5040" w:hanging="360"/>
      </w:pPr>
      <w:rPr>
        <w:rFonts w:ascii="Symbol" w:hAnsi="Symbol" w:hint="default"/>
      </w:rPr>
    </w:lvl>
    <w:lvl w:ilvl="7" w:tplc="F8F2FDBC">
      <w:start w:val="1"/>
      <w:numFmt w:val="bullet"/>
      <w:lvlText w:val="o"/>
      <w:lvlJc w:val="left"/>
      <w:pPr>
        <w:ind w:left="5760" w:hanging="360"/>
      </w:pPr>
      <w:rPr>
        <w:rFonts w:ascii="Courier New" w:hAnsi="Courier New" w:hint="default"/>
      </w:rPr>
    </w:lvl>
    <w:lvl w:ilvl="8" w:tplc="E1FC2F9E">
      <w:start w:val="1"/>
      <w:numFmt w:val="bullet"/>
      <w:lvlText w:val=""/>
      <w:lvlJc w:val="left"/>
      <w:pPr>
        <w:ind w:left="6480" w:hanging="360"/>
      </w:pPr>
      <w:rPr>
        <w:rFonts w:ascii="Wingdings" w:hAnsi="Wingdings" w:hint="default"/>
      </w:rPr>
    </w:lvl>
  </w:abstractNum>
  <w:abstractNum w:abstractNumId="15" w15:restartNumberingAfterBreak="0">
    <w:nsid w:val="3A02DBB9"/>
    <w:multiLevelType w:val="hybridMultilevel"/>
    <w:tmpl w:val="FFFFFFFF"/>
    <w:lvl w:ilvl="0" w:tplc="150E3EE6">
      <w:start w:val="1"/>
      <w:numFmt w:val="bullet"/>
      <w:lvlText w:val="·"/>
      <w:lvlJc w:val="left"/>
      <w:pPr>
        <w:ind w:left="720" w:hanging="360"/>
      </w:pPr>
      <w:rPr>
        <w:rFonts w:ascii="Symbol" w:hAnsi="Symbol" w:hint="default"/>
      </w:rPr>
    </w:lvl>
    <w:lvl w:ilvl="1" w:tplc="6770B9F6">
      <w:start w:val="1"/>
      <w:numFmt w:val="bullet"/>
      <w:lvlText w:val="o"/>
      <w:lvlJc w:val="left"/>
      <w:pPr>
        <w:ind w:left="1440" w:hanging="360"/>
      </w:pPr>
      <w:rPr>
        <w:rFonts w:ascii="Courier New" w:hAnsi="Courier New" w:hint="default"/>
      </w:rPr>
    </w:lvl>
    <w:lvl w:ilvl="2" w:tplc="BE66FBC0">
      <w:start w:val="1"/>
      <w:numFmt w:val="bullet"/>
      <w:lvlText w:val=""/>
      <w:lvlJc w:val="left"/>
      <w:pPr>
        <w:ind w:left="2160" w:hanging="360"/>
      </w:pPr>
      <w:rPr>
        <w:rFonts w:ascii="Wingdings" w:hAnsi="Wingdings" w:hint="default"/>
      </w:rPr>
    </w:lvl>
    <w:lvl w:ilvl="3" w:tplc="97D67390">
      <w:start w:val="1"/>
      <w:numFmt w:val="bullet"/>
      <w:lvlText w:val=""/>
      <w:lvlJc w:val="left"/>
      <w:pPr>
        <w:ind w:left="2880" w:hanging="360"/>
      </w:pPr>
      <w:rPr>
        <w:rFonts w:ascii="Symbol" w:hAnsi="Symbol" w:hint="default"/>
      </w:rPr>
    </w:lvl>
    <w:lvl w:ilvl="4" w:tplc="F4365DA2">
      <w:start w:val="1"/>
      <w:numFmt w:val="bullet"/>
      <w:lvlText w:val="o"/>
      <w:lvlJc w:val="left"/>
      <w:pPr>
        <w:ind w:left="3600" w:hanging="360"/>
      </w:pPr>
      <w:rPr>
        <w:rFonts w:ascii="Courier New" w:hAnsi="Courier New" w:hint="default"/>
      </w:rPr>
    </w:lvl>
    <w:lvl w:ilvl="5" w:tplc="88F6AFD2">
      <w:start w:val="1"/>
      <w:numFmt w:val="bullet"/>
      <w:lvlText w:val=""/>
      <w:lvlJc w:val="left"/>
      <w:pPr>
        <w:ind w:left="4320" w:hanging="360"/>
      </w:pPr>
      <w:rPr>
        <w:rFonts w:ascii="Wingdings" w:hAnsi="Wingdings" w:hint="default"/>
      </w:rPr>
    </w:lvl>
    <w:lvl w:ilvl="6" w:tplc="808C0AE8">
      <w:start w:val="1"/>
      <w:numFmt w:val="bullet"/>
      <w:lvlText w:val=""/>
      <w:lvlJc w:val="left"/>
      <w:pPr>
        <w:ind w:left="5040" w:hanging="360"/>
      </w:pPr>
      <w:rPr>
        <w:rFonts w:ascii="Symbol" w:hAnsi="Symbol" w:hint="default"/>
      </w:rPr>
    </w:lvl>
    <w:lvl w:ilvl="7" w:tplc="CDBA1470">
      <w:start w:val="1"/>
      <w:numFmt w:val="bullet"/>
      <w:lvlText w:val="o"/>
      <w:lvlJc w:val="left"/>
      <w:pPr>
        <w:ind w:left="5760" w:hanging="360"/>
      </w:pPr>
      <w:rPr>
        <w:rFonts w:ascii="Courier New" w:hAnsi="Courier New" w:hint="default"/>
      </w:rPr>
    </w:lvl>
    <w:lvl w:ilvl="8" w:tplc="8CFE61CC">
      <w:start w:val="1"/>
      <w:numFmt w:val="bullet"/>
      <w:lvlText w:val=""/>
      <w:lvlJc w:val="left"/>
      <w:pPr>
        <w:ind w:left="6480" w:hanging="360"/>
      </w:pPr>
      <w:rPr>
        <w:rFonts w:ascii="Wingdings" w:hAnsi="Wingdings" w:hint="default"/>
      </w:rPr>
    </w:lvl>
  </w:abstractNum>
  <w:abstractNum w:abstractNumId="16" w15:restartNumberingAfterBreak="0">
    <w:nsid w:val="3AF34CF2"/>
    <w:multiLevelType w:val="hybridMultilevel"/>
    <w:tmpl w:val="949CAC6C"/>
    <w:lvl w:ilvl="0" w:tplc="6D7461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0B6ECC"/>
    <w:multiLevelType w:val="hybridMultilevel"/>
    <w:tmpl w:val="516C1EB6"/>
    <w:lvl w:ilvl="0" w:tplc="DEFAC1A4">
      <w:start w:val="1"/>
      <w:numFmt w:val="bullet"/>
      <w:pStyle w:val="NormalBulletList"/>
      <w:lvlText w:val=""/>
      <w:lvlJc w:val="left"/>
      <w:pPr>
        <w:ind w:left="720" w:hanging="360"/>
      </w:pPr>
      <w:rPr>
        <w:rFonts w:ascii="Symbol" w:hAnsi="Symbol" w:hint="default"/>
      </w:rPr>
    </w:lvl>
    <w:lvl w:ilvl="1" w:tplc="3460D87C">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9" w15:restartNumberingAfterBreak="0">
    <w:nsid w:val="435D0AD1"/>
    <w:multiLevelType w:val="hybridMultilevel"/>
    <w:tmpl w:val="70B08614"/>
    <w:lvl w:ilvl="0" w:tplc="309A11A4">
      <w:start w:val="1"/>
      <w:numFmt w:val="bullet"/>
      <w:lvlText w:val=""/>
      <w:lvlJc w:val="left"/>
      <w:pPr>
        <w:tabs>
          <w:tab w:val="num" w:pos="720"/>
        </w:tabs>
        <w:ind w:left="720" w:hanging="360"/>
      </w:pPr>
      <w:rPr>
        <w:rFonts w:ascii="Wingdings" w:hAnsi="Wingdings" w:hint="default"/>
      </w:rPr>
    </w:lvl>
    <w:lvl w:ilvl="1" w:tplc="0FD22FCC" w:tentative="1">
      <w:start w:val="1"/>
      <w:numFmt w:val="bullet"/>
      <w:lvlText w:val=""/>
      <w:lvlJc w:val="left"/>
      <w:pPr>
        <w:tabs>
          <w:tab w:val="num" w:pos="1440"/>
        </w:tabs>
        <w:ind w:left="1440" w:hanging="360"/>
      </w:pPr>
      <w:rPr>
        <w:rFonts w:ascii="Wingdings" w:hAnsi="Wingdings" w:hint="default"/>
      </w:rPr>
    </w:lvl>
    <w:lvl w:ilvl="2" w:tplc="0DE8D8BE" w:tentative="1">
      <w:start w:val="1"/>
      <w:numFmt w:val="bullet"/>
      <w:lvlText w:val=""/>
      <w:lvlJc w:val="left"/>
      <w:pPr>
        <w:tabs>
          <w:tab w:val="num" w:pos="2160"/>
        </w:tabs>
        <w:ind w:left="2160" w:hanging="360"/>
      </w:pPr>
      <w:rPr>
        <w:rFonts w:ascii="Wingdings" w:hAnsi="Wingdings" w:hint="default"/>
      </w:rPr>
    </w:lvl>
    <w:lvl w:ilvl="3" w:tplc="80666A2A" w:tentative="1">
      <w:start w:val="1"/>
      <w:numFmt w:val="bullet"/>
      <w:lvlText w:val=""/>
      <w:lvlJc w:val="left"/>
      <w:pPr>
        <w:tabs>
          <w:tab w:val="num" w:pos="2880"/>
        </w:tabs>
        <w:ind w:left="2880" w:hanging="360"/>
      </w:pPr>
      <w:rPr>
        <w:rFonts w:ascii="Wingdings" w:hAnsi="Wingdings" w:hint="default"/>
      </w:rPr>
    </w:lvl>
    <w:lvl w:ilvl="4" w:tplc="6D6EAC66" w:tentative="1">
      <w:start w:val="1"/>
      <w:numFmt w:val="bullet"/>
      <w:lvlText w:val=""/>
      <w:lvlJc w:val="left"/>
      <w:pPr>
        <w:tabs>
          <w:tab w:val="num" w:pos="3600"/>
        </w:tabs>
        <w:ind w:left="3600" w:hanging="360"/>
      </w:pPr>
      <w:rPr>
        <w:rFonts w:ascii="Wingdings" w:hAnsi="Wingdings" w:hint="default"/>
      </w:rPr>
    </w:lvl>
    <w:lvl w:ilvl="5" w:tplc="57F602D0" w:tentative="1">
      <w:start w:val="1"/>
      <w:numFmt w:val="bullet"/>
      <w:lvlText w:val=""/>
      <w:lvlJc w:val="left"/>
      <w:pPr>
        <w:tabs>
          <w:tab w:val="num" w:pos="4320"/>
        </w:tabs>
        <w:ind w:left="4320" w:hanging="360"/>
      </w:pPr>
      <w:rPr>
        <w:rFonts w:ascii="Wingdings" w:hAnsi="Wingdings" w:hint="default"/>
      </w:rPr>
    </w:lvl>
    <w:lvl w:ilvl="6" w:tplc="67C677A0" w:tentative="1">
      <w:start w:val="1"/>
      <w:numFmt w:val="bullet"/>
      <w:lvlText w:val=""/>
      <w:lvlJc w:val="left"/>
      <w:pPr>
        <w:tabs>
          <w:tab w:val="num" w:pos="5040"/>
        </w:tabs>
        <w:ind w:left="5040" w:hanging="360"/>
      </w:pPr>
      <w:rPr>
        <w:rFonts w:ascii="Wingdings" w:hAnsi="Wingdings" w:hint="default"/>
      </w:rPr>
    </w:lvl>
    <w:lvl w:ilvl="7" w:tplc="C22A3AB2" w:tentative="1">
      <w:start w:val="1"/>
      <w:numFmt w:val="bullet"/>
      <w:lvlText w:val=""/>
      <w:lvlJc w:val="left"/>
      <w:pPr>
        <w:tabs>
          <w:tab w:val="num" w:pos="5760"/>
        </w:tabs>
        <w:ind w:left="5760" w:hanging="360"/>
      </w:pPr>
      <w:rPr>
        <w:rFonts w:ascii="Wingdings" w:hAnsi="Wingdings" w:hint="default"/>
      </w:rPr>
    </w:lvl>
    <w:lvl w:ilvl="8" w:tplc="1B1689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F3480"/>
    <w:multiLevelType w:val="multilevel"/>
    <w:tmpl w:val="9416A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705B5B"/>
    <w:multiLevelType w:val="hybridMultilevel"/>
    <w:tmpl w:val="B31E36BE"/>
    <w:lvl w:ilvl="0" w:tplc="33BC3B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56283D"/>
    <w:multiLevelType w:val="hybridMultilevel"/>
    <w:tmpl w:val="EF622B72"/>
    <w:lvl w:ilvl="0" w:tplc="2C86733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345691"/>
    <w:multiLevelType w:val="hybridMultilevel"/>
    <w:tmpl w:val="888CF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F6535"/>
    <w:multiLevelType w:val="hybridMultilevel"/>
    <w:tmpl w:val="E766DFA2"/>
    <w:lvl w:ilvl="0" w:tplc="09E299F4">
      <w:start w:val="1"/>
      <w:numFmt w:val="bullet"/>
      <w:lvlText w:val=""/>
      <w:lvlJc w:val="left"/>
      <w:pPr>
        <w:ind w:left="720" w:hanging="360"/>
      </w:pPr>
      <w:rPr>
        <w:rFonts w:ascii="Symbol" w:hAnsi="Symbol" w:hint="default"/>
      </w:rPr>
    </w:lvl>
    <w:lvl w:ilvl="1" w:tplc="92263254">
      <w:start w:val="1"/>
      <w:numFmt w:val="bullet"/>
      <w:lvlText w:val="o"/>
      <w:lvlJc w:val="left"/>
      <w:pPr>
        <w:ind w:left="1440" w:hanging="360"/>
      </w:pPr>
      <w:rPr>
        <w:rFonts w:ascii="Courier New" w:hAnsi="Courier New" w:hint="default"/>
      </w:rPr>
    </w:lvl>
    <w:lvl w:ilvl="2" w:tplc="19B21F60">
      <w:start w:val="1"/>
      <w:numFmt w:val="bullet"/>
      <w:lvlText w:val=""/>
      <w:lvlJc w:val="left"/>
      <w:pPr>
        <w:ind w:left="2160" w:hanging="360"/>
      </w:pPr>
      <w:rPr>
        <w:rFonts w:ascii="Wingdings" w:hAnsi="Wingdings" w:hint="default"/>
      </w:rPr>
    </w:lvl>
    <w:lvl w:ilvl="3" w:tplc="1F52DA06">
      <w:start w:val="1"/>
      <w:numFmt w:val="bullet"/>
      <w:lvlText w:val=""/>
      <w:lvlJc w:val="left"/>
      <w:pPr>
        <w:ind w:left="2880" w:hanging="360"/>
      </w:pPr>
      <w:rPr>
        <w:rFonts w:ascii="Symbol" w:hAnsi="Symbol" w:hint="default"/>
      </w:rPr>
    </w:lvl>
    <w:lvl w:ilvl="4" w:tplc="CBEC9524">
      <w:start w:val="1"/>
      <w:numFmt w:val="bullet"/>
      <w:lvlText w:val="o"/>
      <w:lvlJc w:val="left"/>
      <w:pPr>
        <w:ind w:left="3600" w:hanging="360"/>
      </w:pPr>
      <w:rPr>
        <w:rFonts w:ascii="Courier New" w:hAnsi="Courier New" w:hint="default"/>
      </w:rPr>
    </w:lvl>
    <w:lvl w:ilvl="5" w:tplc="0BEE1CAC">
      <w:start w:val="1"/>
      <w:numFmt w:val="bullet"/>
      <w:lvlText w:val=""/>
      <w:lvlJc w:val="left"/>
      <w:pPr>
        <w:ind w:left="4320" w:hanging="360"/>
      </w:pPr>
      <w:rPr>
        <w:rFonts w:ascii="Wingdings" w:hAnsi="Wingdings" w:hint="default"/>
      </w:rPr>
    </w:lvl>
    <w:lvl w:ilvl="6" w:tplc="478050BE">
      <w:start w:val="1"/>
      <w:numFmt w:val="bullet"/>
      <w:lvlText w:val=""/>
      <w:lvlJc w:val="left"/>
      <w:pPr>
        <w:ind w:left="5040" w:hanging="360"/>
      </w:pPr>
      <w:rPr>
        <w:rFonts w:ascii="Symbol" w:hAnsi="Symbol" w:hint="default"/>
      </w:rPr>
    </w:lvl>
    <w:lvl w:ilvl="7" w:tplc="0A384FBC">
      <w:start w:val="1"/>
      <w:numFmt w:val="bullet"/>
      <w:lvlText w:val="o"/>
      <w:lvlJc w:val="left"/>
      <w:pPr>
        <w:ind w:left="5760" w:hanging="360"/>
      </w:pPr>
      <w:rPr>
        <w:rFonts w:ascii="Courier New" w:hAnsi="Courier New" w:hint="default"/>
      </w:rPr>
    </w:lvl>
    <w:lvl w:ilvl="8" w:tplc="3E967FC4">
      <w:start w:val="1"/>
      <w:numFmt w:val="bullet"/>
      <w:lvlText w:val=""/>
      <w:lvlJc w:val="left"/>
      <w:pPr>
        <w:ind w:left="6480" w:hanging="360"/>
      </w:pPr>
      <w:rPr>
        <w:rFonts w:ascii="Wingdings" w:hAnsi="Wingdings" w:hint="default"/>
      </w:rPr>
    </w:lvl>
  </w:abstractNum>
  <w:abstractNum w:abstractNumId="26" w15:restartNumberingAfterBreak="0">
    <w:nsid w:val="5E7F00FD"/>
    <w:multiLevelType w:val="multilevel"/>
    <w:tmpl w:val="47889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F760FD9"/>
    <w:multiLevelType w:val="hybridMultilevel"/>
    <w:tmpl w:val="53C2B2A8"/>
    <w:lvl w:ilvl="0" w:tplc="706EC0AC">
      <w:start w:val="1"/>
      <w:numFmt w:val="decimal"/>
      <w:lvlText w:val="%1."/>
      <w:lvlJc w:val="left"/>
      <w:pPr>
        <w:tabs>
          <w:tab w:val="num" w:pos="720"/>
        </w:tabs>
        <w:ind w:left="720" w:hanging="360"/>
      </w:pPr>
    </w:lvl>
    <w:lvl w:ilvl="1" w:tplc="062ABB32" w:tentative="1">
      <w:start w:val="1"/>
      <w:numFmt w:val="decimal"/>
      <w:lvlText w:val="%2."/>
      <w:lvlJc w:val="left"/>
      <w:pPr>
        <w:tabs>
          <w:tab w:val="num" w:pos="1440"/>
        </w:tabs>
        <w:ind w:left="1440" w:hanging="360"/>
      </w:pPr>
    </w:lvl>
    <w:lvl w:ilvl="2" w:tplc="19FE9972" w:tentative="1">
      <w:start w:val="1"/>
      <w:numFmt w:val="decimal"/>
      <w:lvlText w:val="%3."/>
      <w:lvlJc w:val="left"/>
      <w:pPr>
        <w:tabs>
          <w:tab w:val="num" w:pos="2160"/>
        </w:tabs>
        <w:ind w:left="2160" w:hanging="360"/>
      </w:pPr>
    </w:lvl>
    <w:lvl w:ilvl="3" w:tplc="1890A47E" w:tentative="1">
      <w:start w:val="1"/>
      <w:numFmt w:val="decimal"/>
      <w:lvlText w:val="%4."/>
      <w:lvlJc w:val="left"/>
      <w:pPr>
        <w:tabs>
          <w:tab w:val="num" w:pos="2880"/>
        </w:tabs>
        <w:ind w:left="2880" w:hanging="360"/>
      </w:pPr>
    </w:lvl>
    <w:lvl w:ilvl="4" w:tplc="E9B09F34" w:tentative="1">
      <w:start w:val="1"/>
      <w:numFmt w:val="decimal"/>
      <w:lvlText w:val="%5."/>
      <w:lvlJc w:val="left"/>
      <w:pPr>
        <w:tabs>
          <w:tab w:val="num" w:pos="3600"/>
        </w:tabs>
        <w:ind w:left="3600" w:hanging="360"/>
      </w:pPr>
    </w:lvl>
    <w:lvl w:ilvl="5" w:tplc="268A01AE" w:tentative="1">
      <w:start w:val="1"/>
      <w:numFmt w:val="decimal"/>
      <w:lvlText w:val="%6."/>
      <w:lvlJc w:val="left"/>
      <w:pPr>
        <w:tabs>
          <w:tab w:val="num" w:pos="4320"/>
        </w:tabs>
        <w:ind w:left="4320" w:hanging="360"/>
      </w:pPr>
    </w:lvl>
    <w:lvl w:ilvl="6" w:tplc="D5EE8FD4" w:tentative="1">
      <w:start w:val="1"/>
      <w:numFmt w:val="decimal"/>
      <w:lvlText w:val="%7."/>
      <w:lvlJc w:val="left"/>
      <w:pPr>
        <w:tabs>
          <w:tab w:val="num" w:pos="5040"/>
        </w:tabs>
        <w:ind w:left="5040" w:hanging="360"/>
      </w:pPr>
    </w:lvl>
    <w:lvl w:ilvl="7" w:tplc="472A7362" w:tentative="1">
      <w:start w:val="1"/>
      <w:numFmt w:val="decimal"/>
      <w:lvlText w:val="%8."/>
      <w:lvlJc w:val="left"/>
      <w:pPr>
        <w:tabs>
          <w:tab w:val="num" w:pos="5760"/>
        </w:tabs>
        <w:ind w:left="5760" w:hanging="360"/>
      </w:pPr>
    </w:lvl>
    <w:lvl w:ilvl="8" w:tplc="D9FC4B20" w:tentative="1">
      <w:start w:val="1"/>
      <w:numFmt w:val="decimal"/>
      <w:lvlText w:val="%9."/>
      <w:lvlJc w:val="left"/>
      <w:pPr>
        <w:tabs>
          <w:tab w:val="num" w:pos="6480"/>
        </w:tabs>
        <w:ind w:left="6480" w:hanging="360"/>
      </w:pPr>
    </w:lvl>
  </w:abstractNum>
  <w:abstractNum w:abstractNumId="28" w15:restartNumberingAfterBreak="0">
    <w:nsid w:val="63BA1ED2"/>
    <w:multiLevelType w:val="multilevel"/>
    <w:tmpl w:val="6D446314"/>
    <w:lvl w:ilvl="0">
      <w:start w:val="1"/>
      <w:numFmt w:val="bullet"/>
      <w:lvlText w:val="o"/>
      <w:lvlJc w:val="left"/>
      <w:pPr>
        <w:ind w:left="0" w:firstLine="0"/>
      </w:pPr>
      <w:rPr>
        <w:rFonts w:ascii="Courier New" w:hAnsi="Courier New" w:cs="Courier New"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689504D3"/>
    <w:multiLevelType w:val="hybridMultilevel"/>
    <w:tmpl w:val="861C6BF6"/>
    <w:lvl w:ilvl="0" w:tplc="3146D58E">
      <w:start w:val="1"/>
      <w:numFmt w:val="bullet"/>
      <w:lvlText w:val=""/>
      <w:lvlJc w:val="left"/>
      <w:pPr>
        <w:ind w:left="720" w:hanging="360"/>
      </w:pPr>
      <w:rPr>
        <w:rFonts w:ascii="Symbol" w:hAnsi="Symbol" w:hint="default"/>
      </w:rPr>
    </w:lvl>
    <w:lvl w:ilvl="1" w:tplc="38BC03AC">
      <w:start w:val="1"/>
      <w:numFmt w:val="bullet"/>
      <w:lvlText w:val="o"/>
      <w:lvlJc w:val="left"/>
      <w:pPr>
        <w:ind w:left="1440" w:hanging="360"/>
      </w:pPr>
      <w:rPr>
        <w:rFonts w:ascii="Courier New" w:hAnsi="Courier New" w:hint="default"/>
      </w:rPr>
    </w:lvl>
    <w:lvl w:ilvl="2" w:tplc="44E67FD6">
      <w:start w:val="1"/>
      <w:numFmt w:val="bullet"/>
      <w:lvlText w:val=""/>
      <w:lvlJc w:val="left"/>
      <w:pPr>
        <w:ind w:left="2160" w:hanging="360"/>
      </w:pPr>
      <w:rPr>
        <w:rFonts w:ascii="Wingdings" w:hAnsi="Wingdings" w:hint="default"/>
      </w:rPr>
    </w:lvl>
    <w:lvl w:ilvl="3" w:tplc="BD6C60D0">
      <w:start w:val="1"/>
      <w:numFmt w:val="bullet"/>
      <w:lvlText w:val=""/>
      <w:lvlJc w:val="left"/>
      <w:pPr>
        <w:ind w:left="2880" w:hanging="360"/>
      </w:pPr>
      <w:rPr>
        <w:rFonts w:ascii="Symbol" w:hAnsi="Symbol" w:hint="default"/>
      </w:rPr>
    </w:lvl>
    <w:lvl w:ilvl="4" w:tplc="8D602E32">
      <w:start w:val="1"/>
      <w:numFmt w:val="bullet"/>
      <w:lvlText w:val="o"/>
      <w:lvlJc w:val="left"/>
      <w:pPr>
        <w:ind w:left="3600" w:hanging="360"/>
      </w:pPr>
      <w:rPr>
        <w:rFonts w:ascii="Courier New" w:hAnsi="Courier New" w:hint="default"/>
      </w:rPr>
    </w:lvl>
    <w:lvl w:ilvl="5" w:tplc="9D7C2F34">
      <w:start w:val="1"/>
      <w:numFmt w:val="bullet"/>
      <w:lvlText w:val=""/>
      <w:lvlJc w:val="left"/>
      <w:pPr>
        <w:ind w:left="4320" w:hanging="360"/>
      </w:pPr>
      <w:rPr>
        <w:rFonts w:ascii="Wingdings" w:hAnsi="Wingdings" w:hint="default"/>
      </w:rPr>
    </w:lvl>
    <w:lvl w:ilvl="6" w:tplc="35B0FDBA">
      <w:start w:val="1"/>
      <w:numFmt w:val="bullet"/>
      <w:lvlText w:val=""/>
      <w:lvlJc w:val="left"/>
      <w:pPr>
        <w:ind w:left="5040" w:hanging="360"/>
      </w:pPr>
      <w:rPr>
        <w:rFonts w:ascii="Symbol" w:hAnsi="Symbol" w:hint="default"/>
      </w:rPr>
    </w:lvl>
    <w:lvl w:ilvl="7" w:tplc="86D0731E">
      <w:start w:val="1"/>
      <w:numFmt w:val="bullet"/>
      <w:lvlText w:val="o"/>
      <w:lvlJc w:val="left"/>
      <w:pPr>
        <w:ind w:left="5760" w:hanging="360"/>
      </w:pPr>
      <w:rPr>
        <w:rFonts w:ascii="Courier New" w:hAnsi="Courier New" w:hint="default"/>
      </w:rPr>
    </w:lvl>
    <w:lvl w:ilvl="8" w:tplc="D6A29372">
      <w:start w:val="1"/>
      <w:numFmt w:val="bullet"/>
      <w:lvlText w:val=""/>
      <w:lvlJc w:val="left"/>
      <w:pPr>
        <w:ind w:left="6480" w:hanging="360"/>
      </w:pPr>
      <w:rPr>
        <w:rFonts w:ascii="Wingdings" w:hAnsi="Wingdings" w:hint="default"/>
      </w:rPr>
    </w:lvl>
  </w:abstractNum>
  <w:abstractNum w:abstractNumId="30" w15:restartNumberingAfterBreak="0">
    <w:nsid w:val="6B7D61B4"/>
    <w:multiLevelType w:val="hybridMultilevel"/>
    <w:tmpl w:val="1660DB68"/>
    <w:lvl w:ilvl="0" w:tplc="ED72F244">
      <w:numFmt w:val="bullet"/>
      <w:lvlText w:val="•"/>
      <w:lvlJc w:val="left"/>
      <w:pPr>
        <w:ind w:left="720" w:hanging="72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A43DB4"/>
    <w:multiLevelType w:val="hybridMultilevel"/>
    <w:tmpl w:val="CBBEAE5E"/>
    <w:lvl w:ilvl="0" w:tplc="2C8673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311E10"/>
    <w:multiLevelType w:val="hybridMultilevel"/>
    <w:tmpl w:val="0232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D2148"/>
    <w:multiLevelType w:val="hybridMultilevel"/>
    <w:tmpl w:val="2306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E35AC"/>
    <w:multiLevelType w:val="hybridMultilevel"/>
    <w:tmpl w:val="9942E4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37" w15:restartNumberingAfterBreak="0">
    <w:nsid w:val="7F302956"/>
    <w:multiLevelType w:val="hybridMultilevel"/>
    <w:tmpl w:val="0B5E9252"/>
    <w:lvl w:ilvl="0" w:tplc="ED72F244">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097576">
    <w:abstractNumId w:val="29"/>
  </w:num>
  <w:num w:numId="2" w16cid:durableId="1805811329">
    <w:abstractNumId w:val="25"/>
  </w:num>
  <w:num w:numId="3" w16cid:durableId="1516577616">
    <w:abstractNumId w:val="10"/>
  </w:num>
  <w:num w:numId="4" w16cid:durableId="570388535">
    <w:abstractNumId w:val="12"/>
  </w:num>
  <w:num w:numId="5" w16cid:durableId="1583366689">
    <w:abstractNumId w:val="36"/>
  </w:num>
  <w:num w:numId="6" w16cid:durableId="1924561703">
    <w:abstractNumId w:val="1"/>
  </w:num>
  <w:num w:numId="7" w16cid:durableId="662591618">
    <w:abstractNumId w:val="34"/>
  </w:num>
  <w:num w:numId="8" w16cid:durableId="325717388">
    <w:abstractNumId w:val="8"/>
  </w:num>
  <w:num w:numId="9" w16cid:durableId="31542315">
    <w:abstractNumId w:val="9"/>
  </w:num>
  <w:num w:numId="10" w16cid:durableId="1524905131">
    <w:abstractNumId w:val="11"/>
  </w:num>
  <w:num w:numId="11" w16cid:durableId="1898473535">
    <w:abstractNumId w:val="21"/>
  </w:num>
  <w:num w:numId="12" w16cid:durableId="1136990397">
    <w:abstractNumId w:val="2"/>
  </w:num>
  <w:num w:numId="13" w16cid:durableId="384107454">
    <w:abstractNumId w:val="37"/>
  </w:num>
  <w:num w:numId="14" w16cid:durableId="1399085897">
    <w:abstractNumId w:val="7"/>
  </w:num>
  <w:num w:numId="15" w16cid:durableId="1601251982">
    <w:abstractNumId w:val="35"/>
  </w:num>
  <w:num w:numId="16" w16cid:durableId="604963705">
    <w:abstractNumId w:val="14"/>
  </w:num>
  <w:num w:numId="17" w16cid:durableId="2118329108">
    <w:abstractNumId w:val="28"/>
  </w:num>
  <w:num w:numId="18" w16cid:durableId="1593784796">
    <w:abstractNumId w:val="30"/>
  </w:num>
  <w:num w:numId="19" w16cid:durableId="1019545881">
    <w:abstractNumId w:val="18"/>
  </w:num>
  <w:num w:numId="20" w16cid:durableId="1844970038">
    <w:abstractNumId w:val="0"/>
  </w:num>
  <w:num w:numId="21" w16cid:durableId="1106580279">
    <w:abstractNumId w:val="24"/>
  </w:num>
  <w:num w:numId="22" w16cid:durableId="1432166547">
    <w:abstractNumId w:val="4"/>
  </w:num>
  <w:num w:numId="23" w16cid:durableId="944581828">
    <w:abstractNumId w:val="26"/>
  </w:num>
  <w:num w:numId="24" w16cid:durableId="666639791">
    <w:abstractNumId w:val="6"/>
  </w:num>
  <w:num w:numId="25" w16cid:durableId="506292159">
    <w:abstractNumId w:val="5"/>
  </w:num>
  <w:num w:numId="26" w16cid:durableId="43912765">
    <w:abstractNumId w:val="32"/>
  </w:num>
  <w:num w:numId="27" w16cid:durableId="273250329">
    <w:abstractNumId w:val="12"/>
  </w:num>
  <w:num w:numId="28" w16cid:durableId="408424183">
    <w:abstractNumId w:val="12"/>
  </w:num>
  <w:num w:numId="29" w16cid:durableId="722101114">
    <w:abstractNumId w:val="17"/>
  </w:num>
  <w:num w:numId="30" w16cid:durableId="1255895722">
    <w:abstractNumId w:val="13"/>
  </w:num>
  <w:num w:numId="31" w16cid:durableId="1066151363">
    <w:abstractNumId w:val="23"/>
  </w:num>
  <w:num w:numId="32" w16cid:durableId="353847370">
    <w:abstractNumId w:val="31"/>
  </w:num>
  <w:num w:numId="33" w16cid:durableId="2110811987">
    <w:abstractNumId w:val="22"/>
  </w:num>
  <w:num w:numId="34" w16cid:durableId="1905486048">
    <w:abstractNumId w:val="27"/>
  </w:num>
  <w:num w:numId="35" w16cid:durableId="378290236">
    <w:abstractNumId w:val="20"/>
  </w:num>
  <w:num w:numId="36" w16cid:durableId="1238828113">
    <w:abstractNumId w:val="3"/>
  </w:num>
  <w:num w:numId="37" w16cid:durableId="2028367056">
    <w:abstractNumId w:val="16"/>
  </w:num>
  <w:num w:numId="38" w16cid:durableId="892810313">
    <w:abstractNumId w:val="19"/>
  </w:num>
  <w:num w:numId="39" w16cid:durableId="391465441">
    <w:abstractNumId w:val="15"/>
  </w:num>
  <w:num w:numId="40" w16cid:durableId="2071414525">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33A"/>
    <w:rsid w:val="000003E8"/>
    <w:rsid w:val="00000529"/>
    <w:rsid w:val="0000059C"/>
    <w:rsid w:val="00000629"/>
    <w:rsid w:val="000009F5"/>
    <w:rsid w:val="00000A7F"/>
    <w:rsid w:val="00000E56"/>
    <w:rsid w:val="0000109A"/>
    <w:rsid w:val="000011C2"/>
    <w:rsid w:val="000013F2"/>
    <w:rsid w:val="00001522"/>
    <w:rsid w:val="00001558"/>
    <w:rsid w:val="0000168E"/>
    <w:rsid w:val="00001AE6"/>
    <w:rsid w:val="00001CA1"/>
    <w:rsid w:val="00001D55"/>
    <w:rsid w:val="000020DA"/>
    <w:rsid w:val="000021EF"/>
    <w:rsid w:val="00002281"/>
    <w:rsid w:val="00002355"/>
    <w:rsid w:val="00002464"/>
    <w:rsid w:val="00002489"/>
    <w:rsid w:val="00002771"/>
    <w:rsid w:val="00002B05"/>
    <w:rsid w:val="00002B82"/>
    <w:rsid w:val="00002F2E"/>
    <w:rsid w:val="000032F4"/>
    <w:rsid w:val="00003361"/>
    <w:rsid w:val="00003823"/>
    <w:rsid w:val="00003882"/>
    <w:rsid w:val="000038A1"/>
    <w:rsid w:val="0000391F"/>
    <w:rsid w:val="00003A23"/>
    <w:rsid w:val="00003EC6"/>
    <w:rsid w:val="00003F81"/>
    <w:rsid w:val="000043B2"/>
    <w:rsid w:val="000043D1"/>
    <w:rsid w:val="00004412"/>
    <w:rsid w:val="00004873"/>
    <w:rsid w:val="00004C4D"/>
    <w:rsid w:val="00004D69"/>
    <w:rsid w:val="00004F7F"/>
    <w:rsid w:val="000054C9"/>
    <w:rsid w:val="000056C4"/>
    <w:rsid w:val="00005B49"/>
    <w:rsid w:val="00005BB6"/>
    <w:rsid w:val="00005C35"/>
    <w:rsid w:val="00005D39"/>
    <w:rsid w:val="00005DE0"/>
    <w:rsid w:val="000060C9"/>
    <w:rsid w:val="0000697A"/>
    <w:rsid w:val="0000716D"/>
    <w:rsid w:val="00007333"/>
    <w:rsid w:val="00007754"/>
    <w:rsid w:val="000077B5"/>
    <w:rsid w:val="0000780E"/>
    <w:rsid w:val="00007833"/>
    <w:rsid w:val="00007996"/>
    <w:rsid w:val="00007A43"/>
    <w:rsid w:val="00007C09"/>
    <w:rsid w:val="00007CF2"/>
    <w:rsid w:val="00007EDC"/>
    <w:rsid w:val="0001038B"/>
    <w:rsid w:val="000108D7"/>
    <w:rsid w:val="000108E2"/>
    <w:rsid w:val="00010A92"/>
    <w:rsid w:val="00010B48"/>
    <w:rsid w:val="00010D21"/>
    <w:rsid w:val="00010EAC"/>
    <w:rsid w:val="00011138"/>
    <w:rsid w:val="00011145"/>
    <w:rsid w:val="00011568"/>
    <w:rsid w:val="00011A5A"/>
    <w:rsid w:val="000121F6"/>
    <w:rsid w:val="00012355"/>
    <w:rsid w:val="00012974"/>
    <w:rsid w:val="000129EF"/>
    <w:rsid w:val="000135C7"/>
    <w:rsid w:val="00013ACA"/>
    <w:rsid w:val="00013C30"/>
    <w:rsid w:val="00013E62"/>
    <w:rsid w:val="00013F1A"/>
    <w:rsid w:val="00014261"/>
    <w:rsid w:val="00014336"/>
    <w:rsid w:val="00014660"/>
    <w:rsid w:val="00014974"/>
    <w:rsid w:val="00014975"/>
    <w:rsid w:val="00014A8D"/>
    <w:rsid w:val="00014C02"/>
    <w:rsid w:val="0001508C"/>
    <w:rsid w:val="000150D9"/>
    <w:rsid w:val="00015124"/>
    <w:rsid w:val="00015227"/>
    <w:rsid w:val="000152CA"/>
    <w:rsid w:val="00015605"/>
    <w:rsid w:val="0001587B"/>
    <w:rsid w:val="00015FAE"/>
    <w:rsid w:val="000161B0"/>
    <w:rsid w:val="00016701"/>
    <w:rsid w:val="00016AAB"/>
    <w:rsid w:val="00017175"/>
    <w:rsid w:val="00017596"/>
    <w:rsid w:val="000177E0"/>
    <w:rsid w:val="00017F9F"/>
    <w:rsid w:val="000200A5"/>
    <w:rsid w:val="00020145"/>
    <w:rsid w:val="0002055B"/>
    <w:rsid w:val="000205E3"/>
    <w:rsid w:val="00020734"/>
    <w:rsid w:val="00020738"/>
    <w:rsid w:val="0002090E"/>
    <w:rsid w:val="00020D90"/>
    <w:rsid w:val="00020E6B"/>
    <w:rsid w:val="00020FD1"/>
    <w:rsid w:val="0002117A"/>
    <w:rsid w:val="0002128E"/>
    <w:rsid w:val="000213C5"/>
    <w:rsid w:val="0002197A"/>
    <w:rsid w:val="00021A49"/>
    <w:rsid w:val="00021BCE"/>
    <w:rsid w:val="000220F8"/>
    <w:rsid w:val="00022392"/>
    <w:rsid w:val="000227AF"/>
    <w:rsid w:val="000228B8"/>
    <w:rsid w:val="00022C54"/>
    <w:rsid w:val="00022F36"/>
    <w:rsid w:val="000231E3"/>
    <w:rsid w:val="000231FB"/>
    <w:rsid w:val="00023276"/>
    <w:rsid w:val="0002381B"/>
    <w:rsid w:val="0002391D"/>
    <w:rsid w:val="00023D45"/>
    <w:rsid w:val="00023DF1"/>
    <w:rsid w:val="000240D7"/>
    <w:rsid w:val="0002423C"/>
    <w:rsid w:val="00024275"/>
    <w:rsid w:val="00024293"/>
    <w:rsid w:val="000242BB"/>
    <w:rsid w:val="000246F2"/>
    <w:rsid w:val="00024A86"/>
    <w:rsid w:val="00024EA5"/>
    <w:rsid w:val="000250CA"/>
    <w:rsid w:val="000250E3"/>
    <w:rsid w:val="00025368"/>
    <w:rsid w:val="000253AB"/>
    <w:rsid w:val="0002550E"/>
    <w:rsid w:val="000255E8"/>
    <w:rsid w:val="000257C2"/>
    <w:rsid w:val="00025D13"/>
    <w:rsid w:val="00025F41"/>
    <w:rsid w:val="00026898"/>
    <w:rsid w:val="00026AD1"/>
    <w:rsid w:val="00026ED4"/>
    <w:rsid w:val="00026F48"/>
    <w:rsid w:val="000274CF"/>
    <w:rsid w:val="000274E9"/>
    <w:rsid w:val="0002755F"/>
    <w:rsid w:val="000277FB"/>
    <w:rsid w:val="000279F0"/>
    <w:rsid w:val="00027BB9"/>
    <w:rsid w:val="000303A2"/>
    <w:rsid w:val="000303C3"/>
    <w:rsid w:val="000303E5"/>
    <w:rsid w:val="0003070D"/>
    <w:rsid w:val="0003079F"/>
    <w:rsid w:val="00030A98"/>
    <w:rsid w:val="00030BE8"/>
    <w:rsid w:val="00030C39"/>
    <w:rsid w:val="000314E7"/>
    <w:rsid w:val="0003150C"/>
    <w:rsid w:val="00031565"/>
    <w:rsid w:val="000315AE"/>
    <w:rsid w:val="00031A87"/>
    <w:rsid w:val="00031BCA"/>
    <w:rsid w:val="00031F39"/>
    <w:rsid w:val="00031F6F"/>
    <w:rsid w:val="0003202D"/>
    <w:rsid w:val="00032213"/>
    <w:rsid w:val="00032980"/>
    <w:rsid w:val="00032E93"/>
    <w:rsid w:val="00032F13"/>
    <w:rsid w:val="00033412"/>
    <w:rsid w:val="00033613"/>
    <w:rsid w:val="00033764"/>
    <w:rsid w:val="000338AD"/>
    <w:rsid w:val="00033ACB"/>
    <w:rsid w:val="00033D07"/>
    <w:rsid w:val="00034101"/>
    <w:rsid w:val="0003423A"/>
    <w:rsid w:val="00034252"/>
    <w:rsid w:val="00034262"/>
    <w:rsid w:val="000346AF"/>
    <w:rsid w:val="000346BE"/>
    <w:rsid w:val="0003477F"/>
    <w:rsid w:val="00034CFD"/>
    <w:rsid w:val="00034E20"/>
    <w:rsid w:val="00035238"/>
    <w:rsid w:val="00035792"/>
    <w:rsid w:val="000358FE"/>
    <w:rsid w:val="00035BBC"/>
    <w:rsid w:val="00036057"/>
    <w:rsid w:val="00036405"/>
    <w:rsid w:val="000364B3"/>
    <w:rsid w:val="00036559"/>
    <w:rsid w:val="000366F7"/>
    <w:rsid w:val="0003697F"/>
    <w:rsid w:val="00036A8C"/>
    <w:rsid w:val="00036AD8"/>
    <w:rsid w:val="00036DBB"/>
    <w:rsid w:val="00036FDB"/>
    <w:rsid w:val="00037037"/>
    <w:rsid w:val="00037043"/>
    <w:rsid w:val="00037172"/>
    <w:rsid w:val="000371B7"/>
    <w:rsid w:val="00037302"/>
    <w:rsid w:val="0003773D"/>
    <w:rsid w:val="000377D3"/>
    <w:rsid w:val="0003782C"/>
    <w:rsid w:val="0004005D"/>
    <w:rsid w:val="000402F2"/>
    <w:rsid w:val="000402FE"/>
    <w:rsid w:val="000403CF"/>
    <w:rsid w:val="0004068C"/>
    <w:rsid w:val="0004076D"/>
    <w:rsid w:val="00040ADF"/>
    <w:rsid w:val="00040DE5"/>
    <w:rsid w:val="00040F23"/>
    <w:rsid w:val="00040F40"/>
    <w:rsid w:val="00040FB4"/>
    <w:rsid w:val="0004178C"/>
    <w:rsid w:val="00041830"/>
    <w:rsid w:val="00041B92"/>
    <w:rsid w:val="00041F5D"/>
    <w:rsid w:val="00042276"/>
    <w:rsid w:val="00042439"/>
    <w:rsid w:val="0004280F"/>
    <w:rsid w:val="00042957"/>
    <w:rsid w:val="00042964"/>
    <w:rsid w:val="00042AD4"/>
    <w:rsid w:val="00042FC2"/>
    <w:rsid w:val="000432B6"/>
    <w:rsid w:val="00043460"/>
    <w:rsid w:val="00043765"/>
    <w:rsid w:val="000437CA"/>
    <w:rsid w:val="00043A25"/>
    <w:rsid w:val="00043A5D"/>
    <w:rsid w:val="00043B57"/>
    <w:rsid w:val="000440CD"/>
    <w:rsid w:val="000443A6"/>
    <w:rsid w:val="000444B9"/>
    <w:rsid w:val="000444E7"/>
    <w:rsid w:val="00044561"/>
    <w:rsid w:val="000449D1"/>
    <w:rsid w:val="00044BE2"/>
    <w:rsid w:val="00044D1B"/>
    <w:rsid w:val="00045423"/>
    <w:rsid w:val="0004557D"/>
    <w:rsid w:val="0004574E"/>
    <w:rsid w:val="00045846"/>
    <w:rsid w:val="0004588E"/>
    <w:rsid w:val="00045B7A"/>
    <w:rsid w:val="00045B8D"/>
    <w:rsid w:val="00045CC5"/>
    <w:rsid w:val="00046154"/>
    <w:rsid w:val="0004630A"/>
    <w:rsid w:val="00046647"/>
    <w:rsid w:val="000466B0"/>
    <w:rsid w:val="000466C1"/>
    <w:rsid w:val="0004699A"/>
    <w:rsid w:val="00046AC6"/>
    <w:rsid w:val="00046B6A"/>
    <w:rsid w:val="00046B97"/>
    <w:rsid w:val="00047179"/>
    <w:rsid w:val="000472D4"/>
    <w:rsid w:val="00047454"/>
    <w:rsid w:val="00047C06"/>
    <w:rsid w:val="00047D5F"/>
    <w:rsid w:val="00047F00"/>
    <w:rsid w:val="00050655"/>
    <w:rsid w:val="00050853"/>
    <w:rsid w:val="00050E02"/>
    <w:rsid w:val="0005100D"/>
    <w:rsid w:val="000511D9"/>
    <w:rsid w:val="0005158A"/>
    <w:rsid w:val="00051672"/>
    <w:rsid w:val="00051B20"/>
    <w:rsid w:val="00051CBF"/>
    <w:rsid w:val="00051F34"/>
    <w:rsid w:val="000521F3"/>
    <w:rsid w:val="00052229"/>
    <w:rsid w:val="00052A1F"/>
    <w:rsid w:val="00052DD3"/>
    <w:rsid w:val="000530A0"/>
    <w:rsid w:val="000530A9"/>
    <w:rsid w:val="0005326D"/>
    <w:rsid w:val="0005364D"/>
    <w:rsid w:val="00053AE5"/>
    <w:rsid w:val="00053C25"/>
    <w:rsid w:val="00053D3A"/>
    <w:rsid w:val="00053DB5"/>
    <w:rsid w:val="00053F6C"/>
    <w:rsid w:val="00054094"/>
    <w:rsid w:val="00054134"/>
    <w:rsid w:val="000544F8"/>
    <w:rsid w:val="00054509"/>
    <w:rsid w:val="0005477D"/>
    <w:rsid w:val="00054A20"/>
    <w:rsid w:val="00054B21"/>
    <w:rsid w:val="000550B7"/>
    <w:rsid w:val="00055203"/>
    <w:rsid w:val="00055478"/>
    <w:rsid w:val="000557AD"/>
    <w:rsid w:val="00055E97"/>
    <w:rsid w:val="00055F8A"/>
    <w:rsid w:val="00055FC1"/>
    <w:rsid w:val="00056040"/>
    <w:rsid w:val="00056764"/>
    <w:rsid w:val="000567A3"/>
    <w:rsid w:val="00056D43"/>
    <w:rsid w:val="000570D0"/>
    <w:rsid w:val="000571BF"/>
    <w:rsid w:val="0005747A"/>
    <w:rsid w:val="000574B7"/>
    <w:rsid w:val="00057A1A"/>
    <w:rsid w:val="000603B3"/>
    <w:rsid w:val="0006075A"/>
    <w:rsid w:val="0006087A"/>
    <w:rsid w:val="00060949"/>
    <w:rsid w:val="000609C6"/>
    <w:rsid w:val="00060FFC"/>
    <w:rsid w:val="0006111C"/>
    <w:rsid w:val="00061527"/>
    <w:rsid w:val="00061954"/>
    <w:rsid w:val="00061A03"/>
    <w:rsid w:val="00061C2E"/>
    <w:rsid w:val="00061C6A"/>
    <w:rsid w:val="00061FDA"/>
    <w:rsid w:val="000624ED"/>
    <w:rsid w:val="0006339C"/>
    <w:rsid w:val="00063549"/>
    <w:rsid w:val="000636A5"/>
    <w:rsid w:val="00063B0F"/>
    <w:rsid w:val="00063F55"/>
    <w:rsid w:val="0006428A"/>
    <w:rsid w:val="00064783"/>
    <w:rsid w:val="000647C2"/>
    <w:rsid w:val="00065872"/>
    <w:rsid w:val="00065901"/>
    <w:rsid w:val="00065933"/>
    <w:rsid w:val="00065B82"/>
    <w:rsid w:val="00065CF3"/>
    <w:rsid w:val="00066402"/>
    <w:rsid w:val="000666B0"/>
    <w:rsid w:val="0006674D"/>
    <w:rsid w:val="000669EB"/>
    <w:rsid w:val="000669FE"/>
    <w:rsid w:val="00067031"/>
    <w:rsid w:val="00067156"/>
    <w:rsid w:val="00067347"/>
    <w:rsid w:val="00067B57"/>
    <w:rsid w:val="00067BCA"/>
    <w:rsid w:val="00067E6C"/>
    <w:rsid w:val="0007021F"/>
    <w:rsid w:val="000705F4"/>
    <w:rsid w:val="00070714"/>
    <w:rsid w:val="000709A0"/>
    <w:rsid w:val="00070FC4"/>
    <w:rsid w:val="0007106B"/>
    <w:rsid w:val="0007147D"/>
    <w:rsid w:val="000714F0"/>
    <w:rsid w:val="00071601"/>
    <w:rsid w:val="00071927"/>
    <w:rsid w:val="00072216"/>
    <w:rsid w:val="000722D2"/>
    <w:rsid w:val="000724AF"/>
    <w:rsid w:val="0007294E"/>
    <w:rsid w:val="00072B4E"/>
    <w:rsid w:val="00072BC9"/>
    <w:rsid w:val="00072CF8"/>
    <w:rsid w:val="00072DF9"/>
    <w:rsid w:val="0007313C"/>
    <w:rsid w:val="00073970"/>
    <w:rsid w:val="00073AAE"/>
    <w:rsid w:val="00073B90"/>
    <w:rsid w:val="00074005"/>
    <w:rsid w:val="0007409D"/>
    <w:rsid w:val="000740EB"/>
    <w:rsid w:val="00074199"/>
    <w:rsid w:val="000742A9"/>
    <w:rsid w:val="000747A6"/>
    <w:rsid w:val="00074819"/>
    <w:rsid w:val="00075D52"/>
    <w:rsid w:val="00076E5C"/>
    <w:rsid w:val="00076FE0"/>
    <w:rsid w:val="00076FEC"/>
    <w:rsid w:val="0007716D"/>
    <w:rsid w:val="0007730B"/>
    <w:rsid w:val="0007776F"/>
    <w:rsid w:val="000777B8"/>
    <w:rsid w:val="00077AD4"/>
    <w:rsid w:val="00077C45"/>
    <w:rsid w:val="00080241"/>
    <w:rsid w:val="000807C7"/>
    <w:rsid w:val="00080B30"/>
    <w:rsid w:val="00080BB3"/>
    <w:rsid w:val="00080BD4"/>
    <w:rsid w:val="000810CB"/>
    <w:rsid w:val="00081778"/>
    <w:rsid w:val="00081B54"/>
    <w:rsid w:val="00081BE0"/>
    <w:rsid w:val="00081C62"/>
    <w:rsid w:val="00082050"/>
    <w:rsid w:val="00082A22"/>
    <w:rsid w:val="00082B72"/>
    <w:rsid w:val="00082B95"/>
    <w:rsid w:val="00082CF5"/>
    <w:rsid w:val="00082D51"/>
    <w:rsid w:val="00082D9A"/>
    <w:rsid w:val="00083482"/>
    <w:rsid w:val="000837B8"/>
    <w:rsid w:val="00083C76"/>
    <w:rsid w:val="00083D67"/>
    <w:rsid w:val="000841A5"/>
    <w:rsid w:val="00084A70"/>
    <w:rsid w:val="00084B63"/>
    <w:rsid w:val="00084B88"/>
    <w:rsid w:val="00084DFB"/>
    <w:rsid w:val="00084E53"/>
    <w:rsid w:val="000850E2"/>
    <w:rsid w:val="000857EE"/>
    <w:rsid w:val="00085C4C"/>
    <w:rsid w:val="00085F79"/>
    <w:rsid w:val="00086641"/>
    <w:rsid w:val="00086EE6"/>
    <w:rsid w:val="000870B6"/>
    <w:rsid w:val="0008716F"/>
    <w:rsid w:val="0008767B"/>
    <w:rsid w:val="00087AEA"/>
    <w:rsid w:val="00087B7F"/>
    <w:rsid w:val="00087EC5"/>
    <w:rsid w:val="00090233"/>
    <w:rsid w:val="000903C8"/>
    <w:rsid w:val="00090613"/>
    <w:rsid w:val="00090653"/>
    <w:rsid w:val="00090831"/>
    <w:rsid w:val="00090BD1"/>
    <w:rsid w:val="000910F9"/>
    <w:rsid w:val="00091373"/>
    <w:rsid w:val="00091559"/>
    <w:rsid w:val="00091758"/>
    <w:rsid w:val="00091857"/>
    <w:rsid w:val="00091C59"/>
    <w:rsid w:val="00091CA4"/>
    <w:rsid w:val="00091CD2"/>
    <w:rsid w:val="00091E97"/>
    <w:rsid w:val="00091F92"/>
    <w:rsid w:val="0009244F"/>
    <w:rsid w:val="0009256C"/>
    <w:rsid w:val="00092A21"/>
    <w:rsid w:val="00092BD1"/>
    <w:rsid w:val="00092C88"/>
    <w:rsid w:val="00092CD0"/>
    <w:rsid w:val="00092E4E"/>
    <w:rsid w:val="00092F02"/>
    <w:rsid w:val="0009304C"/>
    <w:rsid w:val="000935C5"/>
    <w:rsid w:val="0009388C"/>
    <w:rsid w:val="00093C6B"/>
    <w:rsid w:val="00093D9A"/>
    <w:rsid w:val="00093F8E"/>
    <w:rsid w:val="000941FD"/>
    <w:rsid w:val="00094312"/>
    <w:rsid w:val="000943FD"/>
    <w:rsid w:val="000945CE"/>
    <w:rsid w:val="00094656"/>
    <w:rsid w:val="00094851"/>
    <w:rsid w:val="000948C0"/>
    <w:rsid w:val="000949DE"/>
    <w:rsid w:val="00094CD9"/>
    <w:rsid w:val="00095189"/>
    <w:rsid w:val="00095368"/>
    <w:rsid w:val="0009559F"/>
    <w:rsid w:val="000959A4"/>
    <w:rsid w:val="00095A3C"/>
    <w:rsid w:val="00095AAB"/>
    <w:rsid w:val="00095C8E"/>
    <w:rsid w:val="00095E98"/>
    <w:rsid w:val="000961D0"/>
    <w:rsid w:val="000968AB"/>
    <w:rsid w:val="00096911"/>
    <w:rsid w:val="00096B52"/>
    <w:rsid w:val="00096B7C"/>
    <w:rsid w:val="00096CAE"/>
    <w:rsid w:val="00096D15"/>
    <w:rsid w:val="00096DA8"/>
    <w:rsid w:val="00097159"/>
    <w:rsid w:val="0009717E"/>
    <w:rsid w:val="00097261"/>
    <w:rsid w:val="000972D1"/>
    <w:rsid w:val="00097573"/>
    <w:rsid w:val="00097625"/>
    <w:rsid w:val="0009764B"/>
    <w:rsid w:val="00097D20"/>
    <w:rsid w:val="00097DC5"/>
    <w:rsid w:val="000A02A2"/>
    <w:rsid w:val="000A06B2"/>
    <w:rsid w:val="000A071E"/>
    <w:rsid w:val="000A0DC3"/>
    <w:rsid w:val="000A0FE4"/>
    <w:rsid w:val="000A10A1"/>
    <w:rsid w:val="000A10BF"/>
    <w:rsid w:val="000A123E"/>
    <w:rsid w:val="000A14AC"/>
    <w:rsid w:val="000A14DD"/>
    <w:rsid w:val="000A17C6"/>
    <w:rsid w:val="000A1A30"/>
    <w:rsid w:val="000A1B95"/>
    <w:rsid w:val="000A1E2D"/>
    <w:rsid w:val="000A1EAA"/>
    <w:rsid w:val="000A22D3"/>
    <w:rsid w:val="000A24A4"/>
    <w:rsid w:val="000A270B"/>
    <w:rsid w:val="000A2ACD"/>
    <w:rsid w:val="000A2B65"/>
    <w:rsid w:val="000A2C9D"/>
    <w:rsid w:val="000A2DA8"/>
    <w:rsid w:val="000A2F3A"/>
    <w:rsid w:val="000A345D"/>
    <w:rsid w:val="000A3EA8"/>
    <w:rsid w:val="000A3F2E"/>
    <w:rsid w:val="000A3FE2"/>
    <w:rsid w:val="000A40EB"/>
    <w:rsid w:val="000A467B"/>
    <w:rsid w:val="000A5105"/>
    <w:rsid w:val="000A532B"/>
    <w:rsid w:val="000A56E4"/>
    <w:rsid w:val="000A5767"/>
    <w:rsid w:val="000A58AF"/>
    <w:rsid w:val="000A5974"/>
    <w:rsid w:val="000A5C30"/>
    <w:rsid w:val="000A5C47"/>
    <w:rsid w:val="000A5D86"/>
    <w:rsid w:val="000A6297"/>
    <w:rsid w:val="000A629E"/>
    <w:rsid w:val="000A65EE"/>
    <w:rsid w:val="000A6826"/>
    <w:rsid w:val="000A6B30"/>
    <w:rsid w:val="000A6B39"/>
    <w:rsid w:val="000A6DFD"/>
    <w:rsid w:val="000A72C0"/>
    <w:rsid w:val="000A788B"/>
    <w:rsid w:val="000A78C5"/>
    <w:rsid w:val="000A7A96"/>
    <w:rsid w:val="000A7D15"/>
    <w:rsid w:val="000A7E72"/>
    <w:rsid w:val="000B086A"/>
    <w:rsid w:val="000B09C2"/>
    <w:rsid w:val="000B16BA"/>
    <w:rsid w:val="000B1885"/>
    <w:rsid w:val="000B1A22"/>
    <w:rsid w:val="000B1BC3"/>
    <w:rsid w:val="000B1E1E"/>
    <w:rsid w:val="000B1FE9"/>
    <w:rsid w:val="000B2113"/>
    <w:rsid w:val="000B21E2"/>
    <w:rsid w:val="000B262B"/>
    <w:rsid w:val="000B264B"/>
    <w:rsid w:val="000B2A7B"/>
    <w:rsid w:val="000B2B6D"/>
    <w:rsid w:val="000B2F6A"/>
    <w:rsid w:val="000B2FEB"/>
    <w:rsid w:val="000B31EA"/>
    <w:rsid w:val="000B3330"/>
    <w:rsid w:val="000B340A"/>
    <w:rsid w:val="000B3BCE"/>
    <w:rsid w:val="000B3EB6"/>
    <w:rsid w:val="000B4523"/>
    <w:rsid w:val="000B4E8E"/>
    <w:rsid w:val="000B4FF8"/>
    <w:rsid w:val="000B5461"/>
    <w:rsid w:val="000B5D45"/>
    <w:rsid w:val="000B5F98"/>
    <w:rsid w:val="000B6548"/>
    <w:rsid w:val="000B6697"/>
    <w:rsid w:val="000B6907"/>
    <w:rsid w:val="000B6C6F"/>
    <w:rsid w:val="000B6C7F"/>
    <w:rsid w:val="000B6CF0"/>
    <w:rsid w:val="000B720C"/>
    <w:rsid w:val="000B727E"/>
    <w:rsid w:val="000B7665"/>
    <w:rsid w:val="000B770B"/>
    <w:rsid w:val="000C0022"/>
    <w:rsid w:val="000C02A2"/>
    <w:rsid w:val="000C02BD"/>
    <w:rsid w:val="000C0ADF"/>
    <w:rsid w:val="000C0FC3"/>
    <w:rsid w:val="000C100B"/>
    <w:rsid w:val="000C167F"/>
    <w:rsid w:val="000C18C8"/>
    <w:rsid w:val="000C1B60"/>
    <w:rsid w:val="000C1B72"/>
    <w:rsid w:val="000C1DF2"/>
    <w:rsid w:val="000C200B"/>
    <w:rsid w:val="000C23A3"/>
    <w:rsid w:val="000C2537"/>
    <w:rsid w:val="000C25CE"/>
    <w:rsid w:val="000C2807"/>
    <w:rsid w:val="000C28A5"/>
    <w:rsid w:val="000C2B5A"/>
    <w:rsid w:val="000C3148"/>
    <w:rsid w:val="000C33ED"/>
    <w:rsid w:val="000C35C1"/>
    <w:rsid w:val="000C3796"/>
    <w:rsid w:val="000C38C5"/>
    <w:rsid w:val="000C3AAC"/>
    <w:rsid w:val="000C3E25"/>
    <w:rsid w:val="000C3E79"/>
    <w:rsid w:val="000C4957"/>
    <w:rsid w:val="000C4E3A"/>
    <w:rsid w:val="000C509F"/>
    <w:rsid w:val="000C52BF"/>
    <w:rsid w:val="000C5546"/>
    <w:rsid w:val="000C565B"/>
    <w:rsid w:val="000C5EE6"/>
    <w:rsid w:val="000C5F38"/>
    <w:rsid w:val="000C6125"/>
    <w:rsid w:val="000C6320"/>
    <w:rsid w:val="000C6610"/>
    <w:rsid w:val="000C6B52"/>
    <w:rsid w:val="000C6DE2"/>
    <w:rsid w:val="000C7414"/>
    <w:rsid w:val="000C7867"/>
    <w:rsid w:val="000C7B9B"/>
    <w:rsid w:val="000C7BD7"/>
    <w:rsid w:val="000C7C46"/>
    <w:rsid w:val="000C7C4B"/>
    <w:rsid w:val="000D0988"/>
    <w:rsid w:val="000D12D6"/>
    <w:rsid w:val="000D1350"/>
    <w:rsid w:val="000D1362"/>
    <w:rsid w:val="000D1405"/>
    <w:rsid w:val="000D166D"/>
    <w:rsid w:val="000D1B52"/>
    <w:rsid w:val="000D1C02"/>
    <w:rsid w:val="000D1D75"/>
    <w:rsid w:val="000D1D95"/>
    <w:rsid w:val="000D25DD"/>
    <w:rsid w:val="000D27A8"/>
    <w:rsid w:val="000D2A8B"/>
    <w:rsid w:val="000D2BC4"/>
    <w:rsid w:val="000D2D5A"/>
    <w:rsid w:val="000D2FF8"/>
    <w:rsid w:val="000D3106"/>
    <w:rsid w:val="000D3131"/>
    <w:rsid w:val="000D3317"/>
    <w:rsid w:val="000D3607"/>
    <w:rsid w:val="000D3631"/>
    <w:rsid w:val="000D3954"/>
    <w:rsid w:val="000D40EA"/>
    <w:rsid w:val="000D4146"/>
    <w:rsid w:val="000D4447"/>
    <w:rsid w:val="000D459C"/>
    <w:rsid w:val="000D4C1B"/>
    <w:rsid w:val="000D4DA8"/>
    <w:rsid w:val="000D4ED1"/>
    <w:rsid w:val="000D522A"/>
    <w:rsid w:val="000D5523"/>
    <w:rsid w:val="000D582C"/>
    <w:rsid w:val="000D5EBE"/>
    <w:rsid w:val="000D61B8"/>
    <w:rsid w:val="000D6214"/>
    <w:rsid w:val="000D62DF"/>
    <w:rsid w:val="000D6452"/>
    <w:rsid w:val="000D684D"/>
    <w:rsid w:val="000D6A60"/>
    <w:rsid w:val="000D70D7"/>
    <w:rsid w:val="000D7256"/>
    <w:rsid w:val="000D7814"/>
    <w:rsid w:val="000D794D"/>
    <w:rsid w:val="000D7BB2"/>
    <w:rsid w:val="000D7F29"/>
    <w:rsid w:val="000D7FE3"/>
    <w:rsid w:val="000E02B6"/>
    <w:rsid w:val="000E03DC"/>
    <w:rsid w:val="000E09F8"/>
    <w:rsid w:val="000E0AD5"/>
    <w:rsid w:val="000E0CB9"/>
    <w:rsid w:val="000E0CDA"/>
    <w:rsid w:val="000E1124"/>
    <w:rsid w:val="000E13FF"/>
    <w:rsid w:val="000E1522"/>
    <w:rsid w:val="000E15C7"/>
    <w:rsid w:val="000E1D44"/>
    <w:rsid w:val="000E1E4A"/>
    <w:rsid w:val="000E1F77"/>
    <w:rsid w:val="000E26CD"/>
    <w:rsid w:val="000E2820"/>
    <w:rsid w:val="000E287D"/>
    <w:rsid w:val="000E2972"/>
    <w:rsid w:val="000E2994"/>
    <w:rsid w:val="000E2B5D"/>
    <w:rsid w:val="000E2CC5"/>
    <w:rsid w:val="000E2D25"/>
    <w:rsid w:val="000E3170"/>
    <w:rsid w:val="000E32F4"/>
    <w:rsid w:val="000E3321"/>
    <w:rsid w:val="000E35C1"/>
    <w:rsid w:val="000E35C2"/>
    <w:rsid w:val="000E37C3"/>
    <w:rsid w:val="000E3931"/>
    <w:rsid w:val="000E3CCF"/>
    <w:rsid w:val="000E40EE"/>
    <w:rsid w:val="000E4226"/>
    <w:rsid w:val="000E423E"/>
    <w:rsid w:val="000E431C"/>
    <w:rsid w:val="000E4A15"/>
    <w:rsid w:val="000E4C89"/>
    <w:rsid w:val="000E4E40"/>
    <w:rsid w:val="000E5295"/>
    <w:rsid w:val="000E5459"/>
    <w:rsid w:val="000E5531"/>
    <w:rsid w:val="000E55E6"/>
    <w:rsid w:val="000E5828"/>
    <w:rsid w:val="000E59C3"/>
    <w:rsid w:val="000E5C43"/>
    <w:rsid w:val="000E5C68"/>
    <w:rsid w:val="000E5C94"/>
    <w:rsid w:val="000E5DA5"/>
    <w:rsid w:val="000E5F42"/>
    <w:rsid w:val="000E62B4"/>
    <w:rsid w:val="000E62D7"/>
    <w:rsid w:val="000E6367"/>
    <w:rsid w:val="000E6410"/>
    <w:rsid w:val="000E678B"/>
    <w:rsid w:val="000E69FA"/>
    <w:rsid w:val="000E6ABF"/>
    <w:rsid w:val="000E6C10"/>
    <w:rsid w:val="000E71D0"/>
    <w:rsid w:val="000E72FF"/>
    <w:rsid w:val="000E7483"/>
    <w:rsid w:val="000E76AC"/>
    <w:rsid w:val="000E7B2B"/>
    <w:rsid w:val="000E7B67"/>
    <w:rsid w:val="000F03C3"/>
    <w:rsid w:val="000F052E"/>
    <w:rsid w:val="000F08C9"/>
    <w:rsid w:val="000F0E5F"/>
    <w:rsid w:val="000F13DB"/>
    <w:rsid w:val="000F155B"/>
    <w:rsid w:val="000F156C"/>
    <w:rsid w:val="000F1A8F"/>
    <w:rsid w:val="000F1E74"/>
    <w:rsid w:val="000F209E"/>
    <w:rsid w:val="000F210C"/>
    <w:rsid w:val="000F2598"/>
    <w:rsid w:val="000F2910"/>
    <w:rsid w:val="000F2A27"/>
    <w:rsid w:val="000F2D73"/>
    <w:rsid w:val="000F2E01"/>
    <w:rsid w:val="000F3951"/>
    <w:rsid w:val="000F40E8"/>
    <w:rsid w:val="000F4F32"/>
    <w:rsid w:val="000F503A"/>
    <w:rsid w:val="000F53C1"/>
    <w:rsid w:val="000F54E6"/>
    <w:rsid w:val="000F5589"/>
    <w:rsid w:val="000F5A17"/>
    <w:rsid w:val="000F5A54"/>
    <w:rsid w:val="000F5B49"/>
    <w:rsid w:val="000F5E9A"/>
    <w:rsid w:val="000F61F1"/>
    <w:rsid w:val="000F6724"/>
    <w:rsid w:val="000F6AD7"/>
    <w:rsid w:val="000F6AD9"/>
    <w:rsid w:val="000F7187"/>
    <w:rsid w:val="000F736C"/>
    <w:rsid w:val="000F755E"/>
    <w:rsid w:val="000F75AE"/>
    <w:rsid w:val="000F7987"/>
    <w:rsid w:val="000F7B0A"/>
    <w:rsid w:val="000F7DD1"/>
    <w:rsid w:val="00100431"/>
    <w:rsid w:val="0010051C"/>
    <w:rsid w:val="0010052F"/>
    <w:rsid w:val="001006CD"/>
    <w:rsid w:val="00100777"/>
    <w:rsid w:val="00100D04"/>
    <w:rsid w:val="00100E56"/>
    <w:rsid w:val="00101422"/>
    <w:rsid w:val="00101506"/>
    <w:rsid w:val="00101ACF"/>
    <w:rsid w:val="00101BC7"/>
    <w:rsid w:val="00102582"/>
    <w:rsid w:val="001026F4"/>
    <w:rsid w:val="00102A70"/>
    <w:rsid w:val="00102D44"/>
    <w:rsid w:val="00102FD8"/>
    <w:rsid w:val="00103157"/>
    <w:rsid w:val="00103166"/>
    <w:rsid w:val="00103544"/>
    <w:rsid w:val="00103633"/>
    <w:rsid w:val="00103641"/>
    <w:rsid w:val="0010448B"/>
    <w:rsid w:val="0010521F"/>
    <w:rsid w:val="00105858"/>
    <w:rsid w:val="00105DDF"/>
    <w:rsid w:val="0010625A"/>
    <w:rsid w:val="00106477"/>
    <w:rsid w:val="00106654"/>
    <w:rsid w:val="00106B96"/>
    <w:rsid w:val="00107524"/>
    <w:rsid w:val="0010761A"/>
    <w:rsid w:val="0010770D"/>
    <w:rsid w:val="00107964"/>
    <w:rsid w:val="00107A87"/>
    <w:rsid w:val="00107BD9"/>
    <w:rsid w:val="00107CA2"/>
    <w:rsid w:val="00107DCD"/>
    <w:rsid w:val="00107EF0"/>
    <w:rsid w:val="00110056"/>
    <w:rsid w:val="001100A5"/>
    <w:rsid w:val="001100B7"/>
    <w:rsid w:val="00110214"/>
    <w:rsid w:val="0011026B"/>
    <w:rsid w:val="001104BE"/>
    <w:rsid w:val="001105B4"/>
    <w:rsid w:val="00110C3C"/>
    <w:rsid w:val="00111357"/>
    <w:rsid w:val="00111400"/>
    <w:rsid w:val="00111417"/>
    <w:rsid w:val="0011146A"/>
    <w:rsid w:val="0011174A"/>
    <w:rsid w:val="00111D58"/>
    <w:rsid w:val="00111D7F"/>
    <w:rsid w:val="0011218D"/>
    <w:rsid w:val="00112199"/>
    <w:rsid w:val="0011222A"/>
    <w:rsid w:val="001126EF"/>
    <w:rsid w:val="00112701"/>
    <w:rsid w:val="00112A44"/>
    <w:rsid w:val="00112CC9"/>
    <w:rsid w:val="00112D66"/>
    <w:rsid w:val="00112E38"/>
    <w:rsid w:val="00112EF0"/>
    <w:rsid w:val="00113378"/>
    <w:rsid w:val="00113615"/>
    <w:rsid w:val="0011394A"/>
    <w:rsid w:val="00113C60"/>
    <w:rsid w:val="00113D20"/>
    <w:rsid w:val="0011447D"/>
    <w:rsid w:val="0011452E"/>
    <w:rsid w:val="00114ACB"/>
    <w:rsid w:val="00114C3B"/>
    <w:rsid w:val="00114E35"/>
    <w:rsid w:val="0011525C"/>
    <w:rsid w:val="0011554E"/>
    <w:rsid w:val="00115691"/>
    <w:rsid w:val="001157B7"/>
    <w:rsid w:val="00115816"/>
    <w:rsid w:val="00115A95"/>
    <w:rsid w:val="00115B9D"/>
    <w:rsid w:val="00115D12"/>
    <w:rsid w:val="00116180"/>
    <w:rsid w:val="001166BA"/>
    <w:rsid w:val="0011687D"/>
    <w:rsid w:val="00116B4D"/>
    <w:rsid w:val="00116DDE"/>
    <w:rsid w:val="00117039"/>
    <w:rsid w:val="0011716F"/>
    <w:rsid w:val="001171C6"/>
    <w:rsid w:val="00117412"/>
    <w:rsid w:val="00117459"/>
    <w:rsid w:val="001174FF"/>
    <w:rsid w:val="001179CE"/>
    <w:rsid w:val="001179DA"/>
    <w:rsid w:val="00117CA6"/>
    <w:rsid w:val="00117F04"/>
    <w:rsid w:val="00120288"/>
    <w:rsid w:val="00120348"/>
    <w:rsid w:val="001206E3"/>
    <w:rsid w:val="00120B80"/>
    <w:rsid w:val="00120BD3"/>
    <w:rsid w:val="0012169C"/>
    <w:rsid w:val="00121749"/>
    <w:rsid w:val="00122521"/>
    <w:rsid w:val="00122AE3"/>
    <w:rsid w:val="00122BF2"/>
    <w:rsid w:val="00122EE1"/>
    <w:rsid w:val="00123057"/>
    <w:rsid w:val="0012308B"/>
    <w:rsid w:val="00123166"/>
    <w:rsid w:val="001235D5"/>
    <w:rsid w:val="00123658"/>
    <w:rsid w:val="001237AF"/>
    <w:rsid w:val="0012382C"/>
    <w:rsid w:val="00123C06"/>
    <w:rsid w:val="00123DFC"/>
    <w:rsid w:val="001240CD"/>
    <w:rsid w:val="00124404"/>
    <w:rsid w:val="001247EB"/>
    <w:rsid w:val="0012484D"/>
    <w:rsid w:val="00124854"/>
    <w:rsid w:val="0012487A"/>
    <w:rsid w:val="00124A9B"/>
    <w:rsid w:val="00124DE6"/>
    <w:rsid w:val="00124F3C"/>
    <w:rsid w:val="001252DA"/>
    <w:rsid w:val="0012548C"/>
    <w:rsid w:val="001259BB"/>
    <w:rsid w:val="00125B61"/>
    <w:rsid w:val="00125D0C"/>
    <w:rsid w:val="00125D19"/>
    <w:rsid w:val="00125F40"/>
    <w:rsid w:val="00126122"/>
    <w:rsid w:val="0012617A"/>
    <w:rsid w:val="0012638B"/>
    <w:rsid w:val="00126AD6"/>
    <w:rsid w:val="00126D07"/>
    <w:rsid w:val="00126DA2"/>
    <w:rsid w:val="00126F19"/>
    <w:rsid w:val="001273A8"/>
    <w:rsid w:val="001276AC"/>
    <w:rsid w:val="00127757"/>
    <w:rsid w:val="00127867"/>
    <w:rsid w:val="00127EAF"/>
    <w:rsid w:val="00127F63"/>
    <w:rsid w:val="00127FBD"/>
    <w:rsid w:val="00130107"/>
    <w:rsid w:val="001302D6"/>
    <w:rsid w:val="001305CA"/>
    <w:rsid w:val="001309EB"/>
    <w:rsid w:val="00130DA7"/>
    <w:rsid w:val="0013112E"/>
    <w:rsid w:val="001316EA"/>
    <w:rsid w:val="00131743"/>
    <w:rsid w:val="0013178A"/>
    <w:rsid w:val="00131821"/>
    <w:rsid w:val="00131D45"/>
    <w:rsid w:val="00131D62"/>
    <w:rsid w:val="00131DFC"/>
    <w:rsid w:val="00132006"/>
    <w:rsid w:val="001320F0"/>
    <w:rsid w:val="0013250F"/>
    <w:rsid w:val="00132CAA"/>
    <w:rsid w:val="00132E95"/>
    <w:rsid w:val="001332A5"/>
    <w:rsid w:val="0013330E"/>
    <w:rsid w:val="00133514"/>
    <w:rsid w:val="001336E0"/>
    <w:rsid w:val="00133915"/>
    <w:rsid w:val="00133B91"/>
    <w:rsid w:val="00133D15"/>
    <w:rsid w:val="00133F34"/>
    <w:rsid w:val="0013411F"/>
    <w:rsid w:val="0013449D"/>
    <w:rsid w:val="00134A1E"/>
    <w:rsid w:val="00134AE9"/>
    <w:rsid w:val="00134BD4"/>
    <w:rsid w:val="00134D4B"/>
    <w:rsid w:val="00134DC4"/>
    <w:rsid w:val="00135273"/>
    <w:rsid w:val="001354F9"/>
    <w:rsid w:val="00135588"/>
    <w:rsid w:val="00135706"/>
    <w:rsid w:val="0013594A"/>
    <w:rsid w:val="00135D00"/>
    <w:rsid w:val="00135D15"/>
    <w:rsid w:val="00135FC9"/>
    <w:rsid w:val="00136C5D"/>
    <w:rsid w:val="00136E58"/>
    <w:rsid w:val="001370AB"/>
    <w:rsid w:val="0013744C"/>
    <w:rsid w:val="00137C45"/>
    <w:rsid w:val="00137DB8"/>
    <w:rsid w:val="00137E28"/>
    <w:rsid w:val="0014055B"/>
    <w:rsid w:val="0014067C"/>
    <w:rsid w:val="00140694"/>
    <w:rsid w:val="001407A9"/>
    <w:rsid w:val="00140A1A"/>
    <w:rsid w:val="00140BB0"/>
    <w:rsid w:val="00140BE0"/>
    <w:rsid w:val="001411A3"/>
    <w:rsid w:val="001411C1"/>
    <w:rsid w:val="00141419"/>
    <w:rsid w:val="001415F3"/>
    <w:rsid w:val="001416BB"/>
    <w:rsid w:val="0014210D"/>
    <w:rsid w:val="00142492"/>
    <w:rsid w:val="00142888"/>
    <w:rsid w:val="0014290F"/>
    <w:rsid w:val="0014295A"/>
    <w:rsid w:val="00142984"/>
    <w:rsid w:val="0014325B"/>
    <w:rsid w:val="001432E0"/>
    <w:rsid w:val="001433C3"/>
    <w:rsid w:val="00143422"/>
    <w:rsid w:val="00143478"/>
    <w:rsid w:val="0014375C"/>
    <w:rsid w:val="001437C1"/>
    <w:rsid w:val="0014392A"/>
    <w:rsid w:val="00143F07"/>
    <w:rsid w:val="00143F2F"/>
    <w:rsid w:val="00144535"/>
    <w:rsid w:val="00144537"/>
    <w:rsid w:val="00144818"/>
    <w:rsid w:val="00144B6C"/>
    <w:rsid w:val="00144D05"/>
    <w:rsid w:val="001450B4"/>
    <w:rsid w:val="001452D8"/>
    <w:rsid w:val="001452F3"/>
    <w:rsid w:val="00145389"/>
    <w:rsid w:val="00145820"/>
    <w:rsid w:val="00145823"/>
    <w:rsid w:val="0014593F"/>
    <w:rsid w:val="00145AA9"/>
    <w:rsid w:val="00145B87"/>
    <w:rsid w:val="00145D06"/>
    <w:rsid w:val="00146480"/>
    <w:rsid w:val="001465D3"/>
    <w:rsid w:val="00146624"/>
    <w:rsid w:val="00146776"/>
    <w:rsid w:val="00146E23"/>
    <w:rsid w:val="001473D9"/>
    <w:rsid w:val="0014760F"/>
    <w:rsid w:val="00147646"/>
    <w:rsid w:val="001476E4"/>
    <w:rsid w:val="0014772E"/>
    <w:rsid w:val="00147CA5"/>
    <w:rsid w:val="00147D13"/>
    <w:rsid w:val="00147FD0"/>
    <w:rsid w:val="001500AE"/>
    <w:rsid w:val="0015023E"/>
    <w:rsid w:val="00150376"/>
    <w:rsid w:val="001503A6"/>
    <w:rsid w:val="0015091B"/>
    <w:rsid w:val="001509F6"/>
    <w:rsid w:val="00150F26"/>
    <w:rsid w:val="001511E3"/>
    <w:rsid w:val="0015136D"/>
    <w:rsid w:val="00151403"/>
    <w:rsid w:val="001514BF"/>
    <w:rsid w:val="001515F9"/>
    <w:rsid w:val="00151631"/>
    <w:rsid w:val="00151781"/>
    <w:rsid w:val="001519C2"/>
    <w:rsid w:val="00151DBD"/>
    <w:rsid w:val="001520FA"/>
    <w:rsid w:val="001522DC"/>
    <w:rsid w:val="00152404"/>
    <w:rsid w:val="00152AF2"/>
    <w:rsid w:val="00152E12"/>
    <w:rsid w:val="00153164"/>
    <w:rsid w:val="001531D6"/>
    <w:rsid w:val="0015327F"/>
    <w:rsid w:val="00153317"/>
    <w:rsid w:val="00153E15"/>
    <w:rsid w:val="00153F7C"/>
    <w:rsid w:val="001545CF"/>
    <w:rsid w:val="00154A60"/>
    <w:rsid w:val="00154CC4"/>
    <w:rsid w:val="00154D2E"/>
    <w:rsid w:val="00155396"/>
    <w:rsid w:val="00155434"/>
    <w:rsid w:val="00155BDA"/>
    <w:rsid w:val="00155E32"/>
    <w:rsid w:val="001563BF"/>
    <w:rsid w:val="001563D5"/>
    <w:rsid w:val="0015643C"/>
    <w:rsid w:val="00156715"/>
    <w:rsid w:val="00156974"/>
    <w:rsid w:val="00156A5E"/>
    <w:rsid w:val="00156C67"/>
    <w:rsid w:val="00156D9A"/>
    <w:rsid w:val="00156FA7"/>
    <w:rsid w:val="00157A30"/>
    <w:rsid w:val="00157BBC"/>
    <w:rsid w:val="00157C97"/>
    <w:rsid w:val="00157D35"/>
    <w:rsid w:val="00157FC4"/>
    <w:rsid w:val="0016023A"/>
    <w:rsid w:val="0016033F"/>
    <w:rsid w:val="0016037A"/>
    <w:rsid w:val="00160597"/>
    <w:rsid w:val="00160770"/>
    <w:rsid w:val="0016086B"/>
    <w:rsid w:val="001608B2"/>
    <w:rsid w:val="00160ACD"/>
    <w:rsid w:val="001612B3"/>
    <w:rsid w:val="001612D8"/>
    <w:rsid w:val="00161EDF"/>
    <w:rsid w:val="00161F50"/>
    <w:rsid w:val="00161F8D"/>
    <w:rsid w:val="00162205"/>
    <w:rsid w:val="001625AD"/>
    <w:rsid w:val="00162950"/>
    <w:rsid w:val="00162952"/>
    <w:rsid w:val="00162A2B"/>
    <w:rsid w:val="00162B1C"/>
    <w:rsid w:val="00162DBF"/>
    <w:rsid w:val="00163375"/>
    <w:rsid w:val="00163470"/>
    <w:rsid w:val="001638C9"/>
    <w:rsid w:val="00163E28"/>
    <w:rsid w:val="0016404D"/>
    <w:rsid w:val="00164089"/>
    <w:rsid w:val="0016414C"/>
    <w:rsid w:val="001647A8"/>
    <w:rsid w:val="0016481D"/>
    <w:rsid w:val="0016486C"/>
    <w:rsid w:val="00164BC1"/>
    <w:rsid w:val="00164CF8"/>
    <w:rsid w:val="00165139"/>
    <w:rsid w:val="001651D1"/>
    <w:rsid w:val="001652A7"/>
    <w:rsid w:val="001653AE"/>
    <w:rsid w:val="001653BA"/>
    <w:rsid w:val="00165480"/>
    <w:rsid w:val="00165DD6"/>
    <w:rsid w:val="00165F1D"/>
    <w:rsid w:val="0016680A"/>
    <w:rsid w:val="0016684E"/>
    <w:rsid w:val="001668EB"/>
    <w:rsid w:val="001669B3"/>
    <w:rsid w:val="00166D71"/>
    <w:rsid w:val="00167059"/>
    <w:rsid w:val="00167150"/>
    <w:rsid w:val="001674F5"/>
    <w:rsid w:val="00167631"/>
    <w:rsid w:val="001676AC"/>
    <w:rsid w:val="00167732"/>
    <w:rsid w:val="00170310"/>
    <w:rsid w:val="00170506"/>
    <w:rsid w:val="00170C12"/>
    <w:rsid w:val="00170D5B"/>
    <w:rsid w:val="00170EC8"/>
    <w:rsid w:val="0017132F"/>
    <w:rsid w:val="00171359"/>
    <w:rsid w:val="00171490"/>
    <w:rsid w:val="00171C49"/>
    <w:rsid w:val="00171C51"/>
    <w:rsid w:val="00171CE8"/>
    <w:rsid w:val="00171D47"/>
    <w:rsid w:val="0017201C"/>
    <w:rsid w:val="0017214F"/>
    <w:rsid w:val="00172183"/>
    <w:rsid w:val="0017251A"/>
    <w:rsid w:val="0017275A"/>
    <w:rsid w:val="00172B8F"/>
    <w:rsid w:val="00172DF9"/>
    <w:rsid w:val="0017325A"/>
    <w:rsid w:val="00173374"/>
    <w:rsid w:val="001735EB"/>
    <w:rsid w:val="001736F8"/>
    <w:rsid w:val="00173763"/>
    <w:rsid w:val="00173D85"/>
    <w:rsid w:val="00173FA3"/>
    <w:rsid w:val="0017401A"/>
    <w:rsid w:val="001745F9"/>
    <w:rsid w:val="00174987"/>
    <w:rsid w:val="00174B92"/>
    <w:rsid w:val="00174B99"/>
    <w:rsid w:val="00174B9E"/>
    <w:rsid w:val="00174FD4"/>
    <w:rsid w:val="0017537C"/>
    <w:rsid w:val="00175880"/>
    <w:rsid w:val="00175D96"/>
    <w:rsid w:val="001761B7"/>
    <w:rsid w:val="00176345"/>
    <w:rsid w:val="00176469"/>
    <w:rsid w:val="00176622"/>
    <w:rsid w:val="00176687"/>
    <w:rsid w:val="00176743"/>
    <w:rsid w:val="001767D4"/>
    <w:rsid w:val="00176AA9"/>
    <w:rsid w:val="00176DC6"/>
    <w:rsid w:val="00177219"/>
    <w:rsid w:val="001778F7"/>
    <w:rsid w:val="00177C61"/>
    <w:rsid w:val="00177E60"/>
    <w:rsid w:val="00177F5B"/>
    <w:rsid w:val="0018001E"/>
    <w:rsid w:val="00180310"/>
    <w:rsid w:val="0018033C"/>
    <w:rsid w:val="001806AB"/>
    <w:rsid w:val="00180772"/>
    <w:rsid w:val="00180F76"/>
    <w:rsid w:val="001813BE"/>
    <w:rsid w:val="0018145B"/>
    <w:rsid w:val="001815CE"/>
    <w:rsid w:val="00182026"/>
    <w:rsid w:val="001822A0"/>
    <w:rsid w:val="001822F8"/>
    <w:rsid w:val="001823A9"/>
    <w:rsid w:val="00182B86"/>
    <w:rsid w:val="00182EA4"/>
    <w:rsid w:val="00183820"/>
    <w:rsid w:val="00183A40"/>
    <w:rsid w:val="00183CDE"/>
    <w:rsid w:val="00184166"/>
    <w:rsid w:val="0018456F"/>
    <w:rsid w:val="001847ED"/>
    <w:rsid w:val="001848CA"/>
    <w:rsid w:val="00184977"/>
    <w:rsid w:val="001849F6"/>
    <w:rsid w:val="00184BAE"/>
    <w:rsid w:val="00184BED"/>
    <w:rsid w:val="00184FBE"/>
    <w:rsid w:val="00185306"/>
    <w:rsid w:val="0018567D"/>
    <w:rsid w:val="00185806"/>
    <w:rsid w:val="00186132"/>
    <w:rsid w:val="00186539"/>
    <w:rsid w:val="0018676E"/>
    <w:rsid w:val="00186864"/>
    <w:rsid w:val="001868DD"/>
    <w:rsid w:val="00186900"/>
    <w:rsid w:val="00186A33"/>
    <w:rsid w:val="00186EAF"/>
    <w:rsid w:val="00187056"/>
    <w:rsid w:val="00187179"/>
    <w:rsid w:val="0018752D"/>
    <w:rsid w:val="0019043F"/>
    <w:rsid w:val="001906E4"/>
    <w:rsid w:val="00190730"/>
    <w:rsid w:val="00190BFA"/>
    <w:rsid w:val="00190F3E"/>
    <w:rsid w:val="00191255"/>
    <w:rsid w:val="00191374"/>
    <w:rsid w:val="0019147A"/>
    <w:rsid w:val="00191578"/>
    <w:rsid w:val="00191AC9"/>
    <w:rsid w:val="00191AFC"/>
    <w:rsid w:val="00192828"/>
    <w:rsid w:val="00192F8D"/>
    <w:rsid w:val="00193198"/>
    <w:rsid w:val="0019320B"/>
    <w:rsid w:val="0019362A"/>
    <w:rsid w:val="001937F8"/>
    <w:rsid w:val="00193877"/>
    <w:rsid w:val="00193A15"/>
    <w:rsid w:val="001942A9"/>
    <w:rsid w:val="001944C8"/>
    <w:rsid w:val="0019462A"/>
    <w:rsid w:val="00194680"/>
    <w:rsid w:val="0019474E"/>
    <w:rsid w:val="001947B3"/>
    <w:rsid w:val="001952E0"/>
    <w:rsid w:val="0019535F"/>
    <w:rsid w:val="00195728"/>
    <w:rsid w:val="001957C3"/>
    <w:rsid w:val="00195CE3"/>
    <w:rsid w:val="00195F87"/>
    <w:rsid w:val="001960FA"/>
    <w:rsid w:val="001963DC"/>
    <w:rsid w:val="001968E3"/>
    <w:rsid w:val="001970C0"/>
    <w:rsid w:val="0019716A"/>
    <w:rsid w:val="00197334"/>
    <w:rsid w:val="001978FA"/>
    <w:rsid w:val="00197979"/>
    <w:rsid w:val="00197C4A"/>
    <w:rsid w:val="00197E7A"/>
    <w:rsid w:val="001A02B9"/>
    <w:rsid w:val="001A0354"/>
    <w:rsid w:val="001A04CA"/>
    <w:rsid w:val="001A06E7"/>
    <w:rsid w:val="001A0D90"/>
    <w:rsid w:val="001A0FE3"/>
    <w:rsid w:val="001A1374"/>
    <w:rsid w:val="001A1840"/>
    <w:rsid w:val="001A1CB7"/>
    <w:rsid w:val="001A1CDC"/>
    <w:rsid w:val="001A20F5"/>
    <w:rsid w:val="001A21F8"/>
    <w:rsid w:val="001A2226"/>
    <w:rsid w:val="001A26FB"/>
    <w:rsid w:val="001A2A94"/>
    <w:rsid w:val="001A2AA0"/>
    <w:rsid w:val="001A2B96"/>
    <w:rsid w:val="001A2D76"/>
    <w:rsid w:val="001A2DFB"/>
    <w:rsid w:val="001A31E8"/>
    <w:rsid w:val="001A325E"/>
    <w:rsid w:val="001A33A9"/>
    <w:rsid w:val="001A3976"/>
    <w:rsid w:val="001A3F6C"/>
    <w:rsid w:val="001A420B"/>
    <w:rsid w:val="001A435F"/>
    <w:rsid w:val="001A4431"/>
    <w:rsid w:val="001A4B97"/>
    <w:rsid w:val="001A4E5F"/>
    <w:rsid w:val="001A4F7D"/>
    <w:rsid w:val="001A4FAD"/>
    <w:rsid w:val="001A501E"/>
    <w:rsid w:val="001A5309"/>
    <w:rsid w:val="001A539F"/>
    <w:rsid w:val="001A5519"/>
    <w:rsid w:val="001A6593"/>
    <w:rsid w:val="001A67CF"/>
    <w:rsid w:val="001A69B1"/>
    <w:rsid w:val="001A6A5F"/>
    <w:rsid w:val="001A6C8E"/>
    <w:rsid w:val="001A70C5"/>
    <w:rsid w:val="001A71D3"/>
    <w:rsid w:val="001A7290"/>
    <w:rsid w:val="001A7B42"/>
    <w:rsid w:val="001A7BA0"/>
    <w:rsid w:val="001A7CFB"/>
    <w:rsid w:val="001A7D4F"/>
    <w:rsid w:val="001A7D8F"/>
    <w:rsid w:val="001A7F40"/>
    <w:rsid w:val="001B03C4"/>
    <w:rsid w:val="001B049B"/>
    <w:rsid w:val="001B08A9"/>
    <w:rsid w:val="001B08FD"/>
    <w:rsid w:val="001B0A2E"/>
    <w:rsid w:val="001B0DCB"/>
    <w:rsid w:val="001B0EA2"/>
    <w:rsid w:val="001B102F"/>
    <w:rsid w:val="001B1332"/>
    <w:rsid w:val="001B22E4"/>
    <w:rsid w:val="001B23CB"/>
    <w:rsid w:val="001B2461"/>
    <w:rsid w:val="001B2483"/>
    <w:rsid w:val="001B2595"/>
    <w:rsid w:val="001B2A63"/>
    <w:rsid w:val="001B2A97"/>
    <w:rsid w:val="001B2CD4"/>
    <w:rsid w:val="001B2EFF"/>
    <w:rsid w:val="001B3240"/>
    <w:rsid w:val="001B3618"/>
    <w:rsid w:val="001B3A05"/>
    <w:rsid w:val="001B3A21"/>
    <w:rsid w:val="001B3CF4"/>
    <w:rsid w:val="001B4281"/>
    <w:rsid w:val="001B441B"/>
    <w:rsid w:val="001B44FF"/>
    <w:rsid w:val="001B45A1"/>
    <w:rsid w:val="001B491E"/>
    <w:rsid w:val="001B4992"/>
    <w:rsid w:val="001B499A"/>
    <w:rsid w:val="001B4AC6"/>
    <w:rsid w:val="001B4CA0"/>
    <w:rsid w:val="001B4E2C"/>
    <w:rsid w:val="001B51F0"/>
    <w:rsid w:val="001B527E"/>
    <w:rsid w:val="001B535B"/>
    <w:rsid w:val="001B552A"/>
    <w:rsid w:val="001B589C"/>
    <w:rsid w:val="001B6996"/>
    <w:rsid w:val="001B6B76"/>
    <w:rsid w:val="001B6F1A"/>
    <w:rsid w:val="001B6FE1"/>
    <w:rsid w:val="001B7153"/>
    <w:rsid w:val="001B7329"/>
    <w:rsid w:val="001B7E66"/>
    <w:rsid w:val="001B7E9C"/>
    <w:rsid w:val="001B7FC4"/>
    <w:rsid w:val="001C0033"/>
    <w:rsid w:val="001C00A6"/>
    <w:rsid w:val="001C066E"/>
    <w:rsid w:val="001C0AC1"/>
    <w:rsid w:val="001C0C93"/>
    <w:rsid w:val="001C0D43"/>
    <w:rsid w:val="001C10A7"/>
    <w:rsid w:val="001C148F"/>
    <w:rsid w:val="001C1535"/>
    <w:rsid w:val="001C162D"/>
    <w:rsid w:val="001C16BF"/>
    <w:rsid w:val="001C16CC"/>
    <w:rsid w:val="001C174A"/>
    <w:rsid w:val="001C1A7F"/>
    <w:rsid w:val="001C1B76"/>
    <w:rsid w:val="001C1D05"/>
    <w:rsid w:val="001C20FD"/>
    <w:rsid w:val="001C2A48"/>
    <w:rsid w:val="001C2C15"/>
    <w:rsid w:val="001C2CCE"/>
    <w:rsid w:val="001C2EF4"/>
    <w:rsid w:val="001C32CC"/>
    <w:rsid w:val="001C3E05"/>
    <w:rsid w:val="001C3FF2"/>
    <w:rsid w:val="001C42F3"/>
    <w:rsid w:val="001C4EAF"/>
    <w:rsid w:val="001C5071"/>
    <w:rsid w:val="001C5652"/>
    <w:rsid w:val="001C5BA3"/>
    <w:rsid w:val="001C607B"/>
    <w:rsid w:val="001C6156"/>
    <w:rsid w:val="001C66DA"/>
    <w:rsid w:val="001C6794"/>
    <w:rsid w:val="001C693F"/>
    <w:rsid w:val="001C69E3"/>
    <w:rsid w:val="001C6B42"/>
    <w:rsid w:val="001C6B9A"/>
    <w:rsid w:val="001C6D72"/>
    <w:rsid w:val="001C6DFD"/>
    <w:rsid w:val="001C6E38"/>
    <w:rsid w:val="001C7184"/>
    <w:rsid w:val="001C727B"/>
    <w:rsid w:val="001C7290"/>
    <w:rsid w:val="001C735E"/>
    <w:rsid w:val="001C7377"/>
    <w:rsid w:val="001C73C4"/>
    <w:rsid w:val="001C7982"/>
    <w:rsid w:val="001C7EF8"/>
    <w:rsid w:val="001D035D"/>
    <w:rsid w:val="001D0991"/>
    <w:rsid w:val="001D1733"/>
    <w:rsid w:val="001D1839"/>
    <w:rsid w:val="001D1A3C"/>
    <w:rsid w:val="001D1ACD"/>
    <w:rsid w:val="001D1F0A"/>
    <w:rsid w:val="001D210D"/>
    <w:rsid w:val="001D21D8"/>
    <w:rsid w:val="001D23B5"/>
    <w:rsid w:val="001D2807"/>
    <w:rsid w:val="001D2F75"/>
    <w:rsid w:val="001D30D0"/>
    <w:rsid w:val="001D32C0"/>
    <w:rsid w:val="001D345B"/>
    <w:rsid w:val="001D384D"/>
    <w:rsid w:val="001D3937"/>
    <w:rsid w:val="001D3A64"/>
    <w:rsid w:val="001D3DD6"/>
    <w:rsid w:val="001D3E70"/>
    <w:rsid w:val="001D3F10"/>
    <w:rsid w:val="001D417C"/>
    <w:rsid w:val="001D42BA"/>
    <w:rsid w:val="001D42CE"/>
    <w:rsid w:val="001D488B"/>
    <w:rsid w:val="001D49D6"/>
    <w:rsid w:val="001D4AE1"/>
    <w:rsid w:val="001D5691"/>
    <w:rsid w:val="001D5793"/>
    <w:rsid w:val="001D5A54"/>
    <w:rsid w:val="001D5AEA"/>
    <w:rsid w:val="001D5EEB"/>
    <w:rsid w:val="001D67E8"/>
    <w:rsid w:val="001D6B70"/>
    <w:rsid w:val="001D6FEA"/>
    <w:rsid w:val="001D7049"/>
    <w:rsid w:val="001D7054"/>
    <w:rsid w:val="001D72D8"/>
    <w:rsid w:val="001D74A7"/>
    <w:rsid w:val="001D761E"/>
    <w:rsid w:val="001D7658"/>
    <w:rsid w:val="001D76EA"/>
    <w:rsid w:val="001D76F3"/>
    <w:rsid w:val="001D7A0B"/>
    <w:rsid w:val="001D7B1D"/>
    <w:rsid w:val="001E02F6"/>
    <w:rsid w:val="001E0481"/>
    <w:rsid w:val="001E05F8"/>
    <w:rsid w:val="001E0605"/>
    <w:rsid w:val="001E0752"/>
    <w:rsid w:val="001E0C15"/>
    <w:rsid w:val="001E0FFA"/>
    <w:rsid w:val="001E1029"/>
    <w:rsid w:val="001E1177"/>
    <w:rsid w:val="001E11A5"/>
    <w:rsid w:val="001E1457"/>
    <w:rsid w:val="001E1540"/>
    <w:rsid w:val="001E15F2"/>
    <w:rsid w:val="001E1EB3"/>
    <w:rsid w:val="001E22F7"/>
    <w:rsid w:val="001E23AB"/>
    <w:rsid w:val="001E2635"/>
    <w:rsid w:val="001E310E"/>
    <w:rsid w:val="001E32E4"/>
    <w:rsid w:val="001E3683"/>
    <w:rsid w:val="001E36EF"/>
    <w:rsid w:val="001E3871"/>
    <w:rsid w:val="001E3928"/>
    <w:rsid w:val="001E40C4"/>
    <w:rsid w:val="001E465F"/>
    <w:rsid w:val="001E4838"/>
    <w:rsid w:val="001E4D82"/>
    <w:rsid w:val="001E4E3C"/>
    <w:rsid w:val="001E4F63"/>
    <w:rsid w:val="001E5680"/>
    <w:rsid w:val="001E5D78"/>
    <w:rsid w:val="001E6129"/>
    <w:rsid w:val="001E6DEF"/>
    <w:rsid w:val="001E7AF2"/>
    <w:rsid w:val="001E7BF8"/>
    <w:rsid w:val="001E7E95"/>
    <w:rsid w:val="001E7F20"/>
    <w:rsid w:val="001E7F47"/>
    <w:rsid w:val="001F020B"/>
    <w:rsid w:val="001F060F"/>
    <w:rsid w:val="001F079F"/>
    <w:rsid w:val="001F09B1"/>
    <w:rsid w:val="001F0DFB"/>
    <w:rsid w:val="001F119D"/>
    <w:rsid w:val="001F16AB"/>
    <w:rsid w:val="001F1E9A"/>
    <w:rsid w:val="001F204A"/>
    <w:rsid w:val="001F20E6"/>
    <w:rsid w:val="001F20EB"/>
    <w:rsid w:val="001F242F"/>
    <w:rsid w:val="001F2488"/>
    <w:rsid w:val="001F25DB"/>
    <w:rsid w:val="001F2642"/>
    <w:rsid w:val="001F267C"/>
    <w:rsid w:val="001F2827"/>
    <w:rsid w:val="001F28E8"/>
    <w:rsid w:val="001F2902"/>
    <w:rsid w:val="001F2C5F"/>
    <w:rsid w:val="001F2E85"/>
    <w:rsid w:val="001F3168"/>
    <w:rsid w:val="001F35A8"/>
    <w:rsid w:val="001F39AA"/>
    <w:rsid w:val="001F3F36"/>
    <w:rsid w:val="001F435F"/>
    <w:rsid w:val="001F4A6B"/>
    <w:rsid w:val="001F4E87"/>
    <w:rsid w:val="001F5228"/>
    <w:rsid w:val="001F52A4"/>
    <w:rsid w:val="001F546D"/>
    <w:rsid w:val="001F5582"/>
    <w:rsid w:val="001F5A8B"/>
    <w:rsid w:val="001F5C20"/>
    <w:rsid w:val="001F62EF"/>
    <w:rsid w:val="001F658C"/>
    <w:rsid w:val="001F675C"/>
    <w:rsid w:val="001F6851"/>
    <w:rsid w:val="001F6F44"/>
    <w:rsid w:val="001F74E5"/>
    <w:rsid w:val="001F7563"/>
    <w:rsid w:val="001F76D3"/>
    <w:rsid w:val="001F77D9"/>
    <w:rsid w:val="001F7A86"/>
    <w:rsid w:val="001F7C82"/>
    <w:rsid w:val="00200006"/>
    <w:rsid w:val="002002D7"/>
    <w:rsid w:val="002003BC"/>
    <w:rsid w:val="00200433"/>
    <w:rsid w:val="002009D2"/>
    <w:rsid w:val="00200ADB"/>
    <w:rsid w:val="00200BDD"/>
    <w:rsid w:val="00200C5E"/>
    <w:rsid w:val="00200D3E"/>
    <w:rsid w:val="00200EA7"/>
    <w:rsid w:val="002011F8"/>
    <w:rsid w:val="00201AD8"/>
    <w:rsid w:val="00201BA0"/>
    <w:rsid w:val="00201CF4"/>
    <w:rsid w:val="00202193"/>
    <w:rsid w:val="00202319"/>
    <w:rsid w:val="00202922"/>
    <w:rsid w:val="00202B4F"/>
    <w:rsid w:val="00203008"/>
    <w:rsid w:val="00203492"/>
    <w:rsid w:val="002035A6"/>
    <w:rsid w:val="00203650"/>
    <w:rsid w:val="00203740"/>
    <w:rsid w:val="00203A9A"/>
    <w:rsid w:val="0020437C"/>
    <w:rsid w:val="002045A6"/>
    <w:rsid w:val="0020465A"/>
    <w:rsid w:val="002046C4"/>
    <w:rsid w:val="00204D88"/>
    <w:rsid w:val="00205401"/>
    <w:rsid w:val="0020550F"/>
    <w:rsid w:val="0020609F"/>
    <w:rsid w:val="00206BF4"/>
    <w:rsid w:val="00206D2B"/>
    <w:rsid w:val="00206D6F"/>
    <w:rsid w:val="0020703C"/>
    <w:rsid w:val="00207A5D"/>
    <w:rsid w:val="00207E81"/>
    <w:rsid w:val="00207F59"/>
    <w:rsid w:val="00210035"/>
    <w:rsid w:val="00210182"/>
    <w:rsid w:val="0021066F"/>
    <w:rsid w:val="00210809"/>
    <w:rsid w:val="00210B3F"/>
    <w:rsid w:val="00211A9B"/>
    <w:rsid w:val="00211B2B"/>
    <w:rsid w:val="00211DC3"/>
    <w:rsid w:val="00211F17"/>
    <w:rsid w:val="002120BB"/>
    <w:rsid w:val="002122D7"/>
    <w:rsid w:val="00212659"/>
    <w:rsid w:val="002128AE"/>
    <w:rsid w:val="0021320E"/>
    <w:rsid w:val="00213505"/>
    <w:rsid w:val="00213563"/>
    <w:rsid w:val="0021364C"/>
    <w:rsid w:val="0021366B"/>
    <w:rsid w:val="0021383B"/>
    <w:rsid w:val="00213CF4"/>
    <w:rsid w:val="002140DF"/>
    <w:rsid w:val="00214E4D"/>
    <w:rsid w:val="002150C6"/>
    <w:rsid w:val="002151E6"/>
    <w:rsid w:val="002154D9"/>
    <w:rsid w:val="002155B6"/>
    <w:rsid w:val="002157E4"/>
    <w:rsid w:val="00215AFB"/>
    <w:rsid w:val="00215CBF"/>
    <w:rsid w:val="00215DEA"/>
    <w:rsid w:val="002162A8"/>
    <w:rsid w:val="00216604"/>
    <w:rsid w:val="00216639"/>
    <w:rsid w:val="002168DD"/>
    <w:rsid w:val="00216925"/>
    <w:rsid w:val="00216B12"/>
    <w:rsid w:val="00216E06"/>
    <w:rsid w:val="002172EF"/>
    <w:rsid w:val="0021772F"/>
    <w:rsid w:val="00217DFC"/>
    <w:rsid w:val="00217E80"/>
    <w:rsid w:val="002200D8"/>
    <w:rsid w:val="00220104"/>
    <w:rsid w:val="00220266"/>
    <w:rsid w:val="00220325"/>
    <w:rsid w:val="002204C6"/>
    <w:rsid w:val="0022056F"/>
    <w:rsid w:val="0022063D"/>
    <w:rsid w:val="0022064F"/>
    <w:rsid w:val="00220697"/>
    <w:rsid w:val="002211BC"/>
    <w:rsid w:val="002214A9"/>
    <w:rsid w:val="00221E74"/>
    <w:rsid w:val="00221E78"/>
    <w:rsid w:val="00221ECD"/>
    <w:rsid w:val="00222F47"/>
    <w:rsid w:val="00223068"/>
    <w:rsid w:val="00223143"/>
    <w:rsid w:val="00223494"/>
    <w:rsid w:val="00223664"/>
    <w:rsid w:val="002239D4"/>
    <w:rsid w:val="00223A33"/>
    <w:rsid w:val="00223A56"/>
    <w:rsid w:val="0022461A"/>
    <w:rsid w:val="002247BC"/>
    <w:rsid w:val="00224925"/>
    <w:rsid w:val="00224C7A"/>
    <w:rsid w:val="00225833"/>
    <w:rsid w:val="00225F0A"/>
    <w:rsid w:val="00226095"/>
    <w:rsid w:val="00226559"/>
    <w:rsid w:val="0022656F"/>
    <w:rsid w:val="002268E8"/>
    <w:rsid w:val="00226A3F"/>
    <w:rsid w:val="00226BCF"/>
    <w:rsid w:val="00226CC6"/>
    <w:rsid w:val="00226E05"/>
    <w:rsid w:val="002273AA"/>
    <w:rsid w:val="00227890"/>
    <w:rsid w:val="00227B89"/>
    <w:rsid w:val="00227EE9"/>
    <w:rsid w:val="00227F43"/>
    <w:rsid w:val="002303BA"/>
    <w:rsid w:val="002304A6"/>
    <w:rsid w:val="00230657"/>
    <w:rsid w:val="002309A2"/>
    <w:rsid w:val="002309FA"/>
    <w:rsid w:val="0023122C"/>
    <w:rsid w:val="002316F6"/>
    <w:rsid w:val="002317B9"/>
    <w:rsid w:val="00231A8B"/>
    <w:rsid w:val="00232C6F"/>
    <w:rsid w:val="00233233"/>
    <w:rsid w:val="00233578"/>
    <w:rsid w:val="00233776"/>
    <w:rsid w:val="00233C18"/>
    <w:rsid w:val="00234197"/>
    <w:rsid w:val="002342C4"/>
    <w:rsid w:val="00234640"/>
    <w:rsid w:val="00234AE8"/>
    <w:rsid w:val="00234EAF"/>
    <w:rsid w:val="0023583D"/>
    <w:rsid w:val="00235924"/>
    <w:rsid w:val="00235A81"/>
    <w:rsid w:val="00235F2A"/>
    <w:rsid w:val="00236384"/>
    <w:rsid w:val="002368CE"/>
    <w:rsid w:val="00236AB5"/>
    <w:rsid w:val="00236BDC"/>
    <w:rsid w:val="00236DE5"/>
    <w:rsid w:val="002373EB"/>
    <w:rsid w:val="00237538"/>
    <w:rsid w:val="002375DC"/>
    <w:rsid w:val="00237674"/>
    <w:rsid w:val="0023793E"/>
    <w:rsid w:val="00237EF7"/>
    <w:rsid w:val="00240106"/>
    <w:rsid w:val="002402AB"/>
    <w:rsid w:val="00240636"/>
    <w:rsid w:val="002406CE"/>
    <w:rsid w:val="00240710"/>
    <w:rsid w:val="00240859"/>
    <w:rsid w:val="00240B11"/>
    <w:rsid w:val="00240C45"/>
    <w:rsid w:val="00240DA7"/>
    <w:rsid w:val="00240DC2"/>
    <w:rsid w:val="00240E98"/>
    <w:rsid w:val="00240F8A"/>
    <w:rsid w:val="002410FA"/>
    <w:rsid w:val="002411C7"/>
    <w:rsid w:val="00241324"/>
    <w:rsid w:val="0024191E"/>
    <w:rsid w:val="00241A5C"/>
    <w:rsid w:val="00241A8A"/>
    <w:rsid w:val="00241C3A"/>
    <w:rsid w:val="002421E4"/>
    <w:rsid w:val="0024222F"/>
    <w:rsid w:val="00242469"/>
    <w:rsid w:val="002426FF"/>
    <w:rsid w:val="002428B1"/>
    <w:rsid w:val="00242A4D"/>
    <w:rsid w:val="00242B28"/>
    <w:rsid w:val="00242F4E"/>
    <w:rsid w:val="00243093"/>
    <w:rsid w:val="00243178"/>
    <w:rsid w:val="00243198"/>
    <w:rsid w:val="0024320C"/>
    <w:rsid w:val="00243598"/>
    <w:rsid w:val="00243AA1"/>
    <w:rsid w:val="00243E08"/>
    <w:rsid w:val="00243EC4"/>
    <w:rsid w:val="00243EC5"/>
    <w:rsid w:val="00243F05"/>
    <w:rsid w:val="0024473F"/>
    <w:rsid w:val="00244B30"/>
    <w:rsid w:val="00244BD1"/>
    <w:rsid w:val="002451BE"/>
    <w:rsid w:val="002451C0"/>
    <w:rsid w:val="0024521A"/>
    <w:rsid w:val="002452A0"/>
    <w:rsid w:val="0024532E"/>
    <w:rsid w:val="002453B7"/>
    <w:rsid w:val="0024544B"/>
    <w:rsid w:val="002456DA"/>
    <w:rsid w:val="002457C6"/>
    <w:rsid w:val="00245AA0"/>
    <w:rsid w:val="002463A6"/>
    <w:rsid w:val="00246532"/>
    <w:rsid w:val="00246664"/>
    <w:rsid w:val="00246748"/>
    <w:rsid w:val="00246ADB"/>
    <w:rsid w:val="00246C08"/>
    <w:rsid w:val="00246C7F"/>
    <w:rsid w:val="0024716D"/>
    <w:rsid w:val="002472AD"/>
    <w:rsid w:val="002472E6"/>
    <w:rsid w:val="00247EB2"/>
    <w:rsid w:val="00250054"/>
    <w:rsid w:val="0025048B"/>
    <w:rsid w:val="00250D17"/>
    <w:rsid w:val="00250DDD"/>
    <w:rsid w:val="00250E64"/>
    <w:rsid w:val="002510B3"/>
    <w:rsid w:val="00251229"/>
    <w:rsid w:val="00251245"/>
    <w:rsid w:val="0025159B"/>
    <w:rsid w:val="002517A5"/>
    <w:rsid w:val="002519DA"/>
    <w:rsid w:val="00251BEE"/>
    <w:rsid w:val="00251F6C"/>
    <w:rsid w:val="002520C3"/>
    <w:rsid w:val="002521AC"/>
    <w:rsid w:val="0025249C"/>
    <w:rsid w:val="00252745"/>
    <w:rsid w:val="0025290A"/>
    <w:rsid w:val="0025291B"/>
    <w:rsid w:val="00252BE8"/>
    <w:rsid w:val="00252D05"/>
    <w:rsid w:val="00252DBB"/>
    <w:rsid w:val="00252E06"/>
    <w:rsid w:val="002539ED"/>
    <w:rsid w:val="00253D5A"/>
    <w:rsid w:val="0025421E"/>
    <w:rsid w:val="00254244"/>
    <w:rsid w:val="0025440D"/>
    <w:rsid w:val="0025450E"/>
    <w:rsid w:val="002545AE"/>
    <w:rsid w:val="00254B3E"/>
    <w:rsid w:val="00254B8B"/>
    <w:rsid w:val="00255152"/>
    <w:rsid w:val="0025554E"/>
    <w:rsid w:val="0025574B"/>
    <w:rsid w:val="00255DB8"/>
    <w:rsid w:val="00255EF4"/>
    <w:rsid w:val="0025676A"/>
    <w:rsid w:val="00256788"/>
    <w:rsid w:val="00256A71"/>
    <w:rsid w:val="00256A73"/>
    <w:rsid w:val="00256DC0"/>
    <w:rsid w:val="0025702E"/>
    <w:rsid w:val="00257253"/>
    <w:rsid w:val="00257445"/>
    <w:rsid w:val="00257454"/>
    <w:rsid w:val="002576D0"/>
    <w:rsid w:val="0025774C"/>
    <w:rsid w:val="002578DF"/>
    <w:rsid w:val="00257986"/>
    <w:rsid w:val="00257AC2"/>
    <w:rsid w:val="00257B45"/>
    <w:rsid w:val="00257C6C"/>
    <w:rsid w:val="00257EA7"/>
    <w:rsid w:val="00257EE1"/>
    <w:rsid w:val="00260297"/>
    <w:rsid w:val="0026043E"/>
    <w:rsid w:val="002608FC"/>
    <w:rsid w:val="0026098A"/>
    <w:rsid w:val="00260C4B"/>
    <w:rsid w:val="00260C5C"/>
    <w:rsid w:val="00261426"/>
    <w:rsid w:val="00261827"/>
    <w:rsid w:val="002618A5"/>
    <w:rsid w:val="00261997"/>
    <w:rsid w:val="002619E0"/>
    <w:rsid w:val="00261C76"/>
    <w:rsid w:val="00261D18"/>
    <w:rsid w:val="00261D6A"/>
    <w:rsid w:val="0026218F"/>
    <w:rsid w:val="002624AA"/>
    <w:rsid w:val="0026258A"/>
    <w:rsid w:val="002625BF"/>
    <w:rsid w:val="0026284E"/>
    <w:rsid w:val="00262AF5"/>
    <w:rsid w:val="00262B97"/>
    <w:rsid w:val="00262D4A"/>
    <w:rsid w:val="00262E0D"/>
    <w:rsid w:val="00262F28"/>
    <w:rsid w:val="00262F70"/>
    <w:rsid w:val="00262FA9"/>
    <w:rsid w:val="0026304A"/>
    <w:rsid w:val="002638F4"/>
    <w:rsid w:val="00263952"/>
    <w:rsid w:val="00263D05"/>
    <w:rsid w:val="002640DD"/>
    <w:rsid w:val="00264480"/>
    <w:rsid w:val="00264692"/>
    <w:rsid w:val="002647F3"/>
    <w:rsid w:val="0026490B"/>
    <w:rsid w:val="00264AC7"/>
    <w:rsid w:val="00264E97"/>
    <w:rsid w:val="00265225"/>
    <w:rsid w:val="00265244"/>
    <w:rsid w:val="002653C0"/>
    <w:rsid w:val="002653CE"/>
    <w:rsid w:val="00265532"/>
    <w:rsid w:val="002656C3"/>
    <w:rsid w:val="0026574E"/>
    <w:rsid w:val="00265F17"/>
    <w:rsid w:val="00266177"/>
    <w:rsid w:val="0026647D"/>
    <w:rsid w:val="00266786"/>
    <w:rsid w:val="00266902"/>
    <w:rsid w:val="00266B24"/>
    <w:rsid w:val="00266BE4"/>
    <w:rsid w:val="00266C50"/>
    <w:rsid w:val="00266D95"/>
    <w:rsid w:val="0026743F"/>
    <w:rsid w:val="00267483"/>
    <w:rsid w:val="002679FA"/>
    <w:rsid w:val="00267BC0"/>
    <w:rsid w:val="00267E1B"/>
    <w:rsid w:val="00267EC9"/>
    <w:rsid w:val="00267F25"/>
    <w:rsid w:val="00270009"/>
    <w:rsid w:val="00270195"/>
    <w:rsid w:val="002701DA"/>
    <w:rsid w:val="00271403"/>
    <w:rsid w:val="0027160C"/>
    <w:rsid w:val="00271CC2"/>
    <w:rsid w:val="00271F5B"/>
    <w:rsid w:val="00271FDF"/>
    <w:rsid w:val="002721CA"/>
    <w:rsid w:val="002725D7"/>
    <w:rsid w:val="00272AA2"/>
    <w:rsid w:val="00272DA3"/>
    <w:rsid w:val="00272DAD"/>
    <w:rsid w:val="00272EFE"/>
    <w:rsid w:val="002731F4"/>
    <w:rsid w:val="00273246"/>
    <w:rsid w:val="00273B82"/>
    <w:rsid w:val="002742BE"/>
    <w:rsid w:val="002747C4"/>
    <w:rsid w:val="00274D94"/>
    <w:rsid w:val="0027515F"/>
    <w:rsid w:val="0027516B"/>
    <w:rsid w:val="002751D1"/>
    <w:rsid w:val="00275209"/>
    <w:rsid w:val="00275642"/>
    <w:rsid w:val="002757BC"/>
    <w:rsid w:val="002758C3"/>
    <w:rsid w:val="00275A1A"/>
    <w:rsid w:val="00275A6D"/>
    <w:rsid w:val="00275D8F"/>
    <w:rsid w:val="00275DE3"/>
    <w:rsid w:val="00275FDE"/>
    <w:rsid w:val="002760D3"/>
    <w:rsid w:val="0027612E"/>
    <w:rsid w:val="00276282"/>
    <w:rsid w:val="00276703"/>
    <w:rsid w:val="0027682E"/>
    <w:rsid w:val="00276C59"/>
    <w:rsid w:val="002772CE"/>
    <w:rsid w:val="0027786A"/>
    <w:rsid w:val="00277921"/>
    <w:rsid w:val="00277BF4"/>
    <w:rsid w:val="00277C5C"/>
    <w:rsid w:val="00277C6A"/>
    <w:rsid w:val="00277F20"/>
    <w:rsid w:val="002802E9"/>
    <w:rsid w:val="002803CF"/>
    <w:rsid w:val="00280633"/>
    <w:rsid w:val="00280D28"/>
    <w:rsid w:val="00281276"/>
    <w:rsid w:val="002812D1"/>
    <w:rsid w:val="002826F7"/>
    <w:rsid w:val="00282869"/>
    <w:rsid w:val="00282ADF"/>
    <w:rsid w:val="00282FCA"/>
    <w:rsid w:val="00283009"/>
    <w:rsid w:val="00283134"/>
    <w:rsid w:val="002837D4"/>
    <w:rsid w:val="00283997"/>
    <w:rsid w:val="00283BF0"/>
    <w:rsid w:val="00284340"/>
    <w:rsid w:val="00284D0B"/>
    <w:rsid w:val="00284DBD"/>
    <w:rsid w:val="00284ED3"/>
    <w:rsid w:val="002854AD"/>
    <w:rsid w:val="00285627"/>
    <w:rsid w:val="00285F1D"/>
    <w:rsid w:val="00286095"/>
    <w:rsid w:val="00286211"/>
    <w:rsid w:val="002869A2"/>
    <w:rsid w:val="00286A10"/>
    <w:rsid w:val="00286CE2"/>
    <w:rsid w:val="00286E60"/>
    <w:rsid w:val="0028714D"/>
    <w:rsid w:val="00287924"/>
    <w:rsid w:val="002879C8"/>
    <w:rsid w:val="00287C92"/>
    <w:rsid w:val="00287E30"/>
    <w:rsid w:val="00287E78"/>
    <w:rsid w:val="00287F4A"/>
    <w:rsid w:val="002901CD"/>
    <w:rsid w:val="002901F5"/>
    <w:rsid w:val="00290298"/>
    <w:rsid w:val="00290676"/>
    <w:rsid w:val="0029069A"/>
    <w:rsid w:val="002907D8"/>
    <w:rsid w:val="00290928"/>
    <w:rsid w:val="002909BF"/>
    <w:rsid w:val="00290CB4"/>
    <w:rsid w:val="002912B1"/>
    <w:rsid w:val="00291462"/>
    <w:rsid w:val="00291572"/>
    <w:rsid w:val="002918E7"/>
    <w:rsid w:val="002922D3"/>
    <w:rsid w:val="002924CB"/>
    <w:rsid w:val="00292693"/>
    <w:rsid w:val="002926D6"/>
    <w:rsid w:val="0029316D"/>
    <w:rsid w:val="00293175"/>
    <w:rsid w:val="0029386F"/>
    <w:rsid w:val="00293890"/>
    <w:rsid w:val="0029389C"/>
    <w:rsid w:val="002938D1"/>
    <w:rsid w:val="00293989"/>
    <w:rsid w:val="00293F1C"/>
    <w:rsid w:val="00294336"/>
    <w:rsid w:val="00294383"/>
    <w:rsid w:val="002943E4"/>
    <w:rsid w:val="002945C2"/>
    <w:rsid w:val="00294672"/>
    <w:rsid w:val="002947C2"/>
    <w:rsid w:val="00294C8C"/>
    <w:rsid w:val="00294DA0"/>
    <w:rsid w:val="00294EEE"/>
    <w:rsid w:val="00294EF5"/>
    <w:rsid w:val="00294EF7"/>
    <w:rsid w:val="002954BE"/>
    <w:rsid w:val="002956A3"/>
    <w:rsid w:val="00295D08"/>
    <w:rsid w:val="002961B8"/>
    <w:rsid w:val="002967D5"/>
    <w:rsid w:val="00296E2C"/>
    <w:rsid w:val="0029709E"/>
    <w:rsid w:val="002971B7"/>
    <w:rsid w:val="00297506"/>
    <w:rsid w:val="002979A4"/>
    <w:rsid w:val="00297A4B"/>
    <w:rsid w:val="00297E0B"/>
    <w:rsid w:val="002A0089"/>
    <w:rsid w:val="002A04B4"/>
    <w:rsid w:val="002A0F71"/>
    <w:rsid w:val="002A120F"/>
    <w:rsid w:val="002A12D5"/>
    <w:rsid w:val="002A1359"/>
    <w:rsid w:val="002A145B"/>
    <w:rsid w:val="002A1630"/>
    <w:rsid w:val="002A167F"/>
    <w:rsid w:val="002A18BE"/>
    <w:rsid w:val="002A18E8"/>
    <w:rsid w:val="002A1DC8"/>
    <w:rsid w:val="002A1E31"/>
    <w:rsid w:val="002A2007"/>
    <w:rsid w:val="002A2776"/>
    <w:rsid w:val="002A2A4C"/>
    <w:rsid w:val="002A31A0"/>
    <w:rsid w:val="002A32B2"/>
    <w:rsid w:val="002A32E8"/>
    <w:rsid w:val="002A3604"/>
    <w:rsid w:val="002A36F6"/>
    <w:rsid w:val="002A37B4"/>
    <w:rsid w:val="002A3D1E"/>
    <w:rsid w:val="002A3EFB"/>
    <w:rsid w:val="002A3FEF"/>
    <w:rsid w:val="002A4084"/>
    <w:rsid w:val="002A40E7"/>
    <w:rsid w:val="002A46E7"/>
    <w:rsid w:val="002A4AD6"/>
    <w:rsid w:val="002A4BB6"/>
    <w:rsid w:val="002A4EEC"/>
    <w:rsid w:val="002A53E7"/>
    <w:rsid w:val="002A5446"/>
    <w:rsid w:val="002A54EE"/>
    <w:rsid w:val="002A55AB"/>
    <w:rsid w:val="002A5609"/>
    <w:rsid w:val="002A5669"/>
    <w:rsid w:val="002A5AB9"/>
    <w:rsid w:val="002A5BD4"/>
    <w:rsid w:val="002A5D47"/>
    <w:rsid w:val="002A6563"/>
    <w:rsid w:val="002A6BAB"/>
    <w:rsid w:val="002A6E65"/>
    <w:rsid w:val="002A6EBA"/>
    <w:rsid w:val="002A6FD1"/>
    <w:rsid w:val="002A7116"/>
    <w:rsid w:val="002A7196"/>
    <w:rsid w:val="002A76AE"/>
    <w:rsid w:val="002A784E"/>
    <w:rsid w:val="002A7B3E"/>
    <w:rsid w:val="002A7BCF"/>
    <w:rsid w:val="002A7CA6"/>
    <w:rsid w:val="002A7FAE"/>
    <w:rsid w:val="002B021F"/>
    <w:rsid w:val="002B031C"/>
    <w:rsid w:val="002B042C"/>
    <w:rsid w:val="002B0620"/>
    <w:rsid w:val="002B0B48"/>
    <w:rsid w:val="002B0DA4"/>
    <w:rsid w:val="002B0E61"/>
    <w:rsid w:val="002B135F"/>
    <w:rsid w:val="002B1384"/>
    <w:rsid w:val="002B190C"/>
    <w:rsid w:val="002B1B0E"/>
    <w:rsid w:val="002B1B8A"/>
    <w:rsid w:val="002B1C94"/>
    <w:rsid w:val="002B1E04"/>
    <w:rsid w:val="002B2067"/>
    <w:rsid w:val="002B2838"/>
    <w:rsid w:val="002B3324"/>
    <w:rsid w:val="002B3439"/>
    <w:rsid w:val="002B3681"/>
    <w:rsid w:val="002B3950"/>
    <w:rsid w:val="002B435B"/>
    <w:rsid w:val="002B43B4"/>
    <w:rsid w:val="002B486C"/>
    <w:rsid w:val="002B495A"/>
    <w:rsid w:val="002B4DEA"/>
    <w:rsid w:val="002B5086"/>
    <w:rsid w:val="002B51C4"/>
    <w:rsid w:val="002B52CF"/>
    <w:rsid w:val="002B52FC"/>
    <w:rsid w:val="002B54D9"/>
    <w:rsid w:val="002B577B"/>
    <w:rsid w:val="002B5780"/>
    <w:rsid w:val="002B5AA6"/>
    <w:rsid w:val="002B5C21"/>
    <w:rsid w:val="002B5F82"/>
    <w:rsid w:val="002B6376"/>
    <w:rsid w:val="002B667C"/>
    <w:rsid w:val="002B6711"/>
    <w:rsid w:val="002B6A2E"/>
    <w:rsid w:val="002B72AA"/>
    <w:rsid w:val="002B7395"/>
    <w:rsid w:val="002B749A"/>
    <w:rsid w:val="002B74FC"/>
    <w:rsid w:val="002B7D87"/>
    <w:rsid w:val="002B7EA7"/>
    <w:rsid w:val="002C0719"/>
    <w:rsid w:val="002C0EE5"/>
    <w:rsid w:val="002C0FA6"/>
    <w:rsid w:val="002C1144"/>
    <w:rsid w:val="002C11CA"/>
    <w:rsid w:val="002C1208"/>
    <w:rsid w:val="002C13E9"/>
    <w:rsid w:val="002C166C"/>
    <w:rsid w:val="002C173B"/>
    <w:rsid w:val="002C17B1"/>
    <w:rsid w:val="002C17C4"/>
    <w:rsid w:val="002C18EA"/>
    <w:rsid w:val="002C1ABD"/>
    <w:rsid w:val="002C1B2C"/>
    <w:rsid w:val="002C1D75"/>
    <w:rsid w:val="002C21BA"/>
    <w:rsid w:val="002C21CF"/>
    <w:rsid w:val="002C2343"/>
    <w:rsid w:val="002C2344"/>
    <w:rsid w:val="002C236A"/>
    <w:rsid w:val="002C23FA"/>
    <w:rsid w:val="002C2598"/>
    <w:rsid w:val="002C279B"/>
    <w:rsid w:val="002C327E"/>
    <w:rsid w:val="002C3592"/>
    <w:rsid w:val="002C37C6"/>
    <w:rsid w:val="002C38A3"/>
    <w:rsid w:val="002C4524"/>
    <w:rsid w:val="002C45B4"/>
    <w:rsid w:val="002C45E8"/>
    <w:rsid w:val="002C4847"/>
    <w:rsid w:val="002C4A30"/>
    <w:rsid w:val="002C4D39"/>
    <w:rsid w:val="002C4FDB"/>
    <w:rsid w:val="002C4FE9"/>
    <w:rsid w:val="002C577F"/>
    <w:rsid w:val="002C5ACE"/>
    <w:rsid w:val="002C5CD9"/>
    <w:rsid w:val="002C5E45"/>
    <w:rsid w:val="002C6213"/>
    <w:rsid w:val="002C6763"/>
    <w:rsid w:val="002C69ED"/>
    <w:rsid w:val="002C6F41"/>
    <w:rsid w:val="002C708B"/>
    <w:rsid w:val="002C70CE"/>
    <w:rsid w:val="002C727F"/>
    <w:rsid w:val="002C75BF"/>
    <w:rsid w:val="002C7646"/>
    <w:rsid w:val="002C7BE8"/>
    <w:rsid w:val="002C7FAC"/>
    <w:rsid w:val="002C7FEF"/>
    <w:rsid w:val="002D029C"/>
    <w:rsid w:val="002D0302"/>
    <w:rsid w:val="002D0386"/>
    <w:rsid w:val="002D0445"/>
    <w:rsid w:val="002D0A37"/>
    <w:rsid w:val="002D0DFE"/>
    <w:rsid w:val="002D1069"/>
    <w:rsid w:val="002D16B5"/>
    <w:rsid w:val="002D1750"/>
    <w:rsid w:val="002D1ADE"/>
    <w:rsid w:val="002D1F8B"/>
    <w:rsid w:val="002D21AF"/>
    <w:rsid w:val="002D2646"/>
    <w:rsid w:val="002D292B"/>
    <w:rsid w:val="002D2B61"/>
    <w:rsid w:val="002D2EB3"/>
    <w:rsid w:val="002D30FD"/>
    <w:rsid w:val="002D3114"/>
    <w:rsid w:val="002D36D6"/>
    <w:rsid w:val="002D3C60"/>
    <w:rsid w:val="002D4903"/>
    <w:rsid w:val="002D4BD8"/>
    <w:rsid w:val="002D5097"/>
    <w:rsid w:val="002D51CB"/>
    <w:rsid w:val="002D51E9"/>
    <w:rsid w:val="002D51F1"/>
    <w:rsid w:val="002D55E4"/>
    <w:rsid w:val="002D5B51"/>
    <w:rsid w:val="002D5C30"/>
    <w:rsid w:val="002D5D18"/>
    <w:rsid w:val="002D613C"/>
    <w:rsid w:val="002D638F"/>
    <w:rsid w:val="002D64A2"/>
    <w:rsid w:val="002D6574"/>
    <w:rsid w:val="002D6731"/>
    <w:rsid w:val="002D6860"/>
    <w:rsid w:val="002D690D"/>
    <w:rsid w:val="002D6EF9"/>
    <w:rsid w:val="002D7198"/>
    <w:rsid w:val="002D7376"/>
    <w:rsid w:val="002D75FC"/>
    <w:rsid w:val="002D7B72"/>
    <w:rsid w:val="002D7E9E"/>
    <w:rsid w:val="002D7FDB"/>
    <w:rsid w:val="002E0528"/>
    <w:rsid w:val="002E0A67"/>
    <w:rsid w:val="002E0AD7"/>
    <w:rsid w:val="002E0AE3"/>
    <w:rsid w:val="002E0E72"/>
    <w:rsid w:val="002E116E"/>
    <w:rsid w:val="002E1450"/>
    <w:rsid w:val="002E14E4"/>
    <w:rsid w:val="002E173E"/>
    <w:rsid w:val="002E1F3B"/>
    <w:rsid w:val="002E206F"/>
    <w:rsid w:val="002E217E"/>
    <w:rsid w:val="002E2496"/>
    <w:rsid w:val="002E2F40"/>
    <w:rsid w:val="002E308F"/>
    <w:rsid w:val="002E3468"/>
    <w:rsid w:val="002E35ED"/>
    <w:rsid w:val="002E35EF"/>
    <w:rsid w:val="002E3852"/>
    <w:rsid w:val="002E4759"/>
    <w:rsid w:val="002E48D8"/>
    <w:rsid w:val="002E4AC5"/>
    <w:rsid w:val="002E4C9F"/>
    <w:rsid w:val="002E53C7"/>
    <w:rsid w:val="002E5ACD"/>
    <w:rsid w:val="002E5D7C"/>
    <w:rsid w:val="002E5DAE"/>
    <w:rsid w:val="002E5F92"/>
    <w:rsid w:val="002E6080"/>
    <w:rsid w:val="002E62BA"/>
    <w:rsid w:val="002E63BE"/>
    <w:rsid w:val="002E64B7"/>
    <w:rsid w:val="002E65D4"/>
    <w:rsid w:val="002E72D5"/>
    <w:rsid w:val="002E758C"/>
    <w:rsid w:val="002E7775"/>
    <w:rsid w:val="002E77D8"/>
    <w:rsid w:val="002E790E"/>
    <w:rsid w:val="002E7AD2"/>
    <w:rsid w:val="002E7D8E"/>
    <w:rsid w:val="002F04D3"/>
    <w:rsid w:val="002F065A"/>
    <w:rsid w:val="002F0967"/>
    <w:rsid w:val="002F0A0A"/>
    <w:rsid w:val="002F0C90"/>
    <w:rsid w:val="002F0FB0"/>
    <w:rsid w:val="002F12D3"/>
    <w:rsid w:val="002F1399"/>
    <w:rsid w:val="002F13A7"/>
    <w:rsid w:val="002F1B0E"/>
    <w:rsid w:val="002F1FC8"/>
    <w:rsid w:val="002F20EF"/>
    <w:rsid w:val="002F23B8"/>
    <w:rsid w:val="002F285A"/>
    <w:rsid w:val="002F3002"/>
    <w:rsid w:val="002F30CC"/>
    <w:rsid w:val="002F32C2"/>
    <w:rsid w:val="002F32FB"/>
    <w:rsid w:val="002F3407"/>
    <w:rsid w:val="002F3A9E"/>
    <w:rsid w:val="002F3C93"/>
    <w:rsid w:val="002F3D73"/>
    <w:rsid w:val="002F488A"/>
    <w:rsid w:val="002F5032"/>
    <w:rsid w:val="002F503F"/>
    <w:rsid w:val="002F52C4"/>
    <w:rsid w:val="002F5611"/>
    <w:rsid w:val="002F5D05"/>
    <w:rsid w:val="002F5F5E"/>
    <w:rsid w:val="002F5F85"/>
    <w:rsid w:val="002F6090"/>
    <w:rsid w:val="002F6091"/>
    <w:rsid w:val="002F6373"/>
    <w:rsid w:val="002F64E2"/>
    <w:rsid w:val="002F693F"/>
    <w:rsid w:val="002F69F9"/>
    <w:rsid w:val="002F7025"/>
    <w:rsid w:val="002F709E"/>
    <w:rsid w:val="002F739A"/>
    <w:rsid w:val="002F7ED6"/>
    <w:rsid w:val="00300234"/>
    <w:rsid w:val="0030036D"/>
    <w:rsid w:val="003008CC"/>
    <w:rsid w:val="003009A9"/>
    <w:rsid w:val="00300DC2"/>
    <w:rsid w:val="00300EC2"/>
    <w:rsid w:val="00300F73"/>
    <w:rsid w:val="00301763"/>
    <w:rsid w:val="00302127"/>
    <w:rsid w:val="00302252"/>
    <w:rsid w:val="0030272E"/>
    <w:rsid w:val="00302AC3"/>
    <w:rsid w:val="00302DF4"/>
    <w:rsid w:val="00302E94"/>
    <w:rsid w:val="00302F6A"/>
    <w:rsid w:val="00303090"/>
    <w:rsid w:val="00303C60"/>
    <w:rsid w:val="00303CB6"/>
    <w:rsid w:val="003042CE"/>
    <w:rsid w:val="003043EF"/>
    <w:rsid w:val="0030488B"/>
    <w:rsid w:val="00304FB8"/>
    <w:rsid w:val="00305695"/>
    <w:rsid w:val="00305836"/>
    <w:rsid w:val="00306132"/>
    <w:rsid w:val="003062F0"/>
    <w:rsid w:val="0030630D"/>
    <w:rsid w:val="0030644C"/>
    <w:rsid w:val="0030690F"/>
    <w:rsid w:val="003069D6"/>
    <w:rsid w:val="00306FBF"/>
    <w:rsid w:val="0030711F"/>
    <w:rsid w:val="00307299"/>
    <w:rsid w:val="0030797F"/>
    <w:rsid w:val="00307D6F"/>
    <w:rsid w:val="0031042B"/>
    <w:rsid w:val="00310656"/>
    <w:rsid w:val="0031073A"/>
    <w:rsid w:val="003108CC"/>
    <w:rsid w:val="00310B92"/>
    <w:rsid w:val="00310B9B"/>
    <w:rsid w:val="00310C3F"/>
    <w:rsid w:val="00310D58"/>
    <w:rsid w:val="003114E0"/>
    <w:rsid w:val="00311B76"/>
    <w:rsid w:val="00311BF5"/>
    <w:rsid w:val="00311D8F"/>
    <w:rsid w:val="00311E63"/>
    <w:rsid w:val="00311ED2"/>
    <w:rsid w:val="00312B4F"/>
    <w:rsid w:val="00312C10"/>
    <w:rsid w:val="00312C11"/>
    <w:rsid w:val="00312E81"/>
    <w:rsid w:val="003137A0"/>
    <w:rsid w:val="00313910"/>
    <w:rsid w:val="00313C1C"/>
    <w:rsid w:val="00313C6C"/>
    <w:rsid w:val="00313CC1"/>
    <w:rsid w:val="00313F66"/>
    <w:rsid w:val="003140D2"/>
    <w:rsid w:val="00315258"/>
    <w:rsid w:val="003153ED"/>
    <w:rsid w:val="003155D1"/>
    <w:rsid w:val="00315BBF"/>
    <w:rsid w:val="00315C32"/>
    <w:rsid w:val="00315DBD"/>
    <w:rsid w:val="0031610F"/>
    <w:rsid w:val="00316193"/>
    <w:rsid w:val="00316321"/>
    <w:rsid w:val="003165D3"/>
    <w:rsid w:val="003166D0"/>
    <w:rsid w:val="00316951"/>
    <w:rsid w:val="003169AE"/>
    <w:rsid w:val="00316B24"/>
    <w:rsid w:val="00316BC6"/>
    <w:rsid w:val="00316DE4"/>
    <w:rsid w:val="003170B1"/>
    <w:rsid w:val="00317113"/>
    <w:rsid w:val="0031750D"/>
    <w:rsid w:val="00317714"/>
    <w:rsid w:val="0031E6EE"/>
    <w:rsid w:val="0032024E"/>
    <w:rsid w:val="00320287"/>
    <w:rsid w:val="003202F4"/>
    <w:rsid w:val="00320396"/>
    <w:rsid w:val="0032043D"/>
    <w:rsid w:val="0032047B"/>
    <w:rsid w:val="0032054E"/>
    <w:rsid w:val="003206A3"/>
    <w:rsid w:val="00320A17"/>
    <w:rsid w:val="00320ADC"/>
    <w:rsid w:val="00320AF1"/>
    <w:rsid w:val="00320B67"/>
    <w:rsid w:val="00321240"/>
    <w:rsid w:val="003218E4"/>
    <w:rsid w:val="00321B1F"/>
    <w:rsid w:val="00322067"/>
    <w:rsid w:val="00322083"/>
    <w:rsid w:val="00322090"/>
    <w:rsid w:val="00322137"/>
    <w:rsid w:val="003226A8"/>
    <w:rsid w:val="0032276A"/>
    <w:rsid w:val="00322A92"/>
    <w:rsid w:val="00322BFB"/>
    <w:rsid w:val="00322DA9"/>
    <w:rsid w:val="00322E34"/>
    <w:rsid w:val="00322E53"/>
    <w:rsid w:val="00322F2B"/>
    <w:rsid w:val="00322FA7"/>
    <w:rsid w:val="0032301D"/>
    <w:rsid w:val="003230DF"/>
    <w:rsid w:val="003230F8"/>
    <w:rsid w:val="003233F3"/>
    <w:rsid w:val="003236D0"/>
    <w:rsid w:val="00323777"/>
    <w:rsid w:val="00323AF6"/>
    <w:rsid w:val="00323B58"/>
    <w:rsid w:val="00323DD8"/>
    <w:rsid w:val="003240CF"/>
    <w:rsid w:val="003242D2"/>
    <w:rsid w:val="003244F4"/>
    <w:rsid w:val="003246DF"/>
    <w:rsid w:val="003248A9"/>
    <w:rsid w:val="003248C7"/>
    <w:rsid w:val="00324DC8"/>
    <w:rsid w:val="00324F36"/>
    <w:rsid w:val="003251C2"/>
    <w:rsid w:val="0032541A"/>
    <w:rsid w:val="0032552A"/>
    <w:rsid w:val="0032565B"/>
    <w:rsid w:val="003257D0"/>
    <w:rsid w:val="00325DE2"/>
    <w:rsid w:val="00325E00"/>
    <w:rsid w:val="00325FA0"/>
    <w:rsid w:val="00326027"/>
    <w:rsid w:val="00326257"/>
    <w:rsid w:val="003262B7"/>
    <w:rsid w:val="00326431"/>
    <w:rsid w:val="0032665C"/>
    <w:rsid w:val="00326F1C"/>
    <w:rsid w:val="00327078"/>
    <w:rsid w:val="00327162"/>
    <w:rsid w:val="003272B7"/>
    <w:rsid w:val="003273B3"/>
    <w:rsid w:val="003277D4"/>
    <w:rsid w:val="0032799A"/>
    <w:rsid w:val="00327CA4"/>
    <w:rsid w:val="00327F76"/>
    <w:rsid w:val="003302B5"/>
    <w:rsid w:val="003307B4"/>
    <w:rsid w:val="00330931"/>
    <w:rsid w:val="00330A0A"/>
    <w:rsid w:val="00330A61"/>
    <w:rsid w:val="00330B25"/>
    <w:rsid w:val="00330DFE"/>
    <w:rsid w:val="00330E9F"/>
    <w:rsid w:val="003314D6"/>
    <w:rsid w:val="003314E7"/>
    <w:rsid w:val="00331927"/>
    <w:rsid w:val="00331C13"/>
    <w:rsid w:val="00331DE0"/>
    <w:rsid w:val="00331E92"/>
    <w:rsid w:val="003321D6"/>
    <w:rsid w:val="0033257E"/>
    <w:rsid w:val="003328A9"/>
    <w:rsid w:val="00332974"/>
    <w:rsid w:val="00332CE8"/>
    <w:rsid w:val="00333113"/>
    <w:rsid w:val="00333BDA"/>
    <w:rsid w:val="00333C4A"/>
    <w:rsid w:val="00333EE6"/>
    <w:rsid w:val="00333F04"/>
    <w:rsid w:val="003341C5"/>
    <w:rsid w:val="003343B9"/>
    <w:rsid w:val="00334AD9"/>
    <w:rsid w:val="00334AE1"/>
    <w:rsid w:val="00334C45"/>
    <w:rsid w:val="00335868"/>
    <w:rsid w:val="00335F9F"/>
    <w:rsid w:val="00336183"/>
    <w:rsid w:val="00336370"/>
    <w:rsid w:val="003363ED"/>
    <w:rsid w:val="003364D8"/>
    <w:rsid w:val="003369A5"/>
    <w:rsid w:val="00336CEE"/>
    <w:rsid w:val="00337042"/>
    <w:rsid w:val="003370BB"/>
    <w:rsid w:val="003371B5"/>
    <w:rsid w:val="00337490"/>
    <w:rsid w:val="0033749E"/>
    <w:rsid w:val="0033758F"/>
    <w:rsid w:val="003376E8"/>
    <w:rsid w:val="00337799"/>
    <w:rsid w:val="003378C9"/>
    <w:rsid w:val="00337AE6"/>
    <w:rsid w:val="00337BAF"/>
    <w:rsid w:val="0034021D"/>
    <w:rsid w:val="00340341"/>
    <w:rsid w:val="003404C2"/>
    <w:rsid w:val="003410DF"/>
    <w:rsid w:val="003411D6"/>
    <w:rsid w:val="003417CB"/>
    <w:rsid w:val="00341873"/>
    <w:rsid w:val="00341A05"/>
    <w:rsid w:val="00342182"/>
    <w:rsid w:val="0034228A"/>
    <w:rsid w:val="00342B1E"/>
    <w:rsid w:val="00342BF1"/>
    <w:rsid w:val="003433D9"/>
    <w:rsid w:val="003435A9"/>
    <w:rsid w:val="0034379F"/>
    <w:rsid w:val="00343A1C"/>
    <w:rsid w:val="00343A1D"/>
    <w:rsid w:val="00343DCF"/>
    <w:rsid w:val="00343DFC"/>
    <w:rsid w:val="00343E86"/>
    <w:rsid w:val="00344246"/>
    <w:rsid w:val="00344480"/>
    <w:rsid w:val="00344611"/>
    <w:rsid w:val="00344649"/>
    <w:rsid w:val="003448CF"/>
    <w:rsid w:val="00345496"/>
    <w:rsid w:val="00345AA9"/>
    <w:rsid w:val="00345BCF"/>
    <w:rsid w:val="00345F65"/>
    <w:rsid w:val="00346204"/>
    <w:rsid w:val="0034626C"/>
    <w:rsid w:val="00346499"/>
    <w:rsid w:val="003464E1"/>
    <w:rsid w:val="00346675"/>
    <w:rsid w:val="003466F9"/>
    <w:rsid w:val="00346767"/>
    <w:rsid w:val="0034689D"/>
    <w:rsid w:val="00346D59"/>
    <w:rsid w:val="003473C4"/>
    <w:rsid w:val="003476A6"/>
    <w:rsid w:val="003476E5"/>
    <w:rsid w:val="0034784B"/>
    <w:rsid w:val="00347913"/>
    <w:rsid w:val="00347AB6"/>
    <w:rsid w:val="00347DFD"/>
    <w:rsid w:val="00350092"/>
    <w:rsid w:val="003500DD"/>
    <w:rsid w:val="0035051A"/>
    <w:rsid w:val="003505FB"/>
    <w:rsid w:val="00350973"/>
    <w:rsid w:val="00350997"/>
    <w:rsid w:val="00350A4E"/>
    <w:rsid w:val="00350C80"/>
    <w:rsid w:val="00350FB6"/>
    <w:rsid w:val="00351096"/>
    <w:rsid w:val="00351602"/>
    <w:rsid w:val="003519AD"/>
    <w:rsid w:val="00351A36"/>
    <w:rsid w:val="00351AFE"/>
    <w:rsid w:val="00351B1C"/>
    <w:rsid w:val="00351E0E"/>
    <w:rsid w:val="00351E63"/>
    <w:rsid w:val="00351F93"/>
    <w:rsid w:val="00352068"/>
    <w:rsid w:val="00352132"/>
    <w:rsid w:val="003521C4"/>
    <w:rsid w:val="00352D61"/>
    <w:rsid w:val="00353257"/>
    <w:rsid w:val="00353663"/>
    <w:rsid w:val="00353A4C"/>
    <w:rsid w:val="00353F5C"/>
    <w:rsid w:val="00354126"/>
    <w:rsid w:val="0035467D"/>
    <w:rsid w:val="00354715"/>
    <w:rsid w:val="0035481F"/>
    <w:rsid w:val="0035496E"/>
    <w:rsid w:val="00354EB4"/>
    <w:rsid w:val="00354EC3"/>
    <w:rsid w:val="003551B6"/>
    <w:rsid w:val="00355B7E"/>
    <w:rsid w:val="00355CF1"/>
    <w:rsid w:val="00355DEC"/>
    <w:rsid w:val="00355E43"/>
    <w:rsid w:val="0035641B"/>
    <w:rsid w:val="0035652E"/>
    <w:rsid w:val="00356901"/>
    <w:rsid w:val="00356A39"/>
    <w:rsid w:val="00356B31"/>
    <w:rsid w:val="00356D29"/>
    <w:rsid w:val="0035703A"/>
    <w:rsid w:val="003571C2"/>
    <w:rsid w:val="0035750C"/>
    <w:rsid w:val="00357774"/>
    <w:rsid w:val="003577AA"/>
    <w:rsid w:val="0035785C"/>
    <w:rsid w:val="003578E7"/>
    <w:rsid w:val="00360086"/>
    <w:rsid w:val="0036020F"/>
    <w:rsid w:val="00360236"/>
    <w:rsid w:val="00360574"/>
    <w:rsid w:val="003606AF"/>
    <w:rsid w:val="003607E5"/>
    <w:rsid w:val="00360CA9"/>
    <w:rsid w:val="00360CCA"/>
    <w:rsid w:val="00360D2E"/>
    <w:rsid w:val="003610BF"/>
    <w:rsid w:val="0036140F"/>
    <w:rsid w:val="003615EB"/>
    <w:rsid w:val="0036182A"/>
    <w:rsid w:val="00361D90"/>
    <w:rsid w:val="0036207E"/>
    <w:rsid w:val="003620A6"/>
    <w:rsid w:val="00362237"/>
    <w:rsid w:val="003622B2"/>
    <w:rsid w:val="003622CF"/>
    <w:rsid w:val="003625A9"/>
    <w:rsid w:val="00362827"/>
    <w:rsid w:val="003628AA"/>
    <w:rsid w:val="00362AFE"/>
    <w:rsid w:val="00362D9C"/>
    <w:rsid w:val="00363256"/>
    <w:rsid w:val="00363392"/>
    <w:rsid w:val="00363426"/>
    <w:rsid w:val="003635D1"/>
    <w:rsid w:val="003640A7"/>
    <w:rsid w:val="0036419A"/>
    <w:rsid w:val="0036440B"/>
    <w:rsid w:val="003647B7"/>
    <w:rsid w:val="00364C4D"/>
    <w:rsid w:val="00364D04"/>
    <w:rsid w:val="00365447"/>
    <w:rsid w:val="0036550E"/>
    <w:rsid w:val="0036588B"/>
    <w:rsid w:val="00365AA8"/>
    <w:rsid w:val="00365F14"/>
    <w:rsid w:val="00366418"/>
    <w:rsid w:val="00366740"/>
    <w:rsid w:val="003667BE"/>
    <w:rsid w:val="00366BB7"/>
    <w:rsid w:val="00366BD6"/>
    <w:rsid w:val="00366D36"/>
    <w:rsid w:val="00367878"/>
    <w:rsid w:val="0036794E"/>
    <w:rsid w:val="00367C27"/>
    <w:rsid w:val="0037016D"/>
    <w:rsid w:val="003701F0"/>
    <w:rsid w:val="0037027E"/>
    <w:rsid w:val="00370798"/>
    <w:rsid w:val="003707BF"/>
    <w:rsid w:val="003708FA"/>
    <w:rsid w:val="00370A5B"/>
    <w:rsid w:val="00370C4E"/>
    <w:rsid w:val="00370D01"/>
    <w:rsid w:val="00371AE5"/>
    <w:rsid w:val="00371D70"/>
    <w:rsid w:val="00371F44"/>
    <w:rsid w:val="003726A8"/>
    <w:rsid w:val="00372C35"/>
    <w:rsid w:val="0037311D"/>
    <w:rsid w:val="00373245"/>
    <w:rsid w:val="003732D0"/>
    <w:rsid w:val="0037351C"/>
    <w:rsid w:val="003736C0"/>
    <w:rsid w:val="00373914"/>
    <w:rsid w:val="00373E7D"/>
    <w:rsid w:val="00373F48"/>
    <w:rsid w:val="00374B07"/>
    <w:rsid w:val="00374C5D"/>
    <w:rsid w:val="00374E09"/>
    <w:rsid w:val="003753D6"/>
    <w:rsid w:val="0037593A"/>
    <w:rsid w:val="0037595A"/>
    <w:rsid w:val="00375A6B"/>
    <w:rsid w:val="00375C16"/>
    <w:rsid w:val="00375C1D"/>
    <w:rsid w:val="00375E35"/>
    <w:rsid w:val="0037666C"/>
    <w:rsid w:val="00376722"/>
    <w:rsid w:val="0037696C"/>
    <w:rsid w:val="003775B7"/>
    <w:rsid w:val="00377A40"/>
    <w:rsid w:val="00377B7E"/>
    <w:rsid w:val="00377C50"/>
    <w:rsid w:val="00377DA2"/>
    <w:rsid w:val="00377E41"/>
    <w:rsid w:val="0038022F"/>
    <w:rsid w:val="00380DBC"/>
    <w:rsid w:val="00380F6B"/>
    <w:rsid w:val="003811A1"/>
    <w:rsid w:val="0038146C"/>
    <w:rsid w:val="003816D5"/>
    <w:rsid w:val="003819B1"/>
    <w:rsid w:val="003819E4"/>
    <w:rsid w:val="00381BFF"/>
    <w:rsid w:val="0038204E"/>
    <w:rsid w:val="003822C6"/>
    <w:rsid w:val="003824A7"/>
    <w:rsid w:val="003824F6"/>
    <w:rsid w:val="00382609"/>
    <w:rsid w:val="00382B12"/>
    <w:rsid w:val="00382BE5"/>
    <w:rsid w:val="00382C8E"/>
    <w:rsid w:val="0038315E"/>
    <w:rsid w:val="0038317D"/>
    <w:rsid w:val="0038350F"/>
    <w:rsid w:val="0038375F"/>
    <w:rsid w:val="00383882"/>
    <w:rsid w:val="00383B13"/>
    <w:rsid w:val="00383BB6"/>
    <w:rsid w:val="00383FF1"/>
    <w:rsid w:val="003840D5"/>
    <w:rsid w:val="003841B3"/>
    <w:rsid w:val="0038421F"/>
    <w:rsid w:val="00384655"/>
    <w:rsid w:val="003851C0"/>
    <w:rsid w:val="00385507"/>
    <w:rsid w:val="003856F8"/>
    <w:rsid w:val="003857D3"/>
    <w:rsid w:val="00385AC4"/>
    <w:rsid w:val="00385AC9"/>
    <w:rsid w:val="00386124"/>
    <w:rsid w:val="003861F7"/>
    <w:rsid w:val="00386364"/>
    <w:rsid w:val="003863CE"/>
    <w:rsid w:val="003864D5"/>
    <w:rsid w:val="00386A45"/>
    <w:rsid w:val="00386F48"/>
    <w:rsid w:val="003877DE"/>
    <w:rsid w:val="00387F1B"/>
    <w:rsid w:val="00387FC0"/>
    <w:rsid w:val="00390272"/>
    <w:rsid w:val="003904FE"/>
    <w:rsid w:val="00390567"/>
    <w:rsid w:val="00390707"/>
    <w:rsid w:val="00390B43"/>
    <w:rsid w:val="00391755"/>
    <w:rsid w:val="003917B9"/>
    <w:rsid w:val="0039230E"/>
    <w:rsid w:val="00392479"/>
    <w:rsid w:val="003926C3"/>
    <w:rsid w:val="00392C15"/>
    <w:rsid w:val="00392DF7"/>
    <w:rsid w:val="003936D6"/>
    <w:rsid w:val="00394081"/>
    <w:rsid w:val="003944B3"/>
    <w:rsid w:val="00394828"/>
    <w:rsid w:val="0039490C"/>
    <w:rsid w:val="00394EF9"/>
    <w:rsid w:val="0039511C"/>
    <w:rsid w:val="0039568C"/>
    <w:rsid w:val="00395697"/>
    <w:rsid w:val="00395727"/>
    <w:rsid w:val="003957A5"/>
    <w:rsid w:val="00395B14"/>
    <w:rsid w:val="00395C86"/>
    <w:rsid w:val="0039619A"/>
    <w:rsid w:val="0039645E"/>
    <w:rsid w:val="003966F6"/>
    <w:rsid w:val="0039677D"/>
    <w:rsid w:val="00396E96"/>
    <w:rsid w:val="003972A0"/>
    <w:rsid w:val="003972B0"/>
    <w:rsid w:val="003973F7"/>
    <w:rsid w:val="00397619"/>
    <w:rsid w:val="00397E01"/>
    <w:rsid w:val="00397EDF"/>
    <w:rsid w:val="003A034C"/>
    <w:rsid w:val="003A0548"/>
    <w:rsid w:val="003A0660"/>
    <w:rsid w:val="003A0853"/>
    <w:rsid w:val="003A0CD9"/>
    <w:rsid w:val="003A0D52"/>
    <w:rsid w:val="003A1062"/>
    <w:rsid w:val="003A11EC"/>
    <w:rsid w:val="003A127D"/>
    <w:rsid w:val="003A1317"/>
    <w:rsid w:val="003A135F"/>
    <w:rsid w:val="003A1981"/>
    <w:rsid w:val="003A1A8C"/>
    <w:rsid w:val="003A1CEE"/>
    <w:rsid w:val="003A2049"/>
    <w:rsid w:val="003A2237"/>
    <w:rsid w:val="003A26CD"/>
    <w:rsid w:val="003A2C0D"/>
    <w:rsid w:val="003A2ED1"/>
    <w:rsid w:val="003A3249"/>
    <w:rsid w:val="003A33E8"/>
    <w:rsid w:val="003A34C5"/>
    <w:rsid w:val="003A369A"/>
    <w:rsid w:val="003A38CC"/>
    <w:rsid w:val="003A3C43"/>
    <w:rsid w:val="003A3F1C"/>
    <w:rsid w:val="003A3F3F"/>
    <w:rsid w:val="003A41B2"/>
    <w:rsid w:val="003A4438"/>
    <w:rsid w:val="003A4513"/>
    <w:rsid w:val="003A4B3E"/>
    <w:rsid w:val="003A4C47"/>
    <w:rsid w:val="003A50BE"/>
    <w:rsid w:val="003A51BC"/>
    <w:rsid w:val="003A5387"/>
    <w:rsid w:val="003A57EF"/>
    <w:rsid w:val="003A598A"/>
    <w:rsid w:val="003A6724"/>
    <w:rsid w:val="003A6731"/>
    <w:rsid w:val="003A6D14"/>
    <w:rsid w:val="003A6D6C"/>
    <w:rsid w:val="003A6E02"/>
    <w:rsid w:val="003A6E1A"/>
    <w:rsid w:val="003A7208"/>
    <w:rsid w:val="003A737D"/>
    <w:rsid w:val="003A7992"/>
    <w:rsid w:val="003B04B0"/>
    <w:rsid w:val="003B0776"/>
    <w:rsid w:val="003B0837"/>
    <w:rsid w:val="003B095C"/>
    <w:rsid w:val="003B09C3"/>
    <w:rsid w:val="003B0AC5"/>
    <w:rsid w:val="003B0BA1"/>
    <w:rsid w:val="003B0BFC"/>
    <w:rsid w:val="003B0DCD"/>
    <w:rsid w:val="003B0F94"/>
    <w:rsid w:val="003B130C"/>
    <w:rsid w:val="003B161B"/>
    <w:rsid w:val="003B16F8"/>
    <w:rsid w:val="003B1CC8"/>
    <w:rsid w:val="003B1D76"/>
    <w:rsid w:val="003B1EE4"/>
    <w:rsid w:val="003B2657"/>
    <w:rsid w:val="003B281E"/>
    <w:rsid w:val="003B2936"/>
    <w:rsid w:val="003B2F12"/>
    <w:rsid w:val="003B2FCC"/>
    <w:rsid w:val="003B306A"/>
    <w:rsid w:val="003B3739"/>
    <w:rsid w:val="003B3DBE"/>
    <w:rsid w:val="003B4104"/>
    <w:rsid w:val="003B4599"/>
    <w:rsid w:val="003B46E8"/>
    <w:rsid w:val="003B4B7E"/>
    <w:rsid w:val="003B4B8D"/>
    <w:rsid w:val="003B5271"/>
    <w:rsid w:val="003B583A"/>
    <w:rsid w:val="003B58AA"/>
    <w:rsid w:val="003B5C91"/>
    <w:rsid w:val="003B5CD2"/>
    <w:rsid w:val="003B5D01"/>
    <w:rsid w:val="003B5F4F"/>
    <w:rsid w:val="003B5FCE"/>
    <w:rsid w:val="003B61B7"/>
    <w:rsid w:val="003B62F3"/>
    <w:rsid w:val="003B6664"/>
    <w:rsid w:val="003B67FA"/>
    <w:rsid w:val="003B6D12"/>
    <w:rsid w:val="003B6D2F"/>
    <w:rsid w:val="003B6E3D"/>
    <w:rsid w:val="003B700B"/>
    <w:rsid w:val="003B710D"/>
    <w:rsid w:val="003B719C"/>
    <w:rsid w:val="003B72A2"/>
    <w:rsid w:val="003B742D"/>
    <w:rsid w:val="003B753C"/>
    <w:rsid w:val="003B7B98"/>
    <w:rsid w:val="003B7CFB"/>
    <w:rsid w:val="003B7F8E"/>
    <w:rsid w:val="003C0258"/>
    <w:rsid w:val="003C06FF"/>
    <w:rsid w:val="003C08E9"/>
    <w:rsid w:val="003C0CF8"/>
    <w:rsid w:val="003C0DC2"/>
    <w:rsid w:val="003C0FD1"/>
    <w:rsid w:val="003C1AE2"/>
    <w:rsid w:val="003C1B0E"/>
    <w:rsid w:val="003C1F3A"/>
    <w:rsid w:val="003C1F95"/>
    <w:rsid w:val="003C2239"/>
    <w:rsid w:val="003C2671"/>
    <w:rsid w:val="003C2BB8"/>
    <w:rsid w:val="003C2CE4"/>
    <w:rsid w:val="003C2F65"/>
    <w:rsid w:val="003C30C7"/>
    <w:rsid w:val="003C322D"/>
    <w:rsid w:val="003C347A"/>
    <w:rsid w:val="003C3486"/>
    <w:rsid w:val="003C38F0"/>
    <w:rsid w:val="003C3CB8"/>
    <w:rsid w:val="003C3FE7"/>
    <w:rsid w:val="003C4061"/>
    <w:rsid w:val="003C4B51"/>
    <w:rsid w:val="003C4D9B"/>
    <w:rsid w:val="003C4F46"/>
    <w:rsid w:val="003C4F8F"/>
    <w:rsid w:val="003C505C"/>
    <w:rsid w:val="003C5257"/>
    <w:rsid w:val="003C52AD"/>
    <w:rsid w:val="003C5516"/>
    <w:rsid w:val="003C5600"/>
    <w:rsid w:val="003C5966"/>
    <w:rsid w:val="003C5AD8"/>
    <w:rsid w:val="003C5EBF"/>
    <w:rsid w:val="003C62E6"/>
    <w:rsid w:val="003C6413"/>
    <w:rsid w:val="003C6419"/>
    <w:rsid w:val="003C656D"/>
    <w:rsid w:val="003C65FA"/>
    <w:rsid w:val="003C665E"/>
    <w:rsid w:val="003C66D7"/>
    <w:rsid w:val="003C6B59"/>
    <w:rsid w:val="003C6DF9"/>
    <w:rsid w:val="003C6EBB"/>
    <w:rsid w:val="003C717E"/>
    <w:rsid w:val="003C736D"/>
    <w:rsid w:val="003C7424"/>
    <w:rsid w:val="003C74B3"/>
    <w:rsid w:val="003C7DAB"/>
    <w:rsid w:val="003D0070"/>
    <w:rsid w:val="003D00C2"/>
    <w:rsid w:val="003D0638"/>
    <w:rsid w:val="003D0667"/>
    <w:rsid w:val="003D087D"/>
    <w:rsid w:val="003D0B48"/>
    <w:rsid w:val="003D0C40"/>
    <w:rsid w:val="003D0C84"/>
    <w:rsid w:val="003D1132"/>
    <w:rsid w:val="003D1665"/>
    <w:rsid w:val="003D1E87"/>
    <w:rsid w:val="003D1F80"/>
    <w:rsid w:val="003D2520"/>
    <w:rsid w:val="003D299E"/>
    <w:rsid w:val="003D2A1D"/>
    <w:rsid w:val="003D2FE7"/>
    <w:rsid w:val="003D306F"/>
    <w:rsid w:val="003D3355"/>
    <w:rsid w:val="003D3693"/>
    <w:rsid w:val="003D37B5"/>
    <w:rsid w:val="003D3800"/>
    <w:rsid w:val="003D3801"/>
    <w:rsid w:val="003D3AA1"/>
    <w:rsid w:val="003D3ADB"/>
    <w:rsid w:val="003D3E27"/>
    <w:rsid w:val="003D3F7B"/>
    <w:rsid w:val="003D42B0"/>
    <w:rsid w:val="003D46BE"/>
    <w:rsid w:val="003D479B"/>
    <w:rsid w:val="003D4901"/>
    <w:rsid w:val="003D4A17"/>
    <w:rsid w:val="003D55E1"/>
    <w:rsid w:val="003D5753"/>
    <w:rsid w:val="003D5A8A"/>
    <w:rsid w:val="003D5BDD"/>
    <w:rsid w:val="003D5C6C"/>
    <w:rsid w:val="003D5CC5"/>
    <w:rsid w:val="003D5CFF"/>
    <w:rsid w:val="003D6129"/>
    <w:rsid w:val="003D614F"/>
    <w:rsid w:val="003D622A"/>
    <w:rsid w:val="003D6324"/>
    <w:rsid w:val="003D641A"/>
    <w:rsid w:val="003D69D4"/>
    <w:rsid w:val="003D6B1A"/>
    <w:rsid w:val="003D6B71"/>
    <w:rsid w:val="003D71EB"/>
    <w:rsid w:val="003D725C"/>
    <w:rsid w:val="003D7443"/>
    <w:rsid w:val="003D74FA"/>
    <w:rsid w:val="003D789C"/>
    <w:rsid w:val="003D7973"/>
    <w:rsid w:val="003E09E9"/>
    <w:rsid w:val="003E14E0"/>
    <w:rsid w:val="003E1757"/>
    <w:rsid w:val="003E19FB"/>
    <w:rsid w:val="003E1BCF"/>
    <w:rsid w:val="003E1C84"/>
    <w:rsid w:val="003E2209"/>
    <w:rsid w:val="003E22A4"/>
    <w:rsid w:val="003E22CB"/>
    <w:rsid w:val="003E2343"/>
    <w:rsid w:val="003E24F8"/>
    <w:rsid w:val="003E2662"/>
    <w:rsid w:val="003E286E"/>
    <w:rsid w:val="003E2F1B"/>
    <w:rsid w:val="003E3138"/>
    <w:rsid w:val="003E3521"/>
    <w:rsid w:val="003E3617"/>
    <w:rsid w:val="003E371E"/>
    <w:rsid w:val="003E37B7"/>
    <w:rsid w:val="003E388A"/>
    <w:rsid w:val="003E3A25"/>
    <w:rsid w:val="003E3BF3"/>
    <w:rsid w:val="003E3E49"/>
    <w:rsid w:val="003E406B"/>
    <w:rsid w:val="003E4167"/>
    <w:rsid w:val="003E45F2"/>
    <w:rsid w:val="003E46C8"/>
    <w:rsid w:val="003E4863"/>
    <w:rsid w:val="003E48B5"/>
    <w:rsid w:val="003E4B42"/>
    <w:rsid w:val="003E4D22"/>
    <w:rsid w:val="003E4F96"/>
    <w:rsid w:val="003E522D"/>
    <w:rsid w:val="003E54BE"/>
    <w:rsid w:val="003E5CCA"/>
    <w:rsid w:val="003E5CFE"/>
    <w:rsid w:val="003E5E3A"/>
    <w:rsid w:val="003E624C"/>
    <w:rsid w:val="003E6931"/>
    <w:rsid w:val="003E6AA9"/>
    <w:rsid w:val="003E6AEE"/>
    <w:rsid w:val="003E704A"/>
    <w:rsid w:val="003E70E7"/>
    <w:rsid w:val="003E711B"/>
    <w:rsid w:val="003E75B9"/>
    <w:rsid w:val="003E767C"/>
    <w:rsid w:val="003E7773"/>
    <w:rsid w:val="003F01C8"/>
    <w:rsid w:val="003F034A"/>
    <w:rsid w:val="003F03C6"/>
    <w:rsid w:val="003F0403"/>
    <w:rsid w:val="003F102B"/>
    <w:rsid w:val="003F115E"/>
    <w:rsid w:val="003F118F"/>
    <w:rsid w:val="003F1198"/>
    <w:rsid w:val="003F14C2"/>
    <w:rsid w:val="003F16B1"/>
    <w:rsid w:val="003F1CBF"/>
    <w:rsid w:val="003F1F45"/>
    <w:rsid w:val="003F213D"/>
    <w:rsid w:val="003F2210"/>
    <w:rsid w:val="003F274D"/>
    <w:rsid w:val="003F2856"/>
    <w:rsid w:val="003F2BA2"/>
    <w:rsid w:val="003F2BCE"/>
    <w:rsid w:val="003F2C07"/>
    <w:rsid w:val="003F2C89"/>
    <w:rsid w:val="003F2EA4"/>
    <w:rsid w:val="003F31D2"/>
    <w:rsid w:val="003F3494"/>
    <w:rsid w:val="003F37E0"/>
    <w:rsid w:val="003F380F"/>
    <w:rsid w:val="003F3D1A"/>
    <w:rsid w:val="003F4588"/>
    <w:rsid w:val="003F4C24"/>
    <w:rsid w:val="003F4E7A"/>
    <w:rsid w:val="003F51B0"/>
    <w:rsid w:val="003F535C"/>
    <w:rsid w:val="003F55F1"/>
    <w:rsid w:val="003F56C7"/>
    <w:rsid w:val="003F5931"/>
    <w:rsid w:val="003F5D27"/>
    <w:rsid w:val="003F5EAA"/>
    <w:rsid w:val="003F6297"/>
    <w:rsid w:val="003F631C"/>
    <w:rsid w:val="003F6E2D"/>
    <w:rsid w:val="003F7196"/>
    <w:rsid w:val="003F7C45"/>
    <w:rsid w:val="003F7FE3"/>
    <w:rsid w:val="004004F7"/>
    <w:rsid w:val="004008AF"/>
    <w:rsid w:val="004009E4"/>
    <w:rsid w:val="00400AD3"/>
    <w:rsid w:val="00400ADD"/>
    <w:rsid w:val="00400B5F"/>
    <w:rsid w:val="00400CA0"/>
    <w:rsid w:val="00400FA8"/>
    <w:rsid w:val="004011E0"/>
    <w:rsid w:val="00401603"/>
    <w:rsid w:val="00401692"/>
    <w:rsid w:val="004018F3"/>
    <w:rsid w:val="00401DBF"/>
    <w:rsid w:val="00402183"/>
    <w:rsid w:val="00402211"/>
    <w:rsid w:val="004022A2"/>
    <w:rsid w:val="0040279B"/>
    <w:rsid w:val="004027AB"/>
    <w:rsid w:val="004027B5"/>
    <w:rsid w:val="004033D9"/>
    <w:rsid w:val="0040357E"/>
    <w:rsid w:val="00403B5F"/>
    <w:rsid w:val="00403F3D"/>
    <w:rsid w:val="00404036"/>
    <w:rsid w:val="0040446C"/>
    <w:rsid w:val="004044CA"/>
    <w:rsid w:val="00404528"/>
    <w:rsid w:val="0040453D"/>
    <w:rsid w:val="0040462E"/>
    <w:rsid w:val="00404814"/>
    <w:rsid w:val="00404A25"/>
    <w:rsid w:val="00404A94"/>
    <w:rsid w:val="00404D08"/>
    <w:rsid w:val="00404E29"/>
    <w:rsid w:val="0040502B"/>
    <w:rsid w:val="0040520B"/>
    <w:rsid w:val="004053AD"/>
    <w:rsid w:val="004053B0"/>
    <w:rsid w:val="0040551F"/>
    <w:rsid w:val="0040556F"/>
    <w:rsid w:val="00405E65"/>
    <w:rsid w:val="00406158"/>
    <w:rsid w:val="00406564"/>
    <w:rsid w:val="00406B11"/>
    <w:rsid w:val="00406DFE"/>
    <w:rsid w:val="00407238"/>
    <w:rsid w:val="00407532"/>
    <w:rsid w:val="004075C7"/>
    <w:rsid w:val="0040771F"/>
    <w:rsid w:val="004077D8"/>
    <w:rsid w:val="00407C52"/>
    <w:rsid w:val="00407C89"/>
    <w:rsid w:val="00407EAB"/>
    <w:rsid w:val="00407F12"/>
    <w:rsid w:val="004107CD"/>
    <w:rsid w:val="00410CD6"/>
    <w:rsid w:val="004111F7"/>
    <w:rsid w:val="0041124A"/>
    <w:rsid w:val="0041126E"/>
    <w:rsid w:val="004114A4"/>
    <w:rsid w:val="00411546"/>
    <w:rsid w:val="00411BEA"/>
    <w:rsid w:val="00411D7A"/>
    <w:rsid w:val="0041213C"/>
    <w:rsid w:val="0041217D"/>
    <w:rsid w:val="004125C6"/>
    <w:rsid w:val="0041275F"/>
    <w:rsid w:val="00412885"/>
    <w:rsid w:val="00412DE5"/>
    <w:rsid w:val="00412DE8"/>
    <w:rsid w:val="0041306F"/>
    <w:rsid w:val="004130C1"/>
    <w:rsid w:val="004136F4"/>
    <w:rsid w:val="004137CA"/>
    <w:rsid w:val="00413907"/>
    <w:rsid w:val="004139BB"/>
    <w:rsid w:val="00413BC6"/>
    <w:rsid w:val="00413F93"/>
    <w:rsid w:val="00414025"/>
    <w:rsid w:val="004142FA"/>
    <w:rsid w:val="00414864"/>
    <w:rsid w:val="004148A9"/>
    <w:rsid w:val="00414B6C"/>
    <w:rsid w:val="00414E6E"/>
    <w:rsid w:val="00414F8B"/>
    <w:rsid w:val="00415216"/>
    <w:rsid w:val="00415D3A"/>
    <w:rsid w:val="004161FD"/>
    <w:rsid w:val="0041661F"/>
    <w:rsid w:val="00416D72"/>
    <w:rsid w:val="00417330"/>
    <w:rsid w:val="004174B7"/>
    <w:rsid w:val="00417576"/>
    <w:rsid w:val="0041777D"/>
    <w:rsid w:val="0041783B"/>
    <w:rsid w:val="00417D54"/>
    <w:rsid w:val="004201BF"/>
    <w:rsid w:val="0042044D"/>
    <w:rsid w:val="0042066F"/>
    <w:rsid w:val="00420745"/>
    <w:rsid w:val="00421201"/>
    <w:rsid w:val="0042122B"/>
    <w:rsid w:val="004212C3"/>
    <w:rsid w:val="0042130A"/>
    <w:rsid w:val="004213CA"/>
    <w:rsid w:val="0042191C"/>
    <w:rsid w:val="004219F4"/>
    <w:rsid w:val="00421A08"/>
    <w:rsid w:val="00421A89"/>
    <w:rsid w:val="00421B14"/>
    <w:rsid w:val="00421EBC"/>
    <w:rsid w:val="004222BC"/>
    <w:rsid w:val="004226E3"/>
    <w:rsid w:val="004228C9"/>
    <w:rsid w:val="00422C0C"/>
    <w:rsid w:val="00422CC8"/>
    <w:rsid w:val="00422DE5"/>
    <w:rsid w:val="0042304B"/>
    <w:rsid w:val="0042305B"/>
    <w:rsid w:val="00423068"/>
    <w:rsid w:val="00423214"/>
    <w:rsid w:val="0042347F"/>
    <w:rsid w:val="004236DF"/>
    <w:rsid w:val="00424030"/>
    <w:rsid w:val="00424084"/>
    <w:rsid w:val="004240C9"/>
    <w:rsid w:val="00424264"/>
    <w:rsid w:val="0042426D"/>
    <w:rsid w:val="0042453E"/>
    <w:rsid w:val="00424734"/>
    <w:rsid w:val="0042475B"/>
    <w:rsid w:val="004247E9"/>
    <w:rsid w:val="00424818"/>
    <w:rsid w:val="00424C0A"/>
    <w:rsid w:val="00424E96"/>
    <w:rsid w:val="00424EEC"/>
    <w:rsid w:val="0042516E"/>
    <w:rsid w:val="00425677"/>
    <w:rsid w:val="00425BA7"/>
    <w:rsid w:val="00425F00"/>
    <w:rsid w:val="00425F84"/>
    <w:rsid w:val="00425F96"/>
    <w:rsid w:val="0042651F"/>
    <w:rsid w:val="0042668E"/>
    <w:rsid w:val="00426FA9"/>
    <w:rsid w:val="004272F9"/>
    <w:rsid w:val="004273AD"/>
    <w:rsid w:val="0042746D"/>
    <w:rsid w:val="00427708"/>
    <w:rsid w:val="00427B07"/>
    <w:rsid w:val="00427C17"/>
    <w:rsid w:val="00427C8F"/>
    <w:rsid w:val="00427E02"/>
    <w:rsid w:val="00427F9E"/>
    <w:rsid w:val="00427FDA"/>
    <w:rsid w:val="004301BD"/>
    <w:rsid w:val="00430312"/>
    <w:rsid w:val="004305AE"/>
    <w:rsid w:val="00430AFB"/>
    <w:rsid w:val="00430EB4"/>
    <w:rsid w:val="004312C9"/>
    <w:rsid w:val="004314DC"/>
    <w:rsid w:val="00431653"/>
    <w:rsid w:val="00431800"/>
    <w:rsid w:val="0043190C"/>
    <w:rsid w:val="00431D7F"/>
    <w:rsid w:val="00431E7A"/>
    <w:rsid w:val="00431FB2"/>
    <w:rsid w:val="00432924"/>
    <w:rsid w:val="00432EB8"/>
    <w:rsid w:val="004334E5"/>
    <w:rsid w:val="00433541"/>
    <w:rsid w:val="0043367B"/>
    <w:rsid w:val="004338BA"/>
    <w:rsid w:val="004338CD"/>
    <w:rsid w:val="00433AA9"/>
    <w:rsid w:val="00433EC0"/>
    <w:rsid w:val="0043411B"/>
    <w:rsid w:val="004341F9"/>
    <w:rsid w:val="00434309"/>
    <w:rsid w:val="00434380"/>
    <w:rsid w:val="00434B02"/>
    <w:rsid w:val="0043558D"/>
    <w:rsid w:val="004358A8"/>
    <w:rsid w:val="00435BD9"/>
    <w:rsid w:val="00435CB6"/>
    <w:rsid w:val="00436291"/>
    <w:rsid w:val="0043647E"/>
    <w:rsid w:val="00436514"/>
    <w:rsid w:val="00436C7D"/>
    <w:rsid w:val="00437338"/>
    <w:rsid w:val="0043770B"/>
    <w:rsid w:val="0043799B"/>
    <w:rsid w:val="00437B70"/>
    <w:rsid w:val="00437D7C"/>
    <w:rsid w:val="00440148"/>
    <w:rsid w:val="0044020D"/>
    <w:rsid w:val="00440306"/>
    <w:rsid w:val="004403E0"/>
    <w:rsid w:val="00440990"/>
    <w:rsid w:val="00440E21"/>
    <w:rsid w:val="00440F16"/>
    <w:rsid w:val="0044133E"/>
    <w:rsid w:val="00441363"/>
    <w:rsid w:val="004416FE"/>
    <w:rsid w:val="004419DF"/>
    <w:rsid w:val="004423F7"/>
    <w:rsid w:val="00442428"/>
    <w:rsid w:val="004426A3"/>
    <w:rsid w:val="004426AD"/>
    <w:rsid w:val="00442729"/>
    <w:rsid w:val="004429D4"/>
    <w:rsid w:val="00442A49"/>
    <w:rsid w:val="00442AC6"/>
    <w:rsid w:val="00442AD1"/>
    <w:rsid w:val="00442E72"/>
    <w:rsid w:val="004430E1"/>
    <w:rsid w:val="0044333A"/>
    <w:rsid w:val="0044359C"/>
    <w:rsid w:val="0044379F"/>
    <w:rsid w:val="00443A19"/>
    <w:rsid w:val="004441BA"/>
    <w:rsid w:val="00444422"/>
    <w:rsid w:val="0044453A"/>
    <w:rsid w:val="00444817"/>
    <w:rsid w:val="00444B8E"/>
    <w:rsid w:val="00444BBD"/>
    <w:rsid w:val="00445332"/>
    <w:rsid w:val="00445593"/>
    <w:rsid w:val="00445638"/>
    <w:rsid w:val="004458E0"/>
    <w:rsid w:val="00445A9A"/>
    <w:rsid w:val="00445AE6"/>
    <w:rsid w:val="00445B94"/>
    <w:rsid w:val="0044630F"/>
    <w:rsid w:val="0044632A"/>
    <w:rsid w:val="004467D0"/>
    <w:rsid w:val="0044681E"/>
    <w:rsid w:val="0044690B"/>
    <w:rsid w:val="00446BAA"/>
    <w:rsid w:val="00446BBE"/>
    <w:rsid w:val="00446FF6"/>
    <w:rsid w:val="004472C6"/>
    <w:rsid w:val="004474A7"/>
    <w:rsid w:val="004474C7"/>
    <w:rsid w:val="00447541"/>
    <w:rsid w:val="0044770C"/>
    <w:rsid w:val="0044782C"/>
    <w:rsid w:val="004478BF"/>
    <w:rsid w:val="0045043A"/>
    <w:rsid w:val="00450765"/>
    <w:rsid w:val="0045083E"/>
    <w:rsid w:val="0045089E"/>
    <w:rsid w:val="0045093D"/>
    <w:rsid w:val="004509F8"/>
    <w:rsid w:val="004511B8"/>
    <w:rsid w:val="004511D3"/>
    <w:rsid w:val="004512A3"/>
    <w:rsid w:val="004514A4"/>
    <w:rsid w:val="004515F4"/>
    <w:rsid w:val="00451645"/>
    <w:rsid w:val="004517F6"/>
    <w:rsid w:val="00451AA1"/>
    <w:rsid w:val="00451BEB"/>
    <w:rsid w:val="00451D15"/>
    <w:rsid w:val="00451DD9"/>
    <w:rsid w:val="00452058"/>
    <w:rsid w:val="00452667"/>
    <w:rsid w:val="0045280B"/>
    <w:rsid w:val="00452845"/>
    <w:rsid w:val="00452C18"/>
    <w:rsid w:val="004532B4"/>
    <w:rsid w:val="00453331"/>
    <w:rsid w:val="004533FF"/>
    <w:rsid w:val="00453514"/>
    <w:rsid w:val="00453721"/>
    <w:rsid w:val="00453AC8"/>
    <w:rsid w:val="00453C70"/>
    <w:rsid w:val="00453C9C"/>
    <w:rsid w:val="00453E37"/>
    <w:rsid w:val="00453FFA"/>
    <w:rsid w:val="00454636"/>
    <w:rsid w:val="00454B08"/>
    <w:rsid w:val="00454B28"/>
    <w:rsid w:val="00454F8E"/>
    <w:rsid w:val="00455238"/>
    <w:rsid w:val="00455391"/>
    <w:rsid w:val="004554CB"/>
    <w:rsid w:val="004555D7"/>
    <w:rsid w:val="004557EC"/>
    <w:rsid w:val="00455A05"/>
    <w:rsid w:val="00455A9E"/>
    <w:rsid w:val="00455EB7"/>
    <w:rsid w:val="00456553"/>
    <w:rsid w:val="00456678"/>
    <w:rsid w:val="004568C5"/>
    <w:rsid w:val="00456C68"/>
    <w:rsid w:val="0045700C"/>
    <w:rsid w:val="00457567"/>
    <w:rsid w:val="004575F2"/>
    <w:rsid w:val="00457D68"/>
    <w:rsid w:val="00457F05"/>
    <w:rsid w:val="00460ABF"/>
    <w:rsid w:val="00460FC7"/>
    <w:rsid w:val="004614CD"/>
    <w:rsid w:val="0046151A"/>
    <w:rsid w:val="00461836"/>
    <w:rsid w:val="00461A18"/>
    <w:rsid w:val="00461AFD"/>
    <w:rsid w:val="004626DF"/>
    <w:rsid w:val="00462778"/>
    <w:rsid w:val="00462B1D"/>
    <w:rsid w:val="00462DDE"/>
    <w:rsid w:val="00463375"/>
    <w:rsid w:val="00463481"/>
    <w:rsid w:val="00463773"/>
    <w:rsid w:val="00463D37"/>
    <w:rsid w:val="00464015"/>
    <w:rsid w:val="00464228"/>
    <w:rsid w:val="0046444C"/>
    <w:rsid w:val="004646FF"/>
    <w:rsid w:val="00464804"/>
    <w:rsid w:val="00464ADB"/>
    <w:rsid w:val="00464F6C"/>
    <w:rsid w:val="004652A4"/>
    <w:rsid w:val="004654B5"/>
    <w:rsid w:val="004657C2"/>
    <w:rsid w:val="00466BBB"/>
    <w:rsid w:val="00466C0D"/>
    <w:rsid w:val="00466C8B"/>
    <w:rsid w:val="0046722A"/>
    <w:rsid w:val="004673EC"/>
    <w:rsid w:val="00467554"/>
    <w:rsid w:val="00467979"/>
    <w:rsid w:val="00467B58"/>
    <w:rsid w:val="00467CC8"/>
    <w:rsid w:val="00470281"/>
    <w:rsid w:val="00470779"/>
    <w:rsid w:val="0047077C"/>
    <w:rsid w:val="0047151E"/>
    <w:rsid w:val="00471BE4"/>
    <w:rsid w:val="00471D0D"/>
    <w:rsid w:val="00471E79"/>
    <w:rsid w:val="00471EEE"/>
    <w:rsid w:val="0047214E"/>
    <w:rsid w:val="00472482"/>
    <w:rsid w:val="00472802"/>
    <w:rsid w:val="00472821"/>
    <w:rsid w:val="00472CA1"/>
    <w:rsid w:val="00472D4D"/>
    <w:rsid w:val="00473285"/>
    <w:rsid w:val="004732FD"/>
    <w:rsid w:val="00473613"/>
    <w:rsid w:val="00473A48"/>
    <w:rsid w:val="00473AF7"/>
    <w:rsid w:val="00473E69"/>
    <w:rsid w:val="00473F93"/>
    <w:rsid w:val="00474209"/>
    <w:rsid w:val="004744EF"/>
    <w:rsid w:val="004745E0"/>
    <w:rsid w:val="004749AF"/>
    <w:rsid w:val="00474C70"/>
    <w:rsid w:val="00474CF2"/>
    <w:rsid w:val="00474E01"/>
    <w:rsid w:val="00474F64"/>
    <w:rsid w:val="00474F6D"/>
    <w:rsid w:val="0047535C"/>
    <w:rsid w:val="00475B09"/>
    <w:rsid w:val="00475CBD"/>
    <w:rsid w:val="00475D77"/>
    <w:rsid w:val="00476060"/>
    <w:rsid w:val="004760CE"/>
    <w:rsid w:val="0047620D"/>
    <w:rsid w:val="004764D6"/>
    <w:rsid w:val="00477793"/>
    <w:rsid w:val="0047779D"/>
    <w:rsid w:val="004778F1"/>
    <w:rsid w:val="00477CE9"/>
    <w:rsid w:val="00477D93"/>
    <w:rsid w:val="0047B69E"/>
    <w:rsid w:val="004804DB"/>
    <w:rsid w:val="004805CA"/>
    <w:rsid w:val="0048075C"/>
    <w:rsid w:val="00480C45"/>
    <w:rsid w:val="004811F4"/>
    <w:rsid w:val="004812B0"/>
    <w:rsid w:val="004813C8"/>
    <w:rsid w:val="0048179B"/>
    <w:rsid w:val="004819A0"/>
    <w:rsid w:val="004821B1"/>
    <w:rsid w:val="00482243"/>
    <w:rsid w:val="004824DF"/>
    <w:rsid w:val="0048254B"/>
    <w:rsid w:val="004826A8"/>
    <w:rsid w:val="00482804"/>
    <w:rsid w:val="00482914"/>
    <w:rsid w:val="00482B47"/>
    <w:rsid w:val="00482B5B"/>
    <w:rsid w:val="00482B88"/>
    <w:rsid w:val="0048323E"/>
    <w:rsid w:val="004834A7"/>
    <w:rsid w:val="00483AC7"/>
    <w:rsid w:val="00483C6D"/>
    <w:rsid w:val="00483F64"/>
    <w:rsid w:val="00483F9B"/>
    <w:rsid w:val="004842BF"/>
    <w:rsid w:val="00484391"/>
    <w:rsid w:val="00484774"/>
    <w:rsid w:val="00484B05"/>
    <w:rsid w:val="00484CFB"/>
    <w:rsid w:val="00484DC5"/>
    <w:rsid w:val="00484E14"/>
    <w:rsid w:val="00485675"/>
    <w:rsid w:val="004857A5"/>
    <w:rsid w:val="0048596D"/>
    <w:rsid w:val="00485AFB"/>
    <w:rsid w:val="00485D34"/>
    <w:rsid w:val="00485EE0"/>
    <w:rsid w:val="00485F66"/>
    <w:rsid w:val="0048612A"/>
    <w:rsid w:val="00486385"/>
    <w:rsid w:val="0048653F"/>
    <w:rsid w:val="00486B0E"/>
    <w:rsid w:val="00486D5E"/>
    <w:rsid w:val="00486E42"/>
    <w:rsid w:val="00486EF5"/>
    <w:rsid w:val="00487262"/>
    <w:rsid w:val="00487611"/>
    <w:rsid w:val="004878E4"/>
    <w:rsid w:val="00487C85"/>
    <w:rsid w:val="00487D1E"/>
    <w:rsid w:val="00487F27"/>
    <w:rsid w:val="0049004C"/>
    <w:rsid w:val="004905FB"/>
    <w:rsid w:val="00490702"/>
    <w:rsid w:val="004909B1"/>
    <w:rsid w:val="00490D66"/>
    <w:rsid w:val="00490DC4"/>
    <w:rsid w:val="00490E9A"/>
    <w:rsid w:val="00490F4C"/>
    <w:rsid w:val="00491289"/>
    <w:rsid w:val="004913E6"/>
    <w:rsid w:val="0049166D"/>
    <w:rsid w:val="00491DA7"/>
    <w:rsid w:val="004924F1"/>
    <w:rsid w:val="0049271F"/>
    <w:rsid w:val="004927DC"/>
    <w:rsid w:val="004928DB"/>
    <w:rsid w:val="0049297B"/>
    <w:rsid w:val="00492A38"/>
    <w:rsid w:val="00492EA1"/>
    <w:rsid w:val="00493F98"/>
    <w:rsid w:val="00494260"/>
    <w:rsid w:val="004943B5"/>
    <w:rsid w:val="00494417"/>
    <w:rsid w:val="00494462"/>
    <w:rsid w:val="004948C7"/>
    <w:rsid w:val="00494CE6"/>
    <w:rsid w:val="00494F08"/>
    <w:rsid w:val="00494F64"/>
    <w:rsid w:val="00494FC9"/>
    <w:rsid w:val="004951B6"/>
    <w:rsid w:val="004951B7"/>
    <w:rsid w:val="004956FD"/>
    <w:rsid w:val="004959C8"/>
    <w:rsid w:val="00495B5B"/>
    <w:rsid w:val="004964C5"/>
    <w:rsid w:val="00496751"/>
    <w:rsid w:val="004968AC"/>
    <w:rsid w:val="00496AC0"/>
    <w:rsid w:val="004971D5"/>
    <w:rsid w:val="0049768F"/>
    <w:rsid w:val="00497A90"/>
    <w:rsid w:val="00497B9F"/>
    <w:rsid w:val="004A0E78"/>
    <w:rsid w:val="004A0E80"/>
    <w:rsid w:val="004A10D7"/>
    <w:rsid w:val="004A1441"/>
    <w:rsid w:val="004A1479"/>
    <w:rsid w:val="004A14E2"/>
    <w:rsid w:val="004A16A3"/>
    <w:rsid w:val="004A1C57"/>
    <w:rsid w:val="004A1FDF"/>
    <w:rsid w:val="004A1FFE"/>
    <w:rsid w:val="004A2084"/>
    <w:rsid w:val="004A20A3"/>
    <w:rsid w:val="004A2241"/>
    <w:rsid w:val="004A25AF"/>
    <w:rsid w:val="004A279B"/>
    <w:rsid w:val="004A28C7"/>
    <w:rsid w:val="004A2CEF"/>
    <w:rsid w:val="004A2D88"/>
    <w:rsid w:val="004A31D4"/>
    <w:rsid w:val="004A31D7"/>
    <w:rsid w:val="004A3481"/>
    <w:rsid w:val="004A34FB"/>
    <w:rsid w:val="004A3744"/>
    <w:rsid w:val="004A37E6"/>
    <w:rsid w:val="004A3842"/>
    <w:rsid w:val="004A3ADC"/>
    <w:rsid w:val="004A4309"/>
    <w:rsid w:val="004A4430"/>
    <w:rsid w:val="004A4E3D"/>
    <w:rsid w:val="004A4EF5"/>
    <w:rsid w:val="004A4FDF"/>
    <w:rsid w:val="004A5484"/>
    <w:rsid w:val="004A5489"/>
    <w:rsid w:val="004A54CD"/>
    <w:rsid w:val="004A550B"/>
    <w:rsid w:val="004A58B6"/>
    <w:rsid w:val="004A5C3F"/>
    <w:rsid w:val="004A5E73"/>
    <w:rsid w:val="004A5EB9"/>
    <w:rsid w:val="004A60D4"/>
    <w:rsid w:val="004A6150"/>
    <w:rsid w:val="004A63F3"/>
    <w:rsid w:val="004A653E"/>
    <w:rsid w:val="004A658E"/>
    <w:rsid w:val="004A66D7"/>
    <w:rsid w:val="004A6821"/>
    <w:rsid w:val="004A6EA0"/>
    <w:rsid w:val="004A6FB8"/>
    <w:rsid w:val="004A710A"/>
    <w:rsid w:val="004A7421"/>
    <w:rsid w:val="004A74D9"/>
    <w:rsid w:val="004A7A52"/>
    <w:rsid w:val="004A7C6C"/>
    <w:rsid w:val="004A7E63"/>
    <w:rsid w:val="004A7F21"/>
    <w:rsid w:val="004ACEF1"/>
    <w:rsid w:val="004B0449"/>
    <w:rsid w:val="004B081A"/>
    <w:rsid w:val="004B0A33"/>
    <w:rsid w:val="004B0AEA"/>
    <w:rsid w:val="004B0B59"/>
    <w:rsid w:val="004B0BE4"/>
    <w:rsid w:val="004B0E73"/>
    <w:rsid w:val="004B1010"/>
    <w:rsid w:val="004B14DF"/>
    <w:rsid w:val="004B18FE"/>
    <w:rsid w:val="004B19DF"/>
    <w:rsid w:val="004B19FE"/>
    <w:rsid w:val="004B1AC1"/>
    <w:rsid w:val="004B270B"/>
    <w:rsid w:val="004B2939"/>
    <w:rsid w:val="004B2A4D"/>
    <w:rsid w:val="004B2F45"/>
    <w:rsid w:val="004B3072"/>
    <w:rsid w:val="004B324F"/>
    <w:rsid w:val="004B33C2"/>
    <w:rsid w:val="004B3551"/>
    <w:rsid w:val="004B36C3"/>
    <w:rsid w:val="004B3A4F"/>
    <w:rsid w:val="004B3ECE"/>
    <w:rsid w:val="004B3F1C"/>
    <w:rsid w:val="004B403B"/>
    <w:rsid w:val="004B4214"/>
    <w:rsid w:val="004B42CF"/>
    <w:rsid w:val="004B436C"/>
    <w:rsid w:val="004B45C1"/>
    <w:rsid w:val="004B45FB"/>
    <w:rsid w:val="004B4628"/>
    <w:rsid w:val="004B469B"/>
    <w:rsid w:val="004B476F"/>
    <w:rsid w:val="004B53E5"/>
    <w:rsid w:val="004B59A4"/>
    <w:rsid w:val="004B62E1"/>
    <w:rsid w:val="004B689D"/>
    <w:rsid w:val="004B68F0"/>
    <w:rsid w:val="004B69F0"/>
    <w:rsid w:val="004B709B"/>
    <w:rsid w:val="004B788D"/>
    <w:rsid w:val="004B78CE"/>
    <w:rsid w:val="004B7BC3"/>
    <w:rsid w:val="004BA4AE"/>
    <w:rsid w:val="004C001E"/>
    <w:rsid w:val="004C058D"/>
    <w:rsid w:val="004C093C"/>
    <w:rsid w:val="004C0CFA"/>
    <w:rsid w:val="004C0E97"/>
    <w:rsid w:val="004C15FF"/>
    <w:rsid w:val="004C1C65"/>
    <w:rsid w:val="004C1CD3"/>
    <w:rsid w:val="004C1DBC"/>
    <w:rsid w:val="004C1FAE"/>
    <w:rsid w:val="004C27F9"/>
    <w:rsid w:val="004C28E7"/>
    <w:rsid w:val="004C291A"/>
    <w:rsid w:val="004C292E"/>
    <w:rsid w:val="004C2B68"/>
    <w:rsid w:val="004C2B92"/>
    <w:rsid w:val="004C2C83"/>
    <w:rsid w:val="004C2CA1"/>
    <w:rsid w:val="004C3753"/>
    <w:rsid w:val="004C3823"/>
    <w:rsid w:val="004C4078"/>
    <w:rsid w:val="004C40B6"/>
    <w:rsid w:val="004C4417"/>
    <w:rsid w:val="004C447B"/>
    <w:rsid w:val="004C4526"/>
    <w:rsid w:val="004C48C8"/>
    <w:rsid w:val="004C48D2"/>
    <w:rsid w:val="004C4E25"/>
    <w:rsid w:val="004C513B"/>
    <w:rsid w:val="004C518B"/>
    <w:rsid w:val="004C5321"/>
    <w:rsid w:val="004C55D5"/>
    <w:rsid w:val="004C598D"/>
    <w:rsid w:val="004C5BB3"/>
    <w:rsid w:val="004C616F"/>
    <w:rsid w:val="004C618C"/>
    <w:rsid w:val="004C621D"/>
    <w:rsid w:val="004C63F3"/>
    <w:rsid w:val="004C6439"/>
    <w:rsid w:val="004C6590"/>
    <w:rsid w:val="004C6A11"/>
    <w:rsid w:val="004C6B75"/>
    <w:rsid w:val="004C6CAA"/>
    <w:rsid w:val="004C6EEC"/>
    <w:rsid w:val="004C70CF"/>
    <w:rsid w:val="004C72B1"/>
    <w:rsid w:val="004C72C5"/>
    <w:rsid w:val="004C73D8"/>
    <w:rsid w:val="004C73DE"/>
    <w:rsid w:val="004C76EB"/>
    <w:rsid w:val="004C7BCE"/>
    <w:rsid w:val="004C7DDE"/>
    <w:rsid w:val="004D05C8"/>
    <w:rsid w:val="004D0628"/>
    <w:rsid w:val="004D076B"/>
    <w:rsid w:val="004D09FB"/>
    <w:rsid w:val="004D0DA1"/>
    <w:rsid w:val="004D0DCA"/>
    <w:rsid w:val="004D0E63"/>
    <w:rsid w:val="004D0FAA"/>
    <w:rsid w:val="004D150F"/>
    <w:rsid w:val="004D19B5"/>
    <w:rsid w:val="004D255B"/>
    <w:rsid w:val="004D2677"/>
    <w:rsid w:val="004D2DBD"/>
    <w:rsid w:val="004D35DF"/>
    <w:rsid w:val="004D365B"/>
    <w:rsid w:val="004D3897"/>
    <w:rsid w:val="004D3989"/>
    <w:rsid w:val="004D3A8D"/>
    <w:rsid w:val="004D3B3B"/>
    <w:rsid w:val="004D3CA7"/>
    <w:rsid w:val="004D3CE9"/>
    <w:rsid w:val="004D4099"/>
    <w:rsid w:val="004D415E"/>
    <w:rsid w:val="004D433F"/>
    <w:rsid w:val="004D438D"/>
    <w:rsid w:val="004D4425"/>
    <w:rsid w:val="004D462F"/>
    <w:rsid w:val="004D4797"/>
    <w:rsid w:val="004D4837"/>
    <w:rsid w:val="004D4EA6"/>
    <w:rsid w:val="004D4F0C"/>
    <w:rsid w:val="004D5234"/>
    <w:rsid w:val="004D52E0"/>
    <w:rsid w:val="004D5C74"/>
    <w:rsid w:val="004D5CE4"/>
    <w:rsid w:val="004D5E58"/>
    <w:rsid w:val="004D60E6"/>
    <w:rsid w:val="004D611F"/>
    <w:rsid w:val="004D67C7"/>
    <w:rsid w:val="004D68FB"/>
    <w:rsid w:val="004D6BD7"/>
    <w:rsid w:val="004D73A2"/>
    <w:rsid w:val="004D73A5"/>
    <w:rsid w:val="004D75A1"/>
    <w:rsid w:val="004D793F"/>
    <w:rsid w:val="004D7944"/>
    <w:rsid w:val="004E0046"/>
    <w:rsid w:val="004E032B"/>
    <w:rsid w:val="004E0475"/>
    <w:rsid w:val="004E04A6"/>
    <w:rsid w:val="004E0566"/>
    <w:rsid w:val="004E0675"/>
    <w:rsid w:val="004E06AA"/>
    <w:rsid w:val="004E088B"/>
    <w:rsid w:val="004E0B3E"/>
    <w:rsid w:val="004E10B7"/>
    <w:rsid w:val="004E1310"/>
    <w:rsid w:val="004E13E7"/>
    <w:rsid w:val="004E1441"/>
    <w:rsid w:val="004E170C"/>
    <w:rsid w:val="004E180D"/>
    <w:rsid w:val="004E1991"/>
    <w:rsid w:val="004E1B7C"/>
    <w:rsid w:val="004E1DD7"/>
    <w:rsid w:val="004E1F58"/>
    <w:rsid w:val="004E2521"/>
    <w:rsid w:val="004E264F"/>
    <w:rsid w:val="004E2BD6"/>
    <w:rsid w:val="004E2C6E"/>
    <w:rsid w:val="004E2CD2"/>
    <w:rsid w:val="004E3476"/>
    <w:rsid w:val="004E37ED"/>
    <w:rsid w:val="004E3BA8"/>
    <w:rsid w:val="004E3E3A"/>
    <w:rsid w:val="004E3E6C"/>
    <w:rsid w:val="004E3EC2"/>
    <w:rsid w:val="004E4019"/>
    <w:rsid w:val="004E489F"/>
    <w:rsid w:val="004E5157"/>
    <w:rsid w:val="004E5314"/>
    <w:rsid w:val="004E557C"/>
    <w:rsid w:val="004E5A10"/>
    <w:rsid w:val="004E600F"/>
    <w:rsid w:val="004E66BC"/>
    <w:rsid w:val="004E66E3"/>
    <w:rsid w:val="004E687D"/>
    <w:rsid w:val="004E6903"/>
    <w:rsid w:val="004E6DB3"/>
    <w:rsid w:val="004E6E7F"/>
    <w:rsid w:val="004E6F12"/>
    <w:rsid w:val="004E735D"/>
    <w:rsid w:val="004E7858"/>
    <w:rsid w:val="004E7A56"/>
    <w:rsid w:val="004E7EA8"/>
    <w:rsid w:val="004F02F9"/>
    <w:rsid w:val="004F0527"/>
    <w:rsid w:val="004F0686"/>
    <w:rsid w:val="004F0A15"/>
    <w:rsid w:val="004F1072"/>
    <w:rsid w:val="004F11B7"/>
    <w:rsid w:val="004F135A"/>
    <w:rsid w:val="004F14F7"/>
    <w:rsid w:val="004F1DCC"/>
    <w:rsid w:val="004F2861"/>
    <w:rsid w:val="004F30E3"/>
    <w:rsid w:val="004F3732"/>
    <w:rsid w:val="004F37FA"/>
    <w:rsid w:val="004F417B"/>
    <w:rsid w:val="004F427E"/>
    <w:rsid w:val="004F4314"/>
    <w:rsid w:val="004F461A"/>
    <w:rsid w:val="004F4837"/>
    <w:rsid w:val="004F5082"/>
    <w:rsid w:val="004F5387"/>
    <w:rsid w:val="004F55D1"/>
    <w:rsid w:val="004F55F7"/>
    <w:rsid w:val="004F55FA"/>
    <w:rsid w:val="004F5606"/>
    <w:rsid w:val="004F5820"/>
    <w:rsid w:val="004F5A58"/>
    <w:rsid w:val="004F5CF4"/>
    <w:rsid w:val="004F6369"/>
    <w:rsid w:val="004F69B0"/>
    <w:rsid w:val="004F69D9"/>
    <w:rsid w:val="004F6ABA"/>
    <w:rsid w:val="004F6AD3"/>
    <w:rsid w:val="004F6BC3"/>
    <w:rsid w:val="004F6DCA"/>
    <w:rsid w:val="004F7098"/>
    <w:rsid w:val="004F70B4"/>
    <w:rsid w:val="004F71C5"/>
    <w:rsid w:val="004F77E8"/>
    <w:rsid w:val="004F795F"/>
    <w:rsid w:val="004F7FED"/>
    <w:rsid w:val="005003B9"/>
    <w:rsid w:val="00500722"/>
    <w:rsid w:val="00500898"/>
    <w:rsid w:val="005008C3"/>
    <w:rsid w:val="00500BA5"/>
    <w:rsid w:val="00500FE8"/>
    <w:rsid w:val="00501386"/>
    <w:rsid w:val="005014CA"/>
    <w:rsid w:val="00501BD9"/>
    <w:rsid w:val="00501C25"/>
    <w:rsid w:val="00501C4A"/>
    <w:rsid w:val="00501C53"/>
    <w:rsid w:val="00501FBF"/>
    <w:rsid w:val="0050200B"/>
    <w:rsid w:val="00502320"/>
    <w:rsid w:val="00502785"/>
    <w:rsid w:val="005027A6"/>
    <w:rsid w:val="00502820"/>
    <w:rsid w:val="00502C3C"/>
    <w:rsid w:val="00502DAE"/>
    <w:rsid w:val="00502FD9"/>
    <w:rsid w:val="00502FFB"/>
    <w:rsid w:val="005030BC"/>
    <w:rsid w:val="005038A0"/>
    <w:rsid w:val="00503A87"/>
    <w:rsid w:val="00503D09"/>
    <w:rsid w:val="00503E97"/>
    <w:rsid w:val="00503F1C"/>
    <w:rsid w:val="0050401D"/>
    <w:rsid w:val="0050408E"/>
    <w:rsid w:val="0050438D"/>
    <w:rsid w:val="005044F0"/>
    <w:rsid w:val="005045C6"/>
    <w:rsid w:val="00504648"/>
    <w:rsid w:val="005049B4"/>
    <w:rsid w:val="005049BD"/>
    <w:rsid w:val="00504A82"/>
    <w:rsid w:val="00504BC8"/>
    <w:rsid w:val="00504CD2"/>
    <w:rsid w:val="00504DAC"/>
    <w:rsid w:val="00504F2E"/>
    <w:rsid w:val="005052DB"/>
    <w:rsid w:val="005053CE"/>
    <w:rsid w:val="005058A6"/>
    <w:rsid w:val="00505A94"/>
    <w:rsid w:val="00505E19"/>
    <w:rsid w:val="00505E5C"/>
    <w:rsid w:val="00506294"/>
    <w:rsid w:val="005062DD"/>
    <w:rsid w:val="0050650B"/>
    <w:rsid w:val="00506552"/>
    <w:rsid w:val="0050674C"/>
    <w:rsid w:val="00506C8E"/>
    <w:rsid w:val="005071BC"/>
    <w:rsid w:val="00507239"/>
    <w:rsid w:val="00507361"/>
    <w:rsid w:val="0050744A"/>
    <w:rsid w:val="005075FA"/>
    <w:rsid w:val="00507A76"/>
    <w:rsid w:val="00507B92"/>
    <w:rsid w:val="00507DC4"/>
    <w:rsid w:val="00507EE2"/>
    <w:rsid w:val="005103C5"/>
    <w:rsid w:val="00510513"/>
    <w:rsid w:val="00510FAD"/>
    <w:rsid w:val="005110DD"/>
    <w:rsid w:val="0051114B"/>
    <w:rsid w:val="005113EA"/>
    <w:rsid w:val="0051154F"/>
    <w:rsid w:val="00511874"/>
    <w:rsid w:val="00511CEB"/>
    <w:rsid w:val="00511FF2"/>
    <w:rsid w:val="00512142"/>
    <w:rsid w:val="005124DA"/>
    <w:rsid w:val="00512797"/>
    <w:rsid w:val="005129C3"/>
    <w:rsid w:val="005131D3"/>
    <w:rsid w:val="005134FB"/>
    <w:rsid w:val="0051352C"/>
    <w:rsid w:val="00513E4F"/>
    <w:rsid w:val="00514030"/>
    <w:rsid w:val="0051445D"/>
    <w:rsid w:val="00514D2D"/>
    <w:rsid w:val="00514FC2"/>
    <w:rsid w:val="0051529F"/>
    <w:rsid w:val="00515A8C"/>
    <w:rsid w:val="00515BFA"/>
    <w:rsid w:val="00515CF9"/>
    <w:rsid w:val="0051611D"/>
    <w:rsid w:val="00516218"/>
    <w:rsid w:val="0051660A"/>
    <w:rsid w:val="00516894"/>
    <w:rsid w:val="00516E98"/>
    <w:rsid w:val="00517367"/>
    <w:rsid w:val="00517414"/>
    <w:rsid w:val="00517489"/>
    <w:rsid w:val="00517497"/>
    <w:rsid w:val="005174C2"/>
    <w:rsid w:val="00517A86"/>
    <w:rsid w:val="005202C9"/>
    <w:rsid w:val="00520464"/>
    <w:rsid w:val="005204D9"/>
    <w:rsid w:val="00520581"/>
    <w:rsid w:val="00520C6C"/>
    <w:rsid w:val="00520E0D"/>
    <w:rsid w:val="00520F6E"/>
    <w:rsid w:val="0052121D"/>
    <w:rsid w:val="00521231"/>
    <w:rsid w:val="0052126D"/>
    <w:rsid w:val="0052133A"/>
    <w:rsid w:val="005214C2"/>
    <w:rsid w:val="005214E1"/>
    <w:rsid w:val="00521CAF"/>
    <w:rsid w:val="00522075"/>
    <w:rsid w:val="005223E0"/>
    <w:rsid w:val="0052257F"/>
    <w:rsid w:val="005225FD"/>
    <w:rsid w:val="00522A71"/>
    <w:rsid w:val="00522D52"/>
    <w:rsid w:val="00522F9A"/>
    <w:rsid w:val="0052303D"/>
    <w:rsid w:val="00523174"/>
    <w:rsid w:val="005232A7"/>
    <w:rsid w:val="00523303"/>
    <w:rsid w:val="0052349D"/>
    <w:rsid w:val="00523D59"/>
    <w:rsid w:val="00523EF6"/>
    <w:rsid w:val="00524036"/>
    <w:rsid w:val="005240EC"/>
    <w:rsid w:val="005246D5"/>
    <w:rsid w:val="0052487C"/>
    <w:rsid w:val="005249B1"/>
    <w:rsid w:val="00524BE8"/>
    <w:rsid w:val="00524D23"/>
    <w:rsid w:val="00524DEC"/>
    <w:rsid w:val="00525747"/>
    <w:rsid w:val="0052575D"/>
    <w:rsid w:val="005257F9"/>
    <w:rsid w:val="00525B6C"/>
    <w:rsid w:val="00525F71"/>
    <w:rsid w:val="005262E6"/>
    <w:rsid w:val="00526645"/>
    <w:rsid w:val="005267FC"/>
    <w:rsid w:val="0052681A"/>
    <w:rsid w:val="005269A8"/>
    <w:rsid w:val="00526C43"/>
    <w:rsid w:val="00526C92"/>
    <w:rsid w:val="005275FC"/>
    <w:rsid w:val="00527617"/>
    <w:rsid w:val="0052768C"/>
    <w:rsid w:val="00530071"/>
    <w:rsid w:val="005301F6"/>
    <w:rsid w:val="005303E4"/>
    <w:rsid w:val="005304B3"/>
    <w:rsid w:val="00530658"/>
    <w:rsid w:val="005306D8"/>
    <w:rsid w:val="00530896"/>
    <w:rsid w:val="005310AF"/>
    <w:rsid w:val="0053157E"/>
    <w:rsid w:val="005316E5"/>
    <w:rsid w:val="005320DE"/>
    <w:rsid w:val="005323BD"/>
    <w:rsid w:val="005324F7"/>
    <w:rsid w:val="00532649"/>
    <w:rsid w:val="00532661"/>
    <w:rsid w:val="00532AE4"/>
    <w:rsid w:val="00532D95"/>
    <w:rsid w:val="00532E6D"/>
    <w:rsid w:val="00533256"/>
    <w:rsid w:val="0053335D"/>
    <w:rsid w:val="00533460"/>
    <w:rsid w:val="00533D9B"/>
    <w:rsid w:val="005342C3"/>
    <w:rsid w:val="0053437D"/>
    <w:rsid w:val="00534434"/>
    <w:rsid w:val="00534476"/>
    <w:rsid w:val="005344BF"/>
    <w:rsid w:val="005348DC"/>
    <w:rsid w:val="00534ADF"/>
    <w:rsid w:val="00534EEF"/>
    <w:rsid w:val="0053502A"/>
    <w:rsid w:val="0053505C"/>
    <w:rsid w:val="00535242"/>
    <w:rsid w:val="005354D6"/>
    <w:rsid w:val="00535561"/>
    <w:rsid w:val="00535C9D"/>
    <w:rsid w:val="005362F5"/>
    <w:rsid w:val="0053632D"/>
    <w:rsid w:val="00536753"/>
    <w:rsid w:val="005367BF"/>
    <w:rsid w:val="00536989"/>
    <w:rsid w:val="00536D1E"/>
    <w:rsid w:val="0053718C"/>
    <w:rsid w:val="0053725B"/>
    <w:rsid w:val="00537302"/>
    <w:rsid w:val="0053734B"/>
    <w:rsid w:val="005373E0"/>
    <w:rsid w:val="00537A85"/>
    <w:rsid w:val="00537C4E"/>
    <w:rsid w:val="00540030"/>
    <w:rsid w:val="00540393"/>
    <w:rsid w:val="00540941"/>
    <w:rsid w:val="00540A86"/>
    <w:rsid w:val="00540C57"/>
    <w:rsid w:val="00541047"/>
    <w:rsid w:val="00541169"/>
    <w:rsid w:val="0054120B"/>
    <w:rsid w:val="00541229"/>
    <w:rsid w:val="00541257"/>
    <w:rsid w:val="0054193F"/>
    <w:rsid w:val="00541B04"/>
    <w:rsid w:val="00541B1D"/>
    <w:rsid w:val="00541DAD"/>
    <w:rsid w:val="00541DD2"/>
    <w:rsid w:val="00542160"/>
    <w:rsid w:val="00542356"/>
    <w:rsid w:val="00542746"/>
    <w:rsid w:val="00542CEF"/>
    <w:rsid w:val="00542EF7"/>
    <w:rsid w:val="00542FD9"/>
    <w:rsid w:val="00543210"/>
    <w:rsid w:val="005438F2"/>
    <w:rsid w:val="005439E0"/>
    <w:rsid w:val="00543AC5"/>
    <w:rsid w:val="005444A1"/>
    <w:rsid w:val="005445F8"/>
    <w:rsid w:val="00544A97"/>
    <w:rsid w:val="00544D2B"/>
    <w:rsid w:val="005451B6"/>
    <w:rsid w:val="005452FC"/>
    <w:rsid w:val="00545492"/>
    <w:rsid w:val="005454AF"/>
    <w:rsid w:val="005454EF"/>
    <w:rsid w:val="005455B8"/>
    <w:rsid w:val="00545A66"/>
    <w:rsid w:val="00545A7E"/>
    <w:rsid w:val="005460A6"/>
    <w:rsid w:val="005463DF"/>
    <w:rsid w:val="005464FD"/>
    <w:rsid w:val="00546778"/>
    <w:rsid w:val="00546C7F"/>
    <w:rsid w:val="00546D64"/>
    <w:rsid w:val="00546DBB"/>
    <w:rsid w:val="00546F62"/>
    <w:rsid w:val="005473CE"/>
    <w:rsid w:val="00547517"/>
    <w:rsid w:val="00547E39"/>
    <w:rsid w:val="005502A7"/>
    <w:rsid w:val="0055036D"/>
    <w:rsid w:val="0055063A"/>
    <w:rsid w:val="005506E0"/>
    <w:rsid w:val="005506E5"/>
    <w:rsid w:val="00550F40"/>
    <w:rsid w:val="005511C4"/>
    <w:rsid w:val="005513FB"/>
    <w:rsid w:val="005517A0"/>
    <w:rsid w:val="0055213D"/>
    <w:rsid w:val="005523A8"/>
    <w:rsid w:val="0055240F"/>
    <w:rsid w:val="005524EF"/>
    <w:rsid w:val="005527A3"/>
    <w:rsid w:val="00552BC0"/>
    <w:rsid w:val="005531BD"/>
    <w:rsid w:val="0055340F"/>
    <w:rsid w:val="00553567"/>
    <w:rsid w:val="005540AF"/>
    <w:rsid w:val="00554217"/>
    <w:rsid w:val="005545AF"/>
    <w:rsid w:val="00554886"/>
    <w:rsid w:val="00554A4B"/>
    <w:rsid w:val="00554BD3"/>
    <w:rsid w:val="00554EBF"/>
    <w:rsid w:val="00554EDC"/>
    <w:rsid w:val="005554C5"/>
    <w:rsid w:val="005558C0"/>
    <w:rsid w:val="00555A0C"/>
    <w:rsid w:val="00555B98"/>
    <w:rsid w:val="00555E6F"/>
    <w:rsid w:val="0055608C"/>
    <w:rsid w:val="00556313"/>
    <w:rsid w:val="00556409"/>
    <w:rsid w:val="005564BA"/>
    <w:rsid w:val="00556572"/>
    <w:rsid w:val="00556656"/>
    <w:rsid w:val="005567B2"/>
    <w:rsid w:val="005569E4"/>
    <w:rsid w:val="00556B42"/>
    <w:rsid w:val="00556CE3"/>
    <w:rsid w:val="00556D74"/>
    <w:rsid w:val="00557310"/>
    <w:rsid w:val="005575E9"/>
    <w:rsid w:val="00557651"/>
    <w:rsid w:val="00557870"/>
    <w:rsid w:val="005578A1"/>
    <w:rsid w:val="00557A55"/>
    <w:rsid w:val="00557C8A"/>
    <w:rsid w:val="00557E9B"/>
    <w:rsid w:val="00560277"/>
    <w:rsid w:val="00560938"/>
    <w:rsid w:val="00560AB8"/>
    <w:rsid w:val="00560AF1"/>
    <w:rsid w:val="00560FE0"/>
    <w:rsid w:val="005610C6"/>
    <w:rsid w:val="00561165"/>
    <w:rsid w:val="00561390"/>
    <w:rsid w:val="00561562"/>
    <w:rsid w:val="00561580"/>
    <w:rsid w:val="00561607"/>
    <w:rsid w:val="005617C3"/>
    <w:rsid w:val="00561E62"/>
    <w:rsid w:val="005620E6"/>
    <w:rsid w:val="00562136"/>
    <w:rsid w:val="005629E8"/>
    <w:rsid w:val="00562B00"/>
    <w:rsid w:val="00562F11"/>
    <w:rsid w:val="00562F4F"/>
    <w:rsid w:val="005632AE"/>
    <w:rsid w:val="00563526"/>
    <w:rsid w:val="00563BDD"/>
    <w:rsid w:val="00563DE6"/>
    <w:rsid w:val="00563E2B"/>
    <w:rsid w:val="00563F1D"/>
    <w:rsid w:val="00563F5C"/>
    <w:rsid w:val="0056528D"/>
    <w:rsid w:val="0056542C"/>
    <w:rsid w:val="00565468"/>
    <w:rsid w:val="005659EC"/>
    <w:rsid w:val="00565E9C"/>
    <w:rsid w:val="005660CD"/>
    <w:rsid w:val="0056628B"/>
    <w:rsid w:val="00566298"/>
    <w:rsid w:val="0056695C"/>
    <w:rsid w:val="005669AB"/>
    <w:rsid w:val="005669B2"/>
    <w:rsid w:val="00566B77"/>
    <w:rsid w:val="00566E05"/>
    <w:rsid w:val="00566E86"/>
    <w:rsid w:val="00566EFB"/>
    <w:rsid w:val="00566F78"/>
    <w:rsid w:val="0056722B"/>
    <w:rsid w:val="005675C8"/>
    <w:rsid w:val="005679CD"/>
    <w:rsid w:val="00567A32"/>
    <w:rsid w:val="0057029F"/>
    <w:rsid w:val="00570434"/>
    <w:rsid w:val="005705B7"/>
    <w:rsid w:val="005705DA"/>
    <w:rsid w:val="00570614"/>
    <w:rsid w:val="0057076D"/>
    <w:rsid w:val="005708CE"/>
    <w:rsid w:val="0057091E"/>
    <w:rsid w:val="00570A41"/>
    <w:rsid w:val="00570D78"/>
    <w:rsid w:val="005711F5"/>
    <w:rsid w:val="00571247"/>
    <w:rsid w:val="00571916"/>
    <w:rsid w:val="00571E7E"/>
    <w:rsid w:val="00572011"/>
    <w:rsid w:val="005723D6"/>
    <w:rsid w:val="0057288F"/>
    <w:rsid w:val="00572905"/>
    <w:rsid w:val="005729DD"/>
    <w:rsid w:val="00572A8D"/>
    <w:rsid w:val="00572D77"/>
    <w:rsid w:val="00572E9E"/>
    <w:rsid w:val="00572FF2"/>
    <w:rsid w:val="00573ED3"/>
    <w:rsid w:val="00574722"/>
    <w:rsid w:val="0057476C"/>
    <w:rsid w:val="005748B8"/>
    <w:rsid w:val="00574A6E"/>
    <w:rsid w:val="00574B79"/>
    <w:rsid w:val="00575067"/>
    <w:rsid w:val="00575311"/>
    <w:rsid w:val="00575421"/>
    <w:rsid w:val="00575CB7"/>
    <w:rsid w:val="00575CC7"/>
    <w:rsid w:val="0057652E"/>
    <w:rsid w:val="00576544"/>
    <w:rsid w:val="00576957"/>
    <w:rsid w:val="00576DEB"/>
    <w:rsid w:val="00577023"/>
    <w:rsid w:val="00577145"/>
    <w:rsid w:val="005773A6"/>
    <w:rsid w:val="005773BE"/>
    <w:rsid w:val="00577769"/>
    <w:rsid w:val="005777D1"/>
    <w:rsid w:val="00580EC1"/>
    <w:rsid w:val="00580FCD"/>
    <w:rsid w:val="00581220"/>
    <w:rsid w:val="00581285"/>
    <w:rsid w:val="0058156B"/>
    <w:rsid w:val="00581629"/>
    <w:rsid w:val="005817E0"/>
    <w:rsid w:val="0058181C"/>
    <w:rsid w:val="00581892"/>
    <w:rsid w:val="00581A4E"/>
    <w:rsid w:val="00582119"/>
    <w:rsid w:val="00582365"/>
    <w:rsid w:val="0058253C"/>
    <w:rsid w:val="00582776"/>
    <w:rsid w:val="0058277D"/>
    <w:rsid w:val="00582992"/>
    <w:rsid w:val="00582B9D"/>
    <w:rsid w:val="00582C9C"/>
    <w:rsid w:val="00582E5A"/>
    <w:rsid w:val="00583BF9"/>
    <w:rsid w:val="00583FAB"/>
    <w:rsid w:val="00584075"/>
    <w:rsid w:val="00584232"/>
    <w:rsid w:val="0058443D"/>
    <w:rsid w:val="00584656"/>
    <w:rsid w:val="005847F5"/>
    <w:rsid w:val="0058494D"/>
    <w:rsid w:val="00584AF0"/>
    <w:rsid w:val="00584D33"/>
    <w:rsid w:val="00584EB1"/>
    <w:rsid w:val="005850E6"/>
    <w:rsid w:val="005852B6"/>
    <w:rsid w:val="005854D1"/>
    <w:rsid w:val="0058552F"/>
    <w:rsid w:val="00585856"/>
    <w:rsid w:val="0058592D"/>
    <w:rsid w:val="00585C1B"/>
    <w:rsid w:val="00585F7D"/>
    <w:rsid w:val="0058605E"/>
    <w:rsid w:val="005861D5"/>
    <w:rsid w:val="0058622F"/>
    <w:rsid w:val="0058630D"/>
    <w:rsid w:val="0058632A"/>
    <w:rsid w:val="0058636B"/>
    <w:rsid w:val="00586887"/>
    <w:rsid w:val="00586AD6"/>
    <w:rsid w:val="005870C1"/>
    <w:rsid w:val="00587196"/>
    <w:rsid w:val="005871B8"/>
    <w:rsid w:val="00587639"/>
    <w:rsid w:val="00587B5D"/>
    <w:rsid w:val="00587BDA"/>
    <w:rsid w:val="00587DD0"/>
    <w:rsid w:val="005900B0"/>
    <w:rsid w:val="00590DEC"/>
    <w:rsid w:val="00591380"/>
    <w:rsid w:val="00591428"/>
    <w:rsid w:val="00591C78"/>
    <w:rsid w:val="00591CFE"/>
    <w:rsid w:val="00591E35"/>
    <w:rsid w:val="0059235E"/>
    <w:rsid w:val="005923D3"/>
    <w:rsid w:val="00592638"/>
    <w:rsid w:val="005929BD"/>
    <w:rsid w:val="00592A67"/>
    <w:rsid w:val="00592B46"/>
    <w:rsid w:val="00593138"/>
    <w:rsid w:val="00593239"/>
    <w:rsid w:val="005933DD"/>
    <w:rsid w:val="00593A33"/>
    <w:rsid w:val="00593B6A"/>
    <w:rsid w:val="00593E8E"/>
    <w:rsid w:val="00593E92"/>
    <w:rsid w:val="00593F46"/>
    <w:rsid w:val="00594387"/>
    <w:rsid w:val="005944F9"/>
    <w:rsid w:val="0059469E"/>
    <w:rsid w:val="005947B5"/>
    <w:rsid w:val="00594907"/>
    <w:rsid w:val="00594A95"/>
    <w:rsid w:val="00594B76"/>
    <w:rsid w:val="00594DBC"/>
    <w:rsid w:val="00594DBD"/>
    <w:rsid w:val="00594E38"/>
    <w:rsid w:val="00594E40"/>
    <w:rsid w:val="0059538D"/>
    <w:rsid w:val="00595561"/>
    <w:rsid w:val="005955EF"/>
    <w:rsid w:val="00595B27"/>
    <w:rsid w:val="00595C32"/>
    <w:rsid w:val="005960BB"/>
    <w:rsid w:val="0059630A"/>
    <w:rsid w:val="005963DF"/>
    <w:rsid w:val="005964DE"/>
    <w:rsid w:val="00596752"/>
    <w:rsid w:val="005972EA"/>
    <w:rsid w:val="00597407"/>
    <w:rsid w:val="005974DE"/>
    <w:rsid w:val="00597585"/>
    <w:rsid w:val="00597F27"/>
    <w:rsid w:val="005A03F0"/>
    <w:rsid w:val="005A0496"/>
    <w:rsid w:val="005A077B"/>
    <w:rsid w:val="005A1285"/>
    <w:rsid w:val="005A16B2"/>
    <w:rsid w:val="005A1928"/>
    <w:rsid w:val="005A1C6E"/>
    <w:rsid w:val="005A20CF"/>
    <w:rsid w:val="005A2209"/>
    <w:rsid w:val="005A22FC"/>
    <w:rsid w:val="005A2342"/>
    <w:rsid w:val="005A2882"/>
    <w:rsid w:val="005A293F"/>
    <w:rsid w:val="005A2B27"/>
    <w:rsid w:val="005A2CA2"/>
    <w:rsid w:val="005A2D1C"/>
    <w:rsid w:val="005A2E8F"/>
    <w:rsid w:val="005A30B0"/>
    <w:rsid w:val="005A3320"/>
    <w:rsid w:val="005A3350"/>
    <w:rsid w:val="005A378D"/>
    <w:rsid w:val="005A3B31"/>
    <w:rsid w:val="005A4047"/>
    <w:rsid w:val="005A4079"/>
    <w:rsid w:val="005A416A"/>
    <w:rsid w:val="005A4234"/>
    <w:rsid w:val="005A4384"/>
    <w:rsid w:val="005A449C"/>
    <w:rsid w:val="005A4540"/>
    <w:rsid w:val="005A4E4B"/>
    <w:rsid w:val="005A5029"/>
    <w:rsid w:val="005A519B"/>
    <w:rsid w:val="005A52DC"/>
    <w:rsid w:val="005A5354"/>
    <w:rsid w:val="005A5582"/>
    <w:rsid w:val="005A5944"/>
    <w:rsid w:val="005A5AF3"/>
    <w:rsid w:val="005A6859"/>
    <w:rsid w:val="005A6891"/>
    <w:rsid w:val="005A6896"/>
    <w:rsid w:val="005A6BEF"/>
    <w:rsid w:val="005A6E64"/>
    <w:rsid w:val="005A7012"/>
    <w:rsid w:val="005A7577"/>
    <w:rsid w:val="005A76D8"/>
    <w:rsid w:val="005A7A5E"/>
    <w:rsid w:val="005A7B1A"/>
    <w:rsid w:val="005A7E3B"/>
    <w:rsid w:val="005B09C9"/>
    <w:rsid w:val="005B0A3F"/>
    <w:rsid w:val="005B0D8D"/>
    <w:rsid w:val="005B0E9B"/>
    <w:rsid w:val="005B111B"/>
    <w:rsid w:val="005B14C0"/>
    <w:rsid w:val="005B1545"/>
    <w:rsid w:val="005B171C"/>
    <w:rsid w:val="005B181C"/>
    <w:rsid w:val="005B1C07"/>
    <w:rsid w:val="005B1F38"/>
    <w:rsid w:val="005B2095"/>
    <w:rsid w:val="005B2321"/>
    <w:rsid w:val="005B23AD"/>
    <w:rsid w:val="005B2954"/>
    <w:rsid w:val="005B2BA5"/>
    <w:rsid w:val="005B2C06"/>
    <w:rsid w:val="005B2CF1"/>
    <w:rsid w:val="005B2D64"/>
    <w:rsid w:val="005B3062"/>
    <w:rsid w:val="005B308D"/>
    <w:rsid w:val="005B3432"/>
    <w:rsid w:val="005B35CC"/>
    <w:rsid w:val="005B3A05"/>
    <w:rsid w:val="005B3BD6"/>
    <w:rsid w:val="005B3D84"/>
    <w:rsid w:val="005B3E8D"/>
    <w:rsid w:val="005B4757"/>
    <w:rsid w:val="005B4777"/>
    <w:rsid w:val="005B4935"/>
    <w:rsid w:val="005B4E3C"/>
    <w:rsid w:val="005B4EF0"/>
    <w:rsid w:val="005B5075"/>
    <w:rsid w:val="005B555B"/>
    <w:rsid w:val="005B555F"/>
    <w:rsid w:val="005B567F"/>
    <w:rsid w:val="005B578A"/>
    <w:rsid w:val="005B583E"/>
    <w:rsid w:val="005B5B16"/>
    <w:rsid w:val="005B60B0"/>
    <w:rsid w:val="005B6540"/>
    <w:rsid w:val="005B6A2F"/>
    <w:rsid w:val="005B6AA0"/>
    <w:rsid w:val="005B71FA"/>
    <w:rsid w:val="005B7212"/>
    <w:rsid w:val="005B7D6C"/>
    <w:rsid w:val="005C0269"/>
    <w:rsid w:val="005C0541"/>
    <w:rsid w:val="005C0D59"/>
    <w:rsid w:val="005C0DA5"/>
    <w:rsid w:val="005C0E35"/>
    <w:rsid w:val="005C0F5B"/>
    <w:rsid w:val="005C127C"/>
    <w:rsid w:val="005C146F"/>
    <w:rsid w:val="005C182B"/>
    <w:rsid w:val="005C1927"/>
    <w:rsid w:val="005C19B1"/>
    <w:rsid w:val="005C1C96"/>
    <w:rsid w:val="005C1CF7"/>
    <w:rsid w:val="005C200F"/>
    <w:rsid w:val="005C2586"/>
    <w:rsid w:val="005C27D2"/>
    <w:rsid w:val="005C2DF2"/>
    <w:rsid w:val="005C2E96"/>
    <w:rsid w:val="005C2EE3"/>
    <w:rsid w:val="005C3125"/>
    <w:rsid w:val="005C3211"/>
    <w:rsid w:val="005C365D"/>
    <w:rsid w:val="005C3972"/>
    <w:rsid w:val="005C3BA8"/>
    <w:rsid w:val="005C3BF9"/>
    <w:rsid w:val="005C3C3E"/>
    <w:rsid w:val="005C402B"/>
    <w:rsid w:val="005C417F"/>
    <w:rsid w:val="005C41D2"/>
    <w:rsid w:val="005C44FB"/>
    <w:rsid w:val="005C4920"/>
    <w:rsid w:val="005C49F4"/>
    <w:rsid w:val="005C51AE"/>
    <w:rsid w:val="005C558F"/>
    <w:rsid w:val="005C5A46"/>
    <w:rsid w:val="005C619B"/>
    <w:rsid w:val="005C6245"/>
    <w:rsid w:val="005C6525"/>
    <w:rsid w:val="005C6BDB"/>
    <w:rsid w:val="005C70FD"/>
    <w:rsid w:val="005C7215"/>
    <w:rsid w:val="005C73C4"/>
    <w:rsid w:val="005C7450"/>
    <w:rsid w:val="005C7459"/>
    <w:rsid w:val="005C7486"/>
    <w:rsid w:val="005C78F2"/>
    <w:rsid w:val="005C7A5A"/>
    <w:rsid w:val="005C7CE2"/>
    <w:rsid w:val="005D0057"/>
    <w:rsid w:val="005D00EA"/>
    <w:rsid w:val="005D023B"/>
    <w:rsid w:val="005D029E"/>
    <w:rsid w:val="005D02C4"/>
    <w:rsid w:val="005D0317"/>
    <w:rsid w:val="005D0584"/>
    <w:rsid w:val="005D05EE"/>
    <w:rsid w:val="005D08D4"/>
    <w:rsid w:val="005D09C6"/>
    <w:rsid w:val="005D13D7"/>
    <w:rsid w:val="005D14E4"/>
    <w:rsid w:val="005D161C"/>
    <w:rsid w:val="005D1BB3"/>
    <w:rsid w:val="005D1D98"/>
    <w:rsid w:val="005D220B"/>
    <w:rsid w:val="005D2304"/>
    <w:rsid w:val="005D23A4"/>
    <w:rsid w:val="005D26AB"/>
    <w:rsid w:val="005D27E3"/>
    <w:rsid w:val="005D28FA"/>
    <w:rsid w:val="005D2A66"/>
    <w:rsid w:val="005D2B43"/>
    <w:rsid w:val="005D2C03"/>
    <w:rsid w:val="005D2C36"/>
    <w:rsid w:val="005D2C40"/>
    <w:rsid w:val="005D2E95"/>
    <w:rsid w:val="005D311B"/>
    <w:rsid w:val="005D3541"/>
    <w:rsid w:val="005D3700"/>
    <w:rsid w:val="005D3959"/>
    <w:rsid w:val="005D3A04"/>
    <w:rsid w:val="005D3D64"/>
    <w:rsid w:val="005D4418"/>
    <w:rsid w:val="005D44C3"/>
    <w:rsid w:val="005D46C1"/>
    <w:rsid w:val="005D47C0"/>
    <w:rsid w:val="005D4853"/>
    <w:rsid w:val="005D48FE"/>
    <w:rsid w:val="005D4F47"/>
    <w:rsid w:val="005D4FB4"/>
    <w:rsid w:val="005D5047"/>
    <w:rsid w:val="005D51FA"/>
    <w:rsid w:val="005D521A"/>
    <w:rsid w:val="005D556F"/>
    <w:rsid w:val="005D59D4"/>
    <w:rsid w:val="005D5FF0"/>
    <w:rsid w:val="005D66A8"/>
    <w:rsid w:val="005D6C2E"/>
    <w:rsid w:val="005D6CD8"/>
    <w:rsid w:val="005D6D12"/>
    <w:rsid w:val="005D6E3F"/>
    <w:rsid w:val="005D70B9"/>
    <w:rsid w:val="005D7471"/>
    <w:rsid w:val="005D749D"/>
    <w:rsid w:val="005D75A5"/>
    <w:rsid w:val="005D77EA"/>
    <w:rsid w:val="005D7D04"/>
    <w:rsid w:val="005E00B6"/>
    <w:rsid w:val="005E01C9"/>
    <w:rsid w:val="005E0ED0"/>
    <w:rsid w:val="005E0F6A"/>
    <w:rsid w:val="005E1102"/>
    <w:rsid w:val="005E11DE"/>
    <w:rsid w:val="005E15BC"/>
    <w:rsid w:val="005E189E"/>
    <w:rsid w:val="005E1E6A"/>
    <w:rsid w:val="005E1EDB"/>
    <w:rsid w:val="005E2177"/>
    <w:rsid w:val="005E2702"/>
    <w:rsid w:val="005E2B7F"/>
    <w:rsid w:val="005E3382"/>
    <w:rsid w:val="005E3521"/>
    <w:rsid w:val="005E3CF7"/>
    <w:rsid w:val="005E3D3E"/>
    <w:rsid w:val="005E3E69"/>
    <w:rsid w:val="005E3EE1"/>
    <w:rsid w:val="005E3FD5"/>
    <w:rsid w:val="005E42AD"/>
    <w:rsid w:val="005E42DC"/>
    <w:rsid w:val="005E48B6"/>
    <w:rsid w:val="005E48EA"/>
    <w:rsid w:val="005E4AB1"/>
    <w:rsid w:val="005E4AB2"/>
    <w:rsid w:val="005E4FD3"/>
    <w:rsid w:val="005E504C"/>
    <w:rsid w:val="005E51EF"/>
    <w:rsid w:val="005E5874"/>
    <w:rsid w:val="005E5CEA"/>
    <w:rsid w:val="005E5D2A"/>
    <w:rsid w:val="005E62E2"/>
    <w:rsid w:val="005E62F2"/>
    <w:rsid w:val="005E66EA"/>
    <w:rsid w:val="005E67E3"/>
    <w:rsid w:val="005E693E"/>
    <w:rsid w:val="005E74F9"/>
    <w:rsid w:val="005E75D5"/>
    <w:rsid w:val="005E76C2"/>
    <w:rsid w:val="005E77C3"/>
    <w:rsid w:val="005E792C"/>
    <w:rsid w:val="005F001C"/>
    <w:rsid w:val="005F028F"/>
    <w:rsid w:val="005F0BE3"/>
    <w:rsid w:val="005F0C14"/>
    <w:rsid w:val="005F0C7B"/>
    <w:rsid w:val="005F120B"/>
    <w:rsid w:val="005F1555"/>
    <w:rsid w:val="005F16C4"/>
    <w:rsid w:val="005F2978"/>
    <w:rsid w:val="005F328A"/>
    <w:rsid w:val="005F383B"/>
    <w:rsid w:val="005F3912"/>
    <w:rsid w:val="005F395B"/>
    <w:rsid w:val="005F3E5F"/>
    <w:rsid w:val="005F3F1B"/>
    <w:rsid w:val="005F3F79"/>
    <w:rsid w:val="005F4081"/>
    <w:rsid w:val="005F43DE"/>
    <w:rsid w:val="005F44C6"/>
    <w:rsid w:val="005F4512"/>
    <w:rsid w:val="005F4721"/>
    <w:rsid w:val="005F4961"/>
    <w:rsid w:val="005F4AE2"/>
    <w:rsid w:val="005F4C6B"/>
    <w:rsid w:val="005F4F00"/>
    <w:rsid w:val="005F5433"/>
    <w:rsid w:val="005F590A"/>
    <w:rsid w:val="005F6192"/>
    <w:rsid w:val="005F61DC"/>
    <w:rsid w:val="005F6299"/>
    <w:rsid w:val="005F63A3"/>
    <w:rsid w:val="005F63E9"/>
    <w:rsid w:val="005F6614"/>
    <w:rsid w:val="005F6BE2"/>
    <w:rsid w:val="005F6F14"/>
    <w:rsid w:val="005F720A"/>
    <w:rsid w:val="005F7271"/>
    <w:rsid w:val="005F7AD9"/>
    <w:rsid w:val="005F7B7B"/>
    <w:rsid w:val="005F7D63"/>
    <w:rsid w:val="005F7F7E"/>
    <w:rsid w:val="00600265"/>
    <w:rsid w:val="00600286"/>
    <w:rsid w:val="00600D2D"/>
    <w:rsid w:val="00601037"/>
    <w:rsid w:val="006010A5"/>
    <w:rsid w:val="00601458"/>
    <w:rsid w:val="0060182C"/>
    <w:rsid w:val="0060193B"/>
    <w:rsid w:val="00602336"/>
    <w:rsid w:val="00602343"/>
    <w:rsid w:val="00602A80"/>
    <w:rsid w:val="00602E5B"/>
    <w:rsid w:val="00602F43"/>
    <w:rsid w:val="006030EA"/>
    <w:rsid w:val="006032E5"/>
    <w:rsid w:val="00603520"/>
    <w:rsid w:val="006037FD"/>
    <w:rsid w:val="00603971"/>
    <w:rsid w:val="00603B08"/>
    <w:rsid w:val="00603DB7"/>
    <w:rsid w:val="006040B7"/>
    <w:rsid w:val="00604145"/>
    <w:rsid w:val="006041C8"/>
    <w:rsid w:val="006044E5"/>
    <w:rsid w:val="00604D24"/>
    <w:rsid w:val="00604E35"/>
    <w:rsid w:val="00604E4A"/>
    <w:rsid w:val="0060507F"/>
    <w:rsid w:val="00605427"/>
    <w:rsid w:val="00605692"/>
    <w:rsid w:val="00605776"/>
    <w:rsid w:val="00605867"/>
    <w:rsid w:val="00605BDA"/>
    <w:rsid w:val="00605C10"/>
    <w:rsid w:val="00605ED8"/>
    <w:rsid w:val="00605F32"/>
    <w:rsid w:val="006060C9"/>
    <w:rsid w:val="00606114"/>
    <w:rsid w:val="00606505"/>
    <w:rsid w:val="00606AA6"/>
    <w:rsid w:val="00606F7B"/>
    <w:rsid w:val="006070DD"/>
    <w:rsid w:val="006070F5"/>
    <w:rsid w:val="00607229"/>
    <w:rsid w:val="00607BBF"/>
    <w:rsid w:val="00610162"/>
    <w:rsid w:val="0061020C"/>
    <w:rsid w:val="006102D0"/>
    <w:rsid w:val="0061096D"/>
    <w:rsid w:val="00610ABA"/>
    <w:rsid w:val="00610D0A"/>
    <w:rsid w:val="00610FC2"/>
    <w:rsid w:val="006111A0"/>
    <w:rsid w:val="00611221"/>
    <w:rsid w:val="00611384"/>
    <w:rsid w:val="006118E8"/>
    <w:rsid w:val="00611DE8"/>
    <w:rsid w:val="00611FA1"/>
    <w:rsid w:val="0061231B"/>
    <w:rsid w:val="0061242F"/>
    <w:rsid w:val="006124BC"/>
    <w:rsid w:val="00612561"/>
    <w:rsid w:val="006125AC"/>
    <w:rsid w:val="00612760"/>
    <w:rsid w:val="006129C2"/>
    <w:rsid w:val="00613037"/>
    <w:rsid w:val="006131B1"/>
    <w:rsid w:val="00613295"/>
    <w:rsid w:val="006135A4"/>
    <w:rsid w:val="006135AB"/>
    <w:rsid w:val="006138E4"/>
    <w:rsid w:val="00614009"/>
    <w:rsid w:val="006143D3"/>
    <w:rsid w:val="00614407"/>
    <w:rsid w:val="006144F6"/>
    <w:rsid w:val="006147ED"/>
    <w:rsid w:val="006149E8"/>
    <w:rsid w:val="00614C7A"/>
    <w:rsid w:val="00614E44"/>
    <w:rsid w:val="00615145"/>
    <w:rsid w:val="006153F4"/>
    <w:rsid w:val="00615723"/>
    <w:rsid w:val="00615CD4"/>
    <w:rsid w:val="00615F80"/>
    <w:rsid w:val="00616095"/>
    <w:rsid w:val="0061610E"/>
    <w:rsid w:val="006163DC"/>
    <w:rsid w:val="00616407"/>
    <w:rsid w:val="0061664E"/>
    <w:rsid w:val="006167E3"/>
    <w:rsid w:val="006169CD"/>
    <w:rsid w:val="00616FB7"/>
    <w:rsid w:val="00617184"/>
    <w:rsid w:val="0061757F"/>
    <w:rsid w:val="00617B8F"/>
    <w:rsid w:val="00620616"/>
    <w:rsid w:val="006206DA"/>
    <w:rsid w:val="00620739"/>
    <w:rsid w:val="00620862"/>
    <w:rsid w:val="00620CB9"/>
    <w:rsid w:val="00620CE3"/>
    <w:rsid w:val="00620E5A"/>
    <w:rsid w:val="00620E62"/>
    <w:rsid w:val="00621C58"/>
    <w:rsid w:val="00622228"/>
    <w:rsid w:val="006224C4"/>
    <w:rsid w:val="006227BE"/>
    <w:rsid w:val="006228C5"/>
    <w:rsid w:val="00622BB1"/>
    <w:rsid w:val="00624865"/>
    <w:rsid w:val="00624980"/>
    <w:rsid w:val="00624A4E"/>
    <w:rsid w:val="00624E09"/>
    <w:rsid w:val="006250E9"/>
    <w:rsid w:val="006252B3"/>
    <w:rsid w:val="0062557F"/>
    <w:rsid w:val="006255F3"/>
    <w:rsid w:val="006258A8"/>
    <w:rsid w:val="00625AA3"/>
    <w:rsid w:val="00625B01"/>
    <w:rsid w:val="00625EEB"/>
    <w:rsid w:val="00625F11"/>
    <w:rsid w:val="0062609E"/>
    <w:rsid w:val="006260B7"/>
    <w:rsid w:val="00626103"/>
    <w:rsid w:val="00626B5E"/>
    <w:rsid w:val="00626B85"/>
    <w:rsid w:val="00626B98"/>
    <w:rsid w:val="00626BB0"/>
    <w:rsid w:val="00626D37"/>
    <w:rsid w:val="00626F03"/>
    <w:rsid w:val="006272FA"/>
    <w:rsid w:val="0062799E"/>
    <w:rsid w:val="00627A58"/>
    <w:rsid w:val="00627CAB"/>
    <w:rsid w:val="00630134"/>
    <w:rsid w:val="006301E0"/>
    <w:rsid w:val="006308E6"/>
    <w:rsid w:val="00630A13"/>
    <w:rsid w:val="00630AC2"/>
    <w:rsid w:val="00630E08"/>
    <w:rsid w:val="0063106C"/>
    <w:rsid w:val="006312F7"/>
    <w:rsid w:val="00631325"/>
    <w:rsid w:val="00631577"/>
    <w:rsid w:val="006322E5"/>
    <w:rsid w:val="00632381"/>
    <w:rsid w:val="00632394"/>
    <w:rsid w:val="006324AA"/>
    <w:rsid w:val="00632695"/>
    <w:rsid w:val="006328CB"/>
    <w:rsid w:val="00632A13"/>
    <w:rsid w:val="00632AAB"/>
    <w:rsid w:val="00632BA0"/>
    <w:rsid w:val="00632C80"/>
    <w:rsid w:val="00632CAE"/>
    <w:rsid w:val="00632F93"/>
    <w:rsid w:val="0063309F"/>
    <w:rsid w:val="006335BD"/>
    <w:rsid w:val="0063384F"/>
    <w:rsid w:val="00633929"/>
    <w:rsid w:val="00633B2F"/>
    <w:rsid w:val="00633D50"/>
    <w:rsid w:val="00634296"/>
    <w:rsid w:val="006344A3"/>
    <w:rsid w:val="0063497E"/>
    <w:rsid w:val="00634EF1"/>
    <w:rsid w:val="00635194"/>
    <w:rsid w:val="00635245"/>
    <w:rsid w:val="00635814"/>
    <w:rsid w:val="006359D7"/>
    <w:rsid w:val="00635A2E"/>
    <w:rsid w:val="00635DA2"/>
    <w:rsid w:val="006360E7"/>
    <w:rsid w:val="00636311"/>
    <w:rsid w:val="00636A3C"/>
    <w:rsid w:val="00636C8E"/>
    <w:rsid w:val="0063785D"/>
    <w:rsid w:val="006378E7"/>
    <w:rsid w:val="00637D35"/>
    <w:rsid w:val="0064008C"/>
    <w:rsid w:val="00640C31"/>
    <w:rsid w:val="00640D74"/>
    <w:rsid w:val="00641170"/>
    <w:rsid w:val="006412F2"/>
    <w:rsid w:val="00641A45"/>
    <w:rsid w:val="00641A8C"/>
    <w:rsid w:val="00641A91"/>
    <w:rsid w:val="00641BC8"/>
    <w:rsid w:val="00641BD7"/>
    <w:rsid w:val="00641DC7"/>
    <w:rsid w:val="00641FED"/>
    <w:rsid w:val="006423AD"/>
    <w:rsid w:val="00642516"/>
    <w:rsid w:val="00642581"/>
    <w:rsid w:val="006427D3"/>
    <w:rsid w:val="00642AB0"/>
    <w:rsid w:val="006431BB"/>
    <w:rsid w:val="00643226"/>
    <w:rsid w:val="006432B5"/>
    <w:rsid w:val="006438EF"/>
    <w:rsid w:val="0064393F"/>
    <w:rsid w:val="00643D05"/>
    <w:rsid w:val="00644430"/>
    <w:rsid w:val="006447CA"/>
    <w:rsid w:val="00644948"/>
    <w:rsid w:val="00644B49"/>
    <w:rsid w:val="00644D57"/>
    <w:rsid w:val="00644DED"/>
    <w:rsid w:val="00644F70"/>
    <w:rsid w:val="00645000"/>
    <w:rsid w:val="0064512B"/>
    <w:rsid w:val="0064559A"/>
    <w:rsid w:val="006456D8"/>
    <w:rsid w:val="006458CC"/>
    <w:rsid w:val="006459EF"/>
    <w:rsid w:val="00645B86"/>
    <w:rsid w:val="00645ECE"/>
    <w:rsid w:val="00646196"/>
    <w:rsid w:val="006461D2"/>
    <w:rsid w:val="00646369"/>
    <w:rsid w:val="006465F3"/>
    <w:rsid w:val="00646838"/>
    <w:rsid w:val="00646A13"/>
    <w:rsid w:val="00646ADB"/>
    <w:rsid w:val="00646B54"/>
    <w:rsid w:val="00646D57"/>
    <w:rsid w:val="006476FE"/>
    <w:rsid w:val="00647A3B"/>
    <w:rsid w:val="00647F23"/>
    <w:rsid w:val="0064FAA7"/>
    <w:rsid w:val="00650315"/>
    <w:rsid w:val="00650A1E"/>
    <w:rsid w:val="00650C67"/>
    <w:rsid w:val="00650F89"/>
    <w:rsid w:val="0065185B"/>
    <w:rsid w:val="006518D7"/>
    <w:rsid w:val="006520C0"/>
    <w:rsid w:val="00652187"/>
    <w:rsid w:val="006521DA"/>
    <w:rsid w:val="006522BE"/>
    <w:rsid w:val="00652508"/>
    <w:rsid w:val="00652A74"/>
    <w:rsid w:val="00652AE8"/>
    <w:rsid w:val="00652C11"/>
    <w:rsid w:val="00652DE1"/>
    <w:rsid w:val="00652EAE"/>
    <w:rsid w:val="006530BA"/>
    <w:rsid w:val="00653239"/>
    <w:rsid w:val="006533A2"/>
    <w:rsid w:val="006534BF"/>
    <w:rsid w:val="00653570"/>
    <w:rsid w:val="006537D7"/>
    <w:rsid w:val="00653984"/>
    <w:rsid w:val="006540A6"/>
    <w:rsid w:val="0065444A"/>
    <w:rsid w:val="00654527"/>
    <w:rsid w:val="00654553"/>
    <w:rsid w:val="006546F3"/>
    <w:rsid w:val="006547EB"/>
    <w:rsid w:val="00654CC8"/>
    <w:rsid w:val="00654E58"/>
    <w:rsid w:val="00654F68"/>
    <w:rsid w:val="00655365"/>
    <w:rsid w:val="0065549C"/>
    <w:rsid w:val="0065556E"/>
    <w:rsid w:val="00655589"/>
    <w:rsid w:val="0065591F"/>
    <w:rsid w:val="00655965"/>
    <w:rsid w:val="00655BF7"/>
    <w:rsid w:val="00655CF9"/>
    <w:rsid w:val="00655D45"/>
    <w:rsid w:val="00655E7A"/>
    <w:rsid w:val="00655EC5"/>
    <w:rsid w:val="00656220"/>
    <w:rsid w:val="0065634E"/>
    <w:rsid w:val="006563B8"/>
    <w:rsid w:val="00656C0E"/>
    <w:rsid w:val="00656E1F"/>
    <w:rsid w:val="00656EBB"/>
    <w:rsid w:val="00656F25"/>
    <w:rsid w:val="00656F92"/>
    <w:rsid w:val="006570BA"/>
    <w:rsid w:val="0065714C"/>
    <w:rsid w:val="0065722A"/>
    <w:rsid w:val="006576A0"/>
    <w:rsid w:val="006576C7"/>
    <w:rsid w:val="00657C5B"/>
    <w:rsid w:val="00657FC8"/>
    <w:rsid w:val="0066000F"/>
    <w:rsid w:val="0066089E"/>
    <w:rsid w:val="006608A6"/>
    <w:rsid w:val="00660A74"/>
    <w:rsid w:val="00660D14"/>
    <w:rsid w:val="00661075"/>
    <w:rsid w:val="00661371"/>
    <w:rsid w:val="006613A3"/>
    <w:rsid w:val="006617B3"/>
    <w:rsid w:val="006617D7"/>
    <w:rsid w:val="0066180D"/>
    <w:rsid w:val="00661AB8"/>
    <w:rsid w:val="00661AF3"/>
    <w:rsid w:val="00661BC0"/>
    <w:rsid w:val="00661DBB"/>
    <w:rsid w:val="00662144"/>
    <w:rsid w:val="006621DB"/>
    <w:rsid w:val="0066226C"/>
    <w:rsid w:val="00662309"/>
    <w:rsid w:val="00662A77"/>
    <w:rsid w:val="00662C03"/>
    <w:rsid w:val="00662C8B"/>
    <w:rsid w:val="00662E5F"/>
    <w:rsid w:val="00662F5E"/>
    <w:rsid w:val="006630B1"/>
    <w:rsid w:val="006635B2"/>
    <w:rsid w:val="00663759"/>
    <w:rsid w:val="0066375D"/>
    <w:rsid w:val="00663BF7"/>
    <w:rsid w:val="00664429"/>
    <w:rsid w:val="00664434"/>
    <w:rsid w:val="00664526"/>
    <w:rsid w:val="00664561"/>
    <w:rsid w:val="006645F2"/>
    <w:rsid w:val="006648C6"/>
    <w:rsid w:val="00664971"/>
    <w:rsid w:val="00664EC3"/>
    <w:rsid w:val="0066561F"/>
    <w:rsid w:val="0066565C"/>
    <w:rsid w:val="006656AE"/>
    <w:rsid w:val="00665C6D"/>
    <w:rsid w:val="00665F6F"/>
    <w:rsid w:val="006668B0"/>
    <w:rsid w:val="00666A58"/>
    <w:rsid w:val="00666BE5"/>
    <w:rsid w:val="00666F59"/>
    <w:rsid w:val="00667182"/>
    <w:rsid w:val="00667DD8"/>
    <w:rsid w:val="00667E60"/>
    <w:rsid w:val="00670244"/>
    <w:rsid w:val="006702BE"/>
    <w:rsid w:val="00670650"/>
    <w:rsid w:val="00670676"/>
    <w:rsid w:val="0067099C"/>
    <w:rsid w:val="006709A1"/>
    <w:rsid w:val="00670A71"/>
    <w:rsid w:val="00670A99"/>
    <w:rsid w:val="00671012"/>
    <w:rsid w:val="00671249"/>
    <w:rsid w:val="006712C0"/>
    <w:rsid w:val="00671374"/>
    <w:rsid w:val="0067141C"/>
    <w:rsid w:val="0067167E"/>
    <w:rsid w:val="006716D4"/>
    <w:rsid w:val="00671DA5"/>
    <w:rsid w:val="00672011"/>
    <w:rsid w:val="006720C7"/>
    <w:rsid w:val="00672519"/>
    <w:rsid w:val="00672A90"/>
    <w:rsid w:val="00672C9D"/>
    <w:rsid w:val="00672F15"/>
    <w:rsid w:val="0067321A"/>
    <w:rsid w:val="0067324C"/>
    <w:rsid w:val="00673ADC"/>
    <w:rsid w:val="00673C28"/>
    <w:rsid w:val="00673EAF"/>
    <w:rsid w:val="006743CF"/>
    <w:rsid w:val="00674417"/>
    <w:rsid w:val="006744AC"/>
    <w:rsid w:val="00674705"/>
    <w:rsid w:val="00674916"/>
    <w:rsid w:val="006749AE"/>
    <w:rsid w:val="00674A5F"/>
    <w:rsid w:val="00674C7D"/>
    <w:rsid w:val="006751F5"/>
    <w:rsid w:val="006755ED"/>
    <w:rsid w:val="00675629"/>
    <w:rsid w:val="006758B7"/>
    <w:rsid w:val="00675900"/>
    <w:rsid w:val="00675AA0"/>
    <w:rsid w:val="00675DCF"/>
    <w:rsid w:val="00675DF5"/>
    <w:rsid w:val="00676001"/>
    <w:rsid w:val="006760A8"/>
    <w:rsid w:val="006769E6"/>
    <w:rsid w:val="00676B29"/>
    <w:rsid w:val="00676B8E"/>
    <w:rsid w:val="00676CCB"/>
    <w:rsid w:val="00676D64"/>
    <w:rsid w:val="00676EBF"/>
    <w:rsid w:val="00676EF1"/>
    <w:rsid w:val="006771D6"/>
    <w:rsid w:val="006772E6"/>
    <w:rsid w:val="0067763E"/>
    <w:rsid w:val="006779F4"/>
    <w:rsid w:val="00677D7B"/>
    <w:rsid w:val="00677FE3"/>
    <w:rsid w:val="0068035A"/>
    <w:rsid w:val="00680B40"/>
    <w:rsid w:val="00680CFD"/>
    <w:rsid w:val="0068156C"/>
    <w:rsid w:val="00681824"/>
    <w:rsid w:val="00681906"/>
    <w:rsid w:val="00681C34"/>
    <w:rsid w:val="00681DFE"/>
    <w:rsid w:val="00681E73"/>
    <w:rsid w:val="00681EC9"/>
    <w:rsid w:val="006822DC"/>
    <w:rsid w:val="006822FA"/>
    <w:rsid w:val="0068288C"/>
    <w:rsid w:val="00682AD3"/>
    <w:rsid w:val="00682BE2"/>
    <w:rsid w:val="00682C6B"/>
    <w:rsid w:val="00682D03"/>
    <w:rsid w:val="00682D0D"/>
    <w:rsid w:val="006830A7"/>
    <w:rsid w:val="006837F7"/>
    <w:rsid w:val="00683A60"/>
    <w:rsid w:val="00683C3E"/>
    <w:rsid w:val="00683D72"/>
    <w:rsid w:val="00683E1A"/>
    <w:rsid w:val="00683E6A"/>
    <w:rsid w:val="00683F36"/>
    <w:rsid w:val="0068432C"/>
    <w:rsid w:val="00684556"/>
    <w:rsid w:val="006849B7"/>
    <w:rsid w:val="006849D4"/>
    <w:rsid w:val="00684B5F"/>
    <w:rsid w:val="00684BCA"/>
    <w:rsid w:val="00684C25"/>
    <w:rsid w:val="00684F47"/>
    <w:rsid w:val="006852E0"/>
    <w:rsid w:val="0068544E"/>
    <w:rsid w:val="00685589"/>
    <w:rsid w:val="00685902"/>
    <w:rsid w:val="00685B98"/>
    <w:rsid w:val="0068633B"/>
    <w:rsid w:val="006863F3"/>
    <w:rsid w:val="0068670D"/>
    <w:rsid w:val="006867D5"/>
    <w:rsid w:val="0068682C"/>
    <w:rsid w:val="0068699C"/>
    <w:rsid w:val="00686CF7"/>
    <w:rsid w:val="00686E41"/>
    <w:rsid w:val="00687198"/>
    <w:rsid w:val="0068725E"/>
    <w:rsid w:val="006874E8"/>
    <w:rsid w:val="006879EB"/>
    <w:rsid w:val="00687D17"/>
    <w:rsid w:val="00690535"/>
    <w:rsid w:val="00690D3C"/>
    <w:rsid w:val="00691443"/>
    <w:rsid w:val="0069174F"/>
    <w:rsid w:val="00691AC5"/>
    <w:rsid w:val="00691B78"/>
    <w:rsid w:val="00691BC8"/>
    <w:rsid w:val="00691E64"/>
    <w:rsid w:val="006921D7"/>
    <w:rsid w:val="006927A5"/>
    <w:rsid w:val="00692844"/>
    <w:rsid w:val="00692986"/>
    <w:rsid w:val="00693025"/>
    <w:rsid w:val="00693074"/>
    <w:rsid w:val="006932BB"/>
    <w:rsid w:val="00693366"/>
    <w:rsid w:val="006936D8"/>
    <w:rsid w:val="00693727"/>
    <w:rsid w:val="006938AA"/>
    <w:rsid w:val="006938BD"/>
    <w:rsid w:val="00693951"/>
    <w:rsid w:val="00694051"/>
    <w:rsid w:val="0069414C"/>
    <w:rsid w:val="006941C3"/>
    <w:rsid w:val="00694442"/>
    <w:rsid w:val="0069456D"/>
    <w:rsid w:val="0069474B"/>
    <w:rsid w:val="0069475D"/>
    <w:rsid w:val="00695200"/>
    <w:rsid w:val="00695505"/>
    <w:rsid w:val="0069553F"/>
    <w:rsid w:val="0069578D"/>
    <w:rsid w:val="00695B0F"/>
    <w:rsid w:val="00695B9A"/>
    <w:rsid w:val="00695D69"/>
    <w:rsid w:val="00695D9F"/>
    <w:rsid w:val="0069617D"/>
    <w:rsid w:val="00696226"/>
    <w:rsid w:val="006962AD"/>
    <w:rsid w:val="0069637E"/>
    <w:rsid w:val="0069674E"/>
    <w:rsid w:val="006967E7"/>
    <w:rsid w:val="00696B7E"/>
    <w:rsid w:val="00696C23"/>
    <w:rsid w:val="00696C76"/>
    <w:rsid w:val="00697061"/>
    <w:rsid w:val="006975C2"/>
    <w:rsid w:val="006975F7"/>
    <w:rsid w:val="006977B0"/>
    <w:rsid w:val="00697966"/>
    <w:rsid w:val="00697A0B"/>
    <w:rsid w:val="006A00C7"/>
    <w:rsid w:val="006A0322"/>
    <w:rsid w:val="006A0A33"/>
    <w:rsid w:val="006A0E3A"/>
    <w:rsid w:val="006A0E3C"/>
    <w:rsid w:val="006A1504"/>
    <w:rsid w:val="006A15F9"/>
    <w:rsid w:val="006A184E"/>
    <w:rsid w:val="006A1DF4"/>
    <w:rsid w:val="006A1F74"/>
    <w:rsid w:val="006A1F93"/>
    <w:rsid w:val="006A1FF2"/>
    <w:rsid w:val="006A2091"/>
    <w:rsid w:val="006A20B5"/>
    <w:rsid w:val="006A23E9"/>
    <w:rsid w:val="006A2914"/>
    <w:rsid w:val="006A2BE2"/>
    <w:rsid w:val="006A2EFE"/>
    <w:rsid w:val="006A31E2"/>
    <w:rsid w:val="006A3503"/>
    <w:rsid w:val="006A37A1"/>
    <w:rsid w:val="006A38CD"/>
    <w:rsid w:val="006A399D"/>
    <w:rsid w:val="006A3A2B"/>
    <w:rsid w:val="006A3B5D"/>
    <w:rsid w:val="006A3B7E"/>
    <w:rsid w:val="006A3FA7"/>
    <w:rsid w:val="006A4046"/>
    <w:rsid w:val="006A42C2"/>
    <w:rsid w:val="006A47A8"/>
    <w:rsid w:val="006A4CE0"/>
    <w:rsid w:val="006A4DF9"/>
    <w:rsid w:val="006A4E4E"/>
    <w:rsid w:val="006A5062"/>
    <w:rsid w:val="006A50D8"/>
    <w:rsid w:val="006A5216"/>
    <w:rsid w:val="006A52E2"/>
    <w:rsid w:val="006A58BB"/>
    <w:rsid w:val="006A59AC"/>
    <w:rsid w:val="006A5E81"/>
    <w:rsid w:val="006A6399"/>
    <w:rsid w:val="006A66CE"/>
    <w:rsid w:val="006A66D4"/>
    <w:rsid w:val="006A6BF1"/>
    <w:rsid w:val="006A6E70"/>
    <w:rsid w:val="006A71EF"/>
    <w:rsid w:val="006A7414"/>
    <w:rsid w:val="006A7595"/>
    <w:rsid w:val="006A770C"/>
    <w:rsid w:val="006A79B4"/>
    <w:rsid w:val="006A7AAD"/>
    <w:rsid w:val="006A7EDD"/>
    <w:rsid w:val="006B030E"/>
    <w:rsid w:val="006B070C"/>
    <w:rsid w:val="006B0BFE"/>
    <w:rsid w:val="006B0DF4"/>
    <w:rsid w:val="006B1145"/>
    <w:rsid w:val="006B13DA"/>
    <w:rsid w:val="006B1559"/>
    <w:rsid w:val="006B18FF"/>
    <w:rsid w:val="006B1B0E"/>
    <w:rsid w:val="006B2106"/>
    <w:rsid w:val="006B231E"/>
    <w:rsid w:val="006B235E"/>
    <w:rsid w:val="006B2CAE"/>
    <w:rsid w:val="006B3032"/>
    <w:rsid w:val="006B32B2"/>
    <w:rsid w:val="006B344C"/>
    <w:rsid w:val="006B3501"/>
    <w:rsid w:val="006B396B"/>
    <w:rsid w:val="006B3E85"/>
    <w:rsid w:val="006B4116"/>
    <w:rsid w:val="006B4871"/>
    <w:rsid w:val="006B4B4A"/>
    <w:rsid w:val="006B4DA5"/>
    <w:rsid w:val="006B5307"/>
    <w:rsid w:val="006B531F"/>
    <w:rsid w:val="006B5B8D"/>
    <w:rsid w:val="006B60D3"/>
    <w:rsid w:val="006B63C7"/>
    <w:rsid w:val="006B6657"/>
    <w:rsid w:val="006B693C"/>
    <w:rsid w:val="006B6D15"/>
    <w:rsid w:val="006B7429"/>
    <w:rsid w:val="006B75C6"/>
    <w:rsid w:val="006B7670"/>
    <w:rsid w:val="006B7866"/>
    <w:rsid w:val="006B7B46"/>
    <w:rsid w:val="006C04DD"/>
    <w:rsid w:val="006C0878"/>
    <w:rsid w:val="006C090E"/>
    <w:rsid w:val="006C0E0B"/>
    <w:rsid w:val="006C1116"/>
    <w:rsid w:val="006C126C"/>
    <w:rsid w:val="006C14CB"/>
    <w:rsid w:val="006C16AE"/>
    <w:rsid w:val="006C17C7"/>
    <w:rsid w:val="006C2555"/>
    <w:rsid w:val="006C2B5A"/>
    <w:rsid w:val="006C2CC7"/>
    <w:rsid w:val="006C2CFC"/>
    <w:rsid w:val="006C354C"/>
    <w:rsid w:val="006C3B76"/>
    <w:rsid w:val="006C3DE3"/>
    <w:rsid w:val="006C3E19"/>
    <w:rsid w:val="006C3EB7"/>
    <w:rsid w:val="006C4072"/>
    <w:rsid w:val="006C41AB"/>
    <w:rsid w:val="006C430F"/>
    <w:rsid w:val="006C43F9"/>
    <w:rsid w:val="006C4572"/>
    <w:rsid w:val="006C48F4"/>
    <w:rsid w:val="006C4A0B"/>
    <w:rsid w:val="006C4D21"/>
    <w:rsid w:val="006C4F2B"/>
    <w:rsid w:val="006C51A2"/>
    <w:rsid w:val="006C53C6"/>
    <w:rsid w:val="006C5644"/>
    <w:rsid w:val="006C5DA4"/>
    <w:rsid w:val="006C5DBB"/>
    <w:rsid w:val="006C611E"/>
    <w:rsid w:val="006C63D9"/>
    <w:rsid w:val="006C6617"/>
    <w:rsid w:val="006C663A"/>
    <w:rsid w:val="006C66CC"/>
    <w:rsid w:val="006C67B8"/>
    <w:rsid w:val="006C67FC"/>
    <w:rsid w:val="006C69B5"/>
    <w:rsid w:val="006C6BAB"/>
    <w:rsid w:val="006C6BF3"/>
    <w:rsid w:val="006C6C4A"/>
    <w:rsid w:val="006C6D2C"/>
    <w:rsid w:val="006C73F1"/>
    <w:rsid w:val="006C7B03"/>
    <w:rsid w:val="006CCC3F"/>
    <w:rsid w:val="006D0254"/>
    <w:rsid w:val="006D02BC"/>
    <w:rsid w:val="006D0505"/>
    <w:rsid w:val="006D08A9"/>
    <w:rsid w:val="006D0982"/>
    <w:rsid w:val="006D0EC2"/>
    <w:rsid w:val="006D152D"/>
    <w:rsid w:val="006D187A"/>
    <w:rsid w:val="006D1CA3"/>
    <w:rsid w:val="006D1CDB"/>
    <w:rsid w:val="006D1CEF"/>
    <w:rsid w:val="006D1EE4"/>
    <w:rsid w:val="006D1FAD"/>
    <w:rsid w:val="006D2375"/>
    <w:rsid w:val="006D24A7"/>
    <w:rsid w:val="006D28A2"/>
    <w:rsid w:val="006D29DD"/>
    <w:rsid w:val="006D2CA3"/>
    <w:rsid w:val="006D2F01"/>
    <w:rsid w:val="006D3074"/>
    <w:rsid w:val="006D3397"/>
    <w:rsid w:val="006D34E7"/>
    <w:rsid w:val="006D45B8"/>
    <w:rsid w:val="006D468E"/>
    <w:rsid w:val="006D47B1"/>
    <w:rsid w:val="006D48AB"/>
    <w:rsid w:val="006D4A8A"/>
    <w:rsid w:val="006D4C72"/>
    <w:rsid w:val="006D4E4C"/>
    <w:rsid w:val="006D5585"/>
    <w:rsid w:val="006D5B57"/>
    <w:rsid w:val="006D5F76"/>
    <w:rsid w:val="006D60F0"/>
    <w:rsid w:val="006D6259"/>
    <w:rsid w:val="006D659E"/>
    <w:rsid w:val="006D6BB8"/>
    <w:rsid w:val="006D6D96"/>
    <w:rsid w:val="006D6E26"/>
    <w:rsid w:val="006D6FA7"/>
    <w:rsid w:val="006D7021"/>
    <w:rsid w:val="006D71E0"/>
    <w:rsid w:val="006D7211"/>
    <w:rsid w:val="006D73BE"/>
    <w:rsid w:val="006D749F"/>
    <w:rsid w:val="006D75C8"/>
    <w:rsid w:val="006D79D0"/>
    <w:rsid w:val="006D7FBE"/>
    <w:rsid w:val="006E0105"/>
    <w:rsid w:val="006E014E"/>
    <w:rsid w:val="006E03BB"/>
    <w:rsid w:val="006E09A2"/>
    <w:rsid w:val="006E0A8D"/>
    <w:rsid w:val="006E0E00"/>
    <w:rsid w:val="006E0E33"/>
    <w:rsid w:val="006E0E49"/>
    <w:rsid w:val="006E1332"/>
    <w:rsid w:val="006E150B"/>
    <w:rsid w:val="006E1C08"/>
    <w:rsid w:val="006E22AB"/>
    <w:rsid w:val="006E22CE"/>
    <w:rsid w:val="006E234F"/>
    <w:rsid w:val="006E2620"/>
    <w:rsid w:val="006E2A88"/>
    <w:rsid w:val="006E2CC5"/>
    <w:rsid w:val="006E3C42"/>
    <w:rsid w:val="006E3C44"/>
    <w:rsid w:val="006E3FBA"/>
    <w:rsid w:val="006E4074"/>
    <w:rsid w:val="006E46E6"/>
    <w:rsid w:val="006E5034"/>
    <w:rsid w:val="006E557C"/>
    <w:rsid w:val="006E56C7"/>
    <w:rsid w:val="006E5777"/>
    <w:rsid w:val="006E59FA"/>
    <w:rsid w:val="006E5AB6"/>
    <w:rsid w:val="006E5E05"/>
    <w:rsid w:val="006E613F"/>
    <w:rsid w:val="006E6DA7"/>
    <w:rsid w:val="006E7188"/>
    <w:rsid w:val="006E7401"/>
    <w:rsid w:val="006E744A"/>
    <w:rsid w:val="006E76D0"/>
    <w:rsid w:val="006E78FE"/>
    <w:rsid w:val="006E7CF4"/>
    <w:rsid w:val="006E7FD4"/>
    <w:rsid w:val="006F0334"/>
    <w:rsid w:val="006F0385"/>
    <w:rsid w:val="006F080B"/>
    <w:rsid w:val="006F0A99"/>
    <w:rsid w:val="006F0D46"/>
    <w:rsid w:val="006F1424"/>
    <w:rsid w:val="006F1A54"/>
    <w:rsid w:val="006F1A70"/>
    <w:rsid w:val="006F1BB3"/>
    <w:rsid w:val="006F1C35"/>
    <w:rsid w:val="006F1EEB"/>
    <w:rsid w:val="006F23DD"/>
    <w:rsid w:val="006F252A"/>
    <w:rsid w:val="006F270B"/>
    <w:rsid w:val="006F28ED"/>
    <w:rsid w:val="006F2984"/>
    <w:rsid w:val="006F2A8E"/>
    <w:rsid w:val="006F327F"/>
    <w:rsid w:val="006F3414"/>
    <w:rsid w:val="006F359A"/>
    <w:rsid w:val="006F38D3"/>
    <w:rsid w:val="006F3A25"/>
    <w:rsid w:val="006F3DF2"/>
    <w:rsid w:val="006F3F57"/>
    <w:rsid w:val="006F3FF7"/>
    <w:rsid w:val="006F41C5"/>
    <w:rsid w:val="006F4517"/>
    <w:rsid w:val="006F4A2E"/>
    <w:rsid w:val="006F4C56"/>
    <w:rsid w:val="006F4E47"/>
    <w:rsid w:val="006F4F82"/>
    <w:rsid w:val="006F5158"/>
    <w:rsid w:val="006F5249"/>
    <w:rsid w:val="006F52B4"/>
    <w:rsid w:val="006F5A7F"/>
    <w:rsid w:val="006F5F70"/>
    <w:rsid w:val="006F60E7"/>
    <w:rsid w:val="006F6232"/>
    <w:rsid w:val="006F6762"/>
    <w:rsid w:val="006F69C7"/>
    <w:rsid w:val="006F6B05"/>
    <w:rsid w:val="006F6B95"/>
    <w:rsid w:val="006F6F26"/>
    <w:rsid w:val="006F71D3"/>
    <w:rsid w:val="006F736C"/>
    <w:rsid w:val="006F762B"/>
    <w:rsid w:val="006F7A48"/>
    <w:rsid w:val="006F7DFE"/>
    <w:rsid w:val="006F7F8D"/>
    <w:rsid w:val="006F7FEF"/>
    <w:rsid w:val="00700020"/>
    <w:rsid w:val="007005AB"/>
    <w:rsid w:val="007006AF"/>
    <w:rsid w:val="007007C1"/>
    <w:rsid w:val="00700950"/>
    <w:rsid w:val="00700AE7"/>
    <w:rsid w:val="00700BFB"/>
    <w:rsid w:val="00701035"/>
    <w:rsid w:val="00701110"/>
    <w:rsid w:val="00701136"/>
    <w:rsid w:val="007017E6"/>
    <w:rsid w:val="00701C7B"/>
    <w:rsid w:val="00701DB3"/>
    <w:rsid w:val="00701DD9"/>
    <w:rsid w:val="007027E3"/>
    <w:rsid w:val="00702E48"/>
    <w:rsid w:val="00702FAE"/>
    <w:rsid w:val="00702FF4"/>
    <w:rsid w:val="0070319A"/>
    <w:rsid w:val="007032A5"/>
    <w:rsid w:val="00703314"/>
    <w:rsid w:val="00703573"/>
    <w:rsid w:val="0070361D"/>
    <w:rsid w:val="007036F5"/>
    <w:rsid w:val="00703B47"/>
    <w:rsid w:val="00703C0F"/>
    <w:rsid w:val="00703CB4"/>
    <w:rsid w:val="00704264"/>
    <w:rsid w:val="007043E3"/>
    <w:rsid w:val="007046F6"/>
    <w:rsid w:val="007047FB"/>
    <w:rsid w:val="007049E3"/>
    <w:rsid w:val="00704DAF"/>
    <w:rsid w:val="00705050"/>
    <w:rsid w:val="0070511D"/>
    <w:rsid w:val="00705137"/>
    <w:rsid w:val="007053AC"/>
    <w:rsid w:val="007053E8"/>
    <w:rsid w:val="007058D1"/>
    <w:rsid w:val="00705A5A"/>
    <w:rsid w:val="00705B0C"/>
    <w:rsid w:val="007060BB"/>
    <w:rsid w:val="00706D56"/>
    <w:rsid w:val="00706E04"/>
    <w:rsid w:val="00706FFB"/>
    <w:rsid w:val="00707328"/>
    <w:rsid w:val="0070759A"/>
    <w:rsid w:val="007075E1"/>
    <w:rsid w:val="0070771B"/>
    <w:rsid w:val="007079F5"/>
    <w:rsid w:val="00707C18"/>
    <w:rsid w:val="00707C28"/>
    <w:rsid w:val="007103A9"/>
    <w:rsid w:val="00710BBD"/>
    <w:rsid w:val="00710DC2"/>
    <w:rsid w:val="00710EE1"/>
    <w:rsid w:val="0071117E"/>
    <w:rsid w:val="007111AB"/>
    <w:rsid w:val="00712B18"/>
    <w:rsid w:val="00712C1E"/>
    <w:rsid w:val="00712E15"/>
    <w:rsid w:val="00712ED8"/>
    <w:rsid w:val="0071313B"/>
    <w:rsid w:val="00713159"/>
    <w:rsid w:val="0071355D"/>
    <w:rsid w:val="00713832"/>
    <w:rsid w:val="00714395"/>
    <w:rsid w:val="007143B5"/>
    <w:rsid w:val="00714568"/>
    <w:rsid w:val="007148AE"/>
    <w:rsid w:val="00714992"/>
    <w:rsid w:val="00714EBF"/>
    <w:rsid w:val="00714ECD"/>
    <w:rsid w:val="00715172"/>
    <w:rsid w:val="0071557A"/>
    <w:rsid w:val="007155FB"/>
    <w:rsid w:val="007157C9"/>
    <w:rsid w:val="00715C5F"/>
    <w:rsid w:val="00715E21"/>
    <w:rsid w:val="00715EAB"/>
    <w:rsid w:val="007160B2"/>
    <w:rsid w:val="0071633A"/>
    <w:rsid w:val="00716839"/>
    <w:rsid w:val="007168DA"/>
    <w:rsid w:val="007169C6"/>
    <w:rsid w:val="00716AD2"/>
    <w:rsid w:val="00716B1A"/>
    <w:rsid w:val="007177A7"/>
    <w:rsid w:val="00717805"/>
    <w:rsid w:val="00717AF1"/>
    <w:rsid w:val="00717D9E"/>
    <w:rsid w:val="00717E6C"/>
    <w:rsid w:val="00720128"/>
    <w:rsid w:val="0072017E"/>
    <w:rsid w:val="007203CA"/>
    <w:rsid w:val="007203EB"/>
    <w:rsid w:val="007206DE"/>
    <w:rsid w:val="00720808"/>
    <w:rsid w:val="00720AC9"/>
    <w:rsid w:val="00720FFE"/>
    <w:rsid w:val="00721254"/>
    <w:rsid w:val="00721578"/>
    <w:rsid w:val="007219DA"/>
    <w:rsid w:val="007220C7"/>
    <w:rsid w:val="0072216B"/>
    <w:rsid w:val="007226F5"/>
    <w:rsid w:val="0072277A"/>
    <w:rsid w:val="0072292A"/>
    <w:rsid w:val="00722A99"/>
    <w:rsid w:val="00722AEB"/>
    <w:rsid w:val="00722BE8"/>
    <w:rsid w:val="00722CEF"/>
    <w:rsid w:val="00722D68"/>
    <w:rsid w:val="00722E1F"/>
    <w:rsid w:val="007233F7"/>
    <w:rsid w:val="007235E0"/>
    <w:rsid w:val="00723970"/>
    <w:rsid w:val="00723B2C"/>
    <w:rsid w:val="00723F91"/>
    <w:rsid w:val="00723FB8"/>
    <w:rsid w:val="007241A7"/>
    <w:rsid w:val="0072427D"/>
    <w:rsid w:val="00724803"/>
    <w:rsid w:val="00724A07"/>
    <w:rsid w:val="00724A47"/>
    <w:rsid w:val="00724CCA"/>
    <w:rsid w:val="00724E3A"/>
    <w:rsid w:val="00724ED0"/>
    <w:rsid w:val="00724F59"/>
    <w:rsid w:val="00724F92"/>
    <w:rsid w:val="007250ED"/>
    <w:rsid w:val="007252DB"/>
    <w:rsid w:val="00725387"/>
    <w:rsid w:val="007253D6"/>
    <w:rsid w:val="00725563"/>
    <w:rsid w:val="0072578A"/>
    <w:rsid w:val="0072597A"/>
    <w:rsid w:val="00725E81"/>
    <w:rsid w:val="00726130"/>
    <w:rsid w:val="007263A3"/>
    <w:rsid w:val="007263B1"/>
    <w:rsid w:val="00726776"/>
    <w:rsid w:val="007269AF"/>
    <w:rsid w:val="00727220"/>
    <w:rsid w:val="00727482"/>
    <w:rsid w:val="00727668"/>
    <w:rsid w:val="00727A09"/>
    <w:rsid w:val="00727AA4"/>
    <w:rsid w:val="00727DAC"/>
    <w:rsid w:val="00730395"/>
    <w:rsid w:val="00730591"/>
    <w:rsid w:val="007305C7"/>
    <w:rsid w:val="00730C23"/>
    <w:rsid w:val="00730E18"/>
    <w:rsid w:val="00731478"/>
    <w:rsid w:val="00731C26"/>
    <w:rsid w:val="00731DA2"/>
    <w:rsid w:val="00732501"/>
    <w:rsid w:val="00732672"/>
    <w:rsid w:val="007329AA"/>
    <w:rsid w:val="00732BBC"/>
    <w:rsid w:val="00732C13"/>
    <w:rsid w:val="00732C8E"/>
    <w:rsid w:val="00732CD6"/>
    <w:rsid w:val="00732FBF"/>
    <w:rsid w:val="00733325"/>
    <w:rsid w:val="0073349B"/>
    <w:rsid w:val="0073355B"/>
    <w:rsid w:val="007337B3"/>
    <w:rsid w:val="007337D4"/>
    <w:rsid w:val="00733A8C"/>
    <w:rsid w:val="00733B0A"/>
    <w:rsid w:val="00734D1A"/>
    <w:rsid w:val="00735083"/>
    <w:rsid w:val="0073509A"/>
    <w:rsid w:val="00735135"/>
    <w:rsid w:val="0073547A"/>
    <w:rsid w:val="00735843"/>
    <w:rsid w:val="00736354"/>
    <w:rsid w:val="00736591"/>
    <w:rsid w:val="00736897"/>
    <w:rsid w:val="00736B98"/>
    <w:rsid w:val="00737157"/>
    <w:rsid w:val="0073728A"/>
    <w:rsid w:val="00737422"/>
    <w:rsid w:val="007375D9"/>
    <w:rsid w:val="0073792C"/>
    <w:rsid w:val="00737A0A"/>
    <w:rsid w:val="00737B8A"/>
    <w:rsid w:val="00737D26"/>
    <w:rsid w:val="00737D54"/>
    <w:rsid w:val="0074035D"/>
    <w:rsid w:val="007404E1"/>
    <w:rsid w:val="007405E7"/>
    <w:rsid w:val="00740BBF"/>
    <w:rsid w:val="00740C1B"/>
    <w:rsid w:val="00740FF5"/>
    <w:rsid w:val="0074118C"/>
    <w:rsid w:val="007412B4"/>
    <w:rsid w:val="007412BA"/>
    <w:rsid w:val="00741920"/>
    <w:rsid w:val="00741DDE"/>
    <w:rsid w:val="0074257A"/>
    <w:rsid w:val="00742A39"/>
    <w:rsid w:val="00742F5E"/>
    <w:rsid w:val="00743187"/>
    <w:rsid w:val="00743966"/>
    <w:rsid w:val="007441CB"/>
    <w:rsid w:val="00744324"/>
    <w:rsid w:val="00744382"/>
    <w:rsid w:val="007448F1"/>
    <w:rsid w:val="00744CEF"/>
    <w:rsid w:val="00745108"/>
    <w:rsid w:val="007453D2"/>
    <w:rsid w:val="00745A07"/>
    <w:rsid w:val="00745E51"/>
    <w:rsid w:val="0074607B"/>
    <w:rsid w:val="007463B6"/>
    <w:rsid w:val="0074712B"/>
    <w:rsid w:val="00747434"/>
    <w:rsid w:val="00747860"/>
    <w:rsid w:val="0074788B"/>
    <w:rsid w:val="00747917"/>
    <w:rsid w:val="00747BF1"/>
    <w:rsid w:val="00750312"/>
    <w:rsid w:val="00750605"/>
    <w:rsid w:val="007510A0"/>
    <w:rsid w:val="0075112F"/>
    <w:rsid w:val="0075137C"/>
    <w:rsid w:val="00751617"/>
    <w:rsid w:val="00752178"/>
    <w:rsid w:val="0075224D"/>
    <w:rsid w:val="007523E2"/>
    <w:rsid w:val="007525EB"/>
    <w:rsid w:val="007527A9"/>
    <w:rsid w:val="0075280F"/>
    <w:rsid w:val="00752BC7"/>
    <w:rsid w:val="00753411"/>
    <w:rsid w:val="0075355D"/>
    <w:rsid w:val="007535F8"/>
    <w:rsid w:val="0075362C"/>
    <w:rsid w:val="00753C0C"/>
    <w:rsid w:val="00753ECD"/>
    <w:rsid w:val="00753F4B"/>
    <w:rsid w:val="0075418A"/>
    <w:rsid w:val="007545A1"/>
    <w:rsid w:val="00754602"/>
    <w:rsid w:val="00754859"/>
    <w:rsid w:val="00754885"/>
    <w:rsid w:val="00754E0E"/>
    <w:rsid w:val="00755341"/>
    <w:rsid w:val="007556CE"/>
    <w:rsid w:val="007558D3"/>
    <w:rsid w:val="00756243"/>
    <w:rsid w:val="00756F92"/>
    <w:rsid w:val="00757057"/>
    <w:rsid w:val="00757385"/>
    <w:rsid w:val="007573E1"/>
    <w:rsid w:val="007575C1"/>
    <w:rsid w:val="00757836"/>
    <w:rsid w:val="007578F4"/>
    <w:rsid w:val="00757AD7"/>
    <w:rsid w:val="00757BDC"/>
    <w:rsid w:val="00757D0C"/>
    <w:rsid w:val="00757E4F"/>
    <w:rsid w:val="00760364"/>
    <w:rsid w:val="00760755"/>
    <w:rsid w:val="00760CCC"/>
    <w:rsid w:val="00760D46"/>
    <w:rsid w:val="00760E24"/>
    <w:rsid w:val="00760E98"/>
    <w:rsid w:val="0076105B"/>
    <w:rsid w:val="007616A8"/>
    <w:rsid w:val="007616B1"/>
    <w:rsid w:val="00761751"/>
    <w:rsid w:val="00761845"/>
    <w:rsid w:val="0076190B"/>
    <w:rsid w:val="007619A1"/>
    <w:rsid w:val="00761B69"/>
    <w:rsid w:val="00761CA1"/>
    <w:rsid w:val="00761F58"/>
    <w:rsid w:val="00761FD8"/>
    <w:rsid w:val="00762557"/>
    <w:rsid w:val="0076260D"/>
    <w:rsid w:val="00762E5C"/>
    <w:rsid w:val="00762F6A"/>
    <w:rsid w:val="007634C5"/>
    <w:rsid w:val="00763B77"/>
    <w:rsid w:val="00763E50"/>
    <w:rsid w:val="0076422E"/>
    <w:rsid w:val="0076425C"/>
    <w:rsid w:val="00764F1D"/>
    <w:rsid w:val="007650B3"/>
    <w:rsid w:val="0076528A"/>
    <w:rsid w:val="00765480"/>
    <w:rsid w:val="00765675"/>
    <w:rsid w:val="007657C0"/>
    <w:rsid w:val="00765A9B"/>
    <w:rsid w:val="00765D3C"/>
    <w:rsid w:val="00765E6F"/>
    <w:rsid w:val="00766349"/>
    <w:rsid w:val="007665E0"/>
    <w:rsid w:val="00766AD9"/>
    <w:rsid w:val="00766E6F"/>
    <w:rsid w:val="0076702C"/>
    <w:rsid w:val="0076727A"/>
    <w:rsid w:val="007672F8"/>
    <w:rsid w:val="00767336"/>
    <w:rsid w:val="00767382"/>
    <w:rsid w:val="0076760E"/>
    <w:rsid w:val="0076777D"/>
    <w:rsid w:val="00767F6C"/>
    <w:rsid w:val="00767F9A"/>
    <w:rsid w:val="007700C7"/>
    <w:rsid w:val="0077012D"/>
    <w:rsid w:val="00770762"/>
    <w:rsid w:val="00770791"/>
    <w:rsid w:val="00770FEE"/>
    <w:rsid w:val="0077116B"/>
    <w:rsid w:val="007713CE"/>
    <w:rsid w:val="00771C9E"/>
    <w:rsid w:val="0077221C"/>
    <w:rsid w:val="00772478"/>
    <w:rsid w:val="00772829"/>
    <w:rsid w:val="00772EDB"/>
    <w:rsid w:val="00772FCE"/>
    <w:rsid w:val="00773177"/>
    <w:rsid w:val="00773779"/>
    <w:rsid w:val="007737A5"/>
    <w:rsid w:val="00773856"/>
    <w:rsid w:val="00773B84"/>
    <w:rsid w:val="007741A1"/>
    <w:rsid w:val="007744DE"/>
    <w:rsid w:val="0077451A"/>
    <w:rsid w:val="00774545"/>
    <w:rsid w:val="0077466E"/>
    <w:rsid w:val="0077490D"/>
    <w:rsid w:val="00774A64"/>
    <w:rsid w:val="007751EF"/>
    <w:rsid w:val="00775294"/>
    <w:rsid w:val="00775576"/>
    <w:rsid w:val="00775732"/>
    <w:rsid w:val="00775AFD"/>
    <w:rsid w:val="00775C23"/>
    <w:rsid w:val="00776040"/>
    <w:rsid w:val="007763BB"/>
    <w:rsid w:val="00776453"/>
    <w:rsid w:val="007768E6"/>
    <w:rsid w:val="00776B31"/>
    <w:rsid w:val="00776E63"/>
    <w:rsid w:val="00777197"/>
    <w:rsid w:val="007771C8"/>
    <w:rsid w:val="00777437"/>
    <w:rsid w:val="00777848"/>
    <w:rsid w:val="00777893"/>
    <w:rsid w:val="00777B60"/>
    <w:rsid w:val="00777C4C"/>
    <w:rsid w:val="00777DE2"/>
    <w:rsid w:val="00780559"/>
    <w:rsid w:val="007806E6"/>
    <w:rsid w:val="007807D1"/>
    <w:rsid w:val="0078085E"/>
    <w:rsid w:val="00780A99"/>
    <w:rsid w:val="00780B5A"/>
    <w:rsid w:val="00780D26"/>
    <w:rsid w:val="00780FDA"/>
    <w:rsid w:val="00781014"/>
    <w:rsid w:val="007813B1"/>
    <w:rsid w:val="007819A6"/>
    <w:rsid w:val="00781B5C"/>
    <w:rsid w:val="00781C6B"/>
    <w:rsid w:val="00781DA9"/>
    <w:rsid w:val="00782078"/>
    <w:rsid w:val="007821F8"/>
    <w:rsid w:val="00782955"/>
    <w:rsid w:val="00782ABE"/>
    <w:rsid w:val="00783070"/>
    <w:rsid w:val="007831F2"/>
    <w:rsid w:val="0078371B"/>
    <w:rsid w:val="00783982"/>
    <w:rsid w:val="00783EA9"/>
    <w:rsid w:val="0078403F"/>
    <w:rsid w:val="007840B0"/>
    <w:rsid w:val="00784341"/>
    <w:rsid w:val="00784359"/>
    <w:rsid w:val="007845FC"/>
    <w:rsid w:val="00784958"/>
    <w:rsid w:val="00784EF8"/>
    <w:rsid w:val="007851BD"/>
    <w:rsid w:val="00785242"/>
    <w:rsid w:val="007852E9"/>
    <w:rsid w:val="00785721"/>
    <w:rsid w:val="007859F2"/>
    <w:rsid w:val="00785E15"/>
    <w:rsid w:val="00785FE8"/>
    <w:rsid w:val="00786006"/>
    <w:rsid w:val="0078626B"/>
    <w:rsid w:val="0078656C"/>
    <w:rsid w:val="00786623"/>
    <w:rsid w:val="00786890"/>
    <w:rsid w:val="00786A75"/>
    <w:rsid w:val="00786E19"/>
    <w:rsid w:val="00787ACF"/>
    <w:rsid w:val="00787B15"/>
    <w:rsid w:val="00787C40"/>
    <w:rsid w:val="00790397"/>
    <w:rsid w:val="0079070B"/>
    <w:rsid w:val="00790717"/>
    <w:rsid w:val="0079071F"/>
    <w:rsid w:val="007907B6"/>
    <w:rsid w:val="00790A68"/>
    <w:rsid w:val="00790AE7"/>
    <w:rsid w:val="00790B15"/>
    <w:rsid w:val="00790EE6"/>
    <w:rsid w:val="00790F49"/>
    <w:rsid w:val="0079124A"/>
    <w:rsid w:val="007912C0"/>
    <w:rsid w:val="00791CB5"/>
    <w:rsid w:val="00791DD5"/>
    <w:rsid w:val="00792087"/>
    <w:rsid w:val="007920C4"/>
    <w:rsid w:val="00792370"/>
    <w:rsid w:val="0079248E"/>
    <w:rsid w:val="00792576"/>
    <w:rsid w:val="0079275D"/>
    <w:rsid w:val="00792ADF"/>
    <w:rsid w:val="00792B25"/>
    <w:rsid w:val="00793042"/>
    <w:rsid w:val="007931CB"/>
    <w:rsid w:val="00793230"/>
    <w:rsid w:val="00793D67"/>
    <w:rsid w:val="00793F83"/>
    <w:rsid w:val="00794067"/>
    <w:rsid w:val="007945FA"/>
    <w:rsid w:val="007946E8"/>
    <w:rsid w:val="007947E5"/>
    <w:rsid w:val="00794AF1"/>
    <w:rsid w:val="00794DD1"/>
    <w:rsid w:val="007951D4"/>
    <w:rsid w:val="007954A9"/>
    <w:rsid w:val="007954C1"/>
    <w:rsid w:val="0079566D"/>
    <w:rsid w:val="00795835"/>
    <w:rsid w:val="00795A0C"/>
    <w:rsid w:val="00795F2F"/>
    <w:rsid w:val="00795FDE"/>
    <w:rsid w:val="007960FC"/>
    <w:rsid w:val="00796687"/>
    <w:rsid w:val="00796D9E"/>
    <w:rsid w:val="00796DAB"/>
    <w:rsid w:val="00796F1D"/>
    <w:rsid w:val="00796F75"/>
    <w:rsid w:val="00797020"/>
    <w:rsid w:val="00797368"/>
    <w:rsid w:val="0079739F"/>
    <w:rsid w:val="00797537"/>
    <w:rsid w:val="00797C46"/>
    <w:rsid w:val="00797E5D"/>
    <w:rsid w:val="007A004A"/>
    <w:rsid w:val="007A0227"/>
    <w:rsid w:val="007A0362"/>
    <w:rsid w:val="007A04C4"/>
    <w:rsid w:val="007A0682"/>
    <w:rsid w:val="007A0AC6"/>
    <w:rsid w:val="007A0C3B"/>
    <w:rsid w:val="007A0DF0"/>
    <w:rsid w:val="007A0E7C"/>
    <w:rsid w:val="007A1041"/>
    <w:rsid w:val="007A1080"/>
    <w:rsid w:val="007A16CB"/>
    <w:rsid w:val="007A1884"/>
    <w:rsid w:val="007A19F6"/>
    <w:rsid w:val="007A1CC1"/>
    <w:rsid w:val="007A1ED6"/>
    <w:rsid w:val="007A2B65"/>
    <w:rsid w:val="007A2F82"/>
    <w:rsid w:val="007A36CA"/>
    <w:rsid w:val="007A3895"/>
    <w:rsid w:val="007A39D6"/>
    <w:rsid w:val="007A3C14"/>
    <w:rsid w:val="007A3D99"/>
    <w:rsid w:val="007A3DBE"/>
    <w:rsid w:val="007A3E97"/>
    <w:rsid w:val="007A417C"/>
    <w:rsid w:val="007A4595"/>
    <w:rsid w:val="007A46AA"/>
    <w:rsid w:val="007A486C"/>
    <w:rsid w:val="007A4C1B"/>
    <w:rsid w:val="007A5188"/>
    <w:rsid w:val="007A520F"/>
    <w:rsid w:val="007A53B5"/>
    <w:rsid w:val="007A556C"/>
    <w:rsid w:val="007A5617"/>
    <w:rsid w:val="007A56EC"/>
    <w:rsid w:val="007A583D"/>
    <w:rsid w:val="007A58F2"/>
    <w:rsid w:val="007A5D00"/>
    <w:rsid w:val="007A65A9"/>
    <w:rsid w:val="007A6BFB"/>
    <w:rsid w:val="007A70B8"/>
    <w:rsid w:val="007A71A2"/>
    <w:rsid w:val="007A71FA"/>
    <w:rsid w:val="007A722D"/>
    <w:rsid w:val="007A7379"/>
    <w:rsid w:val="007A777F"/>
    <w:rsid w:val="007A7A36"/>
    <w:rsid w:val="007B0245"/>
    <w:rsid w:val="007B0464"/>
    <w:rsid w:val="007B063B"/>
    <w:rsid w:val="007B083F"/>
    <w:rsid w:val="007B0848"/>
    <w:rsid w:val="007B0880"/>
    <w:rsid w:val="007B0C21"/>
    <w:rsid w:val="007B0D01"/>
    <w:rsid w:val="007B11C0"/>
    <w:rsid w:val="007B15F2"/>
    <w:rsid w:val="007B1DEC"/>
    <w:rsid w:val="007B1FB9"/>
    <w:rsid w:val="007B2085"/>
    <w:rsid w:val="007B2689"/>
    <w:rsid w:val="007B2CD3"/>
    <w:rsid w:val="007B2D1F"/>
    <w:rsid w:val="007B2FDC"/>
    <w:rsid w:val="007B3202"/>
    <w:rsid w:val="007B33EB"/>
    <w:rsid w:val="007B3410"/>
    <w:rsid w:val="007B36F6"/>
    <w:rsid w:val="007B38A0"/>
    <w:rsid w:val="007B38B7"/>
    <w:rsid w:val="007B3B54"/>
    <w:rsid w:val="007B3C58"/>
    <w:rsid w:val="007B3E43"/>
    <w:rsid w:val="007B3E5E"/>
    <w:rsid w:val="007B3EA4"/>
    <w:rsid w:val="007B3F36"/>
    <w:rsid w:val="007B42AE"/>
    <w:rsid w:val="007B432A"/>
    <w:rsid w:val="007B4702"/>
    <w:rsid w:val="007B472D"/>
    <w:rsid w:val="007B47FC"/>
    <w:rsid w:val="007B4C8C"/>
    <w:rsid w:val="007B4E4E"/>
    <w:rsid w:val="007B4F7B"/>
    <w:rsid w:val="007B5531"/>
    <w:rsid w:val="007B57F5"/>
    <w:rsid w:val="007B583D"/>
    <w:rsid w:val="007B5AF5"/>
    <w:rsid w:val="007B61CA"/>
    <w:rsid w:val="007B61FE"/>
    <w:rsid w:val="007B6684"/>
    <w:rsid w:val="007B670A"/>
    <w:rsid w:val="007B6977"/>
    <w:rsid w:val="007B69DD"/>
    <w:rsid w:val="007B6B13"/>
    <w:rsid w:val="007B6B21"/>
    <w:rsid w:val="007B6DBC"/>
    <w:rsid w:val="007B7024"/>
    <w:rsid w:val="007B70F8"/>
    <w:rsid w:val="007B7139"/>
    <w:rsid w:val="007B7A5D"/>
    <w:rsid w:val="007B7C95"/>
    <w:rsid w:val="007C01F2"/>
    <w:rsid w:val="007C035E"/>
    <w:rsid w:val="007C036E"/>
    <w:rsid w:val="007C0390"/>
    <w:rsid w:val="007C03DB"/>
    <w:rsid w:val="007C0560"/>
    <w:rsid w:val="007C068A"/>
    <w:rsid w:val="007C0882"/>
    <w:rsid w:val="007C0AA2"/>
    <w:rsid w:val="007C1075"/>
    <w:rsid w:val="007C119F"/>
    <w:rsid w:val="007C12AF"/>
    <w:rsid w:val="007C14A2"/>
    <w:rsid w:val="007C1721"/>
    <w:rsid w:val="007C1B47"/>
    <w:rsid w:val="007C1C3E"/>
    <w:rsid w:val="007C1FB5"/>
    <w:rsid w:val="007C2050"/>
    <w:rsid w:val="007C24CB"/>
    <w:rsid w:val="007C2621"/>
    <w:rsid w:val="007C27F3"/>
    <w:rsid w:val="007C296B"/>
    <w:rsid w:val="007C2B10"/>
    <w:rsid w:val="007C2EE4"/>
    <w:rsid w:val="007C300E"/>
    <w:rsid w:val="007C328D"/>
    <w:rsid w:val="007C336F"/>
    <w:rsid w:val="007C353C"/>
    <w:rsid w:val="007C381A"/>
    <w:rsid w:val="007C406C"/>
    <w:rsid w:val="007C41B1"/>
    <w:rsid w:val="007C41FF"/>
    <w:rsid w:val="007C4246"/>
    <w:rsid w:val="007C467C"/>
    <w:rsid w:val="007C4C40"/>
    <w:rsid w:val="007C4DDA"/>
    <w:rsid w:val="007C4E2A"/>
    <w:rsid w:val="007C52EE"/>
    <w:rsid w:val="007C54F1"/>
    <w:rsid w:val="007C5A68"/>
    <w:rsid w:val="007C5D66"/>
    <w:rsid w:val="007C63EE"/>
    <w:rsid w:val="007C66EA"/>
    <w:rsid w:val="007C7319"/>
    <w:rsid w:val="007C76E9"/>
    <w:rsid w:val="007C7C4B"/>
    <w:rsid w:val="007C7D46"/>
    <w:rsid w:val="007D035D"/>
    <w:rsid w:val="007D052C"/>
    <w:rsid w:val="007D05FD"/>
    <w:rsid w:val="007D0701"/>
    <w:rsid w:val="007D08DE"/>
    <w:rsid w:val="007D0B90"/>
    <w:rsid w:val="007D0BA6"/>
    <w:rsid w:val="007D0DDF"/>
    <w:rsid w:val="007D1389"/>
    <w:rsid w:val="007D1516"/>
    <w:rsid w:val="007D16A1"/>
    <w:rsid w:val="007D18C9"/>
    <w:rsid w:val="007D1919"/>
    <w:rsid w:val="007D198C"/>
    <w:rsid w:val="007D2238"/>
    <w:rsid w:val="007D261B"/>
    <w:rsid w:val="007D2CA4"/>
    <w:rsid w:val="007D3039"/>
    <w:rsid w:val="007D30A9"/>
    <w:rsid w:val="007D30B7"/>
    <w:rsid w:val="007D3493"/>
    <w:rsid w:val="007D38CA"/>
    <w:rsid w:val="007D3933"/>
    <w:rsid w:val="007D3D3D"/>
    <w:rsid w:val="007D468F"/>
    <w:rsid w:val="007D478C"/>
    <w:rsid w:val="007D4BE3"/>
    <w:rsid w:val="007D4EFD"/>
    <w:rsid w:val="007D5137"/>
    <w:rsid w:val="007D5593"/>
    <w:rsid w:val="007D58F8"/>
    <w:rsid w:val="007D58FB"/>
    <w:rsid w:val="007D5B74"/>
    <w:rsid w:val="007D5D68"/>
    <w:rsid w:val="007D5EB7"/>
    <w:rsid w:val="007D6038"/>
    <w:rsid w:val="007D6155"/>
    <w:rsid w:val="007D6456"/>
    <w:rsid w:val="007D699A"/>
    <w:rsid w:val="007D6A6D"/>
    <w:rsid w:val="007D6BBD"/>
    <w:rsid w:val="007D6CBB"/>
    <w:rsid w:val="007D6DAA"/>
    <w:rsid w:val="007D6EAB"/>
    <w:rsid w:val="007D720A"/>
    <w:rsid w:val="007D737B"/>
    <w:rsid w:val="007D76C9"/>
    <w:rsid w:val="007D77AD"/>
    <w:rsid w:val="007D781F"/>
    <w:rsid w:val="007E089D"/>
    <w:rsid w:val="007E1354"/>
    <w:rsid w:val="007E15AD"/>
    <w:rsid w:val="007E2546"/>
    <w:rsid w:val="007E25ED"/>
    <w:rsid w:val="007E282E"/>
    <w:rsid w:val="007E2A91"/>
    <w:rsid w:val="007E2BC0"/>
    <w:rsid w:val="007E2C0D"/>
    <w:rsid w:val="007E349A"/>
    <w:rsid w:val="007E3863"/>
    <w:rsid w:val="007E3A41"/>
    <w:rsid w:val="007E4370"/>
    <w:rsid w:val="007E4415"/>
    <w:rsid w:val="007E47DC"/>
    <w:rsid w:val="007E47ED"/>
    <w:rsid w:val="007E4A90"/>
    <w:rsid w:val="007E4C5D"/>
    <w:rsid w:val="007E52AA"/>
    <w:rsid w:val="007E56A6"/>
    <w:rsid w:val="007E5878"/>
    <w:rsid w:val="007E59B8"/>
    <w:rsid w:val="007E5A27"/>
    <w:rsid w:val="007E640F"/>
    <w:rsid w:val="007E67B3"/>
    <w:rsid w:val="007E6C2D"/>
    <w:rsid w:val="007E6F68"/>
    <w:rsid w:val="007E7C00"/>
    <w:rsid w:val="007E7F2B"/>
    <w:rsid w:val="007F04FB"/>
    <w:rsid w:val="007F0AA9"/>
    <w:rsid w:val="007F0E87"/>
    <w:rsid w:val="007F0F81"/>
    <w:rsid w:val="007F1049"/>
    <w:rsid w:val="007F1121"/>
    <w:rsid w:val="007F159D"/>
    <w:rsid w:val="007F1B9F"/>
    <w:rsid w:val="007F1D67"/>
    <w:rsid w:val="007F20DD"/>
    <w:rsid w:val="007F21FF"/>
    <w:rsid w:val="007F2858"/>
    <w:rsid w:val="007F34D3"/>
    <w:rsid w:val="007F35B0"/>
    <w:rsid w:val="007F3988"/>
    <w:rsid w:val="007F3A43"/>
    <w:rsid w:val="007F3ADB"/>
    <w:rsid w:val="007F3FC4"/>
    <w:rsid w:val="007F42D4"/>
    <w:rsid w:val="007F4880"/>
    <w:rsid w:val="007F4959"/>
    <w:rsid w:val="007F4EE0"/>
    <w:rsid w:val="007F54B4"/>
    <w:rsid w:val="007F600C"/>
    <w:rsid w:val="007F60E3"/>
    <w:rsid w:val="007F629C"/>
    <w:rsid w:val="007F65B7"/>
    <w:rsid w:val="007F65EA"/>
    <w:rsid w:val="007F67E9"/>
    <w:rsid w:val="007F6944"/>
    <w:rsid w:val="007F6974"/>
    <w:rsid w:val="007F7111"/>
    <w:rsid w:val="007F7520"/>
    <w:rsid w:val="007F755A"/>
    <w:rsid w:val="007F782E"/>
    <w:rsid w:val="007F795B"/>
    <w:rsid w:val="007F7AF7"/>
    <w:rsid w:val="007F7C7B"/>
    <w:rsid w:val="007F7FF9"/>
    <w:rsid w:val="00800BFF"/>
    <w:rsid w:val="00800F38"/>
    <w:rsid w:val="00800FAA"/>
    <w:rsid w:val="00801501"/>
    <w:rsid w:val="008015ED"/>
    <w:rsid w:val="00801819"/>
    <w:rsid w:val="00801B69"/>
    <w:rsid w:val="008021AD"/>
    <w:rsid w:val="0080241A"/>
    <w:rsid w:val="0080265B"/>
    <w:rsid w:val="008026DB"/>
    <w:rsid w:val="008028A4"/>
    <w:rsid w:val="00802E4F"/>
    <w:rsid w:val="008034E9"/>
    <w:rsid w:val="00803656"/>
    <w:rsid w:val="00803B8F"/>
    <w:rsid w:val="00803DE8"/>
    <w:rsid w:val="0080405D"/>
    <w:rsid w:val="008040A2"/>
    <w:rsid w:val="008045AF"/>
    <w:rsid w:val="00804632"/>
    <w:rsid w:val="0080466D"/>
    <w:rsid w:val="008046DB"/>
    <w:rsid w:val="008048C8"/>
    <w:rsid w:val="00804BEC"/>
    <w:rsid w:val="00804EE6"/>
    <w:rsid w:val="0080529B"/>
    <w:rsid w:val="008054D9"/>
    <w:rsid w:val="0080559A"/>
    <w:rsid w:val="00805AD2"/>
    <w:rsid w:val="00805D5B"/>
    <w:rsid w:val="00805EF0"/>
    <w:rsid w:val="008060F3"/>
    <w:rsid w:val="0080631C"/>
    <w:rsid w:val="00806688"/>
    <w:rsid w:val="008066E8"/>
    <w:rsid w:val="008067DB"/>
    <w:rsid w:val="00806AFE"/>
    <w:rsid w:val="00806CF6"/>
    <w:rsid w:val="00806D33"/>
    <w:rsid w:val="00806DC3"/>
    <w:rsid w:val="00806EE3"/>
    <w:rsid w:val="00807075"/>
    <w:rsid w:val="008072F1"/>
    <w:rsid w:val="008074AD"/>
    <w:rsid w:val="008076C4"/>
    <w:rsid w:val="00807A3E"/>
    <w:rsid w:val="00810338"/>
    <w:rsid w:val="008105F1"/>
    <w:rsid w:val="00810637"/>
    <w:rsid w:val="0081063D"/>
    <w:rsid w:val="00810775"/>
    <w:rsid w:val="00810787"/>
    <w:rsid w:val="0081086C"/>
    <w:rsid w:val="00810998"/>
    <w:rsid w:val="00810F93"/>
    <w:rsid w:val="00810FB9"/>
    <w:rsid w:val="00811272"/>
    <w:rsid w:val="008112A3"/>
    <w:rsid w:val="0081177D"/>
    <w:rsid w:val="008118DE"/>
    <w:rsid w:val="00811F3A"/>
    <w:rsid w:val="00811F69"/>
    <w:rsid w:val="008120F8"/>
    <w:rsid w:val="00812282"/>
    <w:rsid w:val="00812294"/>
    <w:rsid w:val="008124EB"/>
    <w:rsid w:val="00812840"/>
    <w:rsid w:val="00813066"/>
    <w:rsid w:val="008131EB"/>
    <w:rsid w:val="00813622"/>
    <w:rsid w:val="008136C1"/>
    <w:rsid w:val="008138C1"/>
    <w:rsid w:val="00813A85"/>
    <w:rsid w:val="00813AFF"/>
    <w:rsid w:val="008142EB"/>
    <w:rsid w:val="008144F8"/>
    <w:rsid w:val="008148E4"/>
    <w:rsid w:val="00814979"/>
    <w:rsid w:val="00814D77"/>
    <w:rsid w:val="00815014"/>
    <w:rsid w:val="008151A0"/>
    <w:rsid w:val="008151BC"/>
    <w:rsid w:val="00815475"/>
    <w:rsid w:val="0081579E"/>
    <w:rsid w:val="008157F1"/>
    <w:rsid w:val="00815863"/>
    <w:rsid w:val="008159D1"/>
    <w:rsid w:val="00815A45"/>
    <w:rsid w:val="00815BA1"/>
    <w:rsid w:val="00815BFF"/>
    <w:rsid w:val="00815C0A"/>
    <w:rsid w:val="00815F73"/>
    <w:rsid w:val="00815FE3"/>
    <w:rsid w:val="00815FE4"/>
    <w:rsid w:val="00816417"/>
    <w:rsid w:val="0081641C"/>
    <w:rsid w:val="00816AC9"/>
    <w:rsid w:val="00816D90"/>
    <w:rsid w:val="00816EC2"/>
    <w:rsid w:val="00816EE9"/>
    <w:rsid w:val="0081727A"/>
    <w:rsid w:val="00817524"/>
    <w:rsid w:val="008177DB"/>
    <w:rsid w:val="00817C27"/>
    <w:rsid w:val="00817CAE"/>
    <w:rsid w:val="00817FBC"/>
    <w:rsid w:val="00820258"/>
    <w:rsid w:val="0082034B"/>
    <w:rsid w:val="0082055A"/>
    <w:rsid w:val="00820655"/>
    <w:rsid w:val="00820737"/>
    <w:rsid w:val="00820A7F"/>
    <w:rsid w:val="00820C00"/>
    <w:rsid w:val="00821108"/>
    <w:rsid w:val="0082156F"/>
    <w:rsid w:val="008215B6"/>
    <w:rsid w:val="00821791"/>
    <w:rsid w:val="00821892"/>
    <w:rsid w:val="00821910"/>
    <w:rsid w:val="00821E77"/>
    <w:rsid w:val="00821EB2"/>
    <w:rsid w:val="0082369D"/>
    <w:rsid w:val="008236E1"/>
    <w:rsid w:val="0082400E"/>
    <w:rsid w:val="00824082"/>
    <w:rsid w:val="008241EF"/>
    <w:rsid w:val="00824458"/>
    <w:rsid w:val="0082459D"/>
    <w:rsid w:val="008249F7"/>
    <w:rsid w:val="00824ADC"/>
    <w:rsid w:val="00824B74"/>
    <w:rsid w:val="00824FF8"/>
    <w:rsid w:val="0082514F"/>
    <w:rsid w:val="0082524C"/>
    <w:rsid w:val="00825396"/>
    <w:rsid w:val="00825849"/>
    <w:rsid w:val="00825BA6"/>
    <w:rsid w:val="00826307"/>
    <w:rsid w:val="008266F0"/>
    <w:rsid w:val="00826700"/>
    <w:rsid w:val="00827027"/>
    <w:rsid w:val="008270D4"/>
    <w:rsid w:val="00827239"/>
    <w:rsid w:val="008279B8"/>
    <w:rsid w:val="00827B68"/>
    <w:rsid w:val="008300D4"/>
    <w:rsid w:val="0083030C"/>
    <w:rsid w:val="0083037A"/>
    <w:rsid w:val="00830783"/>
    <w:rsid w:val="0083090C"/>
    <w:rsid w:val="00830C89"/>
    <w:rsid w:val="00831888"/>
    <w:rsid w:val="00831ABD"/>
    <w:rsid w:val="00832C8D"/>
    <w:rsid w:val="00832E06"/>
    <w:rsid w:val="00833109"/>
    <w:rsid w:val="008331BB"/>
    <w:rsid w:val="00833321"/>
    <w:rsid w:val="00834226"/>
    <w:rsid w:val="008343E7"/>
    <w:rsid w:val="008346F5"/>
    <w:rsid w:val="00834CDD"/>
    <w:rsid w:val="00834DCD"/>
    <w:rsid w:val="00834E03"/>
    <w:rsid w:val="00835242"/>
    <w:rsid w:val="00835341"/>
    <w:rsid w:val="0083544E"/>
    <w:rsid w:val="008354E0"/>
    <w:rsid w:val="008355CB"/>
    <w:rsid w:val="008355E0"/>
    <w:rsid w:val="00835703"/>
    <w:rsid w:val="00835742"/>
    <w:rsid w:val="00835B38"/>
    <w:rsid w:val="00835EC9"/>
    <w:rsid w:val="00835FB7"/>
    <w:rsid w:val="008362DC"/>
    <w:rsid w:val="0083667E"/>
    <w:rsid w:val="008368F2"/>
    <w:rsid w:val="00836E82"/>
    <w:rsid w:val="0083760B"/>
    <w:rsid w:val="00837986"/>
    <w:rsid w:val="008379A0"/>
    <w:rsid w:val="00837C2D"/>
    <w:rsid w:val="00837D65"/>
    <w:rsid w:val="00837E43"/>
    <w:rsid w:val="00837F7C"/>
    <w:rsid w:val="00837FFD"/>
    <w:rsid w:val="00840010"/>
    <w:rsid w:val="0084053E"/>
    <w:rsid w:val="008407DC"/>
    <w:rsid w:val="00840845"/>
    <w:rsid w:val="00840895"/>
    <w:rsid w:val="00840CB9"/>
    <w:rsid w:val="00840F3B"/>
    <w:rsid w:val="00841145"/>
    <w:rsid w:val="00841388"/>
    <w:rsid w:val="00841418"/>
    <w:rsid w:val="008417B7"/>
    <w:rsid w:val="00841B83"/>
    <w:rsid w:val="00841EF6"/>
    <w:rsid w:val="00841EFB"/>
    <w:rsid w:val="00841F44"/>
    <w:rsid w:val="00842037"/>
    <w:rsid w:val="00842061"/>
    <w:rsid w:val="00842543"/>
    <w:rsid w:val="00842A5E"/>
    <w:rsid w:val="00842C82"/>
    <w:rsid w:val="00842DC6"/>
    <w:rsid w:val="008433A1"/>
    <w:rsid w:val="0084355A"/>
    <w:rsid w:val="008436D7"/>
    <w:rsid w:val="00843AE1"/>
    <w:rsid w:val="00843CD4"/>
    <w:rsid w:val="00843DC9"/>
    <w:rsid w:val="008440FE"/>
    <w:rsid w:val="0084417C"/>
    <w:rsid w:val="008442FB"/>
    <w:rsid w:val="0084440C"/>
    <w:rsid w:val="008446C9"/>
    <w:rsid w:val="008446ED"/>
    <w:rsid w:val="00844BC4"/>
    <w:rsid w:val="00845454"/>
    <w:rsid w:val="00845A5A"/>
    <w:rsid w:val="00845BEB"/>
    <w:rsid w:val="00845E84"/>
    <w:rsid w:val="00846119"/>
    <w:rsid w:val="00846335"/>
    <w:rsid w:val="0084643F"/>
    <w:rsid w:val="008464B9"/>
    <w:rsid w:val="008466A6"/>
    <w:rsid w:val="0084695E"/>
    <w:rsid w:val="00846C4B"/>
    <w:rsid w:val="0084714C"/>
    <w:rsid w:val="008471DA"/>
    <w:rsid w:val="008471EC"/>
    <w:rsid w:val="008472DF"/>
    <w:rsid w:val="00847484"/>
    <w:rsid w:val="008474E3"/>
    <w:rsid w:val="00847505"/>
    <w:rsid w:val="008475BD"/>
    <w:rsid w:val="00847AD1"/>
    <w:rsid w:val="00847B99"/>
    <w:rsid w:val="00847F0C"/>
    <w:rsid w:val="0085086D"/>
    <w:rsid w:val="00850912"/>
    <w:rsid w:val="00850B06"/>
    <w:rsid w:val="00850E8F"/>
    <w:rsid w:val="00850F11"/>
    <w:rsid w:val="008510A2"/>
    <w:rsid w:val="0085116F"/>
    <w:rsid w:val="008511A2"/>
    <w:rsid w:val="00851543"/>
    <w:rsid w:val="008519FF"/>
    <w:rsid w:val="00851A5C"/>
    <w:rsid w:val="00851B3B"/>
    <w:rsid w:val="00851D4C"/>
    <w:rsid w:val="00852135"/>
    <w:rsid w:val="008521F2"/>
    <w:rsid w:val="0085220E"/>
    <w:rsid w:val="00852296"/>
    <w:rsid w:val="008522A0"/>
    <w:rsid w:val="008527ED"/>
    <w:rsid w:val="00852A8C"/>
    <w:rsid w:val="00853168"/>
    <w:rsid w:val="00853493"/>
    <w:rsid w:val="008537F7"/>
    <w:rsid w:val="0085387C"/>
    <w:rsid w:val="0085413B"/>
    <w:rsid w:val="00854256"/>
    <w:rsid w:val="008543CF"/>
    <w:rsid w:val="0085461D"/>
    <w:rsid w:val="008546BE"/>
    <w:rsid w:val="00854916"/>
    <w:rsid w:val="00854A6D"/>
    <w:rsid w:val="00854DD4"/>
    <w:rsid w:val="00854F96"/>
    <w:rsid w:val="0085516A"/>
    <w:rsid w:val="0085530B"/>
    <w:rsid w:val="00855A66"/>
    <w:rsid w:val="00855D6C"/>
    <w:rsid w:val="00856074"/>
    <w:rsid w:val="00856456"/>
    <w:rsid w:val="0085652D"/>
    <w:rsid w:val="00856684"/>
    <w:rsid w:val="00856787"/>
    <w:rsid w:val="00856A9E"/>
    <w:rsid w:val="008577E8"/>
    <w:rsid w:val="008578DA"/>
    <w:rsid w:val="00857949"/>
    <w:rsid w:val="00857CDD"/>
    <w:rsid w:val="008605A3"/>
    <w:rsid w:val="00860996"/>
    <w:rsid w:val="00860D67"/>
    <w:rsid w:val="00860DF2"/>
    <w:rsid w:val="0086104C"/>
    <w:rsid w:val="008612BB"/>
    <w:rsid w:val="00861641"/>
    <w:rsid w:val="0086176A"/>
    <w:rsid w:val="008618B2"/>
    <w:rsid w:val="008618B8"/>
    <w:rsid w:val="00861B6F"/>
    <w:rsid w:val="00861D9E"/>
    <w:rsid w:val="00861DB8"/>
    <w:rsid w:val="00861EC0"/>
    <w:rsid w:val="0086241C"/>
    <w:rsid w:val="00862613"/>
    <w:rsid w:val="00862930"/>
    <w:rsid w:val="00862D85"/>
    <w:rsid w:val="00862DF4"/>
    <w:rsid w:val="00862E24"/>
    <w:rsid w:val="00863165"/>
    <w:rsid w:val="008636E7"/>
    <w:rsid w:val="00863809"/>
    <w:rsid w:val="00864CAC"/>
    <w:rsid w:val="00864CCA"/>
    <w:rsid w:val="00864D93"/>
    <w:rsid w:val="008652F1"/>
    <w:rsid w:val="00865E84"/>
    <w:rsid w:val="00866072"/>
    <w:rsid w:val="0086608E"/>
    <w:rsid w:val="008660E1"/>
    <w:rsid w:val="008660F9"/>
    <w:rsid w:val="00866597"/>
    <w:rsid w:val="008666C2"/>
    <w:rsid w:val="0086673C"/>
    <w:rsid w:val="00866820"/>
    <w:rsid w:val="00866D00"/>
    <w:rsid w:val="00867026"/>
    <w:rsid w:val="00867351"/>
    <w:rsid w:val="00867A42"/>
    <w:rsid w:val="00867C2C"/>
    <w:rsid w:val="00867DC0"/>
    <w:rsid w:val="0087012A"/>
    <w:rsid w:val="0087047D"/>
    <w:rsid w:val="00870588"/>
    <w:rsid w:val="00870A99"/>
    <w:rsid w:val="00870BC8"/>
    <w:rsid w:val="00870E24"/>
    <w:rsid w:val="00870E37"/>
    <w:rsid w:val="00870E71"/>
    <w:rsid w:val="00870F68"/>
    <w:rsid w:val="0087111D"/>
    <w:rsid w:val="00871545"/>
    <w:rsid w:val="008716E7"/>
    <w:rsid w:val="008719A3"/>
    <w:rsid w:val="008719C2"/>
    <w:rsid w:val="00871C80"/>
    <w:rsid w:val="00871EB8"/>
    <w:rsid w:val="00872393"/>
    <w:rsid w:val="0087277A"/>
    <w:rsid w:val="00872A0D"/>
    <w:rsid w:val="00872A47"/>
    <w:rsid w:val="0087315A"/>
    <w:rsid w:val="00873324"/>
    <w:rsid w:val="008736E2"/>
    <w:rsid w:val="00873AD1"/>
    <w:rsid w:val="00873B8C"/>
    <w:rsid w:val="00873D46"/>
    <w:rsid w:val="00873ECD"/>
    <w:rsid w:val="00874343"/>
    <w:rsid w:val="00874565"/>
    <w:rsid w:val="008748BC"/>
    <w:rsid w:val="00874D65"/>
    <w:rsid w:val="00874E8E"/>
    <w:rsid w:val="0087530E"/>
    <w:rsid w:val="00875D6E"/>
    <w:rsid w:val="00875DAF"/>
    <w:rsid w:val="0087613C"/>
    <w:rsid w:val="00876402"/>
    <w:rsid w:val="0087667A"/>
    <w:rsid w:val="008767F0"/>
    <w:rsid w:val="00876864"/>
    <w:rsid w:val="008768AB"/>
    <w:rsid w:val="00876A3D"/>
    <w:rsid w:val="00877044"/>
    <w:rsid w:val="00877247"/>
    <w:rsid w:val="00877637"/>
    <w:rsid w:val="00877792"/>
    <w:rsid w:val="008778DA"/>
    <w:rsid w:val="00877E05"/>
    <w:rsid w:val="008801AE"/>
    <w:rsid w:val="008805F7"/>
    <w:rsid w:val="008805FD"/>
    <w:rsid w:val="00880655"/>
    <w:rsid w:val="008808A8"/>
    <w:rsid w:val="008809F1"/>
    <w:rsid w:val="008809F2"/>
    <w:rsid w:val="00880AA3"/>
    <w:rsid w:val="0088118A"/>
    <w:rsid w:val="0088162D"/>
    <w:rsid w:val="00881681"/>
    <w:rsid w:val="0088169E"/>
    <w:rsid w:val="00881844"/>
    <w:rsid w:val="00881A9C"/>
    <w:rsid w:val="00881C2E"/>
    <w:rsid w:val="00881D0E"/>
    <w:rsid w:val="00881DBE"/>
    <w:rsid w:val="00881DDE"/>
    <w:rsid w:val="008820F2"/>
    <w:rsid w:val="00882359"/>
    <w:rsid w:val="008823F6"/>
    <w:rsid w:val="008827B1"/>
    <w:rsid w:val="00882BD5"/>
    <w:rsid w:val="00882E34"/>
    <w:rsid w:val="00883110"/>
    <w:rsid w:val="00883E33"/>
    <w:rsid w:val="00883EA1"/>
    <w:rsid w:val="0088410E"/>
    <w:rsid w:val="0088421C"/>
    <w:rsid w:val="008842DC"/>
    <w:rsid w:val="0088445B"/>
    <w:rsid w:val="00884791"/>
    <w:rsid w:val="0088493F"/>
    <w:rsid w:val="00884BA0"/>
    <w:rsid w:val="00884CEC"/>
    <w:rsid w:val="00885009"/>
    <w:rsid w:val="008854FF"/>
    <w:rsid w:val="0088590D"/>
    <w:rsid w:val="008863B9"/>
    <w:rsid w:val="00886484"/>
    <w:rsid w:val="00886ED1"/>
    <w:rsid w:val="00886F86"/>
    <w:rsid w:val="00887403"/>
    <w:rsid w:val="008876EB"/>
    <w:rsid w:val="00887AA8"/>
    <w:rsid w:val="008901F0"/>
    <w:rsid w:val="00890441"/>
    <w:rsid w:val="008904F5"/>
    <w:rsid w:val="00891536"/>
    <w:rsid w:val="008916D5"/>
    <w:rsid w:val="00891A79"/>
    <w:rsid w:val="00891AF6"/>
    <w:rsid w:val="00891BC3"/>
    <w:rsid w:val="0089225A"/>
    <w:rsid w:val="00892463"/>
    <w:rsid w:val="00892481"/>
    <w:rsid w:val="00892A06"/>
    <w:rsid w:val="008930FC"/>
    <w:rsid w:val="00893225"/>
    <w:rsid w:val="00893541"/>
    <w:rsid w:val="008937C8"/>
    <w:rsid w:val="0089395C"/>
    <w:rsid w:val="0089415A"/>
    <w:rsid w:val="00894DCD"/>
    <w:rsid w:val="0089525F"/>
    <w:rsid w:val="008958E7"/>
    <w:rsid w:val="00895A04"/>
    <w:rsid w:val="00895AC7"/>
    <w:rsid w:val="00895E7B"/>
    <w:rsid w:val="008960CE"/>
    <w:rsid w:val="0089645F"/>
    <w:rsid w:val="00896741"/>
    <w:rsid w:val="008967C4"/>
    <w:rsid w:val="008969C0"/>
    <w:rsid w:val="008977F0"/>
    <w:rsid w:val="00897897"/>
    <w:rsid w:val="0089789C"/>
    <w:rsid w:val="00897B4A"/>
    <w:rsid w:val="00897CA3"/>
    <w:rsid w:val="008A031F"/>
    <w:rsid w:val="008A041C"/>
    <w:rsid w:val="008A04B9"/>
    <w:rsid w:val="008A0666"/>
    <w:rsid w:val="008A0848"/>
    <w:rsid w:val="008A0D2A"/>
    <w:rsid w:val="008A0D2E"/>
    <w:rsid w:val="008A0DEC"/>
    <w:rsid w:val="008A0E82"/>
    <w:rsid w:val="008A1048"/>
    <w:rsid w:val="008A141E"/>
    <w:rsid w:val="008A1693"/>
    <w:rsid w:val="008A17AC"/>
    <w:rsid w:val="008A18CA"/>
    <w:rsid w:val="008A18EB"/>
    <w:rsid w:val="008A1A93"/>
    <w:rsid w:val="008A1DF1"/>
    <w:rsid w:val="008A1E81"/>
    <w:rsid w:val="008A2512"/>
    <w:rsid w:val="008A254F"/>
    <w:rsid w:val="008A2630"/>
    <w:rsid w:val="008A271B"/>
    <w:rsid w:val="008A2912"/>
    <w:rsid w:val="008A2DAB"/>
    <w:rsid w:val="008A2FF7"/>
    <w:rsid w:val="008A3631"/>
    <w:rsid w:val="008A3676"/>
    <w:rsid w:val="008A369C"/>
    <w:rsid w:val="008A38FE"/>
    <w:rsid w:val="008A3B28"/>
    <w:rsid w:val="008A3DC7"/>
    <w:rsid w:val="008A415D"/>
    <w:rsid w:val="008A4374"/>
    <w:rsid w:val="008A49BE"/>
    <w:rsid w:val="008A4FE1"/>
    <w:rsid w:val="008A4FFA"/>
    <w:rsid w:val="008A538D"/>
    <w:rsid w:val="008A5433"/>
    <w:rsid w:val="008A56FF"/>
    <w:rsid w:val="008A5833"/>
    <w:rsid w:val="008A611A"/>
    <w:rsid w:val="008A61D5"/>
    <w:rsid w:val="008A624B"/>
    <w:rsid w:val="008A651A"/>
    <w:rsid w:val="008A651C"/>
    <w:rsid w:val="008A6A5C"/>
    <w:rsid w:val="008A6C31"/>
    <w:rsid w:val="008A6D8D"/>
    <w:rsid w:val="008A6EA5"/>
    <w:rsid w:val="008A70B5"/>
    <w:rsid w:val="008A7143"/>
    <w:rsid w:val="008A749A"/>
    <w:rsid w:val="008A7808"/>
    <w:rsid w:val="008A7A8A"/>
    <w:rsid w:val="008A7F34"/>
    <w:rsid w:val="008B0231"/>
    <w:rsid w:val="008B0239"/>
    <w:rsid w:val="008B1308"/>
    <w:rsid w:val="008B1A21"/>
    <w:rsid w:val="008B1B14"/>
    <w:rsid w:val="008B1DCC"/>
    <w:rsid w:val="008B2013"/>
    <w:rsid w:val="008B2649"/>
    <w:rsid w:val="008B2722"/>
    <w:rsid w:val="008B2763"/>
    <w:rsid w:val="008B2968"/>
    <w:rsid w:val="008B29BE"/>
    <w:rsid w:val="008B2A67"/>
    <w:rsid w:val="008B2BAA"/>
    <w:rsid w:val="008B3459"/>
    <w:rsid w:val="008B3523"/>
    <w:rsid w:val="008B3A88"/>
    <w:rsid w:val="008B3B21"/>
    <w:rsid w:val="008B3F06"/>
    <w:rsid w:val="008B4378"/>
    <w:rsid w:val="008B472A"/>
    <w:rsid w:val="008B4BFC"/>
    <w:rsid w:val="008B4DD1"/>
    <w:rsid w:val="008B4F72"/>
    <w:rsid w:val="008B51B4"/>
    <w:rsid w:val="008B5B67"/>
    <w:rsid w:val="008B5D7A"/>
    <w:rsid w:val="008B638C"/>
    <w:rsid w:val="008B6482"/>
    <w:rsid w:val="008B66B5"/>
    <w:rsid w:val="008B66E3"/>
    <w:rsid w:val="008B6769"/>
    <w:rsid w:val="008B679B"/>
    <w:rsid w:val="008B6892"/>
    <w:rsid w:val="008B68F7"/>
    <w:rsid w:val="008B693B"/>
    <w:rsid w:val="008B698C"/>
    <w:rsid w:val="008B6BCC"/>
    <w:rsid w:val="008B6DB8"/>
    <w:rsid w:val="008B7236"/>
    <w:rsid w:val="008B76CE"/>
    <w:rsid w:val="008B7739"/>
    <w:rsid w:val="008B7848"/>
    <w:rsid w:val="008B7A91"/>
    <w:rsid w:val="008B7C24"/>
    <w:rsid w:val="008B7CEA"/>
    <w:rsid w:val="008C013D"/>
    <w:rsid w:val="008C0C9E"/>
    <w:rsid w:val="008C1144"/>
    <w:rsid w:val="008C1224"/>
    <w:rsid w:val="008C1259"/>
    <w:rsid w:val="008C1379"/>
    <w:rsid w:val="008C179A"/>
    <w:rsid w:val="008C17B6"/>
    <w:rsid w:val="008C1AE7"/>
    <w:rsid w:val="008C1B6F"/>
    <w:rsid w:val="008C1E05"/>
    <w:rsid w:val="008C23F2"/>
    <w:rsid w:val="008C24D0"/>
    <w:rsid w:val="008C272C"/>
    <w:rsid w:val="008C2DA1"/>
    <w:rsid w:val="008C2F27"/>
    <w:rsid w:val="008C3148"/>
    <w:rsid w:val="008C34BB"/>
    <w:rsid w:val="008C3A0E"/>
    <w:rsid w:val="008C3A9F"/>
    <w:rsid w:val="008C3DC7"/>
    <w:rsid w:val="008C3FD6"/>
    <w:rsid w:val="008C41EC"/>
    <w:rsid w:val="008C4310"/>
    <w:rsid w:val="008C4396"/>
    <w:rsid w:val="008C45C8"/>
    <w:rsid w:val="008C45E2"/>
    <w:rsid w:val="008C470C"/>
    <w:rsid w:val="008C4A86"/>
    <w:rsid w:val="008C5175"/>
    <w:rsid w:val="008C53BF"/>
    <w:rsid w:val="008C5435"/>
    <w:rsid w:val="008C54D0"/>
    <w:rsid w:val="008C60E1"/>
    <w:rsid w:val="008C62E8"/>
    <w:rsid w:val="008C65A8"/>
    <w:rsid w:val="008C66F4"/>
    <w:rsid w:val="008C680F"/>
    <w:rsid w:val="008C6C3C"/>
    <w:rsid w:val="008C6FBE"/>
    <w:rsid w:val="008C704D"/>
    <w:rsid w:val="008C76C7"/>
    <w:rsid w:val="008C7791"/>
    <w:rsid w:val="008C78D0"/>
    <w:rsid w:val="008C78F4"/>
    <w:rsid w:val="008D03DC"/>
    <w:rsid w:val="008D06E7"/>
    <w:rsid w:val="008D0BB5"/>
    <w:rsid w:val="008D0CDA"/>
    <w:rsid w:val="008D0F43"/>
    <w:rsid w:val="008D0FE6"/>
    <w:rsid w:val="008D10B4"/>
    <w:rsid w:val="008D129B"/>
    <w:rsid w:val="008D241B"/>
    <w:rsid w:val="008D24DD"/>
    <w:rsid w:val="008D282B"/>
    <w:rsid w:val="008D33AC"/>
    <w:rsid w:val="008D3726"/>
    <w:rsid w:val="008D388F"/>
    <w:rsid w:val="008D38A0"/>
    <w:rsid w:val="008D3A04"/>
    <w:rsid w:val="008D4143"/>
    <w:rsid w:val="008D4310"/>
    <w:rsid w:val="008D4B84"/>
    <w:rsid w:val="008D4CB0"/>
    <w:rsid w:val="008D4CB6"/>
    <w:rsid w:val="008D4EE1"/>
    <w:rsid w:val="008D5744"/>
    <w:rsid w:val="008D607B"/>
    <w:rsid w:val="008D612B"/>
    <w:rsid w:val="008D62DD"/>
    <w:rsid w:val="008D6397"/>
    <w:rsid w:val="008D6425"/>
    <w:rsid w:val="008D680A"/>
    <w:rsid w:val="008D6D9F"/>
    <w:rsid w:val="008D6E8C"/>
    <w:rsid w:val="008D6F31"/>
    <w:rsid w:val="008D70F3"/>
    <w:rsid w:val="008D710D"/>
    <w:rsid w:val="008D73C9"/>
    <w:rsid w:val="008D7484"/>
    <w:rsid w:val="008D74F9"/>
    <w:rsid w:val="008D7601"/>
    <w:rsid w:val="008D789B"/>
    <w:rsid w:val="008D78D0"/>
    <w:rsid w:val="008D7AE1"/>
    <w:rsid w:val="008E0094"/>
    <w:rsid w:val="008E0188"/>
    <w:rsid w:val="008E0907"/>
    <w:rsid w:val="008E091D"/>
    <w:rsid w:val="008E0CDE"/>
    <w:rsid w:val="008E0CE8"/>
    <w:rsid w:val="008E0E9D"/>
    <w:rsid w:val="008E101D"/>
    <w:rsid w:val="008E12E7"/>
    <w:rsid w:val="008E16BF"/>
    <w:rsid w:val="008E1A8B"/>
    <w:rsid w:val="008E1BC3"/>
    <w:rsid w:val="008E1D66"/>
    <w:rsid w:val="008E1D90"/>
    <w:rsid w:val="008E2287"/>
    <w:rsid w:val="008E280D"/>
    <w:rsid w:val="008E292C"/>
    <w:rsid w:val="008E2992"/>
    <w:rsid w:val="008E2D6E"/>
    <w:rsid w:val="008E2F7A"/>
    <w:rsid w:val="008E3049"/>
    <w:rsid w:val="008E3458"/>
    <w:rsid w:val="008E35A3"/>
    <w:rsid w:val="008E36A5"/>
    <w:rsid w:val="008E386E"/>
    <w:rsid w:val="008E3DE4"/>
    <w:rsid w:val="008E3E1B"/>
    <w:rsid w:val="008E4042"/>
    <w:rsid w:val="008E43F6"/>
    <w:rsid w:val="008E4490"/>
    <w:rsid w:val="008E46FF"/>
    <w:rsid w:val="008E4ECA"/>
    <w:rsid w:val="008E4F38"/>
    <w:rsid w:val="008E5090"/>
    <w:rsid w:val="008E526A"/>
    <w:rsid w:val="008E545C"/>
    <w:rsid w:val="008E555F"/>
    <w:rsid w:val="008E5DBC"/>
    <w:rsid w:val="008E6142"/>
    <w:rsid w:val="008E67A1"/>
    <w:rsid w:val="008E6B16"/>
    <w:rsid w:val="008E7274"/>
    <w:rsid w:val="008E7F4E"/>
    <w:rsid w:val="008F0252"/>
    <w:rsid w:val="008F0423"/>
    <w:rsid w:val="008F0562"/>
    <w:rsid w:val="008F0E9D"/>
    <w:rsid w:val="008F112E"/>
    <w:rsid w:val="008F1229"/>
    <w:rsid w:val="008F15B8"/>
    <w:rsid w:val="008F17AB"/>
    <w:rsid w:val="008F180C"/>
    <w:rsid w:val="008F1818"/>
    <w:rsid w:val="008F18B5"/>
    <w:rsid w:val="008F1B44"/>
    <w:rsid w:val="008F1CB6"/>
    <w:rsid w:val="008F1E0D"/>
    <w:rsid w:val="008F20EE"/>
    <w:rsid w:val="008F21D9"/>
    <w:rsid w:val="008F21F2"/>
    <w:rsid w:val="008F22B8"/>
    <w:rsid w:val="008F260B"/>
    <w:rsid w:val="008F2AC2"/>
    <w:rsid w:val="008F2C13"/>
    <w:rsid w:val="008F31C3"/>
    <w:rsid w:val="008F3450"/>
    <w:rsid w:val="008F37D3"/>
    <w:rsid w:val="008F3A29"/>
    <w:rsid w:val="008F3C25"/>
    <w:rsid w:val="008F3C45"/>
    <w:rsid w:val="008F4053"/>
    <w:rsid w:val="008F46B7"/>
    <w:rsid w:val="008F4891"/>
    <w:rsid w:val="008F4DC1"/>
    <w:rsid w:val="008F4FEB"/>
    <w:rsid w:val="008F5154"/>
    <w:rsid w:val="008F5560"/>
    <w:rsid w:val="008F595A"/>
    <w:rsid w:val="008F5A68"/>
    <w:rsid w:val="008F5BE4"/>
    <w:rsid w:val="008F6327"/>
    <w:rsid w:val="008F6B18"/>
    <w:rsid w:val="008F6E1B"/>
    <w:rsid w:val="008F6F44"/>
    <w:rsid w:val="008F6FE9"/>
    <w:rsid w:val="008F7428"/>
    <w:rsid w:val="008F7647"/>
    <w:rsid w:val="008F76C2"/>
    <w:rsid w:val="008F7AC8"/>
    <w:rsid w:val="008F7BE3"/>
    <w:rsid w:val="009000D0"/>
    <w:rsid w:val="009002B8"/>
    <w:rsid w:val="009004E7"/>
    <w:rsid w:val="009008E1"/>
    <w:rsid w:val="00900F61"/>
    <w:rsid w:val="009012A5"/>
    <w:rsid w:val="009012C0"/>
    <w:rsid w:val="00901300"/>
    <w:rsid w:val="0090144F"/>
    <w:rsid w:val="009015A8"/>
    <w:rsid w:val="0090171C"/>
    <w:rsid w:val="009017DA"/>
    <w:rsid w:val="00901F61"/>
    <w:rsid w:val="009023EF"/>
    <w:rsid w:val="0090257E"/>
    <w:rsid w:val="009027A9"/>
    <w:rsid w:val="00902989"/>
    <w:rsid w:val="00902C0B"/>
    <w:rsid w:val="00902CC5"/>
    <w:rsid w:val="00902E4B"/>
    <w:rsid w:val="00903444"/>
    <w:rsid w:val="009035D7"/>
    <w:rsid w:val="009037E8"/>
    <w:rsid w:val="00903C8C"/>
    <w:rsid w:val="00903FFA"/>
    <w:rsid w:val="009043D9"/>
    <w:rsid w:val="00904458"/>
    <w:rsid w:val="00904C75"/>
    <w:rsid w:val="00904D18"/>
    <w:rsid w:val="00905246"/>
    <w:rsid w:val="0090541B"/>
    <w:rsid w:val="00905671"/>
    <w:rsid w:val="00905C8C"/>
    <w:rsid w:val="009060D7"/>
    <w:rsid w:val="009062A8"/>
    <w:rsid w:val="00906749"/>
    <w:rsid w:val="00906821"/>
    <w:rsid w:val="0090697D"/>
    <w:rsid w:val="00906B21"/>
    <w:rsid w:val="00906C17"/>
    <w:rsid w:val="00906E11"/>
    <w:rsid w:val="00906E65"/>
    <w:rsid w:val="00907122"/>
    <w:rsid w:val="009071A5"/>
    <w:rsid w:val="00907272"/>
    <w:rsid w:val="009072A5"/>
    <w:rsid w:val="009075F5"/>
    <w:rsid w:val="0090761C"/>
    <w:rsid w:val="00907952"/>
    <w:rsid w:val="00907A1B"/>
    <w:rsid w:val="00910278"/>
    <w:rsid w:val="009107C5"/>
    <w:rsid w:val="009107DD"/>
    <w:rsid w:val="00910D27"/>
    <w:rsid w:val="00910DE3"/>
    <w:rsid w:val="0091108B"/>
    <w:rsid w:val="00911650"/>
    <w:rsid w:val="00911EDF"/>
    <w:rsid w:val="00911EE3"/>
    <w:rsid w:val="00912508"/>
    <w:rsid w:val="009126DA"/>
    <w:rsid w:val="00912C27"/>
    <w:rsid w:val="00912E15"/>
    <w:rsid w:val="0091332A"/>
    <w:rsid w:val="00913791"/>
    <w:rsid w:val="009143BE"/>
    <w:rsid w:val="009144D5"/>
    <w:rsid w:val="009147AC"/>
    <w:rsid w:val="00914B89"/>
    <w:rsid w:val="00914DBB"/>
    <w:rsid w:val="009157B2"/>
    <w:rsid w:val="009159E2"/>
    <w:rsid w:val="00915A86"/>
    <w:rsid w:val="00915D33"/>
    <w:rsid w:val="00915F98"/>
    <w:rsid w:val="00915FA3"/>
    <w:rsid w:val="009161C6"/>
    <w:rsid w:val="0091628B"/>
    <w:rsid w:val="0091640D"/>
    <w:rsid w:val="00916846"/>
    <w:rsid w:val="009168C2"/>
    <w:rsid w:val="00916A4C"/>
    <w:rsid w:val="00916C77"/>
    <w:rsid w:val="0091714D"/>
    <w:rsid w:val="00917767"/>
    <w:rsid w:val="0091786B"/>
    <w:rsid w:val="00920089"/>
    <w:rsid w:val="00920163"/>
    <w:rsid w:val="00920400"/>
    <w:rsid w:val="009204F8"/>
    <w:rsid w:val="00920C57"/>
    <w:rsid w:val="00920DF8"/>
    <w:rsid w:val="00920EFC"/>
    <w:rsid w:val="009210F3"/>
    <w:rsid w:val="009210F7"/>
    <w:rsid w:val="00921194"/>
    <w:rsid w:val="00921796"/>
    <w:rsid w:val="009217F8"/>
    <w:rsid w:val="00921E60"/>
    <w:rsid w:val="009221D1"/>
    <w:rsid w:val="009222B6"/>
    <w:rsid w:val="00922336"/>
    <w:rsid w:val="009224EC"/>
    <w:rsid w:val="009226FD"/>
    <w:rsid w:val="00922A65"/>
    <w:rsid w:val="00922E3E"/>
    <w:rsid w:val="00922F76"/>
    <w:rsid w:val="009234B8"/>
    <w:rsid w:val="00923534"/>
    <w:rsid w:val="009235E6"/>
    <w:rsid w:val="009235FD"/>
    <w:rsid w:val="00923B59"/>
    <w:rsid w:val="00923D7E"/>
    <w:rsid w:val="00923FC2"/>
    <w:rsid w:val="009241F0"/>
    <w:rsid w:val="009246F0"/>
    <w:rsid w:val="0092470E"/>
    <w:rsid w:val="009247BE"/>
    <w:rsid w:val="00924CFA"/>
    <w:rsid w:val="00925187"/>
    <w:rsid w:val="00925F17"/>
    <w:rsid w:val="00926186"/>
    <w:rsid w:val="00926196"/>
    <w:rsid w:val="009261F5"/>
    <w:rsid w:val="00926208"/>
    <w:rsid w:val="00926411"/>
    <w:rsid w:val="00926460"/>
    <w:rsid w:val="009268DD"/>
    <w:rsid w:val="00926AD5"/>
    <w:rsid w:val="00926AEB"/>
    <w:rsid w:val="00926B31"/>
    <w:rsid w:val="00926BC0"/>
    <w:rsid w:val="00926C29"/>
    <w:rsid w:val="00926CAE"/>
    <w:rsid w:val="0092709C"/>
    <w:rsid w:val="0092717F"/>
    <w:rsid w:val="00927484"/>
    <w:rsid w:val="00927744"/>
    <w:rsid w:val="00927B05"/>
    <w:rsid w:val="00929E22"/>
    <w:rsid w:val="009300E4"/>
    <w:rsid w:val="0093037B"/>
    <w:rsid w:val="009306E6"/>
    <w:rsid w:val="00930745"/>
    <w:rsid w:val="0093081B"/>
    <w:rsid w:val="009308EE"/>
    <w:rsid w:val="00930BB2"/>
    <w:rsid w:val="00930BFA"/>
    <w:rsid w:val="00930F4E"/>
    <w:rsid w:val="009310D4"/>
    <w:rsid w:val="009311CE"/>
    <w:rsid w:val="009316F9"/>
    <w:rsid w:val="009317ED"/>
    <w:rsid w:val="0093182C"/>
    <w:rsid w:val="009319A7"/>
    <w:rsid w:val="00931E84"/>
    <w:rsid w:val="009321D1"/>
    <w:rsid w:val="00932BF3"/>
    <w:rsid w:val="00932EC4"/>
    <w:rsid w:val="009330F2"/>
    <w:rsid w:val="0093352A"/>
    <w:rsid w:val="009336CD"/>
    <w:rsid w:val="009337E3"/>
    <w:rsid w:val="00933910"/>
    <w:rsid w:val="00933D48"/>
    <w:rsid w:val="00933F04"/>
    <w:rsid w:val="009347CF"/>
    <w:rsid w:val="00934A31"/>
    <w:rsid w:val="00934FD9"/>
    <w:rsid w:val="009350F5"/>
    <w:rsid w:val="0093572F"/>
    <w:rsid w:val="00936062"/>
    <w:rsid w:val="00936104"/>
    <w:rsid w:val="00936578"/>
    <w:rsid w:val="00936827"/>
    <w:rsid w:val="009368DE"/>
    <w:rsid w:val="00936904"/>
    <w:rsid w:val="00936DB5"/>
    <w:rsid w:val="00936F28"/>
    <w:rsid w:val="00937099"/>
    <w:rsid w:val="009373AA"/>
    <w:rsid w:val="00937625"/>
    <w:rsid w:val="00937CBE"/>
    <w:rsid w:val="0094000A"/>
    <w:rsid w:val="009400F6"/>
    <w:rsid w:val="00940771"/>
    <w:rsid w:val="009408FE"/>
    <w:rsid w:val="0094093A"/>
    <w:rsid w:val="00940A4E"/>
    <w:rsid w:val="00940AED"/>
    <w:rsid w:val="00941179"/>
    <w:rsid w:val="009414F9"/>
    <w:rsid w:val="00941739"/>
    <w:rsid w:val="00941DF4"/>
    <w:rsid w:val="00941FD9"/>
    <w:rsid w:val="00942027"/>
    <w:rsid w:val="0094241B"/>
    <w:rsid w:val="0094257E"/>
    <w:rsid w:val="009426F4"/>
    <w:rsid w:val="0094282E"/>
    <w:rsid w:val="00942BD7"/>
    <w:rsid w:val="00942BE9"/>
    <w:rsid w:val="00942C54"/>
    <w:rsid w:val="00942E0A"/>
    <w:rsid w:val="009430A9"/>
    <w:rsid w:val="009430FF"/>
    <w:rsid w:val="0094336C"/>
    <w:rsid w:val="00943431"/>
    <w:rsid w:val="009437E9"/>
    <w:rsid w:val="009438E3"/>
    <w:rsid w:val="009438F7"/>
    <w:rsid w:val="00943B97"/>
    <w:rsid w:val="00943DB0"/>
    <w:rsid w:val="00943ED8"/>
    <w:rsid w:val="00944087"/>
    <w:rsid w:val="009440A0"/>
    <w:rsid w:val="00944532"/>
    <w:rsid w:val="0094453F"/>
    <w:rsid w:val="00944861"/>
    <w:rsid w:val="00944E74"/>
    <w:rsid w:val="00945023"/>
    <w:rsid w:val="009450C0"/>
    <w:rsid w:val="0094510B"/>
    <w:rsid w:val="00945229"/>
    <w:rsid w:val="0094555A"/>
    <w:rsid w:val="00945655"/>
    <w:rsid w:val="0094589D"/>
    <w:rsid w:val="00945E12"/>
    <w:rsid w:val="00945F99"/>
    <w:rsid w:val="00946465"/>
    <w:rsid w:val="009466FE"/>
    <w:rsid w:val="00946C1F"/>
    <w:rsid w:val="00946E6B"/>
    <w:rsid w:val="00947081"/>
    <w:rsid w:val="0094714C"/>
    <w:rsid w:val="00947502"/>
    <w:rsid w:val="009476AA"/>
    <w:rsid w:val="0094777E"/>
    <w:rsid w:val="009478AC"/>
    <w:rsid w:val="00947C9D"/>
    <w:rsid w:val="00947F68"/>
    <w:rsid w:val="0095012E"/>
    <w:rsid w:val="00950331"/>
    <w:rsid w:val="00950528"/>
    <w:rsid w:val="009505BB"/>
    <w:rsid w:val="00950693"/>
    <w:rsid w:val="0095072B"/>
    <w:rsid w:val="00950829"/>
    <w:rsid w:val="0095099F"/>
    <w:rsid w:val="00950FFE"/>
    <w:rsid w:val="00951050"/>
    <w:rsid w:val="00951308"/>
    <w:rsid w:val="009513A5"/>
    <w:rsid w:val="00951449"/>
    <w:rsid w:val="00951501"/>
    <w:rsid w:val="00951934"/>
    <w:rsid w:val="00951968"/>
    <w:rsid w:val="009519A3"/>
    <w:rsid w:val="009519A7"/>
    <w:rsid w:val="00951A9E"/>
    <w:rsid w:val="00951B06"/>
    <w:rsid w:val="00951B9E"/>
    <w:rsid w:val="00951CE1"/>
    <w:rsid w:val="0095207B"/>
    <w:rsid w:val="009527B9"/>
    <w:rsid w:val="009528B4"/>
    <w:rsid w:val="00952AE5"/>
    <w:rsid w:val="00952C34"/>
    <w:rsid w:val="00952FAD"/>
    <w:rsid w:val="0095372C"/>
    <w:rsid w:val="0095389D"/>
    <w:rsid w:val="009538A5"/>
    <w:rsid w:val="009538FE"/>
    <w:rsid w:val="00953AC9"/>
    <w:rsid w:val="00953DF9"/>
    <w:rsid w:val="00953E27"/>
    <w:rsid w:val="009540B0"/>
    <w:rsid w:val="009542E3"/>
    <w:rsid w:val="009547B0"/>
    <w:rsid w:val="00954C8C"/>
    <w:rsid w:val="00955BB3"/>
    <w:rsid w:val="00955D81"/>
    <w:rsid w:val="0095612C"/>
    <w:rsid w:val="009561BC"/>
    <w:rsid w:val="00956420"/>
    <w:rsid w:val="00956667"/>
    <w:rsid w:val="00956988"/>
    <w:rsid w:val="00956ACE"/>
    <w:rsid w:val="00956F27"/>
    <w:rsid w:val="009572A0"/>
    <w:rsid w:val="00957769"/>
    <w:rsid w:val="00957781"/>
    <w:rsid w:val="009577B8"/>
    <w:rsid w:val="0095786C"/>
    <w:rsid w:val="00957D24"/>
    <w:rsid w:val="0095FD18"/>
    <w:rsid w:val="00960141"/>
    <w:rsid w:val="009603A7"/>
    <w:rsid w:val="0096069A"/>
    <w:rsid w:val="00960C06"/>
    <w:rsid w:val="00960CD8"/>
    <w:rsid w:val="00960CDC"/>
    <w:rsid w:val="00960DCF"/>
    <w:rsid w:val="00960E69"/>
    <w:rsid w:val="00960EEB"/>
    <w:rsid w:val="009612E1"/>
    <w:rsid w:val="00961400"/>
    <w:rsid w:val="00961B53"/>
    <w:rsid w:val="00961B8D"/>
    <w:rsid w:val="00961E6B"/>
    <w:rsid w:val="00961EC2"/>
    <w:rsid w:val="0096205E"/>
    <w:rsid w:val="009620EE"/>
    <w:rsid w:val="0096264E"/>
    <w:rsid w:val="00962890"/>
    <w:rsid w:val="00962A48"/>
    <w:rsid w:val="00962B07"/>
    <w:rsid w:val="00962CA4"/>
    <w:rsid w:val="00962CB6"/>
    <w:rsid w:val="00963264"/>
    <w:rsid w:val="009633C0"/>
    <w:rsid w:val="0096389D"/>
    <w:rsid w:val="00963979"/>
    <w:rsid w:val="00963C61"/>
    <w:rsid w:val="009644EA"/>
    <w:rsid w:val="00964902"/>
    <w:rsid w:val="00964A73"/>
    <w:rsid w:val="00964CDC"/>
    <w:rsid w:val="00964D6F"/>
    <w:rsid w:val="0096514C"/>
    <w:rsid w:val="00965463"/>
    <w:rsid w:val="009654B9"/>
    <w:rsid w:val="00965724"/>
    <w:rsid w:val="009659D4"/>
    <w:rsid w:val="009662C0"/>
    <w:rsid w:val="009663CC"/>
    <w:rsid w:val="00966415"/>
    <w:rsid w:val="0096665D"/>
    <w:rsid w:val="0096698C"/>
    <w:rsid w:val="00966C7B"/>
    <w:rsid w:val="00967058"/>
    <w:rsid w:val="0096716A"/>
    <w:rsid w:val="009672BA"/>
    <w:rsid w:val="009676C0"/>
    <w:rsid w:val="00967865"/>
    <w:rsid w:val="0096786B"/>
    <w:rsid w:val="00967CD9"/>
    <w:rsid w:val="00970EC9"/>
    <w:rsid w:val="00971508"/>
    <w:rsid w:val="0097180D"/>
    <w:rsid w:val="00971C3E"/>
    <w:rsid w:val="00971EB8"/>
    <w:rsid w:val="009728A0"/>
    <w:rsid w:val="0097299C"/>
    <w:rsid w:val="00972A63"/>
    <w:rsid w:val="00973095"/>
    <w:rsid w:val="00973432"/>
    <w:rsid w:val="009734C5"/>
    <w:rsid w:val="0097354C"/>
    <w:rsid w:val="00973761"/>
    <w:rsid w:val="009738B5"/>
    <w:rsid w:val="0097409E"/>
    <w:rsid w:val="009740E3"/>
    <w:rsid w:val="009741CA"/>
    <w:rsid w:val="00974210"/>
    <w:rsid w:val="0097471F"/>
    <w:rsid w:val="00974EBB"/>
    <w:rsid w:val="00974FCA"/>
    <w:rsid w:val="00975336"/>
    <w:rsid w:val="00975651"/>
    <w:rsid w:val="009759F0"/>
    <w:rsid w:val="00975A8F"/>
    <w:rsid w:val="00976D8F"/>
    <w:rsid w:val="00977096"/>
    <w:rsid w:val="009770F3"/>
    <w:rsid w:val="00977278"/>
    <w:rsid w:val="00977357"/>
    <w:rsid w:val="00977654"/>
    <w:rsid w:val="009779A0"/>
    <w:rsid w:val="00977A81"/>
    <w:rsid w:val="0098012C"/>
    <w:rsid w:val="009803A0"/>
    <w:rsid w:val="009803A9"/>
    <w:rsid w:val="009803CB"/>
    <w:rsid w:val="009803D4"/>
    <w:rsid w:val="0098078C"/>
    <w:rsid w:val="009807A2"/>
    <w:rsid w:val="00980C1B"/>
    <w:rsid w:val="00980C49"/>
    <w:rsid w:val="00980D8E"/>
    <w:rsid w:val="00980DA0"/>
    <w:rsid w:val="00980DE9"/>
    <w:rsid w:val="0098199C"/>
    <w:rsid w:val="00982219"/>
    <w:rsid w:val="00982377"/>
    <w:rsid w:val="0098245E"/>
    <w:rsid w:val="0098263B"/>
    <w:rsid w:val="009828B9"/>
    <w:rsid w:val="00982A68"/>
    <w:rsid w:val="00982D5F"/>
    <w:rsid w:val="00982F96"/>
    <w:rsid w:val="0098379C"/>
    <w:rsid w:val="00983A37"/>
    <w:rsid w:val="00983A64"/>
    <w:rsid w:val="00983B70"/>
    <w:rsid w:val="00983BCD"/>
    <w:rsid w:val="00984040"/>
    <w:rsid w:val="009843A7"/>
    <w:rsid w:val="009843C9"/>
    <w:rsid w:val="009849B0"/>
    <w:rsid w:val="00985A37"/>
    <w:rsid w:val="00985FBD"/>
    <w:rsid w:val="0098631C"/>
    <w:rsid w:val="0098647D"/>
    <w:rsid w:val="0098673E"/>
    <w:rsid w:val="00987007"/>
    <w:rsid w:val="009870C7"/>
    <w:rsid w:val="009870FC"/>
    <w:rsid w:val="009873F3"/>
    <w:rsid w:val="00987A9A"/>
    <w:rsid w:val="00987DC9"/>
    <w:rsid w:val="00987E46"/>
    <w:rsid w:val="00987F9D"/>
    <w:rsid w:val="009900CF"/>
    <w:rsid w:val="00990267"/>
    <w:rsid w:val="00990301"/>
    <w:rsid w:val="00990E1E"/>
    <w:rsid w:val="00991025"/>
    <w:rsid w:val="009910E2"/>
    <w:rsid w:val="009910F0"/>
    <w:rsid w:val="0099114F"/>
    <w:rsid w:val="009911E9"/>
    <w:rsid w:val="009913EB"/>
    <w:rsid w:val="00991514"/>
    <w:rsid w:val="0099153B"/>
    <w:rsid w:val="00991CDB"/>
    <w:rsid w:val="0099240A"/>
    <w:rsid w:val="00992FA4"/>
    <w:rsid w:val="00992FC1"/>
    <w:rsid w:val="0099303C"/>
    <w:rsid w:val="00993100"/>
    <w:rsid w:val="00993127"/>
    <w:rsid w:val="009931A6"/>
    <w:rsid w:val="0099389E"/>
    <w:rsid w:val="00993943"/>
    <w:rsid w:val="00993992"/>
    <w:rsid w:val="00993F74"/>
    <w:rsid w:val="0099410A"/>
    <w:rsid w:val="0099420E"/>
    <w:rsid w:val="00994468"/>
    <w:rsid w:val="00994572"/>
    <w:rsid w:val="009949D5"/>
    <w:rsid w:val="009949F4"/>
    <w:rsid w:val="00994BB3"/>
    <w:rsid w:val="00995486"/>
    <w:rsid w:val="00995E98"/>
    <w:rsid w:val="00996378"/>
    <w:rsid w:val="009965CE"/>
    <w:rsid w:val="00996C1E"/>
    <w:rsid w:val="00996C72"/>
    <w:rsid w:val="00996D71"/>
    <w:rsid w:val="00996ED1"/>
    <w:rsid w:val="00996F15"/>
    <w:rsid w:val="009971AF"/>
    <w:rsid w:val="0099737B"/>
    <w:rsid w:val="00997BA8"/>
    <w:rsid w:val="00997C36"/>
    <w:rsid w:val="00997DBF"/>
    <w:rsid w:val="00997E5D"/>
    <w:rsid w:val="009A0397"/>
    <w:rsid w:val="009A06F4"/>
    <w:rsid w:val="009A0CE0"/>
    <w:rsid w:val="009A13B0"/>
    <w:rsid w:val="009A17CF"/>
    <w:rsid w:val="009A182E"/>
    <w:rsid w:val="009A183C"/>
    <w:rsid w:val="009A1988"/>
    <w:rsid w:val="009A1A4D"/>
    <w:rsid w:val="009A1A6C"/>
    <w:rsid w:val="009A1CCF"/>
    <w:rsid w:val="009A26BC"/>
    <w:rsid w:val="009A27FA"/>
    <w:rsid w:val="009A2A95"/>
    <w:rsid w:val="009A2B37"/>
    <w:rsid w:val="009A2B9C"/>
    <w:rsid w:val="009A2D50"/>
    <w:rsid w:val="009A2D8E"/>
    <w:rsid w:val="009A3762"/>
    <w:rsid w:val="009A3778"/>
    <w:rsid w:val="009A3E2E"/>
    <w:rsid w:val="009A5201"/>
    <w:rsid w:val="009A538C"/>
    <w:rsid w:val="009A562A"/>
    <w:rsid w:val="009A5689"/>
    <w:rsid w:val="009A5E4A"/>
    <w:rsid w:val="009A6393"/>
    <w:rsid w:val="009A672C"/>
    <w:rsid w:val="009A6C2D"/>
    <w:rsid w:val="009A6E61"/>
    <w:rsid w:val="009A6ED2"/>
    <w:rsid w:val="009A6F8F"/>
    <w:rsid w:val="009A750B"/>
    <w:rsid w:val="009A75EA"/>
    <w:rsid w:val="009A78CA"/>
    <w:rsid w:val="009A79E8"/>
    <w:rsid w:val="009A7AA4"/>
    <w:rsid w:val="009A7B74"/>
    <w:rsid w:val="009A7F34"/>
    <w:rsid w:val="009B002E"/>
    <w:rsid w:val="009B02E0"/>
    <w:rsid w:val="009B03D1"/>
    <w:rsid w:val="009B0770"/>
    <w:rsid w:val="009B09B5"/>
    <w:rsid w:val="009B09DE"/>
    <w:rsid w:val="009B0C7A"/>
    <w:rsid w:val="009B0D3E"/>
    <w:rsid w:val="009B0E0E"/>
    <w:rsid w:val="009B1145"/>
    <w:rsid w:val="009B1509"/>
    <w:rsid w:val="009B15CF"/>
    <w:rsid w:val="009B1733"/>
    <w:rsid w:val="009B21B0"/>
    <w:rsid w:val="009B2245"/>
    <w:rsid w:val="009B258E"/>
    <w:rsid w:val="009B29C9"/>
    <w:rsid w:val="009B2A54"/>
    <w:rsid w:val="009B347D"/>
    <w:rsid w:val="009B3779"/>
    <w:rsid w:val="009B3976"/>
    <w:rsid w:val="009B3F46"/>
    <w:rsid w:val="009B4080"/>
    <w:rsid w:val="009B4685"/>
    <w:rsid w:val="009B4733"/>
    <w:rsid w:val="009B4E42"/>
    <w:rsid w:val="009B51F9"/>
    <w:rsid w:val="009B52E4"/>
    <w:rsid w:val="009B57DE"/>
    <w:rsid w:val="009B5997"/>
    <w:rsid w:val="009B5A8E"/>
    <w:rsid w:val="009B5F3B"/>
    <w:rsid w:val="009B5F9D"/>
    <w:rsid w:val="009B65BE"/>
    <w:rsid w:val="009B68F5"/>
    <w:rsid w:val="009B68FD"/>
    <w:rsid w:val="009B6B23"/>
    <w:rsid w:val="009B7045"/>
    <w:rsid w:val="009B72A2"/>
    <w:rsid w:val="009B780F"/>
    <w:rsid w:val="009B78D2"/>
    <w:rsid w:val="009B7ABD"/>
    <w:rsid w:val="009C037A"/>
    <w:rsid w:val="009C05CE"/>
    <w:rsid w:val="009C0AAB"/>
    <w:rsid w:val="009C0BD2"/>
    <w:rsid w:val="009C0C98"/>
    <w:rsid w:val="009C0F2C"/>
    <w:rsid w:val="009C10D1"/>
    <w:rsid w:val="009C1345"/>
    <w:rsid w:val="009C1A61"/>
    <w:rsid w:val="009C1D27"/>
    <w:rsid w:val="009C2168"/>
    <w:rsid w:val="009C21E0"/>
    <w:rsid w:val="009C224C"/>
    <w:rsid w:val="009C2532"/>
    <w:rsid w:val="009C2887"/>
    <w:rsid w:val="009C2AD1"/>
    <w:rsid w:val="009C2AE9"/>
    <w:rsid w:val="009C2D55"/>
    <w:rsid w:val="009C3114"/>
    <w:rsid w:val="009C3187"/>
    <w:rsid w:val="009C345F"/>
    <w:rsid w:val="009C364A"/>
    <w:rsid w:val="009C3BD9"/>
    <w:rsid w:val="009C3D8A"/>
    <w:rsid w:val="009C4194"/>
    <w:rsid w:val="009C43CB"/>
    <w:rsid w:val="009C4671"/>
    <w:rsid w:val="009C4808"/>
    <w:rsid w:val="009C486F"/>
    <w:rsid w:val="009C48A9"/>
    <w:rsid w:val="009C498D"/>
    <w:rsid w:val="009C53ED"/>
    <w:rsid w:val="009C57B4"/>
    <w:rsid w:val="009C5B82"/>
    <w:rsid w:val="009C5CC5"/>
    <w:rsid w:val="009C60E8"/>
    <w:rsid w:val="009C6122"/>
    <w:rsid w:val="009C66FA"/>
    <w:rsid w:val="009C6E1A"/>
    <w:rsid w:val="009C7286"/>
    <w:rsid w:val="009C7358"/>
    <w:rsid w:val="009C756E"/>
    <w:rsid w:val="009C7678"/>
    <w:rsid w:val="009C79D6"/>
    <w:rsid w:val="009C7A60"/>
    <w:rsid w:val="009C7BDA"/>
    <w:rsid w:val="009C7D66"/>
    <w:rsid w:val="009C7DCB"/>
    <w:rsid w:val="009C7EC5"/>
    <w:rsid w:val="009CD9CD"/>
    <w:rsid w:val="009D00CD"/>
    <w:rsid w:val="009D013A"/>
    <w:rsid w:val="009D0228"/>
    <w:rsid w:val="009D0381"/>
    <w:rsid w:val="009D04C1"/>
    <w:rsid w:val="009D04FD"/>
    <w:rsid w:val="009D0693"/>
    <w:rsid w:val="009D0795"/>
    <w:rsid w:val="009D0886"/>
    <w:rsid w:val="009D0AE4"/>
    <w:rsid w:val="009D0C6D"/>
    <w:rsid w:val="009D0EA9"/>
    <w:rsid w:val="009D1179"/>
    <w:rsid w:val="009D1240"/>
    <w:rsid w:val="009D1BEF"/>
    <w:rsid w:val="009D1C24"/>
    <w:rsid w:val="009D20CE"/>
    <w:rsid w:val="009D2102"/>
    <w:rsid w:val="009D21BE"/>
    <w:rsid w:val="009D2858"/>
    <w:rsid w:val="009D29DF"/>
    <w:rsid w:val="009D2F84"/>
    <w:rsid w:val="009D2FEE"/>
    <w:rsid w:val="009D31EC"/>
    <w:rsid w:val="009D3338"/>
    <w:rsid w:val="009D3918"/>
    <w:rsid w:val="009D3C3D"/>
    <w:rsid w:val="009D3CB0"/>
    <w:rsid w:val="009D3CF5"/>
    <w:rsid w:val="009D3E84"/>
    <w:rsid w:val="009D41C2"/>
    <w:rsid w:val="009D441D"/>
    <w:rsid w:val="009D463F"/>
    <w:rsid w:val="009D4F11"/>
    <w:rsid w:val="009D501C"/>
    <w:rsid w:val="009D521F"/>
    <w:rsid w:val="009D5288"/>
    <w:rsid w:val="009D580D"/>
    <w:rsid w:val="009D5DE3"/>
    <w:rsid w:val="009D5E0F"/>
    <w:rsid w:val="009D5E46"/>
    <w:rsid w:val="009D620B"/>
    <w:rsid w:val="009D63C9"/>
    <w:rsid w:val="009D66F9"/>
    <w:rsid w:val="009D6970"/>
    <w:rsid w:val="009D788B"/>
    <w:rsid w:val="009D78E1"/>
    <w:rsid w:val="009D7A63"/>
    <w:rsid w:val="009D7BA9"/>
    <w:rsid w:val="009D7CE1"/>
    <w:rsid w:val="009D7DAE"/>
    <w:rsid w:val="009D7F77"/>
    <w:rsid w:val="009E0009"/>
    <w:rsid w:val="009E06D2"/>
    <w:rsid w:val="009E0707"/>
    <w:rsid w:val="009E086F"/>
    <w:rsid w:val="009E0B50"/>
    <w:rsid w:val="009E1549"/>
    <w:rsid w:val="009E1726"/>
    <w:rsid w:val="009E1802"/>
    <w:rsid w:val="009E1871"/>
    <w:rsid w:val="009E1982"/>
    <w:rsid w:val="009E1999"/>
    <w:rsid w:val="009E1B0A"/>
    <w:rsid w:val="009E1B1B"/>
    <w:rsid w:val="009E1DD5"/>
    <w:rsid w:val="009E2475"/>
    <w:rsid w:val="009E25BD"/>
    <w:rsid w:val="009E293C"/>
    <w:rsid w:val="009E2AD3"/>
    <w:rsid w:val="009E2F1D"/>
    <w:rsid w:val="009E31D0"/>
    <w:rsid w:val="009E34AE"/>
    <w:rsid w:val="009E37DF"/>
    <w:rsid w:val="009E39DA"/>
    <w:rsid w:val="009E3BAF"/>
    <w:rsid w:val="009E3F9B"/>
    <w:rsid w:val="009E42CD"/>
    <w:rsid w:val="009E47E5"/>
    <w:rsid w:val="009E4B23"/>
    <w:rsid w:val="009E4C86"/>
    <w:rsid w:val="009E4DFD"/>
    <w:rsid w:val="009E4E33"/>
    <w:rsid w:val="009E4F0A"/>
    <w:rsid w:val="009E5402"/>
    <w:rsid w:val="009E54F8"/>
    <w:rsid w:val="009E554A"/>
    <w:rsid w:val="009E574C"/>
    <w:rsid w:val="009E59C5"/>
    <w:rsid w:val="009E6204"/>
    <w:rsid w:val="009E648C"/>
    <w:rsid w:val="009E67F7"/>
    <w:rsid w:val="009E688D"/>
    <w:rsid w:val="009E6D11"/>
    <w:rsid w:val="009E6D9A"/>
    <w:rsid w:val="009E6DB3"/>
    <w:rsid w:val="009E6F78"/>
    <w:rsid w:val="009E702A"/>
    <w:rsid w:val="009E7A4E"/>
    <w:rsid w:val="009E7C94"/>
    <w:rsid w:val="009E7FD1"/>
    <w:rsid w:val="009F0545"/>
    <w:rsid w:val="009F06C5"/>
    <w:rsid w:val="009F114E"/>
    <w:rsid w:val="009F1164"/>
    <w:rsid w:val="009F1196"/>
    <w:rsid w:val="009F146F"/>
    <w:rsid w:val="009F17E8"/>
    <w:rsid w:val="009F1FBC"/>
    <w:rsid w:val="009F20C4"/>
    <w:rsid w:val="009F210A"/>
    <w:rsid w:val="009F227F"/>
    <w:rsid w:val="009F2304"/>
    <w:rsid w:val="009F2901"/>
    <w:rsid w:val="009F2A96"/>
    <w:rsid w:val="009F2D47"/>
    <w:rsid w:val="009F2F1A"/>
    <w:rsid w:val="009F30BE"/>
    <w:rsid w:val="009F316B"/>
    <w:rsid w:val="009F3C75"/>
    <w:rsid w:val="009F3CED"/>
    <w:rsid w:val="009F3CF5"/>
    <w:rsid w:val="009F42D2"/>
    <w:rsid w:val="009F4658"/>
    <w:rsid w:val="009F46A7"/>
    <w:rsid w:val="009F47FE"/>
    <w:rsid w:val="009F4C6A"/>
    <w:rsid w:val="009F536D"/>
    <w:rsid w:val="009F5529"/>
    <w:rsid w:val="009F582B"/>
    <w:rsid w:val="009F5921"/>
    <w:rsid w:val="009F5952"/>
    <w:rsid w:val="009F6A5A"/>
    <w:rsid w:val="009F6C18"/>
    <w:rsid w:val="009F77B1"/>
    <w:rsid w:val="009F7852"/>
    <w:rsid w:val="009F7B86"/>
    <w:rsid w:val="009F7EF9"/>
    <w:rsid w:val="00A0037E"/>
    <w:rsid w:val="00A004A5"/>
    <w:rsid w:val="00A00682"/>
    <w:rsid w:val="00A007A7"/>
    <w:rsid w:val="00A00B76"/>
    <w:rsid w:val="00A00DE1"/>
    <w:rsid w:val="00A00F3E"/>
    <w:rsid w:val="00A0114E"/>
    <w:rsid w:val="00A01303"/>
    <w:rsid w:val="00A01332"/>
    <w:rsid w:val="00A014E3"/>
    <w:rsid w:val="00A0173B"/>
    <w:rsid w:val="00A01AE2"/>
    <w:rsid w:val="00A01AF7"/>
    <w:rsid w:val="00A01BC3"/>
    <w:rsid w:val="00A022C4"/>
    <w:rsid w:val="00A02565"/>
    <w:rsid w:val="00A028A1"/>
    <w:rsid w:val="00A02C4F"/>
    <w:rsid w:val="00A02E09"/>
    <w:rsid w:val="00A02F6E"/>
    <w:rsid w:val="00A030FD"/>
    <w:rsid w:val="00A03B2F"/>
    <w:rsid w:val="00A03CBD"/>
    <w:rsid w:val="00A04119"/>
    <w:rsid w:val="00A04426"/>
    <w:rsid w:val="00A04488"/>
    <w:rsid w:val="00A047C4"/>
    <w:rsid w:val="00A047EB"/>
    <w:rsid w:val="00A04A09"/>
    <w:rsid w:val="00A04A9B"/>
    <w:rsid w:val="00A04CA2"/>
    <w:rsid w:val="00A04EDB"/>
    <w:rsid w:val="00A04EE3"/>
    <w:rsid w:val="00A0503B"/>
    <w:rsid w:val="00A05555"/>
    <w:rsid w:val="00A055DB"/>
    <w:rsid w:val="00A05821"/>
    <w:rsid w:val="00A05A4C"/>
    <w:rsid w:val="00A05D1D"/>
    <w:rsid w:val="00A05E14"/>
    <w:rsid w:val="00A05EA2"/>
    <w:rsid w:val="00A05F28"/>
    <w:rsid w:val="00A05FF1"/>
    <w:rsid w:val="00A060A9"/>
    <w:rsid w:val="00A060B5"/>
    <w:rsid w:val="00A061D0"/>
    <w:rsid w:val="00A06212"/>
    <w:rsid w:val="00A0651B"/>
    <w:rsid w:val="00A0671B"/>
    <w:rsid w:val="00A06A92"/>
    <w:rsid w:val="00A06E2F"/>
    <w:rsid w:val="00A06E97"/>
    <w:rsid w:val="00A06EE8"/>
    <w:rsid w:val="00A076CC"/>
    <w:rsid w:val="00A07EC0"/>
    <w:rsid w:val="00A07F5E"/>
    <w:rsid w:val="00A10051"/>
    <w:rsid w:val="00A101BC"/>
    <w:rsid w:val="00A104B4"/>
    <w:rsid w:val="00A1068F"/>
    <w:rsid w:val="00A10CC6"/>
    <w:rsid w:val="00A10CCE"/>
    <w:rsid w:val="00A10CDE"/>
    <w:rsid w:val="00A10F25"/>
    <w:rsid w:val="00A1165C"/>
    <w:rsid w:val="00A11BA7"/>
    <w:rsid w:val="00A11F96"/>
    <w:rsid w:val="00A1209E"/>
    <w:rsid w:val="00A12214"/>
    <w:rsid w:val="00A122F6"/>
    <w:rsid w:val="00A123AF"/>
    <w:rsid w:val="00A1242C"/>
    <w:rsid w:val="00A125D6"/>
    <w:rsid w:val="00A12B21"/>
    <w:rsid w:val="00A12C45"/>
    <w:rsid w:val="00A12F0E"/>
    <w:rsid w:val="00A131BB"/>
    <w:rsid w:val="00A1369D"/>
    <w:rsid w:val="00A1377B"/>
    <w:rsid w:val="00A13876"/>
    <w:rsid w:val="00A140FB"/>
    <w:rsid w:val="00A1425D"/>
    <w:rsid w:val="00A149AC"/>
    <w:rsid w:val="00A14BE4"/>
    <w:rsid w:val="00A14E53"/>
    <w:rsid w:val="00A15540"/>
    <w:rsid w:val="00A15580"/>
    <w:rsid w:val="00A15A58"/>
    <w:rsid w:val="00A15ABB"/>
    <w:rsid w:val="00A15B7B"/>
    <w:rsid w:val="00A15DD7"/>
    <w:rsid w:val="00A16138"/>
    <w:rsid w:val="00A16449"/>
    <w:rsid w:val="00A16574"/>
    <w:rsid w:val="00A16668"/>
    <w:rsid w:val="00A168D3"/>
    <w:rsid w:val="00A16991"/>
    <w:rsid w:val="00A16C71"/>
    <w:rsid w:val="00A16D01"/>
    <w:rsid w:val="00A1731C"/>
    <w:rsid w:val="00A17936"/>
    <w:rsid w:val="00A17C74"/>
    <w:rsid w:val="00A2005B"/>
    <w:rsid w:val="00A205FA"/>
    <w:rsid w:val="00A2082A"/>
    <w:rsid w:val="00A20F7A"/>
    <w:rsid w:val="00A21209"/>
    <w:rsid w:val="00A21281"/>
    <w:rsid w:val="00A21DED"/>
    <w:rsid w:val="00A2227F"/>
    <w:rsid w:val="00A2236D"/>
    <w:rsid w:val="00A22758"/>
    <w:rsid w:val="00A22CD7"/>
    <w:rsid w:val="00A22CE5"/>
    <w:rsid w:val="00A22CFE"/>
    <w:rsid w:val="00A22EFC"/>
    <w:rsid w:val="00A22FA8"/>
    <w:rsid w:val="00A2322E"/>
    <w:rsid w:val="00A23324"/>
    <w:rsid w:val="00A234BF"/>
    <w:rsid w:val="00A237D6"/>
    <w:rsid w:val="00A23A6A"/>
    <w:rsid w:val="00A23F17"/>
    <w:rsid w:val="00A248A0"/>
    <w:rsid w:val="00A24D9F"/>
    <w:rsid w:val="00A25358"/>
    <w:rsid w:val="00A2580C"/>
    <w:rsid w:val="00A258DA"/>
    <w:rsid w:val="00A258FC"/>
    <w:rsid w:val="00A25B0E"/>
    <w:rsid w:val="00A25D5B"/>
    <w:rsid w:val="00A25DCE"/>
    <w:rsid w:val="00A2605F"/>
    <w:rsid w:val="00A2609C"/>
    <w:rsid w:val="00A26140"/>
    <w:rsid w:val="00A2637C"/>
    <w:rsid w:val="00A26389"/>
    <w:rsid w:val="00A26CB7"/>
    <w:rsid w:val="00A277DD"/>
    <w:rsid w:val="00A27C5A"/>
    <w:rsid w:val="00A27D05"/>
    <w:rsid w:val="00A27F32"/>
    <w:rsid w:val="00A27F6A"/>
    <w:rsid w:val="00A27FCD"/>
    <w:rsid w:val="00A3033A"/>
    <w:rsid w:val="00A303B8"/>
    <w:rsid w:val="00A30983"/>
    <w:rsid w:val="00A30D04"/>
    <w:rsid w:val="00A311BF"/>
    <w:rsid w:val="00A316CE"/>
    <w:rsid w:val="00A316FA"/>
    <w:rsid w:val="00A317D6"/>
    <w:rsid w:val="00A31C2F"/>
    <w:rsid w:val="00A31CB1"/>
    <w:rsid w:val="00A31EE6"/>
    <w:rsid w:val="00A32414"/>
    <w:rsid w:val="00A32587"/>
    <w:rsid w:val="00A327E3"/>
    <w:rsid w:val="00A32B09"/>
    <w:rsid w:val="00A32F21"/>
    <w:rsid w:val="00A33AFC"/>
    <w:rsid w:val="00A33CE1"/>
    <w:rsid w:val="00A342DA"/>
    <w:rsid w:val="00A344AE"/>
    <w:rsid w:val="00A34735"/>
    <w:rsid w:val="00A34CED"/>
    <w:rsid w:val="00A34DB1"/>
    <w:rsid w:val="00A35183"/>
    <w:rsid w:val="00A3586B"/>
    <w:rsid w:val="00A35B5A"/>
    <w:rsid w:val="00A35BFD"/>
    <w:rsid w:val="00A360F7"/>
    <w:rsid w:val="00A36198"/>
    <w:rsid w:val="00A361C3"/>
    <w:rsid w:val="00A3640E"/>
    <w:rsid w:val="00A3694B"/>
    <w:rsid w:val="00A36CBC"/>
    <w:rsid w:val="00A36D8D"/>
    <w:rsid w:val="00A37682"/>
    <w:rsid w:val="00A37692"/>
    <w:rsid w:val="00A377A9"/>
    <w:rsid w:val="00A37BFF"/>
    <w:rsid w:val="00A37FA3"/>
    <w:rsid w:val="00A4039A"/>
    <w:rsid w:val="00A406BD"/>
    <w:rsid w:val="00A40721"/>
    <w:rsid w:val="00A40D8C"/>
    <w:rsid w:val="00A40FAE"/>
    <w:rsid w:val="00A40FC7"/>
    <w:rsid w:val="00A41027"/>
    <w:rsid w:val="00A411FA"/>
    <w:rsid w:val="00A41332"/>
    <w:rsid w:val="00A41618"/>
    <w:rsid w:val="00A41624"/>
    <w:rsid w:val="00A41B92"/>
    <w:rsid w:val="00A41F01"/>
    <w:rsid w:val="00A41F27"/>
    <w:rsid w:val="00A421F0"/>
    <w:rsid w:val="00A4224F"/>
    <w:rsid w:val="00A42669"/>
    <w:rsid w:val="00A4277B"/>
    <w:rsid w:val="00A42C15"/>
    <w:rsid w:val="00A42D92"/>
    <w:rsid w:val="00A42DAF"/>
    <w:rsid w:val="00A430EA"/>
    <w:rsid w:val="00A433FD"/>
    <w:rsid w:val="00A43AD1"/>
    <w:rsid w:val="00A43F45"/>
    <w:rsid w:val="00A441DA"/>
    <w:rsid w:val="00A444F3"/>
    <w:rsid w:val="00A446EB"/>
    <w:rsid w:val="00A44758"/>
    <w:rsid w:val="00A44C3B"/>
    <w:rsid w:val="00A44EC1"/>
    <w:rsid w:val="00A45188"/>
    <w:rsid w:val="00A4531F"/>
    <w:rsid w:val="00A454B3"/>
    <w:rsid w:val="00A45563"/>
    <w:rsid w:val="00A4593C"/>
    <w:rsid w:val="00A45E52"/>
    <w:rsid w:val="00A46468"/>
    <w:rsid w:val="00A465FE"/>
    <w:rsid w:val="00A46652"/>
    <w:rsid w:val="00A466AE"/>
    <w:rsid w:val="00A46798"/>
    <w:rsid w:val="00A46883"/>
    <w:rsid w:val="00A46BB6"/>
    <w:rsid w:val="00A46CF1"/>
    <w:rsid w:val="00A46D15"/>
    <w:rsid w:val="00A46F81"/>
    <w:rsid w:val="00A47066"/>
    <w:rsid w:val="00A4713D"/>
    <w:rsid w:val="00A473B0"/>
    <w:rsid w:val="00A473B8"/>
    <w:rsid w:val="00A479D9"/>
    <w:rsid w:val="00A47A9C"/>
    <w:rsid w:val="00A47BED"/>
    <w:rsid w:val="00A47F6B"/>
    <w:rsid w:val="00A47F9B"/>
    <w:rsid w:val="00A50B42"/>
    <w:rsid w:val="00A50C65"/>
    <w:rsid w:val="00A50D19"/>
    <w:rsid w:val="00A50E22"/>
    <w:rsid w:val="00A513D3"/>
    <w:rsid w:val="00A5157A"/>
    <w:rsid w:val="00A518A6"/>
    <w:rsid w:val="00A51901"/>
    <w:rsid w:val="00A51BA6"/>
    <w:rsid w:val="00A51CB7"/>
    <w:rsid w:val="00A51FFB"/>
    <w:rsid w:val="00A520A0"/>
    <w:rsid w:val="00A522BE"/>
    <w:rsid w:val="00A52360"/>
    <w:rsid w:val="00A52584"/>
    <w:rsid w:val="00A52C7E"/>
    <w:rsid w:val="00A52D45"/>
    <w:rsid w:val="00A52D57"/>
    <w:rsid w:val="00A52EFB"/>
    <w:rsid w:val="00A5323B"/>
    <w:rsid w:val="00A53800"/>
    <w:rsid w:val="00A53DE1"/>
    <w:rsid w:val="00A54277"/>
    <w:rsid w:val="00A543E0"/>
    <w:rsid w:val="00A54483"/>
    <w:rsid w:val="00A545E4"/>
    <w:rsid w:val="00A546CE"/>
    <w:rsid w:val="00A5497E"/>
    <w:rsid w:val="00A54A59"/>
    <w:rsid w:val="00A54CE5"/>
    <w:rsid w:val="00A54E6F"/>
    <w:rsid w:val="00A54FB4"/>
    <w:rsid w:val="00A5511D"/>
    <w:rsid w:val="00A5516B"/>
    <w:rsid w:val="00A5548D"/>
    <w:rsid w:val="00A554C3"/>
    <w:rsid w:val="00A55530"/>
    <w:rsid w:val="00A55731"/>
    <w:rsid w:val="00A5592E"/>
    <w:rsid w:val="00A55A74"/>
    <w:rsid w:val="00A56172"/>
    <w:rsid w:val="00A564B5"/>
    <w:rsid w:val="00A56636"/>
    <w:rsid w:val="00A5670D"/>
    <w:rsid w:val="00A56876"/>
    <w:rsid w:val="00A5690D"/>
    <w:rsid w:val="00A56AD9"/>
    <w:rsid w:val="00A56D95"/>
    <w:rsid w:val="00A56DE0"/>
    <w:rsid w:val="00A570BA"/>
    <w:rsid w:val="00A57580"/>
    <w:rsid w:val="00A57748"/>
    <w:rsid w:val="00A577A2"/>
    <w:rsid w:val="00A577C3"/>
    <w:rsid w:val="00A5780D"/>
    <w:rsid w:val="00A578AF"/>
    <w:rsid w:val="00A5793C"/>
    <w:rsid w:val="00A579A6"/>
    <w:rsid w:val="00A57A3B"/>
    <w:rsid w:val="00A57DE3"/>
    <w:rsid w:val="00A57E31"/>
    <w:rsid w:val="00A600C8"/>
    <w:rsid w:val="00A604C8"/>
    <w:rsid w:val="00A6056D"/>
    <w:rsid w:val="00A607A9"/>
    <w:rsid w:val="00A60876"/>
    <w:rsid w:val="00A60F10"/>
    <w:rsid w:val="00A612C3"/>
    <w:rsid w:val="00A618F5"/>
    <w:rsid w:val="00A61A76"/>
    <w:rsid w:val="00A6252D"/>
    <w:rsid w:val="00A62B55"/>
    <w:rsid w:val="00A62D7B"/>
    <w:rsid w:val="00A63039"/>
    <w:rsid w:val="00A6318D"/>
    <w:rsid w:val="00A63306"/>
    <w:rsid w:val="00A6384E"/>
    <w:rsid w:val="00A63C18"/>
    <w:rsid w:val="00A63F40"/>
    <w:rsid w:val="00A6486D"/>
    <w:rsid w:val="00A64B8E"/>
    <w:rsid w:val="00A64DA1"/>
    <w:rsid w:val="00A6526F"/>
    <w:rsid w:val="00A65620"/>
    <w:rsid w:val="00A660DF"/>
    <w:rsid w:val="00A662DC"/>
    <w:rsid w:val="00A66522"/>
    <w:rsid w:val="00A67150"/>
    <w:rsid w:val="00A6741B"/>
    <w:rsid w:val="00A675B8"/>
    <w:rsid w:val="00A67D58"/>
    <w:rsid w:val="00A67D93"/>
    <w:rsid w:val="00A67EE0"/>
    <w:rsid w:val="00A703FC"/>
    <w:rsid w:val="00A70A33"/>
    <w:rsid w:val="00A70D8C"/>
    <w:rsid w:val="00A71222"/>
    <w:rsid w:val="00A71409"/>
    <w:rsid w:val="00A71615"/>
    <w:rsid w:val="00A716DE"/>
    <w:rsid w:val="00A71918"/>
    <w:rsid w:val="00A71976"/>
    <w:rsid w:val="00A71F08"/>
    <w:rsid w:val="00A7220A"/>
    <w:rsid w:val="00A724EE"/>
    <w:rsid w:val="00A72620"/>
    <w:rsid w:val="00A7285E"/>
    <w:rsid w:val="00A72B00"/>
    <w:rsid w:val="00A72BE2"/>
    <w:rsid w:val="00A733B3"/>
    <w:rsid w:val="00A7403E"/>
    <w:rsid w:val="00A74226"/>
    <w:rsid w:val="00A7461C"/>
    <w:rsid w:val="00A74FB6"/>
    <w:rsid w:val="00A751F3"/>
    <w:rsid w:val="00A75381"/>
    <w:rsid w:val="00A753A8"/>
    <w:rsid w:val="00A756AA"/>
    <w:rsid w:val="00A757B0"/>
    <w:rsid w:val="00A7593D"/>
    <w:rsid w:val="00A75F6A"/>
    <w:rsid w:val="00A76891"/>
    <w:rsid w:val="00A76925"/>
    <w:rsid w:val="00A76BC9"/>
    <w:rsid w:val="00A76CEB"/>
    <w:rsid w:val="00A76EA1"/>
    <w:rsid w:val="00A7713C"/>
    <w:rsid w:val="00A7719F"/>
    <w:rsid w:val="00A772BD"/>
    <w:rsid w:val="00A776A4"/>
    <w:rsid w:val="00A779C3"/>
    <w:rsid w:val="00A77B06"/>
    <w:rsid w:val="00A80022"/>
    <w:rsid w:val="00A8005F"/>
    <w:rsid w:val="00A80300"/>
    <w:rsid w:val="00A80376"/>
    <w:rsid w:val="00A8049D"/>
    <w:rsid w:val="00A80715"/>
    <w:rsid w:val="00A809CF"/>
    <w:rsid w:val="00A80BEA"/>
    <w:rsid w:val="00A80CA8"/>
    <w:rsid w:val="00A80CE0"/>
    <w:rsid w:val="00A80E68"/>
    <w:rsid w:val="00A811A3"/>
    <w:rsid w:val="00A81A96"/>
    <w:rsid w:val="00A822C2"/>
    <w:rsid w:val="00A82389"/>
    <w:rsid w:val="00A82828"/>
    <w:rsid w:val="00A82990"/>
    <w:rsid w:val="00A831FF"/>
    <w:rsid w:val="00A836C2"/>
    <w:rsid w:val="00A841D9"/>
    <w:rsid w:val="00A846E4"/>
    <w:rsid w:val="00A84CB3"/>
    <w:rsid w:val="00A84D20"/>
    <w:rsid w:val="00A84D3E"/>
    <w:rsid w:val="00A84F56"/>
    <w:rsid w:val="00A850FB"/>
    <w:rsid w:val="00A8516D"/>
    <w:rsid w:val="00A85C88"/>
    <w:rsid w:val="00A85FAC"/>
    <w:rsid w:val="00A863E9"/>
    <w:rsid w:val="00A86463"/>
    <w:rsid w:val="00A864E2"/>
    <w:rsid w:val="00A866BE"/>
    <w:rsid w:val="00A866DA"/>
    <w:rsid w:val="00A8683E"/>
    <w:rsid w:val="00A86899"/>
    <w:rsid w:val="00A86A20"/>
    <w:rsid w:val="00A86D1A"/>
    <w:rsid w:val="00A86EFE"/>
    <w:rsid w:val="00A87790"/>
    <w:rsid w:val="00A87A75"/>
    <w:rsid w:val="00A87E71"/>
    <w:rsid w:val="00A90040"/>
    <w:rsid w:val="00A90280"/>
    <w:rsid w:val="00A90401"/>
    <w:rsid w:val="00A9043C"/>
    <w:rsid w:val="00A90471"/>
    <w:rsid w:val="00A90CE5"/>
    <w:rsid w:val="00A9112C"/>
    <w:rsid w:val="00A91409"/>
    <w:rsid w:val="00A9157A"/>
    <w:rsid w:val="00A91808"/>
    <w:rsid w:val="00A91DC7"/>
    <w:rsid w:val="00A91F15"/>
    <w:rsid w:val="00A921E3"/>
    <w:rsid w:val="00A922DB"/>
    <w:rsid w:val="00A922DC"/>
    <w:rsid w:val="00A923AD"/>
    <w:rsid w:val="00A92459"/>
    <w:rsid w:val="00A933BD"/>
    <w:rsid w:val="00A93550"/>
    <w:rsid w:val="00A9386A"/>
    <w:rsid w:val="00A93876"/>
    <w:rsid w:val="00A939C3"/>
    <w:rsid w:val="00A93C4C"/>
    <w:rsid w:val="00A93D11"/>
    <w:rsid w:val="00A9432D"/>
    <w:rsid w:val="00A944C4"/>
    <w:rsid w:val="00A94AF6"/>
    <w:rsid w:val="00A94D20"/>
    <w:rsid w:val="00A94DC7"/>
    <w:rsid w:val="00A95119"/>
    <w:rsid w:val="00A95166"/>
    <w:rsid w:val="00A95681"/>
    <w:rsid w:val="00A95B3F"/>
    <w:rsid w:val="00A965BF"/>
    <w:rsid w:val="00A967E7"/>
    <w:rsid w:val="00A968A9"/>
    <w:rsid w:val="00A968F9"/>
    <w:rsid w:val="00A96A8B"/>
    <w:rsid w:val="00A96C90"/>
    <w:rsid w:val="00A9722A"/>
    <w:rsid w:val="00A9752B"/>
    <w:rsid w:val="00A97659"/>
    <w:rsid w:val="00A97775"/>
    <w:rsid w:val="00A97867"/>
    <w:rsid w:val="00A97875"/>
    <w:rsid w:val="00A97D75"/>
    <w:rsid w:val="00A97DAA"/>
    <w:rsid w:val="00AA011C"/>
    <w:rsid w:val="00AA038A"/>
    <w:rsid w:val="00AA042C"/>
    <w:rsid w:val="00AA058D"/>
    <w:rsid w:val="00AA0854"/>
    <w:rsid w:val="00AA08E8"/>
    <w:rsid w:val="00AA0DB3"/>
    <w:rsid w:val="00AA0DC9"/>
    <w:rsid w:val="00AA106E"/>
    <w:rsid w:val="00AA14FD"/>
    <w:rsid w:val="00AA159E"/>
    <w:rsid w:val="00AA1A99"/>
    <w:rsid w:val="00AA1AD8"/>
    <w:rsid w:val="00AA2461"/>
    <w:rsid w:val="00AA257F"/>
    <w:rsid w:val="00AA2865"/>
    <w:rsid w:val="00AA2F1E"/>
    <w:rsid w:val="00AA3370"/>
    <w:rsid w:val="00AA3536"/>
    <w:rsid w:val="00AA3A9B"/>
    <w:rsid w:val="00AA3BF1"/>
    <w:rsid w:val="00AA41EF"/>
    <w:rsid w:val="00AA4232"/>
    <w:rsid w:val="00AA49EA"/>
    <w:rsid w:val="00AA4A02"/>
    <w:rsid w:val="00AA4B95"/>
    <w:rsid w:val="00AA5410"/>
    <w:rsid w:val="00AA543A"/>
    <w:rsid w:val="00AA550F"/>
    <w:rsid w:val="00AA557B"/>
    <w:rsid w:val="00AA5CE7"/>
    <w:rsid w:val="00AA601E"/>
    <w:rsid w:val="00AA6305"/>
    <w:rsid w:val="00AA64C0"/>
    <w:rsid w:val="00AA6A29"/>
    <w:rsid w:val="00AA6CFD"/>
    <w:rsid w:val="00AA6DCE"/>
    <w:rsid w:val="00AA7131"/>
    <w:rsid w:val="00AA724F"/>
    <w:rsid w:val="00AA72D0"/>
    <w:rsid w:val="00AA7519"/>
    <w:rsid w:val="00AA7AE9"/>
    <w:rsid w:val="00AA7CA8"/>
    <w:rsid w:val="00AB0286"/>
    <w:rsid w:val="00AB0603"/>
    <w:rsid w:val="00AB0841"/>
    <w:rsid w:val="00AB0B70"/>
    <w:rsid w:val="00AB0C8F"/>
    <w:rsid w:val="00AB10DF"/>
    <w:rsid w:val="00AB13BE"/>
    <w:rsid w:val="00AB15BF"/>
    <w:rsid w:val="00AB1816"/>
    <w:rsid w:val="00AB1A26"/>
    <w:rsid w:val="00AB1C37"/>
    <w:rsid w:val="00AB209F"/>
    <w:rsid w:val="00AB21C6"/>
    <w:rsid w:val="00AB230F"/>
    <w:rsid w:val="00AB27A5"/>
    <w:rsid w:val="00AB2841"/>
    <w:rsid w:val="00AB2B76"/>
    <w:rsid w:val="00AB2E37"/>
    <w:rsid w:val="00AB32EC"/>
    <w:rsid w:val="00AB336E"/>
    <w:rsid w:val="00AB3789"/>
    <w:rsid w:val="00AB38D2"/>
    <w:rsid w:val="00AB3AEC"/>
    <w:rsid w:val="00AB3AFE"/>
    <w:rsid w:val="00AB3DB2"/>
    <w:rsid w:val="00AB4216"/>
    <w:rsid w:val="00AB4A96"/>
    <w:rsid w:val="00AB4AEF"/>
    <w:rsid w:val="00AB50A9"/>
    <w:rsid w:val="00AB50FB"/>
    <w:rsid w:val="00AB53F2"/>
    <w:rsid w:val="00AB54B4"/>
    <w:rsid w:val="00AB56AC"/>
    <w:rsid w:val="00AB572D"/>
    <w:rsid w:val="00AB5BB4"/>
    <w:rsid w:val="00AB5E1A"/>
    <w:rsid w:val="00AB5EA2"/>
    <w:rsid w:val="00AB6628"/>
    <w:rsid w:val="00AB66B4"/>
    <w:rsid w:val="00AB6C2E"/>
    <w:rsid w:val="00AB7208"/>
    <w:rsid w:val="00AB7338"/>
    <w:rsid w:val="00AB75E8"/>
    <w:rsid w:val="00AB7749"/>
    <w:rsid w:val="00AB7858"/>
    <w:rsid w:val="00AB78CC"/>
    <w:rsid w:val="00AB79B5"/>
    <w:rsid w:val="00AB7B32"/>
    <w:rsid w:val="00AB7B72"/>
    <w:rsid w:val="00AB7C7F"/>
    <w:rsid w:val="00AB7E99"/>
    <w:rsid w:val="00AB7F47"/>
    <w:rsid w:val="00AB7FE8"/>
    <w:rsid w:val="00AC009C"/>
    <w:rsid w:val="00AC065E"/>
    <w:rsid w:val="00AC0B7F"/>
    <w:rsid w:val="00AC1121"/>
    <w:rsid w:val="00AC13C6"/>
    <w:rsid w:val="00AC184A"/>
    <w:rsid w:val="00AC18F1"/>
    <w:rsid w:val="00AC1B5E"/>
    <w:rsid w:val="00AC1F60"/>
    <w:rsid w:val="00AC20DC"/>
    <w:rsid w:val="00AC21E6"/>
    <w:rsid w:val="00AC241C"/>
    <w:rsid w:val="00AC296C"/>
    <w:rsid w:val="00AC2A04"/>
    <w:rsid w:val="00AC315F"/>
    <w:rsid w:val="00AC31C9"/>
    <w:rsid w:val="00AC341A"/>
    <w:rsid w:val="00AC37E6"/>
    <w:rsid w:val="00AC43AE"/>
    <w:rsid w:val="00AC4474"/>
    <w:rsid w:val="00AC4631"/>
    <w:rsid w:val="00AC4FE8"/>
    <w:rsid w:val="00AC541D"/>
    <w:rsid w:val="00AC54F2"/>
    <w:rsid w:val="00AC587E"/>
    <w:rsid w:val="00AC58F9"/>
    <w:rsid w:val="00AC5B87"/>
    <w:rsid w:val="00AC5C52"/>
    <w:rsid w:val="00AC5C70"/>
    <w:rsid w:val="00AC5E03"/>
    <w:rsid w:val="00AC62E9"/>
    <w:rsid w:val="00AC6357"/>
    <w:rsid w:val="00AC65E9"/>
    <w:rsid w:val="00AC6944"/>
    <w:rsid w:val="00AC6A21"/>
    <w:rsid w:val="00AC6E50"/>
    <w:rsid w:val="00AC6F7D"/>
    <w:rsid w:val="00AC720A"/>
    <w:rsid w:val="00AC7405"/>
    <w:rsid w:val="00AC7EA1"/>
    <w:rsid w:val="00AC7F52"/>
    <w:rsid w:val="00AD010B"/>
    <w:rsid w:val="00AD052E"/>
    <w:rsid w:val="00AD058F"/>
    <w:rsid w:val="00AD07F1"/>
    <w:rsid w:val="00AD08D5"/>
    <w:rsid w:val="00AD0B8D"/>
    <w:rsid w:val="00AD1387"/>
    <w:rsid w:val="00AD1567"/>
    <w:rsid w:val="00AD1729"/>
    <w:rsid w:val="00AD197D"/>
    <w:rsid w:val="00AD1A8F"/>
    <w:rsid w:val="00AD1C62"/>
    <w:rsid w:val="00AD23C5"/>
    <w:rsid w:val="00AD271E"/>
    <w:rsid w:val="00AD2AA9"/>
    <w:rsid w:val="00AD2B49"/>
    <w:rsid w:val="00AD2CC8"/>
    <w:rsid w:val="00AD2D25"/>
    <w:rsid w:val="00AD2D78"/>
    <w:rsid w:val="00AD2D96"/>
    <w:rsid w:val="00AD2EED"/>
    <w:rsid w:val="00AD32DB"/>
    <w:rsid w:val="00AD331B"/>
    <w:rsid w:val="00AD356B"/>
    <w:rsid w:val="00AD3BE6"/>
    <w:rsid w:val="00AD3BE7"/>
    <w:rsid w:val="00AD3CF7"/>
    <w:rsid w:val="00AD3ECA"/>
    <w:rsid w:val="00AD3F9B"/>
    <w:rsid w:val="00AD4862"/>
    <w:rsid w:val="00AD4945"/>
    <w:rsid w:val="00AD4DAD"/>
    <w:rsid w:val="00AD50CA"/>
    <w:rsid w:val="00AD54E8"/>
    <w:rsid w:val="00AD56B0"/>
    <w:rsid w:val="00AD58DD"/>
    <w:rsid w:val="00AD5B09"/>
    <w:rsid w:val="00AD5C0A"/>
    <w:rsid w:val="00AD5C6B"/>
    <w:rsid w:val="00AD5EF4"/>
    <w:rsid w:val="00AD60EA"/>
    <w:rsid w:val="00AD6242"/>
    <w:rsid w:val="00AD6257"/>
    <w:rsid w:val="00AD67D4"/>
    <w:rsid w:val="00AD6C1B"/>
    <w:rsid w:val="00AD6EA5"/>
    <w:rsid w:val="00AD72F0"/>
    <w:rsid w:val="00AD77EC"/>
    <w:rsid w:val="00AD787F"/>
    <w:rsid w:val="00AD7A1B"/>
    <w:rsid w:val="00AD7C8A"/>
    <w:rsid w:val="00AD7FA3"/>
    <w:rsid w:val="00AE010C"/>
    <w:rsid w:val="00AE0161"/>
    <w:rsid w:val="00AE040F"/>
    <w:rsid w:val="00AE0ACD"/>
    <w:rsid w:val="00AE0D25"/>
    <w:rsid w:val="00AE155B"/>
    <w:rsid w:val="00AE17AC"/>
    <w:rsid w:val="00AE1A62"/>
    <w:rsid w:val="00AE1FCE"/>
    <w:rsid w:val="00AE20A8"/>
    <w:rsid w:val="00AE274B"/>
    <w:rsid w:val="00AE280E"/>
    <w:rsid w:val="00AE294A"/>
    <w:rsid w:val="00AE2A0C"/>
    <w:rsid w:val="00AE2BB2"/>
    <w:rsid w:val="00AE2C74"/>
    <w:rsid w:val="00AE2C7F"/>
    <w:rsid w:val="00AE2EF7"/>
    <w:rsid w:val="00AE3601"/>
    <w:rsid w:val="00AE3A8C"/>
    <w:rsid w:val="00AE3AB0"/>
    <w:rsid w:val="00AE3C8C"/>
    <w:rsid w:val="00AE3F16"/>
    <w:rsid w:val="00AE4331"/>
    <w:rsid w:val="00AE4414"/>
    <w:rsid w:val="00AE478B"/>
    <w:rsid w:val="00AE47FC"/>
    <w:rsid w:val="00AE4C99"/>
    <w:rsid w:val="00AE50E3"/>
    <w:rsid w:val="00AE52BE"/>
    <w:rsid w:val="00AE5548"/>
    <w:rsid w:val="00AE5C5F"/>
    <w:rsid w:val="00AE5CFC"/>
    <w:rsid w:val="00AE5E76"/>
    <w:rsid w:val="00AE60C5"/>
    <w:rsid w:val="00AE614D"/>
    <w:rsid w:val="00AE6318"/>
    <w:rsid w:val="00AE6366"/>
    <w:rsid w:val="00AE6369"/>
    <w:rsid w:val="00AE637B"/>
    <w:rsid w:val="00AE667A"/>
    <w:rsid w:val="00AE6E27"/>
    <w:rsid w:val="00AE70B0"/>
    <w:rsid w:val="00AE7175"/>
    <w:rsid w:val="00AE746F"/>
    <w:rsid w:val="00AE74ED"/>
    <w:rsid w:val="00AE7662"/>
    <w:rsid w:val="00AE779B"/>
    <w:rsid w:val="00AE7849"/>
    <w:rsid w:val="00AE7977"/>
    <w:rsid w:val="00AE7A02"/>
    <w:rsid w:val="00AE7B14"/>
    <w:rsid w:val="00AE7D89"/>
    <w:rsid w:val="00AE7F3E"/>
    <w:rsid w:val="00AF0041"/>
    <w:rsid w:val="00AF05B8"/>
    <w:rsid w:val="00AF1039"/>
    <w:rsid w:val="00AF173F"/>
    <w:rsid w:val="00AF18AC"/>
    <w:rsid w:val="00AF18D3"/>
    <w:rsid w:val="00AF1A2A"/>
    <w:rsid w:val="00AF1BB0"/>
    <w:rsid w:val="00AF1F10"/>
    <w:rsid w:val="00AF2240"/>
    <w:rsid w:val="00AF249F"/>
    <w:rsid w:val="00AF280F"/>
    <w:rsid w:val="00AF282C"/>
    <w:rsid w:val="00AF2DDD"/>
    <w:rsid w:val="00AF2F6F"/>
    <w:rsid w:val="00AF367C"/>
    <w:rsid w:val="00AF374F"/>
    <w:rsid w:val="00AF3D39"/>
    <w:rsid w:val="00AF418F"/>
    <w:rsid w:val="00AF45AA"/>
    <w:rsid w:val="00AF48DA"/>
    <w:rsid w:val="00AF497B"/>
    <w:rsid w:val="00AF4FB1"/>
    <w:rsid w:val="00AF50CE"/>
    <w:rsid w:val="00AF5246"/>
    <w:rsid w:val="00AF5995"/>
    <w:rsid w:val="00AF59B5"/>
    <w:rsid w:val="00AF5DC2"/>
    <w:rsid w:val="00AF6091"/>
    <w:rsid w:val="00AF60BF"/>
    <w:rsid w:val="00AF61AA"/>
    <w:rsid w:val="00AF61DF"/>
    <w:rsid w:val="00AF666C"/>
    <w:rsid w:val="00AF66E1"/>
    <w:rsid w:val="00AF6757"/>
    <w:rsid w:val="00AF682D"/>
    <w:rsid w:val="00AF6A4C"/>
    <w:rsid w:val="00AF70FC"/>
    <w:rsid w:val="00AF74DA"/>
    <w:rsid w:val="00AF769C"/>
    <w:rsid w:val="00AF7881"/>
    <w:rsid w:val="00B0011F"/>
    <w:rsid w:val="00B0053D"/>
    <w:rsid w:val="00B006B5"/>
    <w:rsid w:val="00B0154B"/>
    <w:rsid w:val="00B0190D"/>
    <w:rsid w:val="00B01D8D"/>
    <w:rsid w:val="00B02183"/>
    <w:rsid w:val="00B021C9"/>
    <w:rsid w:val="00B02273"/>
    <w:rsid w:val="00B025D7"/>
    <w:rsid w:val="00B031FF"/>
    <w:rsid w:val="00B03B3E"/>
    <w:rsid w:val="00B04778"/>
    <w:rsid w:val="00B047C2"/>
    <w:rsid w:val="00B049D0"/>
    <w:rsid w:val="00B04CB1"/>
    <w:rsid w:val="00B05061"/>
    <w:rsid w:val="00B0537F"/>
    <w:rsid w:val="00B05389"/>
    <w:rsid w:val="00B05473"/>
    <w:rsid w:val="00B0550C"/>
    <w:rsid w:val="00B05635"/>
    <w:rsid w:val="00B0571E"/>
    <w:rsid w:val="00B059A1"/>
    <w:rsid w:val="00B05DCA"/>
    <w:rsid w:val="00B06514"/>
    <w:rsid w:val="00B069E7"/>
    <w:rsid w:val="00B06A2C"/>
    <w:rsid w:val="00B06EF0"/>
    <w:rsid w:val="00B07000"/>
    <w:rsid w:val="00B07449"/>
    <w:rsid w:val="00B07553"/>
    <w:rsid w:val="00B07620"/>
    <w:rsid w:val="00B0770B"/>
    <w:rsid w:val="00B07940"/>
    <w:rsid w:val="00B07F1F"/>
    <w:rsid w:val="00B07F24"/>
    <w:rsid w:val="00B10195"/>
    <w:rsid w:val="00B106A9"/>
    <w:rsid w:val="00B106F6"/>
    <w:rsid w:val="00B10E72"/>
    <w:rsid w:val="00B10F2F"/>
    <w:rsid w:val="00B11112"/>
    <w:rsid w:val="00B11324"/>
    <w:rsid w:val="00B1177C"/>
    <w:rsid w:val="00B11813"/>
    <w:rsid w:val="00B11989"/>
    <w:rsid w:val="00B11DA2"/>
    <w:rsid w:val="00B1214E"/>
    <w:rsid w:val="00B12180"/>
    <w:rsid w:val="00B121A1"/>
    <w:rsid w:val="00B12231"/>
    <w:rsid w:val="00B12354"/>
    <w:rsid w:val="00B123BC"/>
    <w:rsid w:val="00B124AE"/>
    <w:rsid w:val="00B126F6"/>
    <w:rsid w:val="00B1273D"/>
    <w:rsid w:val="00B1289A"/>
    <w:rsid w:val="00B128BF"/>
    <w:rsid w:val="00B12912"/>
    <w:rsid w:val="00B1314F"/>
    <w:rsid w:val="00B13327"/>
    <w:rsid w:val="00B13BE7"/>
    <w:rsid w:val="00B1417E"/>
    <w:rsid w:val="00B1442F"/>
    <w:rsid w:val="00B14E59"/>
    <w:rsid w:val="00B151CF"/>
    <w:rsid w:val="00B158B8"/>
    <w:rsid w:val="00B15AE5"/>
    <w:rsid w:val="00B15FBF"/>
    <w:rsid w:val="00B1690F"/>
    <w:rsid w:val="00B16D0B"/>
    <w:rsid w:val="00B16EA5"/>
    <w:rsid w:val="00B16EC0"/>
    <w:rsid w:val="00B170E7"/>
    <w:rsid w:val="00B1711B"/>
    <w:rsid w:val="00B171DD"/>
    <w:rsid w:val="00B1773E"/>
    <w:rsid w:val="00B178AB"/>
    <w:rsid w:val="00B17DAA"/>
    <w:rsid w:val="00B17FEA"/>
    <w:rsid w:val="00B2012E"/>
    <w:rsid w:val="00B20445"/>
    <w:rsid w:val="00B20AA0"/>
    <w:rsid w:val="00B20BA9"/>
    <w:rsid w:val="00B20F28"/>
    <w:rsid w:val="00B21480"/>
    <w:rsid w:val="00B214C0"/>
    <w:rsid w:val="00B215A9"/>
    <w:rsid w:val="00B21704"/>
    <w:rsid w:val="00B21A0F"/>
    <w:rsid w:val="00B21C1E"/>
    <w:rsid w:val="00B21E1B"/>
    <w:rsid w:val="00B22776"/>
    <w:rsid w:val="00B22AC8"/>
    <w:rsid w:val="00B22B55"/>
    <w:rsid w:val="00B22F4A"/>
    <w:rsid w:val="00B2396F"/>
    <w:rsid w:val="00B23F72"/>
    <w:rsid w:val="00B240C1"/>
    <w:rsid w:val="00B240F3"/>
    <w:rsid w:val="00B2416C"/>
    <w:rsid w:val="00B2457D"/>
    <w:rsid w:val="00B247AD"/>
    <w:rsid w:val="00B24CB8"/>
    <w:rsid w:val="00B24E55"/>
    <w:rsid w:val="00B24F03"/>
    <w:rsid w:val="00B24F50"/>
    <w:rsid w:val="00B24F91"/>
    <w:rsid w:val="00B25098"/>
    <w:rsid w:val="00B250FF"/>
    <w:rsid w:val="00B2529D"/>
    <w:rsid w:val="00B25537"/>
    <w:rsid w:val="00B25664"/>
    <w:rsid w:val="00B25D05"/>
    <w:rsid w:val="00B25ED0"/>
    <w:rsid w:val="00B25F22"/>
    <w:rsid w:val="00B26057"/>
    <w:rsid w:val="00B26296"/>
    <w:rsid w:val="00B26622"/>
    <w:rsid w:val="00B2662C"/>
    <w:rsid w:val="00B26669"/>
    <w:rsid w:val="00B26973"/>
    <w:rsid w:val="00B269B2"/>
    <w:rsid w:val="00B26CEB"/>
    <w:rsid w:val="00B2718A"/>
    <w:rsid w:val="00B2764E"/>
    <w:rsid w:val="00B276B4"/>
    <w:rsid w:val="00B2772C"/>
    <w:rsid w:val="00B27874"/>
    <w:rsid w:val="00B27BC7"/>
    <w:rsid w:val="00B27D4B"/>
    <w:rsid w:val="00B30105"/>
    <w:rsid w:val="00B3026B"/>
    <w:rsid w:val="00B30356"/>
    <w:rsid w:val="00B303F6"/>
    <w:rsid w:val="00B30430"/>
    <w:rsid w:val="00B3059C"/>
    <w:rsid w:val="00B307B7"/>
    <w:rsid w:val="00B31252"/>
    <w:rsid w:val="00B318D5"/>
    <w:rsid w:val="00B318E6"/>
    <w:rsid w:val="00B31A98"/>
    <w:rsid w:val="00B31B21"/>
    <w:rsid w:val="00B31BD2"/>
    <w:rsid w:val="00B31BFC"/>
    <w:rsid w:val="00B31CA0"/>
    <w:rsid w:val="00B32454"/>
    <w:rsid w:val="00B3246A"/>
    <w:rsid w:val="00B3282C"/>
    <w:rsid w:val="00B32901"/>
    <w:rsid w:val="00B32E1F"/>
    <w:rsid w:val="00B336C8"/>
    <w:rsid w:val="00B33B9F"/>
    <w:rsid w:val="00B33C97"/>
    <w:rsid w:val="00B33F87"/>
    <w:rsid w:val="00B3404E"/>
    <w:rsid w:val="00B34303"/>
    <w:rsid w:val="00B34589"/>
    <w:rsid w:val="00B3460F"/>
    <w:rsid w:val="00B3481B"/>
    <w:rsid w:val="00B3491F"/>
    <w:rsid w:val="00B34A36"/>
    <w:rsid w:val="00B34E6E"/>
    <w:rsid w:val="00B350B5"/>
    <w:rsid w:val="00B351C4"/>
    <w:rsid w:val="00B353AA"/>
    <w:rsid w:val="00B3575C"/>
    <w:rsid w:val="00B35A0C"/>
    <w:rsid w:val="00B35ADC"/>
    <w:rsid w:val="00B36028"/>
    <w:rsid w:val="00B3611A"/>
    <w:rsid w:val="00B36283"/>
    <w:rsid w:val="00B36590"/>
    <w:rsid w:val="00B3697A"/>
    <w:rsid w:val="00B36D11"/>
    <w:rsid w:val="00B36F52"/>
    <w:rsid w:val="00B36FC9"/>
    <w:rsid w:val="00B37541"/>
    <w:rsid w:val="00B375B9"/>
    <w:rsid w:val="00B377EB"/>
    <w:rsid w:val="00B37A4E"/>
    <w:rsid w:val="00B37D66"/>
    <w:rsid w:val="00B37FDC"/>
    <w:rsid w:val="00B40064"/>
    <w:rsid w:val="00B40516"/>
    <w:rsid w:val="00B405EA"/>
    <w:rsid w:val="00B4073B"/>
    <w:rsid w:val="00B40799"/>
    <w:rsid w:val="00B40D65"/>
    <w:rsid w:val="00B40FC6"/>
    <w:rsid w:val="00B41231"/>
    <w:rsid w:val="00B4136D"/>
    <w:rsid w:val="00B415DA"/>
    <w:rsid w:val="00B41699"/>
    <w:rsid w:val="00B4175F"/>
    <w:rsid w:val="00B41A8D"/>
    <w:rsid w:val="00B41D6D"/>
    <w:rsid w:val="00B41E3B"/>
    <w:rsid w:val="00B42180"/>
    <w:rsid w:val="00B421F0"/>
    <w:rsid w:val="00B42BAD"/>
    <w:rsid w:val="00B42C40"/>
    <w:rsid w:val="00B43078"/>
    <w:rsid w:val="00B43328"/>
    <w:rsid w:val="00B434A7"/>
    <w:rsid w:val="00B434F4"/>
    <w:rsid w:val="00B43A09"/>
    <w:rsid w:val="00B43C29"/>
    <w:rsid w:val="00B43E82"/>
    <w:rsid w:val="00B441CE"/>
    <w:rsid w:val="00B44308"/>
    <w:rsid w:val="00B443FC"/>
    <w:rsid w:val="00B44456"/>
    <w:rsid w:val="00B445C8"/>
    <w:rsid w:val="00B44841"/>
    <w:rsid w:val="00B44999"/>
    <w:rsid w:val="00B44B62"/>
    <w:rsid w:val="00B44BD3"/>
    <w:rsid w:val="00B451C4"/>
    <w:rsid w:val="00B45258"/>
    <w:rsid w:val="00B45273"/>
    <w:rsid w:val="00B45297"/>
    <w:rsid w:val="00B45487"/>
    <w:rsid w:val="00B458AD"/>
    <w:rsid w:val="00B45C61"/>
    <w:rsid w:val="00B45CC3"/>
    <w:rsid w:val="00B45D42"/>
    <w:rsid w:val="00B462C8"/>
    <w:rsid w:val="00B4689F"/>
    <w:rsid w:val="00B472F1"/>
    <w:rsid w:val="00B4734E"/>
    <w:rsid w:val="00B47565"/>
    <w:rsid w:val="00B476B6"/>
    <w:rsid w:val="00B477BD"/>
    <w:rsid w:val="00B47BE9"/>
    <w:rsid w:val="00B47D53"/>
    <w:rsid w:val="00B47E61"/>
    <w:rsid w:val="00B47FA0"/>
    <w:rsid w:val="00B50782"/>
    <w:rsid w:val="00B507EF"/>
    <w:rsid w:val="00B5080F"/>
    <w:rsid w:val="00B509FF"/>
    <w:rsid w:val="00B50A44"/>
    <w:rsid w:val="00B50B13"/>
    <w:rsid w:val="00B50B90"/>
    <w:rsid w:val="00B50C94"/>
    <w:rsid w:val="00B50EF1"/>
    <w:rsid w:val="00B51042"/>
    <w:rsid w:val="00B5140A"/>
    <w:rsid w:val="00B51B94"/>
    <w:rsid w:val="00B51C8D"/>
    <w:rsid w:val="00B522BF"/>
    <w:rsid w:val="00B52717"/>
    <w:rsid w:val="00B52B91"/>
    <w:rsid w:val="00B52CBD"/>
    <w:rsid w:val="00B533AA"/>
    <w:rsid w:val="00B5382B"/>
    <w:rsid w:val="00B53B54"/>
    <w:rsid w:val="00B540A0"/>
    <w:rsid w:val="00B54212"/>
    <w:rsid w:val="00B54271"/>
    <w:rsid w:val="00B5445C"/>
    <w:rsid w:val="00B547ED"/>
    <w:rsid w:val="00B54A1C"/>
    <w:rsid w:val="00B54EBC"/>
    <w:rsid w:val="00B55117"/>
    <w:rsid w:val="00B5515F"/>
    <w:rsid w:val="00B553F3"/>
    <w:rsid w:val="00B55449"/>
    <w:rsid w:val="00B55524"/>
    <w:rsid w:val="00B557C5"/>
    <w:rsid w:val="00B558AC"/>
    <w:rsid w:val="00B55914"/>
    <w:rsid w:val="00B55FD5"/>
    <w:rsid w:val="00B56263"/>
    <w:rsid w:val="00B5626F"/>
    <w:rsid w:val="00B56281"/>
    <w:rsid w:val="00B5689A"/>
    <w:rsid w:val="00B56A43"/>
    <w:rsid w:val="00B56D71"/>
    <w:rsid w:val="00B56F4B"/>
    <w:rsid w:val="00B57036"/>
    <w:rsid w:val="00B5747D"/>
    <w:rsid w:val="00B574B2"/>
    <w:rsid w:val="00B575BF"/>
    <w:rsid w:val="00B577F2"/>
    <w:rsid w:val="00B579F6"/>
    <w:rsid w:val="00B60196"/>
    <w:rsid w:val="00B60311"/>
    <w:rsid w:val="00B612EA"/>
    <w:rsid w:val="00B61C66"/>
    <w:rsid w:val="00B61F89"/>
    <w:rsid w:val="00B6222A"/>
    <w:rsid w:val="00B623B1"/>
    <w:rsid w:val="00B62604"/>
    <w:rsid w:val="00B626B8"/>
    <w:rsid w:val="00B626E0"/>
    <w:rsid w:val="00B62765"/>
    <w:rsid w:val="00B62CDE"/>
    <w:rsid w:val="00B62D76"/>
    <w:rsid w:val="00B62DF2"/>
    <w:rsid w:val="00B62F1E"/>
    <w:rsid w:val="00B62FFF"/>
    <w:rsid w:val="00B6350B"/>
    <w:rsid w:val="00B637BA"/>
    <w:rsid w:val="00B63946"/>
    <w:rsid w:val="00B63BF8"/>
    <w:rsid w:val="00B63CE3"/>
    <w:rsid w:val="00B64642"/>
    <w:rsid w:val="00B648B9"/>
    <w:rsid w:val="00B649CA"/>
    <w:rsid w:val="00B64C2C"/>
    <w:rsid w:val="00B64F0C"/>
    <w:rsid w:val="00B65041"/>
    <w:rsid w:val="00B65257"/>
    <w:rsid w:val="00B6542A"/>
    <w:rsid w:val="00B6542F"/>
    <w:rsid w:val="00B654E9"/>
    <w:rsid w:val="00B655AA"/>
    <w:rsid w:val="00B65BCB"/>
    <w:rsid w:val="00B65C8C"/>
    <w:rsid w:val="00B65CE7"/>
    <w:rsid w:val="00B65F9B"/>
    <w:rsid w:val="00B66264"/>
    <w:rsid w:val="00B66783"/>
    <w:rsid w:val="00B669A7"/>
    <w:rsid w:val="00B669AB"/>
    <w:rsid w:val="00B66A87"/>
    <w:rsid w:val="00B66A9C"/>
    <w:rsid w:val="00B66F28"/>
    <w:rsid w:val="00B67180"/>
    <w:rsid w:val="00B6729E"/>
    <w:rsid w:val="00B67B9A"/>
    <w:rsid w:val="00B67BDE"/>
    <w:rsid w:val="00B7004B"/>
    <w:rsid w:val="00B70053"/>
    <w:rsid w:val="00B702BB"/>
    <w:rsid w:val="00B702D2"/>
    <w:rsid w:val="00B70475"/>
    <w:rsid w:val="00B70549"/>
    <w:rsid w:val="00B70713"/>
    <w:rsid w:val="00B710D1"/>
    <w:rsid w:val="00B712D0"/>
    <w:rsid w:val="00B71551"/>
    <w:rsid w:val="00B715E0"/>
    <w:rsid w:val="00B7161F"/>
    <w:rsid w:val="00B71922"/>
    <w:rsid w:val="00B71A4E"/>
    <w:rsid w:val="00B71AEC"/>
    <w:rsid w:val="00B71DA1"/>
    <w:rsid w:val="00B72388"/>
    <w:rsid w:val="00B72503"/>
    <w:rsid w:val="00B72BD3"/>
    <w:rsid w:val="00B72CD8"/>
    <w:rsid w:val="00B72F2E"/>
    <w:rsid w:val="00B73521"/>
    <w:rsid w:val="00B736F8"/>
    <w:rsid w:val="00B7372A"/>
    <w:rsid w:val="00B737D1"/>
    <w:rsid w:val="00B73A88"/>
    <w:rsid w:val="00B743FB"/>
    <w:rsid w:val="00B746BF"/>
    <w:rsid w:val="00B74826"/>
    <w:rsid w:val="00B74D06"/>
    <w:rsid w:val="00B757E5"/>
    <w:rsid w:val="00B75989"/>
    <w:rsid w:val="00B75BFE"/>
    <w:rsid w:val="00B76228"/>
    <w:rsid w:val="00B7633C"/>
    <w:rsid w:val="00B76465"/>
    <w:rsid w:val="00B765EC"/>
    <w:rsid w:val="00B7664C"/>
    <w:rsid w:val="00B76965"/>
    <w:rsid w:val="00B76A72"/>
    <w:rsid w:val="00B76EAA"/>
    <w:rsid w:val="00B76FA1"/>
    <w:rsid w:val="00B77580"/>
    <w:rsid w:val="00B77639"/>
    <w:rsid w:val="00B77721"/>
    <w:rsid w:val="00B77B1C"/>
    <w:rsid w:val="00B77BAE"/>
    <w:rsid w:val="00B77D65"/>
    <w:rsid w:val="00B8068C"/>
    <w:rsid w:val="00B80AB6"/>
    <w:rsid w:val="00B80C26"/>
    <w:rsid w:val="00B80DB5"/>
    <w:rsid w:val="00B80E60"/>
    <w:rsid w:val="00B80F25"/>
    <w:rsid w:val="00B812AA"/>
    <w:rsid w:val="00B81358"/>
    <w:rsid w:val="00B81373"/>
    <w:rsid w:val="00B814E2"/>
    <w:rsid w:val="00B81C31"/>
    <w:rsid w:val="00B81F38"/>
    <w:rsid w:val="00B82047"/>
    <w:rsid w:val="00B82418"/>
    <w:rsid w:val="00B82A92"/>
    <w:rsid w:val="00B82B57"/>
    <w:rsid w:val="00B82E4C"/>
    <w:rsid w:val="00B82EED"/>
    <w:rsid w:val="00B82FA1"/>
    <w:rsid w:val="00B83519"/>
    <w:rsid w:val="00B835DA"/>
    <w:rsid w:val="00B83988"/>
    <w:rsid w:val="00B83B62"/>
    <w:rsid w:val="00B83BF2"/>
    <w:rsid w:val="00B83DCB"/>
    <w:rsid w:val="00B84BDE"/>
    <w:rsid w:val="00B84D6D"/>
    <w:rsid w:val="00B84F87"/>
    <w:rsid w:val="00B85315"/>
    <w:rsid w:val="00B8535F"/>
    <w:rsid w:val="00B85476"/>
    <w:rsid w:val="00B85BC8"/>
    <w:rsid w:val="00B85C03"/>
    <w:rsid w:val="00B85CA5"/>
    <w:rsid w:val="00B86049"/>
    <w:rsid w:val="00B86203"/>
    <w:rsid w:val="00B863E9"/>
    <w:rsid w:val="00B867BB"/>
    <w:rsid w:val="00B86B52"/>
    <w:rsid w:val="00B86B77"/>
    <w:rsid w:val="00B86C49"/>
    <w:rsid w:val="00B86F94"/>
    <w:rsid w:val="00B8733C"/>
    <w:rsid w:val="00B87748"/>
    <w:rsid w:val="00B878CD"/>
    <w:rsid w:val="00B87D62"/>
    <w:rsid w:val="00B87E7E"/>
    <w:rsid w:val="00B87EDF"/>
    <w:rsid w:val="00B87F42"/>
    <w:rsid w:val="00B904A0"/>
    <w:rsid w:val="00B90695"/>
    <w:rsid w:val="00B90755"/>
    <w:rsid w:val="00B90944"/>
    <w:rsid w:val="00B90C73"/>
    <w:rsid w:val="00B90F9A"/>
    <w:rsid w:val="00B910F5"/>
    <w:rsid w:val="00B9162C"/>
    <w:rsid w:val="00B9172D"/>
    <w:rsid w:val="00B91C44"/>
    <w:rsid w:val="00B91CB1"/>
    <w:rsid w:val="00B9249B"/>
    <w:rsid w:val="00B92CDA"/>
    <w:rsid w:val="00B9319B"/>
    <w:rsid w:val="00B936D3"/>
    <w:rsid w:val="00B93743"/>
    <w:rsid w:val="00B939B6"/>
    <w:rsid w:val="00B940D3"/>
    <w:rsid w:val="00B942C5"/>
    <w:rsid w:val="00B943ED"/>
    <w:rsid w:val="00B9449B"/>
    <w:rsid w:val="00B944DF"/>
    <w:rsid w:val="00B949BF"/>
    <w:rsid w:val="00B94FB1"/>
    <w:rsid w:val="00B95016"/>
    <w:rsid w:val="00B9536C"/>
    <w:rsid w:val="00B954F3"/>
    <w:rsid w:val="00B95660"/>
    <w:rsid w:val="00B95CFC"/>
    <w:rsid w:val="00B95D3D"/>
    <w:rsid w:val="00B9655B"/>
    <w:rsid w:val="00B96C36"/>
    <w:rsid w:val="00B9706D"/>
    <w:rsid w:val="00B97641"/>
    <w:rsid w:val="00B9764F"/>
    <w:rsid w:val="00B97712"/>
    <w:rsid w:val="00B97E6D"/>
    <w:rsid w:val="00BA06F2"/>
    <w:rsid w:val="00BA088C"/>
    <w:rsid w:val="00BA0945"/>
    <w:rsid w:val="00BA09E0"/>
    <w:rsid w:val="00BA0A3D"/>
    <w:rsid w:val="00BA0A55"/>
    <w:rsid w:val="00BA0B9D"/>
    <w:rsid w:val="00BA1352"/>
    <w:rsid w:val="00BA1436"/>
    <w:rsid w:val="00BA1500"/>
    <w:rsid w:val="00BA1B16"/>
    <w:rsid w:val="00BA1DA7"/>
    <w:rsid w:val="00BA1E83"/>
    <w:rsid w:val="00BA1FEB"/>
    <w:rsid w:val="00BA1FFB"/>
    <w:rsid w:val="00BA279A"/>
    <w:rsid w:val="00BA2A33"/>
    <w:rsid w:val="00BA2B3F"/>
    <w:rsid w:val="00BA2B40"/>
    <w:rsid w:val="00BA2BE3"/>
    <w:rsid w:val="00BA2EAF"/>
    <w:rsid w:val="00BA3445"/>
    <w:rsid w:val="00BA3756"/>
    <w:rsid w:val="00BA38B4"/>
    <w:rsid w:val="00BA3A03"/>
    <w:rsid w:val="00BA3A8E"/>
    <w:rsid w:val="00BA3ADA"/>
    <w:rsid w:val="00BA4064"/>
    <w:rsid w:val="00BA4A9E"/>
    <w:rsid w:val="00BA4D22"/>
    <w:rsid w:val="00BA4E45"/>
    <w:rsid w:val="00BA518D"/>
    <w:rsid w:val="00BA5223"/>
    <w:rsid w:val="00BA5264"/>
    <w:rsid w:val="00BA539B"/>
    <w:rsid w:val="00BA57ED"/>
    <w:rsid w:val="00BA582B"/>
    <w:rsid w:val="00BA59FB"/>
    <w:rsid w:val="00BA5B33"/>
    <w:rsid w:val="00BA625B"/>
    <w:rsid w:val="00BA6684"/>
    <w:rsid w:val="00BA68CD"/>
    <w:rsid w:val="00BA697C"/>
    <w:rsid w:val="00BA71FB"/>
    <w:rsid w:val="00BA744D"/>
    <w:rsid w:val="00BA7AE7"/>
    <w:rsid w:val="00BB042D"/>
    <w:rsid w:val="00BB04CC"/>
    <w:rsid w:val="00BB074E"/>
    <w:rsid w:val="00BB08D4"/>
    <w:rsid w:val="00BB0F91"/>
    <w:rsid w:val="00BB1039"/>
    <w:rsid w:val="00BB12C4"/>
    <w:rsid w:val="00BB14A3"/>
    <w:rsid w:val="00BB1884"/>
    <w:rsid w:val="00BB1AFE"/>
    <w:rsid w:val="00BB1E03"/>
    <w:rsid w:val="00BB227F"/>
    <w:rsid w:val="00BB2365"/>
    <w:rsid w:val="00BB265B"/>
    <w:rsid w:val="00BB2709"/>
    <w:rsid w:val="00BB277D"/>
    <w:rsid w:val="00BB27B0"/>
    <w:rsid w:val="00BB2932"/>
    <w:rsid w:val="00BB29E9"/>
    <w:rsid w:val="00BB2EC8"/>
    <w:rsid w:val="00BB2F8F"/>
    <w:rsid w:val="00BB302F"/>
    <w:rsid w:val="00BB375C"/>
    <w:rsid w:val="00BB439F"/>
    <w:rsid w:val="00BB45E6"/>
    <w:rsid w:val="00BB481E"/>
    <w:rsid w:val="00BB48F5"/>
    <w:rsid w:val="00BB4DE3"/>
    <w:rsid w:val="00BB4F74"/>
    <w:rsid w:val="00BB502D"/>
    <w:rsid w:val="00BB51A9"/>
    <w:rsid w:val="00BB547B"/>
    <w:rsid w:val="00BB5C28"/>
    <w:rsid w:val="00BB5F12"/>
    <w:rsid w:val="00BB6653"/>
    <w:rsid w:val="00BB6929"/>
    <w:rsid w:val="00BB6D3F"/>
    <w:rsid w:val="00BB730B"/>
    <w:rsid w:val="00BB7345"/>
    <w:rsid w:val="00BB74B6"/>
    <w:rsid w:val="00BB7527"/>
    <w:rsid w:val="00BC09F8"/>
    <w:rsid w:val="00BC15DE"/>
    <w:rsid w:val="00BC176A"/>
    <w:rsid w:val="00BC17C8"/>
    <w:rsid w:val="00BC17DE"/>
    <w:rsid w:val="00BC197B"/>
    <w:rsid w:val="00BC1A0E"/>
    <w:rsid w:val="00BC1E6B"/>
    <w:rsid w:val="00BC1FB0"/>
    <w:rsid w:val="00BC229E"/>
    <w:rsid w:val="00BC2351"/>
    <w:rsid w:val="00BC2665"/>
    <w:rsid w:val="00BC292A"/>
    <w:rsid w:val="00BC2B43"/>
    <w:rsid w:val="00BC2D3C"/>
    <w:rsid w:val="00BC369C"/>
    <w:rsid w:val="00BC3700"/>
    <w:rsid w:val="00BC387B"/>
    <w:rsid w:val="00BC42C9"/>
    <w:rsid w:val="00BC42CB"/>
    <w:rsid w:val="00BC437C"/>
    <w:rsid w:val="00BC43F6"/>
    <w:rsid w:val="00BC456A"/>
    <w:rsid w:val="00BC4590"/>
    <w:rsid w:val="00BC45C4"/>
    <w:rsid w:val="00BC46FB"/>
    <w:rsid w:val="00BC4892"/>
    <w:rsid w:val="00BC4972"/>
    <w:rsid w:val="00BC4D6B"/>
    <w:rsid w:val="00BC5030"/>
    <w:rsid w:val="00BC5188"/>
    <w:rsid w:val="00BC5951"/>
    <w:rsid w:val="00BC5DF2"/>
    <w:rsid w:val="00BC5E00"/>
    <w:rsid w:val="00BC6003"/>
    <w:rsid w:val="00BC6704"/>
    <w:rsid w:val="00BC6897"/>
    <w:rsid w:val="00BC689B"/>
    <w:rsid w:val="00BC6D41"/>
    <w:rsid w:val="00BC6DDA"/>
    <w:rsid w:val="00BC6E4F"/>
    <w:rsid w:val="00BC70BA"/>
    <w:rsid w:val="00BC727F"/>
    <w:rsid w:val="00BC773D"/>
    <w:rsid w:val="00BC7ABA"/>
    <w:rsid w:val="00BC7D33"/>
    <w:rsid w:val="00BC7E6C"/>
    <w:rsid w:val="00BC7F1F"/>
    <w:rsid w:val="00BCA067"/>
    <w:rsid w:val="00BD0240"/>
    <w:rsid w:val="00BD042E"/>
    <w:rsid w:val="00BD0440"/>
    <w:rsid w:val="00BD069D"/>
    <w:rsid w:val="00BD0835"/>
    <w:rsid w:val="00BD0CF2"/>
    <w:rsid w:val="00BD0ECE"/>
    <w:rsid w:val="00BD0FC4"/>
    <w:rsid w:val="00BD10BA"/>
    <w:rsid w:val="00BD11A5"/>
    <w:rsid w:val="00BD1350"/>
    <w:rsid w:val="00BD1376"/>
    <w:rsid w:val="00BD1B3B"/>
    <w:rsid w:val="00BD1B8D"/>
    <w:rsid w:val="00BD1D83"/>
    <w:rsid w:val="00BD21AF"/>
    <w:rsid w:val="00BD25AB"/>
    <w:rsid w:val="00BD2835"/>
    <w:rsid w:val="00BD2BAA"/>
    <w:rsid w:val="00BD2FB1"/>
    <w:rsid w:val="00BD33D4"/>
    <w:rsid w:val="00BD360B"/>
    <w:rsid w:val="00BD37BF"/>
    <w:rsid w:val="00BD39FE"/>
    <w:rsid w:val="00BD3BA2"/>
    <w:rsid w:val="00BD3EEE"/>
    <w:rsid w:val="00BD40B1"/>
    <w:rsid w:val="00BD411F"/>
    <w:rsid w:val="00BD445D"/>
    <w:rsid w:val="00BD44C0"/>
    <w:rsid w:val="00BD4E7A"/>
    <w:rsid w:val="00BD4ECC"/>
    <w:rsid w:val="00BD5463"/>
    <w:rsid w:val="00BD547B"/>
    <w:rsid w:val="00BD6037"/>
    <w:rsid w:val="00BD6393"/>
    <w:rsid w:val="00BD6678"/>
    <w:rsid w:val="00BD66EB"/>
    <w:rsid w:val="00BD6A92"/>
    <w:rsid w:val="00BD6E85"/>
    <w:rsid w:val="00BD715F"/>
    <w:rsid w:val="00BD79E4"/>
    <w:rsid w:val="00BD7C21"/>
    <w:rsid w:val="00BD7C24"/>
    <w:rsid w:val="00BD7F20"/>
    <w:rsid w:val="00BE029D"/>
    <w:rsid w:val="00BE0E79"/>
    <w:rsid w:val="00BE1257"/>
    <w:rsid w:val="00BE16E8"/>
    <w:rsid w:val="00BE1947"/>
    <w:rsid w:val="00BE19ED"/>
    <w:rsid w:val="00BE1F18"/>
    <w:rsid w:val="00BE1F7A"/>
    <w:rsid w:val="00BE1F85"/>
    <w:rsid w:val="00BE2272"/>
    <w:rsid w:val="00BE22DA"/>
    <w:rsid w:val="00BE29E4"/>
    <w:rsid w:val="00BE2F39"/>
    <w:rsid w:val="00BE3067"/>
    <w:rsid w:val="00BE3CFC"/>
    <w:rsid w:val="00BE3D00"/>
    <w:rsid w:val="00BE4291"/>
    <w:rsid w:val="00BE42E8"/>
    <w:rsid w:val="00BE461C"/>
    <w:rsid w:val="00BE472B"/>
    <w:rsid w:val="00BE47BF"/>
    <w:rsid w:val="00BE490E"/>
    <w:rsid w:val="00BE49D4"/>
    <w:rsid w:val="00BE4ABF"/>
    <w:rsid w:val="00BE5142"/>
    <w:rsid w:val="00BE5374"/>
    <w:rsid w:val="00BE5AB9"/>
    <w:rsid w:val="00BE5B3A"/>
    <w:rsid w:val="00BE5B95"/>
    <w:rsid w:val="00BE6082"/>
    <w:rsid w:val="00BE610F"/>
    <w:rsid w:val="00BE61C4"/>
    <w:rsid w:val="00BE627A"/>
    <w:rsid w:val="00BE6407"/>
    <w:rsid w:val="00BE653B"/>
    <w:rsid w:val="00BE6586"/>
    <w:rsid w:val="00BE6A5D"/>
    <w:rsid w:val="00BE6CE8"/>
    <w:rsid w:val="00BE7796"/>
    <w:rsid w:val="00BE7BB4"/>
    <w:rsid w:val="00BF0097"/>
    <w:rsid w:val="00BF021A"/>
    <w:rsid w:val="00BF02C1"/>
    <w:rsid w:val="00BF08AF"/>
    <w:rsid w:val="00BF0BFF"/>
    <w:rsid w:val="00BF12A8"/>
    <w:rsid w:val="00BF1AF3"/>
    <w:rsid w:val="00BF1B66"/>
    <w:rsid w:val="00BF1D91"/>
    <w:rsid w:val="00BF1E84"/>
    <w:rsid w:val="00BF1FD9"/>
    <w:rsid w:val="00BF2036"/>
    <w:rsid w:val="00BF221F"/>
    <w:rsid w:val="00BF2668"/>
    <w:rsid w:val="00BF273E"/>
    <w:rsid w:val="00BF2C75"/>
    <w:rsid w:val="00BF2F0E"/>
    <w:rsid w:val="00BF3034"/>
    <w:rsid w:val="00BF30CF"/>
    <w:rsid w:val="00BF316E"/>
    <w:rsid w:val="00BF3178"/>
    <w:rsid w:val="00BF323F"/>
    <w:rsid w:val="00BF384B"/>
    <w:rsid w:val="00BF3A6B"/>
    <w:rsid w:val="00BF3FF8"/>
    <w:rsid w:val="00BF42A7"/>
    <w:rsid w:val="00BF42C0"/>
    <w:rsid w:val="00BF43E3"/>
    <w:rsid w:val="00BF4483"/>
    <w:rsid w:val="00BF4DBF"/>
    <w:rsid w:val="00BF5AB8"/>
    <w:rsid w:val="00BF61AC"/>
    <w:rsid w:val="00BF65A7"/>
    <w:rsid w:val="00BF68E6"/>
    <w:rsid w:val="00BF6A73"/>
    <w:rsid w:val="00BF6DB9"/>
    <w:rsid w:val="00BF7040"/>
    <w:rsid w:val="00BF76DD"/>
    <w:rsid w:val="00BF7906"/>
    <w:rsid w:val="00BF79C8"/>
    <w:rsid w:val="00BF7BF9"/>
    <w:rsid w:val="00BF7C54"/>
    <w:rsid w:val="00BF7CC3"/>
    <w:rsid w:val="00BF7D4D"/>
    <w:rsid w:val="00BF7D7B"/>
    <w:rsid w:val="00C0004D"/>
    <w:rsid w:val="00C00F43"/>
    <w:rsid w:val="00C014FB"/>
    <w:rsid w:val="00C016B4"/>
    <w:rsid w:val="00C018EA"/>
    <w:rsid w:val="00C01D5F"/>
    <w:rsid w:val="00C01D66"/>
    <w:rsid w:val="00C0203A"/>
    <w:rsid w:val="00C020C5"/>
    <w:rsid w:val="00C02172"/>
    <w:rsid w:val="00C0227C"/>
    <w:rsid w:val="00C02319"/>
    <w:rsid w:val="00C0232C"/>
    <w:rsid w:val="00C02735"/>
    <w:rsid w:val="00C02919"/>
    <w:rsid w:val="00C02A8D"/>
    <w:rsid w:val="00C02B0D"/>
    <w:rsid w:val="00C02D4C"/>
    <w:rsid w:val="00C02EB9"/>
    <w:rsid w:val="00C02F31"/>
    <w:rsid w:val="00C0345A"/>
    <w:rsid w:val="00C03511"/>
    <w:rsid w:val="00C0395D"/>
    <w:rsid w:val="00C03A9C"/>
    <w:rsid w:val="00C041B7"/>
    <w:rsid w:val="00C0469B"/>
    <w:rsid w:val="00C04C3A"/>
    <w:rsid w:val="00C04E36"/>
    <w:rsid w:val="00C052A8"/>
    <w:rsid w:val="00C054A3"/>
    <w:rsid w:val="00C05700"/>
    <w:rsid w:val="00C05B8C"/>
    <w:rsid w:val="00C05BCD"/>
    <w:rsid w:val="00C05DC1"/>
    <w:rsid w:val="00C061D6"/>
    <w:rsid w:val="00C06A9B"/>
    <w:rsid w:val="00C06B09"/>
    <w:rsid w:val="00C070EB"/>
    <w:rsid w:val="00C07178"/>
    <w:rsid w:val="00C074CD"/>
    <w:rsid w:val="00C07875"/>
    <w:rsid w:val="00C07C67"/>
    <w:rsid w:val="00C07E24"/>
    <w:rsid w:val="00C1056E"/>
    <w:rsid w:val="00C105EB"/>
    <w:rsid w:val="00C106F5"/>
    <w:rsid w:val="00C107C3"/>
    <w:rsid w:val="00C10B94"/>
    <w:rsid w:val="00C10DCE"/>
    <w:rsid w:val="00C10E32"/>
    <w:rsid w:val="00C10F3A"/>
    <w:rsid w:val="00C11A55"/>
    <w:rsid w:val="00C12370"/>
    <w:rsid w:val="00C123DE"/>
    <w:rsid w:val="00C12669"/>
    <w:rsid w:val="00C1281B"/>
    <w:rsid w:val="00C1294C"/>
    <w:rsid w:val="00C12999"/>
    <w:rsid w:val="00C133FC"/>
    <w:rsid w:val="00C13520"/>
    <w:rsid w:val="00C13574"/>
    <w:rsid w:val="00C13AD1"/>
    <w:rsid w:val="00C13B56"/>
    <w:rsid w:val="00C13BD0"/>
    <w:rsid w:val="00C14AB6"/>
    <w:rsid w:val="00C14C07"/>
    <w:rsid w:val="00C14C84"/>
    <w:rsid w:val="00C14CE7"/>
    <w:rsid w:val="00C14F9B"/>
    <w:rsid w:val="00C14FAB"/>
    <w:rsid w:val="00C150BB"/>
    <w:rsid w:val="00C15752"/>
    <w:rsid w:val="00C15D59"/>
    <w:rsid w:val="00C15F42"/>
    <w:rsid w:val="00C15F8A"/>
    <w:rsid w:val="00C1610B"/>
    <w:rsid w:val="00C1611D"/>
    <w:rsid w:val="00C167FC"/>
    <w:rsid w:val="00C16C9A"/>
    <w:rsid w:val="00C16EF3"/>
    <w:rsid w:val="00C17103"/>
    <w:rsid w:val="00C1759E"/>
    <w:rsid w:val="00C175E4"/>
    <w:rsid w:val="00C1762A"/>
    <w:rsid w:val="00C177A7"/>
    <w:rsid w:val="00C17CE0"/>
    <w:rsid w:val="00C20F7D"/>
    <w:rsid w:val="00C20FC3"/>
    <w:rsid w:val="00C2114A"/>
    <w:rsid w:val="00C219E7"/>
    <w:rsid w:val="00C21DA2"/>
    <w:rsid w:val="00C22286"/>
    <w:rsid w:val="00C228F9"/>
    <w:rsid w:val="00C232E0"/>
    <w:rsid w:val="00C237B9"/>
    <w:rsid w:val="00C23959"/>
    <w:rsid w:val="00C23AF3"/>
    <w:rsid w:val="00C23C17"/>
    <w:rsid w:val="00C24249"/>
    <w:rsid w:val="00C2429A"/>
    <w:rsid w:val="00C245E9"/>
    <w:rsid w:val="00C2477C"/>
    <w:rsid w:val="00C247D5"/>
    <w:rsid w:val="00C24A45"/>
    <w:rsid w:val="00C24B5E"/>
    <w:rsid w:val="00C24BF4"/>
    <w:rsid w:val="00C24EBE"/>
    <w:rsid w:val="00C250C6"/>
    <w:rsid w:val="00C252DD"/>
    <w:rsid w:val="00C2534F"/>
    <w:rsid w:val="00C258FF"/>
    <w:rsid w:val="00C25918"/>
    <w:rsid w:val="00C25A28"/>
    <w:rsid w:val="00C25ED5"/>
    <w:rsid w:val="00C26580"/>
    <w:rsid w:val="00C2660A"/>
    <w:rsid w:val="00C266C7"/>
    <w:rsid w:val="00C26CF8"/>
    <w:rsid w:val="00C26EC4"/>
    <w:rsid w:val="00C2751D"/>
    <w:rsid w:val="00C27D07"/>
    <w:rsid w:val="00C30058"/>
    <w:rsid w:val="00C30165"/>
    <w:rsid w:val="00C301B1"/>
    <w:rsid w:val="00C30392"/>
    <w:rsid w:val="00C307B8"/>
    <w:rsid w:val="00C30ADB"/>
    <w:rsid w:val="00C3137F"/>
    <w:rsid w:val="00C317A2"/>
    <w:rsid w:val="00C31CEE"/>
    <w:rsid w:val="00C31D86"/>
    <w:rsid w:val="00C31FB9"/>
    <w:rsid w:val="00C33025"/>
    <w:rsid w:val="00C330C6"/>
    <w:rsid w:val="00C33C2D"/>
    <w:rsid w:val="00C33FCB"/>
    <w:rsid w:val="00C343FC"/>
    <w:rsid w:val="00C3443C"/>
    <w:rsid w:val="00C34CDB"/>
    <w:rsid w:val="00C34D4D"/>
    <w:rsid w:val="00C34E6F"/>
    <w:rsid w:val="00C34E95"/>
    <w:rsid w:val="00C34FDB"/>
    <w:rsid w:val="00C361C1"/>
    <w:rsid w:val="00C3644E"/>
    <w:rsid w:val="00C3651F"/>
    <w:rsid w:val="00C36633"/>
    <w:rsid w:val="00C367AB"/>
    <w:rsid w:val="00C36BC3"/>
    <w:rsid w:val="00C36E9D"/>
    <w:rsid w:val="00C370BE"/>
    <w:rsid w:val="00C37655"/>
    <w:rsid w:val="00C3785D"/>
    <w:rsid w:val="00C379DE"/>
    <w:rsid w:val="00C37C86"/>
    <w:rsid w:val="00C37D07"/>
    <w:rsid w:val="00C37F04"/>
    <w:rsid w:val="00C37F95"/>
    <w:rsid w:val="00C4013C"/>
    <w:rsid w:val="00C401BA"/>
    <w:rsid w:val="00C4040C"/>
    <w:rsid w:val="00C4054C"/>
    <w:rsid w:val="00C40819"/>
    <w:rsid w:val="00C4093F"/>
    <w:rsid w:val="00C40AE7"/>
    <w:rsid w:val="00C40B63"/>
    <w:rsid w:val="00C41057"/>
    <w:rsid w:val="00C412B1"/>
    <w:rsid w:val="00C41580"/>
    <w:rsid w:val="00C41693"/>
    <w:rsid w:val="00C416E4"/>
    <w:rsid w:val="00C41AA9"/>
    <w:rsid w:val="00C41D7E"/>
    <w:rsid w:val="00C41DF6"/>
    <w:rsid w:val="00C41FE9"/>
    <w:rsid w:val="00C420DF"/>
    <w:rsid w:val="00C42265"/>
    <w:rsid w:val="00C4241B"/>
    <w:rsid w:val="00C4247A"/>
    <w:rsid w:val="00C428AF"/>
    <w:rsid w:val="00C42F37"/>
    <w:rsid w:val="00C43629"/>
    <w:rsid w:val="00C43814"/>
    <w:rsid w:val="00C43930"/>
    <w:rsid w:val="00C43A21"/>
    <w:rsid w:val="00C43B6A"/>
    <w:rsid w:val="00C43FFA"/>
    <w:rsid w:val="00C44057"/>
    <w:rsid w:val="00C4436C"/>
    <w:rsid w:val="00C443BE"/>
    <w:rsid w:val="00C445D1"/>
    <w:rsid w:val="00C4465E"/>
    <w:rsid w:val="00C44693"/>
    <w:rsid w:val="00C44CD7"/>
    <w:rsid w:val="00C44DE8"/>
    <w:rsid w:val="00C45527"/>
    <w:rsid w:val="00C4572F"/>
    <w:rsid w:val="00C45918"/>
    <w:rsid w:val="00C459D6"/>
    <w:rsid w:val="00C45ADD"/>
    <w:rsid w:val="00C45B0B"/>
    <w:rsid w:val="00C45F5C"/>
    <w:rsid w:val="00C461B2"/>
    <w:rsid w:val="00C4667D"/>
    <w:rsid w:val="00C46B2F"/>
    <w:rsid w:val="00C46BF1"/>
    <w:rsid w:val="00C46C71"/>
    <w:rsid w:val="00C46E9C"/>
    <w:rsid w:val="00C46F2D"/>
    <w:rsid w:val="00C472B6"/>
    <w:rsid w:val="00C47C8E"/>
    <w:rsid w:val="00C47D39"/>
    <w:rsid w:val="00C5002C"/>
    <w:rsid w:val="00C5097D"/>
    <w:rsid w:val="00C50B3E"/>
    <w:rsid w:val="00C50BBE"/>
    <w:rsid w:val="00C50CF5"/>
    <w:rsid w:val="00C50E61"/>
    <w:rsid w:val="00C50F2F"/>
    <w:rsid w:val="00C510B6"/>
    <w:rsid w:val="00C51450"/>
    <w:rsid w:val="00C516FB"/>
    <w:rsid w:val="00C519B2"/>
    <w:rsid w:val="00C51DF7"/>
    <w:rsid w:val="00C51F03"/>
    <w:rsid w:val="00C51F28"/>
    <w:rsid w:val="00C52013"/>
    <w:rsid w:val="00C52FD1"/>
    <w:rsid w:val="00C5300B"/>
    <w:rsid w:val="00C531EE"/>
    <w:rsid w:val="00C53452"/>
    <w:rsid w:val="00C53457"/>
    <w:rsid w:val="00C5359B"/>
    <w:rsid w:val="00C53AED"/>
    <w:rsid w:val="00C53AF7"/>
    <w:rsid w:val="00C53B14"/>
    <w:rsid w:val="00C53BFF"/>
    <w:rsid w:val="00C53D17"/>
    <w:rsid w:val="00C54006"/>
    <w:rsid w:val="00C54237"/>
    <w:rsid w:val="00C5440A"/>
    <w:rsid w:val="00C54B9D"/>
    <w:rsid w:val="00C554B5"/>
    <w:rsid w:val="00C556E0"/>
    <w:rsid w:val="00C55862"/>
    <w:rsid w:val="00C5589A"/>
    <w:rsid w:val="00C55B42"/>
    <w:rsid w:val="00C55B4D"/>
    <w:rsid w:val="00C55BB6"/>
    <w:rsid w:val="00C55D65"/>
    <w:rsid w:val="00C56025"/>
    <w:rsid w:val="00C5603C"/>
    <w:rsid w:val="00C569AA"/>
    <w:rsid w:val="00C56EF2"/>
    <w:rsid w:val="00C56F16"/>
    <w:rsid w:val="00C57093"/>
    <w:rsid w:val="00C570A6"/>
    <w:rsid w:val="00C5733F"/>
    <w:rsid w:val="00C5745F"/>
    <w:rsid w:val="00C576CF"/>
    <w:rsid w:val="00C579F3"/>
    <w:rsid w:val="00C600B3"/>
    <w:rsid w:val="00C60438"/>
    <w:rsid w:val="00C60578"/>
    <w:rsid w:val="00C609D8"/>
    <w:rsid w:val="00C60CEF"/>
    <w:rsid w:val="00C60DAD"/>
    <w:rsid w:val="00C60DE1"/>
    <w:rsid w:val="00C61464"/>
    <w:rsid w:val="00C616B5"/>
    <w:rsid w:val="00C6171B"/>
    <w:rsid w:val="00C618EA"/>
    <w:rsid w:val="00C618EF"/>
    <w:rsid w:val="00C618F4"/>
    <w:rsid w:val="00C619C6"/>
    <w:rsid w:val="00C61A02"/>
    <w:rsid w:val="00C61E81"/>
    <w:rsid w:val="00C61F97"/>
    <w:rsid w:val="00C624FD"/>
    <w:rsid w:val="00C62BF5"/>
    <w:rsid w:val="00C63A27"/>
    <w:rsid w:val="00C63B86"/>
    <w:rsid w:val="00C63D92"/>
    <w:rsid w:val="00C643A3"/>
    <w:rsid w:val="00C64798"/>
    <w:rsid w:val="00C6482D"/>
    <w:rsid w:val="00C64AE6"/>
    <w:rsid w:val="00C6507A"/>
    <w:rsid w:val="00C6512C"/>
    <w:rsid w:val="00C6513E"/>
    <w:rsid w:val="00C65402"/>
    <w:rsid w:val="00C655ED"/>
    <w:rsid w:val="00C65CDE"/>
    <w:rsid w:val="00C65E17"/>
    <w:rsid w:val="00C66387"/>
    <w:rsid w:val="00C6650B"/>
    <w:rsid w:val="00C66AF0"/>
    <w:rsid w:val="00C66BCE"/>
    <w:rsid w:val="00C66F5B"/>
    <w:rsid w:val="00C66FDD"/>
    <w:rsid w:val="00C6735D"/>
    <w:rsid w:val="00C6751C"/>
    <w:rsid w:val="00C675EA"/>
    <w:rsid w:val="00C67E8E"/>
    <w:rsid w:val="00C70225"/>
    <w:rsid w:val="00C702A8"/>
    <w:rsid w:val="00C705F5"/>
    <w:rsid w:val="00C70948"/>
    <w:rsid w:val="00C70A82"/>
    <w:rsid w:val="00C70CBA"/>
    <w:rsid w:val="00C70E0F"/>
    <w:rsid w:val="00C710F8"/>
    <w:rsid w:val="00C711E8"/>
    <w:rsid w:val="00C71212"/>
    <w:rsid w:val="00C71CF2"/>
    <w:rsid w:val="00C71E4C"/>
    <w:rsid w:val="00C72177"/>
    <w:rsid w:val="00C726EF"/>
    <w:rsid w:val="00C72800"/>
    <w:rsid w:val="00C72976"/>
    <w:rsid w:val="00C7299F"/>
    <w:rsid w:val="00C72BB6"/>
    <w:rsid w:val="00C737CD"/>
    <w:rsid w:val="00C7380A"/>
    <w:rsid w:val="00C73E56"/>
    <w:rsid w:val="00C73FC7"/>
    <w:rsid w:val="00C7409E"/>
    <w:rsid w:val="00C743AD"/>
    <w:rsid w:val="00C743B4"/>
    <w:rsid w:val="00C745AA"/>
    <w:rsid w:val="00C74706"/>
    <w:rsid w:val="00C74B8C"/>
    <w:rsid w:val="00C74BA2"/>
    <w:rsid w:val="00C74F86"/>
    <w:rsid w:val="00C75344"/>
    <w:rsid w:val="00C75567"/>
    <w:rsid w:val="00C758F2"/>
    <w:rsid w:val="00C75F0B"/>
    <w:rsid w:val="00C7620D"/>
    <w:rsid w:val="00C763CA"/>
    <w:rsid w:val="00C76490"/>
    <w:rsid w:val="00C767A7"/>
    <w:rsid w:val="00C76893"/>
    <w:rsid w:val="00C76CE9"/>
    <w:rsid w:val="00C77127"/>
    <w:rsid w:val="00C77847"/>
    <w:rsid w:val="00C778A1"/>
    <w:rsid w:val="00C77A5D"/>
    <w:rsid w:val="00C802CD"/>
    <w:rsid w:val="00C80630"/>
    <w:rsid w:val="00C8078A"/>
    <w:rsid w:val="00C80A1A"/>
    <w:rsid w:val="00C80B65"/>
    <w:rsid w:val="00C80E46"/>
    <w:rsid w:val="00C8122F"/>
    <w:rsid w:val="00C816FB"/>
    <w:rsid w:val="00C81792"/>
    <w:rsid w:val="00C8185E"/>
    <w:rsid w:val="00C81AFD"/>
    <w:rsid w:val="00C81C52"/>
    <w:rsid w:val="00C81C9F"/>
    <w:rsid w:val="00C81CA7"/>
    <w:rsid w:val="00C81CD8"/>
    <w:rsid w:val="00C81D5B"/>
    <w:rsid w:val="00C81F7E"/>
    <w:rsid w:val="00C82168"/>
    <w:rsid w:val="00C8268F"/>
    <w:rsid w:val="00C829E8"/>
    <w:rsid w:val="00C82CCD"/>
    <w:rsid w:val="00C83535"/>
    <w:rsid w:val="00C835B5"/>
    <w:rsid w:val="00C835DA"/>
    <w:rsid w:val="00C839E2"/>
    <w:rsid w:val="00C83B06"/>
    <w:rsid w:val="00C83D84"/>
    <w:rsid w:val="00C8421B"/>
    <w:rsid w:val="00C84C7A"/>
    <w:rsid w:val="00C84DF3"/>
    <w:rsid w:val="00C854FB"/>
    <w:rsid w:val="00C85D4E"/>
    <w:rsid w:val="00C861AC"/>
    <w:rsid w:val="00C8645F"/>
    <w:rsid w:val="00C8666D"/>
    <w:rsid w:val="00C86850"/>
    <w:rsid w:val="00C86B56"/>
    <w:rsid w:val="00C86E90"/>
    <w:rsid w:val="00C8718E"/>
    <w:rsid w:val="00C87436"/>
    <w:rsid w:val="00C8755B"/>
    <w:rsid w:val="00C87D09"/>
    <w:rsid w:val="00C87D9D"/>
    <w:rsid w:val="00C87EC3"/>
    <w:rsid w:val="00C90308"/>
    <w:rsid w:val="00C903D5"/>
    <w:rsid w:val="00C90A2D"/>
    <w:rsid w:val="00C90A73"/>
    <w:rsid w:val="00C90FD2"/>
    <w:rsid w:val="00C9138A"/>
    <w:rsid w:val="00C913F4"/>
    <w:rsid w:val="00C91414"/>
    <w:rsid w:val="00C91651"/>
    <w:rsid w:val="00C917A4"/>
    <w:rsid w:val="00C918CF"/>
    <w:rsid w:val="00C91B69"/>
    <w:rsid w:val="00C922A2"/>
    <w:rsid w:val="00C925A7"/>
    <w:rsid w:val="00C927CE"/>
    <w:rsid w:val="00C92934"/>
    <w:rsid w:val="00C92C40"/>
    <w:rsid w:val="00C92DE9"/>
    <w:rsid w:val="00C92E82"/>
    <w:rsid w:val="00C93063"/>
    <w:rsid w:val="00C931A8"/>
    <w:rsid w:val="00C936FC"/>
    <w:rsid w:val="00C93A7F"/>
    <w:rsid w:val="00C93BF6"/>
    <w:rsid w:val="00C93C2D"/>
    <w:rsid w:val="00C942F0"/>
    <w:rsid w:val="00C943FE"/>
    <w:rsid w:val="00C94446"/>
    <w:rsid w:val="00C94478"/>
    <w:rsid w:val="00C94551"/>
    <w:rsid w:val="00C9507E"/>
    <w:rsid w:val="00C950C0"/>
    <w:rsid w:val="00C95117"/>
    <w:rsid w:val="00C952E9"/>
    <w:rsid w:val="00C9598F"/>
    <w:rsid w:val="00C95C8A"/>
    <w:rsid w:val="00C96549"/>
    <w:rsid w:val="00C96E05"/>
    <w:rsid w:val="00C96E2D"/>
    <w:rsid w:val="00C96F1F"/>
    <w:rsid w:val="00C96F2F"/>
    <w:rsid w:val="00C97019"/>
    <w:rsid w:val="00C977DE"/>
    <w:rsid w:val="00C97892"/>
    <w:rsid w:val="00C97CEE"/>
    <w:rsid w:val="00C97D6C"/>
    <w:rsid w:val="00CA025D"/>
    <w:rsid w:val="00CA03CF"/>
    <w:rsid w:val="00CA0430"/>
    <w:rsid w:val="00CA04F3"/>
    <w:rsid w:val="00CA07DB"/>
    <w:rsid w:val="00CA0984"/>
    <w:rsid w:val="00CA0C8A"/>
    <w:rsid w:val="00CA0D86"/>
    <w:rsid w:val="00CA18CA"/>
    <w:rsid w:val="00CA19C4"/>
    <w:rsid w:val="00CA1C3A"/>
    <w:rsid w:val="00CA1C3B"/>
    <w:rsid w:val="00CA218A"/>
    <w:rsid w:val="00CA23AA"/>
    <w:rsid w:val="00CA267C"/>
    <w:rsid w:val="00CA26C5"/>
    <w:rsid w:val="00CA26EA"/>
    <w:rsid w:val="00CA28D0"/>
    <w:rsid w:val="00CA2A57"/>
    <w:rsid w:val="00CA2A87"/>
    <w:rsid w:val="00CA2FB2"/>
    <w:rsid w:val="00CA3555"/>
    <w:rsid w:val="00CA395F"/>
    <w:rsid w:val="00CA3D3A"/>
    <w:rsid w:val="00CA4061"/>
    <w:rsid w:val="00CA42D6"/>
    <w:rsid w:val="00CA438B"/>
    <w:rsid w:val="00CA4430"/>
    <w:rsid w:val="00CA4A8F"/>
    <w:rsid w:val="00CA5043"/>
    <w:rsid w:val="00CA528A"/>
    <w:rsid w:val="00CA6114"/>
    <w:rsid w:val="00CA68DD"/>
    <w:rsid w:val="00CA6FA8"/>
    <w:rsid w:val="00CA75AA"/>
    <w:rsid w:val="00CA7C5E"/>
    <w:rsid w:val="00CAB0C4"/>
    <w:rsid w:val="00CB001F"/>
    <w:rsid w:val="00CB03D7"/>
    <w:rsid w:val="00CB0B30"/>
    <w:rsid w:val="00CB0C8D"/>
    <w:rsid w:val="00CB0D68"/>
    <w:rsid w:val="00CB0E60"/>
    <w:rsid w:val="00CB0F2F"/>
    <w:rsid w:val="00CB0FAB"/>
    <w:rsid w:val="00CB0FE5"/>
    <w:rsid w:val="00CB11FA"/>
    <w:rsid w:val="00CB15E9"/>
    <w:rsid w:val="00CB163D"/>
    <w:rsid w:val="00CB19FB"/>
    <w:rsid w:val="00CB1AF9"/>
    <w:rsid w:val="00CB210F"/>
    <w:rsid w:val="00CB2537"/>
    <w:rsid w:val="00CB25FB"/>
    <w:rsid w:val="00CB2BD5"/>
    <w:rsid w:val="00CB2C3C"/>
    <w:rsid w:val="00CB2F34"/>
    <w:rsid w:val="00CB3722"/>
    <w:rsid w:val="00CB3898"/>
    <w:rsid w:val="00CB3A58"/>
    <w:rsid w:val="00CB440C"/>
    <w:rsid w:val="00CB442F"/>
    <w:rsid w:val="00CB4446"/>
    <w:rsid w:val="00CB44AA"/>
    <w:rsid w:val="00CB4C5C"/>
    <w:rsid w:val="00CB554A"/>
    <w:rsid w:val="00CB55C1"/>
    <w:rsid w:val="00CB5C55"/>
    <w:rsid w:val="00CB5CFA"/>
    <w:rsid w:val="00CB606C"/>
    <w:rsid w:val="00CB6758"/>
    <w:rsid w:val="00CB69C1"/>
    <w:rsid w:val="00CB6A9E"/>
    <w:rsid w:val="00CB707C"/>
    <w:rsid w:val="00CB735E"/>
    <w:rsid w:val="00CB7742"/>
    <w:rsid w:val="00CB78DE"/>
    <w:rsid w:val="00CC042B"/>
    <w:rsid w:val="00CC0528"/>
    <w:rsid w:val="00CC05CE"/>
    <w:rsid w:val="00CC0664"/>
    <w:rsid w:val="00CC0BF3"/>
    <w:rsid w:val="00CC0EFD"/>
    <w:rsid w:val="00CC115E"/>
    <w:rsid w:val="00CC1D1A"/>
    <w:rsid w:val="00CC1D3E"/>
    <w:rsid w:val="00CC29FA"/>
    <w:rsid w:val="00CC2A68"/>
    <w:rsid w:val="00CC2A92"/>
    <w:rsid w:val="00CC2B06"/>
    <w:rsid w:val="00CC2CDB"/>
    <w:rsid w:val="00CC38E0"/>
    <w:rsid w:val="00CC3CCE"/>
    <w:rsid w:val="00CC3D5D"/>
    <w:rsid w:val="00CC3D71"/>
    <w:rsid w:val="00CC40C3"/>
    <w:rsid w:val="00CC4AC0"/>
    <w:rsid w:val="00CC51BC"/>
    <w:rsid w:val="00CC5956"/>
    <w:rsid w:val="00CC6260"/>
    <w:rsid w:val="00CC62B8"/>
    <w:rsid w:val="00CC64DA"/>
    <w:rsid w:val="00CC6DC8"/>
    <w:rsid w:val="00CC717A"/>
    <w:rsid w:val="00CC7193"/>
    <w:rsid w:val="00CC73BA"/>
    <w:rsid w:val="00CC76F9"/>
    <w:rsid w:val="00CC7CB5"/>
    <w:rsid w:val="00CC7F0E"/>
    <w:rsid w:val="00CC7FE7"/>
    <w:rsid w:val="00CCE12B"/>
    <w:rsid w:val="00CD002C"/>
    <w:rsid w:val="00CD021E"/>
    <w:rsid w:val="00CD0537"/>
    <w:rsid w:val="00CD06DD"/>
    <w:rsid w:val="00CD0738"/>
    <w:rsid w:val="00CD0778"/>
    <w:rsid w:val="00CD080E"/>
    <w:rsid w:val="00CD09C9"/>
    <w:rsid w:val="00CD0E74"/>
    <w:rsid w:val="00CD118D"/>
    <w:rsid w:val="00CD1404"/>
    <w:rsid w:val="00CD14F3"/>
    <w:rsid w:val="00CD1828"/>
    <w:rsid w:val="00CD1B1C"/>
    <w:rsid w:val="00CD1E73"/>
    <w:rsid w:val="00CD20CA"/>
    <w:rsid w:val="00CD229E"/>
    <w:rsid w:val="00CD2318"/>
    <w:rsid w:val="00CD23D9"/>
    <w:rsid w:val="00CD2890"/>
    <w:rsid w:val="00CD28DF"/>
    <w:rsid w:val="00CD294C"/>
    <w:rsid w:val="00CD2A31"/>
    <w:rsid w:val="00CD2C66"/>
    <w:rsid w:val="00CD2D42"/>
    <w:rsid w:val="00CD2EA9"/>
    <w:rsid w:val="00CD3884"/>
    <w:rsid w:val="00CD3CE5"/>
    <w:rsid w:val="00CD3DD5"/>
    <w:rsid w:val="00CD43D0"/>
    <w:rsid w:val="00CD48AC"/>
    <w:rsid w:val="00CD4B65"/>
    <w:rsid w:val="00CD4EBE"/>
    <w:rsid w:val="00CD50BD"/>
    <w:rsid w:val="00CD53EB"/>
    <w:rsid w:val="00CD567D"/>
    <w:rsid w:val="00CD5DB0"/>
    <w:rsid w:val="00CD5E6A"/>
    <w:rsid w:val="00CD6590"/>
    <w:rsid w:val="00CD6A50"/>
    <w:rsid w:val="00CD6C3C"/>
    <w:rsid w:val="00CD7153"/>
    <w:rsid w:val="00CD7744"/>
    <w:rsid w:val="00CD7788"/>
    <w:rsid w:val="00CD79CE"/>
    <w:rsid w:val="00CD7F3D"/>
    <w:rsid w:val="00CE027B"/>
    <w:rsid w:val="00CE0929"/>
    <w:rsid w:val="00CE0B13"/>
    <w:rsid w:val="00CE0C7D"/>
    <w:rsid w:val="00CE0D3D"/>
    <w:rsid w:val="00CE11CF"/>
    <w:rsid w:val="00CE11FB"/>
    <w:rsid w:val="00CE15FA"/>
    <w:rsid w:val="00CE1958"/>
    <w:rsid w:val="00CE1999"/>
    <w:rsid w:val="00CE1A29"/>
    <w:rsid w:val="00CE1D01"/>
    <w:rsid w:val="00CE2237"/>
    <w:rsid w:val="00CE2499"/>
    <w:rsid w:val="00CE28E3"/>
    <w:rsid w:val="00CE2D92"/>
    <w:rsid w:val="00CE3985"/>
    <w:rsid w:val="00CE3FD7"/>
    <w:rsid w:val="00CE400D"/>
    <w:rsid w:val="00CE462B"/>
    <w:rsid w:val="00CE46D1"/>
    <w:rsid w:val="00CE46E5"/>
    <w:rsid w:val="00CE53FE"/>
    <w:rsid w:val="00CE5C14"/>
    <w:rsid w:val="00CE5E8E"/>
    <w:rsid w:val="00CE5EDF"/>
    <w:rsid w:val="00CE6C6E"/>
    <w:rsid w:val="00CE6CB2"/>
    <w:rsid w:val="00CE6D34"/>
    <w:rsid w:val="00CE6F3A"/>
    <w:rsid w:val="00CE7458"/>
    <w:rsid w:val="00CE7511"/>
    <w:rsid w:val="00CE7579"/>
    <w:rsid w:val="00CE7CE0"/>
    <w:rsid w:val="00CE7E41"/>
    <w:rsid w:val="00CF0F85"/>
    <w:rsid w:val="00CF1258"/>
    <w:rsid w:val="00CF13C7"/>
    <w:rsid w:val="00CF1410"/>
    <w:rsid w:val="00CF16F6"/>
    <w:rsid w:val="00CF18BD"/>
    <w:rsid w:val="00CF1A2D"/>
    <w:rsid w:val="00CF1E55"/>
    <w:rsid w:val="00CF20D8"/>
    <w:rsid w:val="00CF2211"/>
    <w:rsid w:val="00CF22A6"/>
    <w:rsid w:val="00CF23CC"/>
    <w:rsid w:val="00CF2452"/>
    <w:rsid w:val="00CF268A"/>
    <w:rsid w:val="00CF2779"/>
    <w:rsid w:val="00CF2913"/>
    <w:rsid w:val="00CF2B1D"/>
    <w:rsid w:val="00CF321C"/>
    <w:rsid w:val="00CF32CC"/>
    <w:rsid w:val="00CF439F"/>
    <w:rsid w:val="00CF4958"/>
    <w:rsid w:val="00CF49A1"/>
    <w:rsid w:val="00CF4A32"/>
    <w:rsid w:val="00CF4B36"/>
    <w:rsid w:val="00CF530D"/>
    <w:rsid w:val="00CF57CE"/>
    <w:rsid w:val="00CF5DD4"/>
    <w:rsid w:val="00CF60E5"/>
    <w:rsid w:val="00CF633D"/>
    <w:rsid w:val="00CF64B5"/>
    <w:rsid w:val="00CF6E1C"/>
    <w:rsid w:val="00CF6F17"/>
    <w:rsid w:val="00CF7093"/>
    <w:rsid w:val="00CF7120"/>
    <w:rsid w:val="00CF724C"/>
    <w:rsid w:val="00CF730E"/>
    <w:rsid w:val="00CF742F"/>
    <w:rsid w:val="00CF759A"/>
    <w:rsid w:val="00CF77F5"/>
    <w:rsid w:val="00CF78B6"/>
    <w:rsid w:val="00CF79A5"/>
    <w:rsid w:val="00CF7A0D"/>
    <w:rsid w:val="00CF7AAC"/>
    <w:rsid w:val="00CF7FC0"/>
    <w:rsid w:val="00D001B4"/>
    <w:rsid w:val="00D002A7"/>
    <w:rsid w:val="00D003B7"/>
    <w:rsid w:val="00D00994"/>
    <w:rsid w:val="00D009D8"/>
    <w:rsid w:val="00D00A75"/>
    <w:rsid w:val="00D00C78"/>
    <w:rsid w:val="00D00DAD"/>
    <w:rsid w:val="00D00DBF"/>
    <w:rsid w:val="00D00E36"/>
    <w:rsid w:val="00D010E1"/>
    <w:rsid w:val="00D01945"/>
    <w:rsid w:val="00D02116"/>
    <w:rsid w:val="00D024CD"/>
    <w:rsid w:val="00D024D4"/>
    <w:rsid w:val="00D026F6"/>
    <w:rsid w:val="00D028BE"/>
    <w:rsid w:val="00D02E8D"/>
    <w:rsid w:val="00D02F4D"/>
    <w:rsid w:val="00D02F4F"/>
    <w:rsid w:val="00D0388E"/>
    <w:rsid w:val="00D03D50"/>
    <w:rsid w:val="00D04B89"/>
    <w:rsid w:val="00D04C42"/>
    <w:rsid w:val="00D04CB3"/>
    <w:rsid w:val="00D04DC5"/>
    <w:rsid w:val="00D04E3F"/>
    <w:rsid w:val="00D05261"/>
    <w:rsid w:val="00D0532B"/>
    <w:rsid w:val="00D0599C"/>
    <w:rsid w:val="00D05F72"/>
    <w:rsid w:val="00D06011"/>
    <w:rsid w:val="00D061C4"/>
    <w:rsid w:val="00D062EF"/>
    <w:rsid w:val="00D06375"/>
    <w:rsid w:val="00D063CB"/>
    <w:rsid w:val="00D06406"/>
    <w:rsid w:val="00D06416"/>
    <w:rsid w:val="00D065DC"/>
    <w:rsid w:val="00D06EF8"/>
    <w:rsid w:val="00D07933"/>
    <w:rsid w:val="00D07AA2"/>
    <w:rsid w:val="00D07BF9"/>
    <w:rsid w:val="00D07CFB"/>
    <w:rsid w:val="00D101CD"/>
    <w:rsid w:val="00D1025C"/>
    <w:rsid w:val="00D104DE"/>
    <w:rsid w:val="00D104F0"/>
    <w:rsid w:val="00D108EF"/>
    <w:rsid w:val="00D10BFB"/>
    <w:rsid w:val="00D10D1C"/>
    <w:rsid w:val="00D10DAB"/>
    <w:rsid w:val="00D10EF0"/>
    <w:rsid w:val="00D10F2B"/>
    <w:rsid w:val="00D11689"/>
    <w:rsid w:val="00D11896"/>
    <w:rsid w:val="00D118CF"/>
    <w:rsid w:val="00D11D9E"/>
    <w:rsid w:val="00D11DB1"/>
    <w:rsid w:val="00D11EC3"/>
    <w:rsid w:val="00D12182"/>
    <w:rsid w:val="00D12276"/>
    <w:rsid w:val="00D1276F"/>
    <w:rsid w:val="00D12E5D"/>
    <w:rsid w:val="00D130FA"/>
    <w:rsid w:val="00D13D7A"/>
    <w:rsid w:val="00D142EF"/>
    <w:rsid w:val="00D1476C"/>
    <w:rsid w:val="00D14C91"/>
    <w:rsid w:val="00D14E59"/>
    <w:rsid w:val="00D14F71"/>
    <w:rsid w:val="00D15178"/>
    <w:rsid w:val="00D152C0"/>
    <w:rsid w:val="00D15D90"/>
    <w:rsid w:val="00D15E7B"/>
    <w:rsid w:val="00D162A6"/>
    <w:rsid w:val="00D162C5"/>
    <w:rsid w:val="00D162CC"/>
    <w:rsid w:val="00D1684C"/>
    <w:rsid w:val="00D16A4E"/>
    <w:rsid w:val="00D16AA2"/>
    <w:rsid w:val="00D16BE0"/>
    <w:rsid w:val="00D16C3E"/>
    <w:rsid w:val="00D16F35"/>
    <w:rsid w:val="00D16F93"/>
    <w:rsid w:val="00D17481"/>
    <w:rsid w:val="00D17836"/>
    <w:rsid w:val="00D17C8A"/>
    <w:rsid w:val="00D20031"/>
    <w:rsid w:val="00D20231"/>
    <w:rsid w:val="00D20318"/>
    <w:rsid w:val="00D206C6"/>
    <w:rsid w:val="00D21457"/>
    <w:rsid w:val="00D2192C"/>
    <w:rsid w:val="00D21A5B"/>
    <w:rsid w:val="00D21C20"/>
    <w:rsid w:val="00D21D05"/>
    <w:rsid w:val="00D21E0D"/>
    <w:rsid w:val="00D223EE"/>
    <w:rsid w:val="00D2249B"/>
    <w:rsid w:val="00D2260A"/>
    <w:rsid w:val="00D229DB"/>
    <w:rsid w:val="00D22FE7"/>
    <w:rsid w:val="00D23245"/>
    <w:rsid w:val="00D23C07"/>
    <w:rsid w:val="00D241BD"/>
    <w:rsid w:val="00D241D3"/>
    <w:rsid w:val="00D24416"/>
    <w:rsid w:val="00D248B2"/>
    <w:rsid w:val="00D24984"/>
    <w:rsid w:val="00D24A56"/>
    <w:rsid w:val="00D24BBB"/>
    <w:rsid w:val="00D24BCF"/>
    <w:rsid w:val="00D25159"/>
    <w:rsid w:val="00D25685"/>
    <w:rsid w:val="00D25755"/>
    <w:rsid w:val="00D25A33"/>
    <w:rsid w:val="00D25ADA"/>
    <w:rsid w:val="00D25FFD"/>
    <w:rsid w:val="00D26591"/>
    <w:rsid w:val="00D26803"/>
    <w:rsid w:val="00D26ADC"/>
    <w:rsid w:val="00D26B39"/>
    <w:rsid w:val="00D26B65"/>
    <w:rsid w:val="00D26D3C"/>
    <w:rsid w:val="00D2720D"/>
    <w:rsid w:val="00D27375"/>
    <w:rsid w:val="00D27AD6"/>
    <w:rsid w:val="00D27EA6"/>
    <w:rsid w:val="00D27F9B"/>
    <w:rsid w:val="00D30908"/>
    <w:rsid w:val="00D30D32"/>
    <w:rsid w:val="00D30F20"/>
    <w:rsid w:val="00D3103E"/>
    <w:rsid w:val="00D3111F"/>
    <w:rsid w:val="00D312D6"/>
    <w:rsid w:val="00D3136B"/>
    <w:rsid w:val="00D313B3"/>
    <w:rsid w:val="00D3147B"/>
    <w:rsid w:val="00D31908"/>
    <w:rsid w:val="00D32236"/>
    <w:rsid w:val="00D3224C"/>
    <w:rsid w:val="00D324CB"/>
    <w:rsid w:val="00D3286F"/>
    <w:rsid w:val="00D3292B"/>
    <w:rsid w:val="00D3293B"/>
    <w:rsid w:val="00D329A6"/>
    <w:rsid w:val="00D32C34"/>
    <w:rsid w:val="00D33272"/>
    <w:rsid w:val="00D33609"/>
    <w:rsid w:val="00D33652"/>
    <w:rsid w:val="00D33694"/>
    <w:rsid w:val="00D33D40"/>
    <w:rsid w:val="00D33E4F"/>
    <w:rsid w:val="00D33ECF"/>
    <w:rsid w:val="00D33F02"/>
    <w:rsid w:val="00D34161"/>
    <w:rsid w:val="00D34464"/>
    <w:rsid w:val="00D34618"/>
    <w:rsid w:val="00D347B1"/>
    <w:rsid w:val="00D349D8"/>
    <w:rsid w:val="00D34A42"/>
    <w:rsid w:val="00D34FB1"/>
    <w:rsid w:val="00D3526F"/>
    <w:rsid w:val="00D3577E"/>
    <w:rsid w:val="00D35836"/>
    <w:rsid w:val="00D358F7"/>
    <w:rsid w:val="00D35ED7"/>
    <w:rsid w:val="00D36376"/>
    <w:rsid w:val="00D36807"/>
    <w:rsid w:val="00D36E67"/>
    <w:rsid w:val="00D374FC"/>
    <w:rsid w:val="00D378D2"/>
    <w:rsid w:val="00D37A60"/>
    <w:rsid w:val="00D37B4C"/>
    <w:rsid w:val="00D37EBC"/>
    <w:rsid w:val="00D37EF5"/>
    <w:rsid w:val="00D37F70"/>
    <w:rsid w:val="00D40853"/>
    <w:rsid w:val="00D408E6"/>
    <w:rsid w:val="00D40A3D"/>
    <w:rsid w:val="00D40EB2"/>
    <w:rsid w:val="00D41431"/>
    <w:rsid w:val="00D41707"/>
    <w:rsid w:val="00D41854"/>
    <w:rsid w:val="00D4186A"/>
    <w:rsid w:val="00D4196C"/>
    <w:rsid w:val="00D419C9"/>
    <w:rsid w:val="00D41A98"/>
    <w:rsid w:val="00D41B55"/>
    <w:rsid w:val="00D41D99"/>
    <w:rsid w:val="00D4201C"/>
    <w:rsid w:val="00D4214B"/>
    <w:rsid w:val="00D42355"/>
    <w:rsid w:val="00D4247E"/>
    <w:rsid w:val="00D428B9"/>
    <w:rsid w:val="00D42C37"/>
    <w:rsid w:val="00D430FC"/>
    <w:rsid w:val="00D43235"/>
    <w:rsid w:val="00D43246"/>
    <w:rsid w:val="00D43446"/>
    <w:rsid w:val="00D439A4"/>
    <w:rsid w:val="00D43F8A"/>
    <w:rsid w:val="00D4416B"/>
    <w:rsid w:val="00D4434A"/>
    <w:rsid w:val="00D445DD"/>
    <w:rsid w:val="00D44660"/>
    <w:rsid w:val="00D4490E"/>
    <w:rsid w:val="00D44E6E"/>
    <w:rsid w:val="00D44F61"/>
    <w:rsid w:val="00D4549F"/>
    <w:rsid w:val="00D45591"/>
    <w:rsid w:val="00D45698"/>
    <w:rsid w:val="00D45750"/>
    <w:rsid w:val="00D457EA"/>
    <w:rsid w:val="00D45C42"/>
    <w:rsid w:val="00D463B9"/>
    <w:rsid w:val="00D46554"/>
    <w:rsid w:val="00D4661E"/>
    <w:rsid w:val="00D4669D"/>
    <w:rsid w:val="00D46EBF"/>
    <w:rsid w:val="00D471B5"/>
    <w:rsid w:val="00D47750"/>
    <w:rsid w:val="00D478BA"/>
    <w:rsid w:val="00D47C09"/>
    <w:rsid w:val="00D47D91"/>
    <w:rsid w:val="00D503A4"/>
    <w:rsid w:val="00D50464"/>
    <w:rsid w:val="00D505F3"/>
    <w:rsid w:val="00D50871"/>
    <w:rsid w:val="00D50A0D"/>
    <w:rsid w:val="00D50C10"/>
    <w:rsid w:val="00D50E8F"/>
    <w:rsid w:val="00D516E0"/>
    <w:rsid w:val="00D51E7F"/>
    <w:rsid w:val="00D51F79"/>
    <w:rsid w:val="00D52944"/>
    <w:rsid w:val="00D52E54"/>
    <w:rsid w:val="00D52FF5"/>
    <w:rsid w:val="00D530FC"/>
    <w:rsid w:val="00D535A3"/>
    <w:rsid w:val="00D537DF"/>
    <w:rsid w:val="00D538E6"/>
    <w:rsid w:val="00D53A52"/>
    <w:rsid w:val="00D54252"/>
    <w:rsid w:val="00D54A06"/>
    <w:rsid w:val="00D55048"/>
    <w:rsid w:val="00D55121"/>
    <w:rsid w:val="00D55757"/>
    <w:rsid w:val="00D55CB7"/>
    <w:rsid w:val="00D5642F"/>
    <w:rsid w:val="00D569EB"/>
    <w:rsid w:val="00D56BEF"/>
    <w:rsid w:val="00D56C91"/>
    <w:rsid w:val="00D56CCD"/>
    <w:rsid w:val="00D56DFA"/>
    <w:rsid w:val="00D570F8"/>
    <w:rsid w:val="00D572D9"/>
    <w:rsid w:val="00D574C8"/>
    <w:rsid w:val="00D5780C"/>
    <w:rsid w:val="00D57A79"/>
    <w:rsid w:val="00D57AE8"/>
    <w:rsid w:val="00D57B7E"/>
    <w:rsid w:val="00D57C90"/>
    <w:rsid w:val="00D57DDE"/>
    <w:rsid w:val="00D57DFA"/>
    <w:rsid w:val="00D57ED5"/>
    <w:rsid w:val="00D57F41"/>
    <w:rsid w:val="00D57F9F"/>
    <w:rsid w:val="00D6035B"/>
    <w:rsid w:val="00D60CC3"/>
    <w:rsid w:val="00D60E22"/>
    <w:rsid w:val="00D610A4"/>
    <w:rsid w:val="00D61302"/>
    <w:rsid w:val="00D61364"/>
    <w:rsid w:val="00D61554"/>
    <w:rsid w:val="00D620A1"/>
    <w:rsid w:val="00D623CA"/>
    <w:rsid w:val="00D6282C"/>
    <w:rsid w:val="00D629FC"/>
    <w:rsid w:val="00D62F4D"/>
    <w:rsid w:val="00D63ADA"/>
    <w:rsid w:val="00D63B88"/>
    <w:rsid w:val="00D63BE6"/>
    <w:rsid w:val="00D63D35"/>
    <w:rsid w:val="00D64619"/>
    <w:rsid w:val="00D64906"/>
    <w:rsid w:val="00D64961"/>
    <w:rsid w:val="00D652D9"/>
    <w:rsid w:val="00D65F7D"/>
    <w:rsid w:val="00D6628D"/>
    <w:rsid w:val="00D66301"/>
    <w:rsid w:val="00D66722"/>
    <w:rsid w:val="00D66A6A"/>
    <w:rsid w:val="00D66FA6"/>
    <w:rsid w:val="00D6731F"/>
    <w:rsid w:val="00D67358"/>
    <w:rsid w:val="00D6774A"/>
    <w:rsid w:val="00D6774B"/>
    <w:rsid w:val="00D67770"/>
    <w:rsid w:val="00D6784D"/>
    <w:rsid w:val="00D6798D"/>
    <w:rsid w:val="00D67A83"/>
    <w:rsid w:val="00D67F91"/>
    <w:rsid w:val="00D7018A"/>
    <w:rsid w:val="00D7040F"/>
    <w:rsid w:val="00D7078B"/>
    <w:rsid w:val="00D70BEA"/>
    <w:rsid w:val="00D70DDA"/>
    <w:rsid w:val="00D71238"/>
    <w:rsid w:val="00D71260"/>
    <w:rsid w:val="00D718CA"/>
    <w:rsid w:val="00D71A24"/>
    <w:rsid w:val="00D71FF4"/>
    <w:rsid w:val="00D728EB"/>
    <w:rsid w:val="00D72BC5"/>
    <w:rsid w:val="00D72BD6"/>
    <w:rsid w:val="00D73110"/>
    <w:rsid w:val="00D7344B"/>
    <w:rsid w:val="00D73774"/>
    <w:rsid w:val="00D73AD9"/>
    <w:rsid w:val="00D73C55"/>
    <w:rsid w:val="00D747AB"/>
    <w:rsid w:val="00D74A53"/>
    <w:rsid w:val="00D74E6B"/>
    <w:rsid w:val="00D74E99"/>
    <w:rsid w:val="00D7509A"/>
    <w:rsid w:val="00D7586F"/>
    <w:rsid w:val="00D75C31"/>
    <w:rsid w:val="00D760C9"/>
    <w:rsid w:val="00D76736"/>
    <w:rsid w:val="00D76C03"/>
    <w:rsid w:val="00D76CA6"/>
    <w:rsid w:val="00D76DBB"/>
    <w:rsid w:val="00D770CD"/>
    <w:rsid w:val="00D77354"/>
    <w:rsid w:val="00D773B4"/>
    <w:rsid w:val="00D77617"/>
    <w:rsid w:val="00D776E6"/>
    <w:rsid w:val="00D7773C"/>
    <w:rsid w:val="00D77885"/>
    <w:rsid w:val="00D803F0"/>
    <w:rsid w:val="00D80641"/>
    <w:rsid w:val="00D80AB2"/>
    <w:rsid w:val="00D80C29"/>
    <w:rsid w:val="00D80E42"/>
    <w:rsid w:val="00D81603"/>
    <w:rsid w:val="00D81FCF"/>
    <w:rsid w:val="00D8200E"/>
    <w:rsid w:val="00D8253E"/>
    <w:rsid w:val="00D828D5"/>
    <w:rsid w:val="00D82958"/>
    <w:rsid w:val="00D82A8A"/>
    <w:rsid w:val="00D8304A"/>
    <w:rsid w:val="00D8309B"/>
    <w:rsid w:val="00D8316D"/>
    <w:rsid w:val="00D83342"/>
    <w:rsid w:val="00D83681"/>
    <w:rsid w:val="00D836A3"/>
    <w:rsid w:val="00D83ADA"/>
    <w:rsid w:val="00D83B51"/>
    <w:rsid w:val="00D846F4"/>
    <w:rsid w:val="00D84712"/>
    <w:rsid w:val="00D8479D"/>
    <w:rsid w:val="00D84D32"/>
    <w:rsid w:val="00D84ECA"/>
    <w:rsid w:val="00D850A3"/>
    <w:rsid w:val="00D8525E"/>
    <w:rsid w:val="00D853D9"/>
    <w:rsid w:val="00D85462"/>
    <w:rsid w:val="00D854A8"/>
    <w:rsid w:val="00D857B7"/>
    <w:rsid w:val="00D85944"/>
    <w:rsid w:val="00D85B2F"/>
    <w:rsid w:val="00D85E67"/>
    <w:rsid w:val="00D869C1"/>
    <w:rsid w:val="00D87044"/>
    <w:rsid w:val="00D87192"/>
    <w:rsid w:val="00D872BA"/>
    <w:rsid w:val="00D87358"/>
    <w:rsid w:val="00D87520"/>
    <w:rsid w:val="00D87B72"/>
    <w:rsid w:val="00D90138"/>
    <w:rsid w:val="00D90186"/>
    <w:rsid w:val="00D9041B"/>
    <w:rsid w:val="00D90A51"/>
    <w:rsid w:val="00D90C4C"/>
    <w:rsid w:val="00D90DBB"/>
    <w:rsid w:val="00D90E13"/>
    <w:rsid w:val="00D90FAB"/>
    <w:rsid w:val="00D91248"/>
    <w:rsid w:val="00D91352"/>
    <w:rsid w:val="00D9141D"/>
    <w:rsid w:val="00D91C1D"/>
    <w:rsid w:val="00D91C20"/>
    <w:rsid w:val="00D91DED"/>
    <w:rsid w:val="00D920B0"/>
    <w:rsid w:val="00D921A9"/>
    <w:rsid w:val="00D92344"/>
    <w:rsid w:val="00D92716"/>
    <w:rsid w:val="00D92B14"/>
    <w:rsid w:val="00D93068"/>
    <w:rsid w:val="00D93719"/>
    <w:rsid w:val="00D93BB7"/>
    <w:rsid w:val="00D93C20"/>
    <w:rsid w:val="00D93EBF"/>
    <w:rsid w:val="00D9425B"/>
    <w:rsid w:val="00D94547"/>
    <w:rsid w:val="00D94597"/>
    <w:rsid w:val="00D946C9"/>
    <w:rsid w:val="00D948AF"/>
    <w:rsid w:val="00D94CF3"/>
    <w:rsid w:val="00D95064"/>
    <w:rsid w:val="00D95110"/>
    <w:rsid w:val="00D95252"/>
    <w:rsid w:val="00D955F1"/>
    <w:rsid w:val="00D956C8"/>
    <w:rsid w:val="00D9580D"/>
    <w:rsid w:val="00D95DA7"/>
    <w:rsid w:val="00D95EA0"/>
    <w:rsid w:val="00D96639"/>
    <w:rsid w:val="00D967A8"/>
    <w:rsid w:val="00D96815"/>
    <w:rsid w:val="00D96A11"/>
    <w:rsid w:val="00D96A68"/>
    <w:rsid w:val="00D96AE3"/>
    <w:rsid w:val="00D96D1D"/>
    <w:rsid w:val="00D96E2B"/>
    <w:rsid w:val="00D973D4"/>
    <w:rsid w:val="00D97623"/>
    <w:rsid w:val="00D97963"/>
    <w:rsid w:val="00D97AE4"/>
    <w:rsid w:val="00D97C2C"/>
    <w:rsid w:val="00D97DC3"/>
    <w:rsid w:val="00D97FB3"/>
    <w:rsid w:val="00DA01D0"/>
    <w:rsid w:val="00DA058E"/>
    <w:rsid w:val="00DA066B"/>
    <w:rsid w:val="00DA0B41"/>
    <w:rsid w:val="00DA0CDA"/>
    <w:rsid w:val="00DA10C4"/>
    <w:rsid w:val="00DA10CC"/>
    <w:rsid w:val="00DA1212"/>
    <w:rsid w:val="00DA159D"/>
    <w:rsid w:val="00DA1919"/>
    <w:rsid w:val="00DA1956"/>
    <w:rsid w:val="00DA2289"/>
    <w:rsid w:val="00DA2483"/>
    <w:rsid w:val="00DA25BD"/>
    <w:rsid w:val="00DA2A30"/>
    <w:rsid w:val="00DA2BE8"/>
    <w:rsid w:val="00DA2F44"/>
    <w:rsid w:val="00DA2F65"/>
    <w:rsid w:val="00DA3548"/>
    <w:rsid w:val="00DA38B4"/>
    <w:rsid w:val="00DA38B7"/>
    <w:rsid w:val="00DA38C0"/>
    <w:rsid w:val="00DA38E0"/>
    <w:rsid w:val="00DA39AE"/>
    <w:rsid w:val="00DA41E6"/>
    <w:rsid w:val="00DA4372"/>
    <w:rsid w:val="00DA4A6D"/>
    <w:rsid w:val="00DA4BB9"/>
    <w:rsid w:val="00DA4C9C"/>
    <w:rsid w:val="00DA4D9D"/>
    <w:rsid w:val="00DA4F15"/>
    <w:rsid w:val="00DA4FC8"/>
    <w:rsid w:val="00DA50B5"/>
    <w:rsid w:val="00DA512C"/>
    <w:rsid w:val="00DA52C3"/>
    <w:rsid w:val="00DA541F"/>
    <w:rsid w:val="00DA5464"/>
    <w:rsid w:val="00DA553B"/>
    <w:rsid w:val="00DA5B5C"/>
    <w:rsid w:val="00DA5DA2"/>
    <w:rsid w:val="00DA5E9A"/>
    <w:rsid w:val="00DA6765"/>
    <w:rsid w:val="00DA6CE3"/>
    <w:rsid w:val="00DA6E3F"/>
    <w:rsid w:val="00DA764A"/>
    <w:rsid w:val="00DA796B"/>
    <w:rsid w:val="00DB003C"/>
    <w:rsid w:val="00DB036D"/>
    <w:rsid w:val="00DB04A9"/>
    <w:rsid w:val="00DB1140"/>
    <w:rsid w:val="00DB18F9"/>
    <w:rsid w:val="00DB1E91"/>
    <w:rsid w:val="00DB1F25"/>
    <w:rsid w:val="00DB1FEB"/>
    <w:rsid w:val="00DB20DA"/>
    <w:rsid w:val="00DB2235"/>
    <w:rsid w:val="00DB24E9"/>
    <w:rsid w:val="00DB26F6"/>
    <w:rsid w:val="00DB2886"/>
    <w:rsid w:val="00DB2E90"/>
    <w:rsid w:val="00DB34E9"/>
    <w:rsid w:val="00DB359E"/>
    <w:rsid w:val="00DB3D0E"/>
    <w:rsid w:val="00DB41DF"/>
    <w:rsid w:val="00DB4410"/>
    <w:rsid w:val="00DB44AE"/>
    <w:rsid w:val="00DB45E8"/>
    <w:rsid w:val="00DB465B"/>
    <w:rsid w:val="00DB4753"/>
    <w:rsid w:val="00DB49BC"/>
    <w:rsid w:val="00DB5117"/>
    <w:rsid w:val="00DB51B8"/>
    <w:rsid w:val="00DB51FE"/>
    <w:rsid w:val="00DB53F7"/>
    <w:rsid w:val="00DB541E"/>
    <w:rsid w:val="00DB55A4"/>
    <w:rsid w:val="00DB5749"/>
    <w:rsid w:val="00DB5A51"/>
    <w:rsid w:val="00DB5C00"/>
    <w:rsid w:val="00DB6031"/>
    <w:rsid w:val="00DB609A"/>
    <w:rsid w:val="00DB664A"/>
    <w:rsid w:val="00DB6775"/>
    <w:rsid w:val="00DB69E6"/>
    <w:rsid w:val="00DB6EF2"/>
    <w:rsid w:val="00DB71AB"/>
    <w:rsid w:val="00DB7410"/>
    <w:rsid w:val="00DB7463"/>
    <w:rsid w:val="00DB75F1"/>
    <w:rsid w:val="00DB7653"/>
    <w:rsid w:val="00DB78DE"/>
    <w:rsid w:val="00DC00D1"/>
    <w:rsid w:val="00DC01C7"/>
    <w:rsid w:val="00DC0534"/>
    <w:rsid w:val="00DC06E8"/>
    <w:rsid w:val="00DC0945"/>
    <w:rsid w:val="00DC0FCB"/>
    <w:rsid w:val="00DC14AF"/>
    <w:rsid w:val="00DC1624"/>
    <w:rsid w:val="00DC1720"/>
    <w:rsid w:val="00DC1B0A"/>
    <w:rsid w:val="00DC20B5"/>
    <w:rsid w:val="00DC2269"/>
    <w:rsid w:val="00DC258D"/>
    <w:rsid w:val="00DC2783"/>
    <w:rsid w:val="00DC2861"/>
    <w:rsid w:val="00DC2B38"/>
    <w:rsid w:val="00DC2C5A"/>
    <w:rsid w:val="00DC2DCF"/>
    <w:rsid w:val="00DC30E2"/>
    <w:rsid w:val="00DC3479"/>
    <w:rsid w:val="00DC3633"/>
    <w:rsid w:val="00DC3656"/>
    <w:rsid w:val="00DC3837"/>
    <w:rsid w:val="00DC3F74"/>
    <w:rsid w:val="00DC4108"/>
    <w:rsid w:val="00DC432F"/>
    <w:rsid w:val="00DC4377"/>
    <w:rsid w:val="00DC4644"/>
    <w:rsid w:val="00DC4B49"/>
    <w:rsid w:val="00DC4C69"/>
    <w:rsid w:val="00DC4EC7"/>
    <w:rsid w:val="00DC4F64"/>
    <w:rsid w:val="00DC4F9A"/>
    <w:rsid w:val="00DC50C5"/>
    <w:rsid w:val="00DC5233"/>
    <w:rsid w:val="00DC5A98"/>
    <w:rsid w:val="00DC5EFA"/>
    <w:rsid w:val="00DC60B5"/>
    <w:rsid w:val="00DC6468"/>
    <w:rsid w:val="00DC64A7"/>
    <w:rsid w:val="00DC64DB"/>
    <w:rsid w:val="00DC6920"/>
    <w:rsid w:val="00DC6CDC"/>
    <w:rsid w:val="00DC73A0"/>
    <w:rsid w:val="00DC7537"/>
    <w:rsid w:val="00DD00D2"/>
    <w:rsid w:val="00DD03F0"/>
    <w:rsid w:val="00DD0905"/>
    <w:rsid w:val="00DD0953"/>
    <w:rsid w:val="00DD0A03"/>
    <w:rsid w:val="00DD11CB"/>
    <w:rsid w:val="00DD1A95"/>
    <w:rsid w:val="00DD2536"/>
    <w:rsid w:val="00DD2766"/>
    <w:rsid w:val="00DD28A4"/>
    <w:rsid w:val="00DD2C81"/>
    <w:rsid w:val="00DD2D2F"/>
    <w:rsid w:val="00DD30C6"/>
    <w:rsid w:val="00DD342A"/>
    <w:rsid w:val="00DD38A2"/>
    <w:rsid w:val="00DD39B6"/>
    <w:rsid w:val="00DD4691"/>
    <w:rsid w:val="00DD4F77"/>
    <w:rsid w:val="00DD53D8"/>
    <w:rsid w:val="00DD57BB"/>
    <w:rsid w:val="00DD5D6F"/>
    <w:rsid w:val="00DD633A"/>
    <w:rsid w:val="00DD6B5E"/>
    <w:rsid w:val="00DD6D83"/>
    <w:rsid w:val="00DD7867"/>
    <w:rsid w:val="00DD7EF0"/>
    <w:rsid w:val="00DD7F62"/>
    <w:rsid w:val="00DE012C"/>
    <w:rsid w:val="00DE0D0F"/>
    <w:rsid w:val="00DE14C2"/>
    <w:rsid w:val="00DE14DE"/>
    <w:rsid w:val="00DE159A"/>
    <w:rsid w:val="00DE184D"/>
    <w:rsid w:val="00DE1993"/>
    <w:rsid w:val="00DE1B1E"/>
    <w:rsid w:val="00DE1D4A"/>
    <w:rsid w:val="00DE1E17"/>
    <w:rsid w:val="00DE20FA"/>
    <w:rsid w:val="00DE2496"/>
    <w:rsid w:val="00DE2573"/>
    <w:rsid w:val="00DE2A13"/>
    <w:rsid w:val="00DE2CFE"/>
    <w:rsid w:val="00DE2D55"/>
    <w:rsid w:val="00DE2EBA"/>
    <w:rsid w:val="00DE31AD"/>
    <w:rsid w:val="00DE31F8"/>
    <w:rsid w:val="00DE3211"/>
    <w:rsid w:val="00DE3A93"/>
    <w:rsid w:val="00DE3D72"/>
    <w:rsid w:val="00DE4369"/>
    <w:rsid w:val="00DE452B"/>
    <w:rsid w:val="00DE4552"/>
    <w:rsid w:val="00DE4C56"/>
    <w:rsid w:val="00DE4EFB"/>
    <w:rsid w:val="00DE54E8"/>
    <w:rsid w:val="00DE5623"/>
    <w:rsid w:val="00DE595D"/>
    <w:rsid w:val="00DE5B76"/>
    <w:rsid w:val="00DE5ED0"/>
    <w:rsid w:val="00DE6264"/>
    <w:rsid w:val="00DE6458"/>
    <w:rsid w:val="00DE6E89"/>
    <w:rsid w:val="00DE7099"/>
    <w:rsid w:val="00DE73BD"/>
    <w:rsid w:val="00DE757D"/>
    <w:rsid w:val="00DE757F"/>
    <w:rsid w:val="00DE78B1"/>
    <w:rsid w:val="00DE7A24"/>
    <w:rsid w:val="00DF00A8"/>
    <w:rsid w:val="00DF05FA"/>
    <w:rsid w:val="00DF08F4"/>
    <w:rsid w:val="00DF0E7F"/>
    <w:rsid w:val="00DF0FAA"/>
    <w:rsid w:val="00DF137E"/>
    <w:rsid w:val="00DF18DC"/>
    <w:rsid w:val="00DF1EE8"/>
    <w:rsid w:val="00DF2233"/>
    <w:rsid w:val="00DF2469"/>
    <w:rsid w:val="00DF2475"/>
    <w:rsid w:val="00DF297E"/>
    <w:rsid w:val="00DF2E28"/>
    <w:rsid w:val="00DF2FF6"/>
    <w:rsid w:val="00DF32A9"/>
    <w:rsid w:val="00DF33CE"/>
    <w:rsid w:val="00DF341B"/>
    <w:rsid w:val="00DF361E"/>
    <w:rsid w:val="00DF39E9"/>
    <w:rsid w:val="00DF41DE"/>
    <w:rsid w:val="00DF431B"/>
    <w:rsid w:val="00DF445E"/>
    <w:rsid w:val="00DF461E"/>
    <w:rsid w:val="00DF47BE"/>
    <w:rsid w:val="00DF49B2"/>
    <w:rsid w:val="00DF4A8A"/>
    <w:rsid w:val="00DF4C80"/>
    <w:rsid w:val="00DF5082"/>
    <w:rsid w:val="00DF50BD"/>
    <w:rsid w:val="00DF553B"/>
    <w:rsid w:val="00DF5884"/>
    <w:rsid w:val="00DF5CA6"/>
    <w:rsid w:val="00DF6049"/>
    <w:rsid w:val="00DF6A8F"/>
    <w:rsid w:val="00DF6B60"/>
    <w:rsid w:val="00DF72F6"/>
    <w:rsid w:val="00DF7318"/>
    <w:rsid w:val="00DF74D9"/>
    <w:rsid w:val="00DF7A02"/>
    <w:rsid w:val="00DF7A7F"/>
    <w:rsid w:val="00DF7C3A"/>
    <w:rsid w:val="00DF7F30"/>
    <w:rsid w:val="00E001E6"/>
    <w:rsid w:val="00E00403"/>
    <w:rsid w:val="00E004CB"/>
    <w:rsid w:val="00E00742"/>
    <w:rsid w:val="00E00784"/>
    <w:rsid w:val="00E00FD8"/>
    <w:rsid w:val="00E01BA9"/>
    <w:rsid w:val="00E01FD5"/>
    <w:rsid w:val="00E0203E"/>
    <w:rsid w:val="00E0207A"/>
    <w:rsid w:val="00E021B5"/>
    <w:rsid w:val="00E023FD"/>
    <w:rsid w:val="00E029C7"/>
    <w:rsid w:val="00E029DD"/>
    <w:rsid w:val="00E03103"/>
    <w:rsid w:val="00E03113"/>
    <w:rsid w:val="00E03117"/>
    <w:rsid w:val="00E035DA"/>
    <w:rsid w:val="00E0360B"/>
    <w:rsid w:val="00E039E7"/>
    <w:rsid w:val="00E03A29"/>
    <w:rsid w:val="00E03A96"/>
    <w:rsid w:val="00E040F2"/>
    <w:rsid w:val="00E0416A"/>
    <w:rsid w:val="00E042B4"/>
    <w:rsid w:val="00E043C9"/>
    <w:rsid w:val="00E04DBC"/>
    <w:rsid w:val="00E04DEA"/>
    <w:rsid w:val="00E05058"/>
    <w:rsid w:val="00E0516A"/>
    <w:rsid w:val="00E054FD"/>
    <w:rsid w:val="00E058AC"/>
    <w:rsid w:val="00E058B9"/>
    <w:rsid w:val="00E05D56"/>
    <w:rsid w:val="00E05EFD"/>
    <w:rsid w:val="00E06280"/>
    <w:rsid w:val="00E0633C"/>
    <w:rsid w:val="00E06724"/>
    <w:rsid w:val="00E0682F"/>
    <w:rsid w:val="00E06D68"/>
    <w:rsid w:val="00E07189"/>
    <w:rsid w:val="00E0762F"/>
    <w:rsid w:val="00E079B8"/>
    <w:rsid w:val="00E07B50"/>
    <w:rsid w:val="00E07F7F"/>
    <w:rsid w:val="00E10437"/>
    <w:rsid w:val="00E105A9"/>
    <w:rsid w:val="00E10634"/>
    <w:rsid w:val="00E10A9E"/>
    <w:rsid w:val="00E10C12"/>
    <w:rsid w:val="00E10D7D"/>
    <w:rsid w:val="00E10E1B"/>
    <w:rsid w:val="00E11214"/>
    <w:rsid w:val="00E113F9"/>
    <w:rsid w:val="00E11764"/>
    <w:rsid w:val="00E11832"/>
    <w:rsid w:val="00E124DF"/>
    <w:rsid w:val="00E128E7"/>
    <w:rsid w:val="00E12950"/>
    <w:rsid w:val="00E12984"/>
    <w:rsid w:val="00E12A7E"/>
    <w:rsid w:val="00E12C0F"/>
    <w:rsid w:val="00E12ED9"/>
    <w:rsid w:val="00E12EF9"/>
    <w:rsid w:val="00E1330E"/>
    <w:rsid w:val="00E13927"/>
    <w:rsid w:val="00E13A9C"/>
    <w:rsid w:val="00E13C65"/>
    <w:rsid w:val="00E13ECA"/>
    <w:rsid w:val="00E14081"/>
    <w:rsid w:val="00E143C2"/>
    <w:rsid w:val="00E14439"/>
    <w:rsid w:val="00E1487E"/>
    <w:rsid w:val="00E15056"/>
    <w:rsid w:val="00E15238"/>
    <w:rsid w:val="00E15316"/>
    <w:rsid w:val="00E153A8"/>
    <w:rsid w:val="00E15B79"/>
    <w:rsid w:val="00E15DB1"/>
    <w:rsid w:val="00E160B5"/>
    <w:rsid w:val="00E1622C"/>
    <w:rsid w:val="00E16427"/>
    <w:rsid w:val="00E16DB3"/>
    <w:rsid w:val="00E17382"/>
    <w:rsid w:val="00E17552"/>
    <w:rsid w:val="00E17915"/>
    <w:rsid w:val="00E17AA8"/>
    <w:rsid w:val="00E17FA9"/>
    <w:rsid w:val="00E208C1"/>
    <w:rsid w:val="00E21322"/>
    <w:rsid w:val="00E2142D"/>
    <w:rsid w:val="00E21861"/>
    <w:rsid w:val="00E21A5B"/>
    <w:rsid w:val="00E21ABD"/>
    <w:rsid w:val="00E21B03"/>
    <w:rsid w:val="00E21CC4"/>
    <w:rsid w:val="00E21EEF"/>
    <w:rsid w:val="00E21F52"/>
    <w:rsid w:val="00E21FD7"/>
    <w:rsid w:val="00E2211B"/>
    <w:rsid w:val="00E22137"/>
    <w:rsid w:val="00E221E9"/>
    <w:rsid w:val="00E223A4"/>
    <w:rsid w:val="00E22445"/>
    <w:rsid w:val="00E234D6"/>
    <w:rsid w:val="00E235C2"/>
    <w:rsid w:val="00E239CA"/>
    <w:rsid w:val="00E23A16"/>
    <w:rsid w:val="00E23B5D"/>
    <w:rsid w:val="00E23F16"/>
    <w:rsid w:val="00E240C5"/>
    <w:rsid w:val="00E24638"/>
    <w:rsid w:val="00E24786"/>
    <w:rsid w:val="00E24AFF"/>
    <w:rsid w:val="00E24E3A"/>
    <w:rsid w:val="00E24E78"/>
    <w:rsid w:val="00E24F03"/>
    <w:rsid w:val="00E252B6"/>
    <w:rsid w:val="00E25311"/>
    <w:rsid w:val="00E2540A"/>
    <w:rsid w:val="00E25A6C"/>
    <w:rsid w:val="00E260A3"/>
    <w:rsid w:val="00E260EA"/>
    <w:rsid w:val="00E268D6"/>
    <w:rsid w:val="00E26900"/>
    <w:rsid w:val="00E26BC6"/>
    <w:rsid w:val="00E26D15"/>
    <w:rsid w:val="00E277B5"/>
    <w:rsid w:val="00E27AB4"/>
    <w:rsid w:val="00E27B7D"/>
    <w:rsid w:val="00E27DDB"/>
    <w:rsid w:val="00E27F35"/>
    <w:rsid w:val="00E2D44C"/>
    <w:rsid w:val="00E30510"/>
    <w:rsid w:val="00E30943"/>
    <w:rsid w:val="00E30D96"/>
    <w:rsid w:val="00E31525"/>
    <w:rsid w:val="00E31702"/>
    <w:rsid w:val="00E31B75"/>
    <w:rsid w:val="00E31E3E"/>
    <w:rsid w:val="00E3242E"/>
    <w:rsid w:val="00E327D6"/>
    <w:rsid w:val="00E32E20"/>
    <w:rsid w:val="00E32FFE"/>
    <w:rsid w:val="00E330C9"/>
    <w:rsid w:val="00E3330E"/>
    <w:rsid w:val="00E3351F"/>
    <w:rsid w:val="00E33633"/>
    <w:rsid w:val="00E3364D"/>
    <w:rsid w:val="00E33767"/>
    <w:rsid w:val="00E337C0"/>
    <w:rsid w:val="00E33992"/>
    <w:rsid w:val="00E33A44"/>
    <w:rsid w:val="00E33F12"/>
    <w:rsid w:val="00E34565"/>
    <w:rsid w:val="00E3476A"/>
    <w:rsid w:val="00E347C3"/>
    <w:rsid w:val="00E34A45"/>
    <w:rsid w:val="00E34BD8"/>
    <w:rsid w:val="00E35664"/>
    <w:rsid w:val="00E35711"/>
    <w:rsid w:val="00E359A7"/>
    <w:rsid w:val="00E35B11"/>
    <w:rsid w:val="00E35C59"/>
    <w:rsid w:val="00E35DD9"/>
    <w:rsid w:val="00E36290"/>
    <w:rsid w:val="00E363F0"/>
    <w:rsid w:val="00E36708"/>
    <w:rsid w:val="00E367DD"/>
    <w:rsid w:val="00E36BCF"/>
    <w:rsid w:val="00E36F3A"/>
    <w:rsid w:val="00E371CD"/>
    <w:rsid w:val="00E37473"/>
    <w:rsid w:val="00E374C9"/>
    <w:rsid w:val="00E3782A"/>
    <w:rsid w:val="00E378F5"/>
    <w:rsid w:val="00E379E1"/>
    <w:rsid w:val="00E4028B"/>
    <w:rsid w:val="00E4039B"/>
    <w:rsid w:val="00E40439"/>
    <w:rsid w:val="00E40BE0"/>
    <w:rsid w:val="00E40C9D"/>
    <w:rsid w:val="00E40DAE"/>
    <w:rsid w:val="00E40F62"/>
    <w:rsid w:val="00E410CF"/>
    <w:rsid w:val="00E4130F"/>
    <w:rsid w:val="00E415D5"/>
    <w:rsid w:val="00E416BC"/>
    <w:rsid w:val="00E41CAD"/>
    <w:rsid w:val="00E41D05"/>
    <w:rsid w:val="00E41EEF"/>
    <w:rsid w:val="00E42194"/>
    <w:rsid w:val="00E422CE"/>
    <w:rsid w:val="00E42375"/>
    <w:rsid w:val="00E4259F"/>
    <w:rsid w:val="00E42C65"/>
    <w:rsid w:val="00E42CAC"/>
    <w:rsid w:val="00E42CFE"/>
    <w:rsid w:val="00E42ECC"/>
    <w:rsid w:val="00E43249"/>
    <w:rsid w:val="00E4342A"/>
    <w:rsid w:val="00E436A2"/>
    <w:rsid w:val="00E439F9"/>
    <w:rsid w:val="00E43B0D"/>
    <w:rsid w:val="00E43B1E"/>
    <w:rsid w:val="00E43DB3"/>
    <w:rsid w:val="00E43E4B"/>
    <w:rsid w:val="00E442C7"/>
    <w:rsid w:val="00E445C8"/>
    <w:rsid w:val="00E44698"/>
    <w:rsid w:val="00E44E1B"/>
    <w:rsid w:val="00E452DA"/>
    <w:rsid w:val="00E455F3"/>
    <w:rsid w:val="00E456CF"/>
    <w:rsid w:val="00E458D8"/>
    <w:rsid w:val="00E45D81"/>
    <w:rsid w:val="00E45FB1"/>
    <w:rsid w:val="00E461FB"/>
    <w:rsid w:val="00E4621F"/>
    <w:rsid w:val="00E465DC"/>
    <w:rsid w:val="00E46649"/>
    <w:rsid w:val="00E46950"/>
    <w:rsid w:val="00E46A68"/>
    <w:rsid w:val="00E46B9E"/>
    <w:rsid w:val="00E471D6"/>
    <w:rsid w:val="00E47585"/>
    <w:rsid w:val="00E47C4F"/>
    <w:rsid w:val="00E47CC2"/>
    <w:rsid w:val="00E47CC4"/>
    <w:rsid w:val="00E47E6D"/>
    <w:rsid w:val="00E502D8"/>
    <w:rsid w:val="00E50FED"/>
    <w:rsid w:val="00E51011"/>
    <w:rsid w:val="00E514C4"/>
    <w:rsid w:val="00E518A7"/>
    <w:rsid w:val="00E519A4"/>
    <w:rsid w:val="00E51EDF"/>
    <w:rsid w:val="00E51FF8"/>
    <w:rsid w:val="00E522E4"/>
    <w:rsid w:val="00E524C5"/>
    <w:rsid w:val="00E526B9"/>
    <w:rsid w:val="00E5275E"/>
    <w:rsid w:val="00E529CB"/>
    <w:rsid w:val="00E529F5"/>
    <w:rsid w:val="00E530F9"/>
    <w:rsid w:val="00E53192"/>
    <w:rsid w:val="00E53295"/>
    <w:rsid w:val="00E532D4"/>
    <w:rsid w:val="00E53325"/>
    <w:rsid w:val="00E5356B"/>
    <w:rsid w:val="00E53792"/>
    <w:rsid w:val="00E53838"/>
    <w:rsid w:val="00E53B8B"/>
    <w:rsid w:val="00E53C3D"/>
    <w:rsid w:val="00E53E00"/>
    <w:rsid w:val="00E53E4D"/>
    <w:rsid w:val="00E53EFC"/>
    <w:rsid w:val="00E53F6D"/>
    <w:rsid w:val="00E54221"/>
    <w:rsid w:val="00E544BA"/>
    <w:rsid w:val="00E5455D"/>
    <w:rsid w:val="00E54A80"/>
    <w:rsid w:val="00E54C3C"/>
    <w:rsid w:val="00E54E57"/>
    <w:rsid w:val="00E54EAB"/>
    <w:rsid w:val="00E54F09"/>
    <w:rsid w:val="00E551E0"/>
    <w:rsid w:val="00E55783"/>
    <w:rsid w:val="00E55795"/>
    <w:rsid w:val="00E558E2"/>
    <w:rsid w:val="00E55C2B"/>
    <w:rsid w:val="00E55E25"/>
    <w:rsid w:val="00E55E69"/>
    <w:rsid w:val="00E5602D"/>
    <w:rsid w:val="00E5650A"/>
    <w:rsid w:val="00E568C5"/>
    <w:rsid w:val="00E5699D"/>
    <w:rsid w:val="00E56B90"/>
    <w:rsid w:val="00E56C80"/>
    <w:rsid w:val="00E56D2C"/>
    <w:rsid w:val="00E570E4"/>
    <w:rsid w:val="00E572A4"/>
    <w:rsid w:val="00E572C5"/>
    <w:rsid w:val="00E5742A"/>
    <w:rsid w:val="00E574AE"/>
    <w:rsid w:val="00E574EC"/>
    <w:rsid w:val="00E57973"/>
    <w:rsid w:val="00E57DB3"/>
    <w:rsid w:val="00E57F9C"/>
    <w:rsid w:val="00E6007F"/>
    <w:rsid w:val="00E60169"/>
    <w:rsid w:val="00E601B5"/>
    <w:rsid w:val="00E6043C"/>
    <w:rsid w:val="00E60B64"/>
    <w:rsid w:val="00E60B93"/>
    <w:rsid w:val="00E60DC6"/>
    <w:rsid w:val="00E60ED3"/>
    <w:rsid w:val="00E60F98"/>
    <w:rsid w:val="00E6123B"/>
    <w:rsid w:val="00E615F9"/>
    <w:rsid w:val="00E61893"/>
    <w:rsid w:val="00E618D5"/>
    <w:rsid w:val="00E6193C"/>
    <w:rsid w:val="00E61B8E"/>
    <w:rsid w:val="00E61C4B"/>
    <w:rsid w:val="00E620F4"/>
    <w:rsid w:val="00E62113"/>
    <w:rsid w:val="00E625FC"/>
    <w:rsid w:val="00E6295C"/>
    <w:rsid w:val="00E62AEC"/>
    <w:rsid w:val="00E62AFA"/>
    <w:rsid w:val="00E62BC2"/>
    <w:rsid w:val="00E62E7F"/>
    <w:rsid w:val="00E62ECB"/>
    <w:rsid w:val="00E63365"/>
    <w:rsid w:val="00E635F9"/>
    <w:rsid w:val="00E63602"/>
    <w:rsid w:val="00E6376B"/>
    <w:rsid w:val="00E63DAA"/>
    <w:rsid w:val="00E63EE9"/>
    <w:rsid w:val="00E6438A"/>
    <w:rsid w:val="00E64653"/>
    <w:rsid w:val="00E64CCE"/>
    <w:rsid w:val="00E64D8D"/>
    <w:rsid w:val="00E64E5A"/>
    <w:rsid w:val="00E65248"/>
    <w:rsid w:val="00E65491"/>
    <w:rsid w:val="00E65B18"/>
    <w:rsid w:val="00E65E46"/>
    <w:rsid w:val="00E6633A"/>
    <w:rsid w:val="00E66563"/>
    <w:rsid w:val="00E666E9"/>
    <w:rsid w:val="00E668A9"/>
    <w:rsid w:val="00E66A9E"/>
    <w:rsid w:val="00E66F4B"/>
    <w:rsid w:val="00E67028"/>
    <w:rsid w:val="00E67038"/>
    <w:rsid w:val="00E6754D"/>
    <w:rsid w:val="00E67ACE"/>
    <w:rsid w:val="00E67EFB"/>
    <w:rsid w:val="00E700AD"/>
    <w:rsid w:val="00E70470"/>
    <w:rsid w:val="00E709D8"/>
    <w:rsid w:val="00E712AD"/>
    <w:rsid w:val="00E71397"/>
    <w:rsid w:val="00E71412"/>
    <w:rsid w:val="00E71657"/>
    <w:rsid w:val="00E717DC"/>
    <w:rsid w:val="00E7216C"/>
    <w:rsid w:val="00E7221D"/>
    <w:rsid w:val="00E722C3"/>
    <w:rsid w:val="00E72336"/>
    <w:rsid w:val="00E725DA"/>
    <w:rsid w:val="00E725F6"/>
    <w:rsid w:val="00E72696"/>
    <w:rsid w:val="00E72CE8"/>
    <w:rsid w:val="00E72F47"/>
    <w:rsid w:val="00E72F9D"/>
    <w:rsid w:val="00E730FD"/>
    <w:rsid w:val="00E7315B"/>
    <w:rsid w:val="00E7361A"/>
    <w:rsid w:val="00E738E4"/>
    <w:rsid w:val="00E73EB7"/>
    <w:rsid w:val="00E74012"/>
    <w:rsid w:val="00E740E6"/>
    <w:rsid w:val="00E748F0"/>
    <w:rsid w:val="00E750D7"/>
    <w:rsid w:val="00E751C8"/>
    <w:rsid w:val="00E75307"/>
    <w:rsid w:val="00E753A3"/>
    <w:rsid w:val="00E753C6"/>
    <w:rsid w:val="00E753F0"/>
    <w:rsid w:val="00E755B5"/>
    <w:rsid w:val="00E75682"/>
    <w:rsid w:val="00E75716"/>
    <w:rsid w:val="00E75A64"/>
    <w:rsid w:val="00E75BE5"/>
    <w:rsid w:val="00E75C65"/>
    <w:rsid w:val="00E75E0E"/>
    <w:rsid w:val="00E760FF"/>
    <w:rsid w:val="00E7615F"/>
    <w:rsid w:val="00E761AD"/>
    <w:rsid w:val="00E7634A"/>
    <w:rsid w:val="00E76382"/>
    <w:rsid w:val="00E765EC"/>
    <w:rsid w:val="00E76A51"/>
    <w:rsid w:val="00E76AE0"/>
    <w:rsid w:val="00E76B26"/>
    <w:rsid w:val="00E76B41"/>
    <w:rsid w:val="00E76C6E"/>
    <w:rsid w:val="00E76D92"/>
    <w:rsid w:val="00E774DC"/>
    <w:rsid w:val="00E778D2"/>
    <w:rsid w:val="00E77938"/>
    <w:rsid w:val="00E77D78"/>
    <w:rsid w:val="00E801AF"/>
    <w:rsid w:val="00E801C1"/>
    <w:rsid w:val="00E80452"/>
    <w:rsid w:val="00E8061F"/>
    <w:rsid w:val="00E80EE7"/>
    <w:rsid w:val="00E812AF"/>
    <w:rsid w:val="00E814EE"/>
    <w:rsid w:val="00E81887"/>
    <w:rsid w:val="00E81A5A"/>
    <w:rsid w:val="00E81A87"/>
    <w:rsid w:val="00E81AF2"/>
    <w:rsid w:val="00E81B6C"/>
    <w:rsid w:val="00E81D28"/>
    <w:rsid w:val="00E81D4D"/>
    <w:rsid w:val="00E8239C"/>
    <w:rsid w:val="00E826AC"/>
    <w:rsid w:val="00E82722"/>
    <w:rsid w:val="00E8273E"/>
    <w:rsid w:val="00E82D2E"/>
    <w:rsid w:val="00E82DD0"/>
    <w:rsid w:val="00E82F69"/>
    <w:rsid w:val="00E8313C"/>
    <w:rsid w:val="00E835EB"/>
    <w:rsid w:val="00E83948"/>
    <w:rsid w:val="00E83BB5"/>
    <w:rsid w:val="00E83CF9"/>
    <w:rsid w:val="00E84176"/>
    <w:rsid w:val="00E8453A"/>
    <w:rsid w:val="00E84B3B"/>
    <w:rsid w:val="00E85024"/>
    <w:rsid w:val="00E85316"/>
    <w:rsid w:val="00E85867"/>
    <w:rsid w:val="00E85970"/>
    <w:rsid w:val="00E859D9"/>
    <w:rsid w:val="00E85AF9"/>
    <w:rsid w:val="00E85BAE"/>
    <w:rsid w:val="00E85D78"/>
    <w:rsid w:val="00E85DED"/>
    <w:rsid w:val="00E8627C"/>
    <w:rsid w:val="00E8670C"/>
    <w:rsid w:val="00E8693A"/>
    <w:rsid w:val="00E86DF6"/>
    <w:rsid w:val="00E87094"/>
    <w:rsid w:val="00E875D3"/>
    <w:rsid w:val="00E87778"/>
    <w:rsid w:val="00E87CD8"/>
    <w:rsid w:val="00E87EB6"/>
    <w:rsid w:val="00E90191"/>
    <w:rsid w:val="00E9021D"/>
    <w:rsid w:val="00E90255"/>
    <w:rsid w:val="00E90520"/>
    <w:rsid w:val="00E90A34"/>
    <w:rsid w:val="00E90A7E"/>
    <w:rsid w:val="00E9154B"/>
    <w:rsid w:val="00E91564"/>
    <w:rsid w:val="00E91601"/>
    <w:rsid w:val="00E92974"/>
    <w:rsid w:val="00E92A71"/>
    <w:rsid w:val="00E92F33"/>
    <w:rsid w:val="00E92F98"/>
    <w:rsid w:val="00E9317D"/>
    <w:rsid w:val="00E932C1"/>
    <w:rsid w:val="00E9331D"/>
    <w:rsid w:val="00E93321"/>
    <w:rsid w:val="00E9389B"/>
    <w:rsid w:val="00E9396D"/>
    <w:rsid w:val="00E9416D"/>
    <w:rsid w:val="00E942D2"/>
    <w:rsid w:val="00E943CB"/>
    <w:rsid w:val="00E94568"/>
    <w:rsid w:val="00E94836"/>
    <w:rsid w:val="00E948CB"/>
    <w:rsid w:val="00E95322"/>
    <w:rsid w:val="00E95490"/>
    <w:rsid w:val="00E965D6"/>
    <w:rsid w:val="00E968C1"/>
    <w:rsid w:val="00E96D52"/>
    <w:rsid w:val="00E96D95"/>
    <w:rsid w:val="00E96E50"/>
    <w:rsid w:val="00E96E75"/>
    <w:rsid w:val="00E97075"/>
    <w:rsid w:val="00E97087"/>
    <w:rsid w:val="00E97118"/>
    <w:rsid w:val="00E9714B"/>
    <w:rsid w:val="00E97173"/>
    <w:rsid w:val="00E971D8"/>
    <w:rsid w:val="00E971F6"/>
    <w:rsid w:val="00E973E3"/>
    <w:rsid w:val="00E97664"/>
    <w:rsid w:val="00E97778"/>
    <w:rsid w:val="00E9784B"/>
    <w:rsid w:val="00E978F2"/>
    <w:rsid w:val="00E97AD6"/>
    <w:rsid w:val="00EA0585"/>
    <w:rsid w:val="00EA07AA"/>
    <w:rsid w:val="00EA08E7"/>
    <w:rsid w:val="00EA0D28"/>
    <w:rsid w:val="00EA0D3B"/>
    <w:rsid w:val="00EA0E54"/>
    <w:rsid w:val="00EA0F28"/>
    <w:rsid w:val="00EA10D1"/>
    <w:rsid w:val="00EA11F4"/>
    <w:rsid w:val="00EA158E"/>
    <w:rsid w:val="00EA1753"/>
    <w:rsid w:val="00EA1769"/>
    <w:rsid w:val="00EA193D"/>
    <w:rsid w:val="00EA1D9E"/>
    <w:rsid w:val="00EA2038"/>
    <w:rsid w:val="00EA23B2"/>
    <w:rsid w:val="00EA2607"/>
    <w:rsid w:val="00EA288B"/>
    <w:rsid w:val="00EA28AB"/>
    <w:rsid w:val="00EA2B15"/>
    <w:rsid w:val="00EA2D61"/>
    <w:rsid w:val="00EA2F92"/>
    <w:rsid w:val="00EA340E"/>
    <w:rsid w:val="00EA3542"/>
    <w:rsid w:val="00EA3671"/>
    <w:rsid w:val="00EA37B0"/>
    <w:rsid w:val="00EA3A6A"/>
    <w:rsid w:val="00EA3B59"/>
    <w:rsid w:val="00EA3CAE"/>
    <w:rsid w:val="00EA3DC0"/>
    <w:rsid w:val="00EA40EF"/>
    <w:rsid w:val="00EA43EF"/>
    <w:rsid w:val="00EA4A60"/>
    <w:rsid w:val="00EA4B17"/>
    <w:rsid w:val="00EA4B4A"/>
    <w:rsid w:val="00EA55D3"/>
    <w:rsid w:val="00EA5ADC"/>
    <w:rsid w:val="00EA5B3C"/>
    <w:rsid w:val="00EA5B92"/>
    <w:rsid w:val="00EA5BC0"/>
    <w:rsid w:val="00EA5BC9"/>
    <w:rsid w:val="00EA5DD4"/>
    <w:rsid w:val="00EA6255"/>
    <w:rsid w:val="00EA6535"/>
    <w:rsid w:val="00EA664B"/>
    <w:rsid w:val="00EA6662"/>
    <w:rsid w:val="00EA6A4A"/>
    <w:rsid w:val="00EA6A8A"/>
    <w:rsid w:val="00EA6C97"/>
    <w:rsid w:val="00EA6D19"/>
    <w:rsid w:val="00EA7157"/>
    <w:rsid w:val="00EA7862"/>
    <w:rsid w:val="00EA7B05"/>
    <w:rsid w:val="00EB01CC"/>
    <w:rsid w:val="00EB032C"/>
    <w:rsid w:val="00EB03DF"/>
    <w:rsid w:val="00EB05B7"/>
    <w:rsid w:val="00EB0688"/>
    <w:rsid w:val="00EB08B0"/>
    <w:rsid w:val="00EB0DEA"/>
    <w:rsid w:val="00EB0E46"/>
    <w:rsid w:val="00EB1016"/>
    <w:rsid w:val="00EB179D"/>
    <w:rsid w:val="00EB1AAC"/>
    <w:rsid w:val="00EB1CB4"/>
    <w:rsid w:val="00EB1E27"/>
    <w:rsid w:val="00EB1F63"/>
    <w:rsid w:val="00EB243B"/>
    <w:rsid w:val="00EB24AF"/>
    <w:rsid w:val="00EB26C3"/>
    <w:rsid w:val="00EB27BC"/>
    <w:rsid w:val="00EB2CB4"/>
    <w:rsid w:val="00EB3357"/>
    <w:rsid w:val="00EB338C"/>
    <w:rsid w:val="00EB36EE"/>
    <w:rsid w:val="00EB3A65"/>
    <w:rsid w:val="00EB3C8A"/>
    <w:rsid w:val="00EB3FB9"/>
    <w:rsid w:val="00EB40D2"/>
    <w:rsid w:val="00EB419F"/>
    <w:rsid w:val="00EB45AF"/>
    <w:rsid w:val="00EB48CB"/>
    <w:rsid w:val="00EB4BC7"/>
    <w:rsid w:val="00EB50FF"/>
    <w:rsid w:val="00EB527C"/>
    <w:rsid w:val="00EB53C9"/>
    <w:rsid w:val="00EB53E0"/>
    <w:rsid w:val="00EB5667"/>
    <w:rsid w:val="00EB56FA"/>
    <w:rsid w:val="00EB5820"/>
    <w:rsid w:val="00EB59D4"/>
    <w:rsid w:val="00EB6274"/>
    <w:rsid w:val="00EB6437"/>
    <w:rsid w:val="00EB693A"/>
    <w:rsid w:val="00EB69E8"/>
    <w:rsid w:val="00EB6A32"/>
    <w:rsid w:val="00EB6D85"/>
    <w:rsid w:val="00EB7072"/>
    <w:rsid w:val="00EB7980"/>
    <w:rsid w:val="00EB7B2A"/>
    <w:rsid w:val="00EB7F5B"/>
    <w:rsid w:val="00EB9171"/>
    <w:rsid w:val="00EC03BD"/>
    <w:rsid w:val="00EC0899"/>
    <w:rsid w:val="00EC095C"/>
    <w:rsid w:val="00EC0B76"/>
    <w:rsid w:val="00EC0D18"/>
    <w:rsid w:val="00EC0FC8"/>
    <w:rsid w:val="00EC1241"/>
    <w:rsid w:val="00EC140D"/>
    <w:rsid w:val="00EC1430"/>
    <w:rsid w:val="00EC148A"/>
    <w:rsid w:val="00EC1998"/>
    <w:rsid w:val="00EC1D02"/>
    <w:rsid w:val="00EC1D80"/>
    <w:rsid w:val="00EC26DB"/>
    <w:rsid w:val="00EC2E73"/>
    <w:rsid w:val="00EC33A0"/>
    <w:rsid w:val="00EC3584"/>
    <w:rsid w:val="00EC3856"/>
    <w:rsid w:val="00EC39F8"/>
    <w:rsid w:val="00EC41FA"/>
    <w:rsid w:val="00EC459C"/>
    <w:rsid w:val="00EC4836"/>
    <w:rsid w:val="00EC4FA0"/>
    <w:rsid w:val="00EC5088"/>
    <w:rsid w:val="00EC5191"/>
    <w:rsid w:val="00EC5899"/>
    <w:rsid w:val="00EC590E"/>
    <w:rsid w:val="00EC5A26"/>
    <w:rsid w:val="00EC5CBA"/>
    <w:rsid w:val="00EC5E1B"/>
    <w:rsid w:val="00EC5E67"/>
    <w:rsid w:val="00EC6814"/>
    <w:rsid w:val="00EC6C11"/>
    <w:rsid w:val="00EC6CD7"/>
    <w:rsid w:val="00EC6EA7"/>
    <w:rsid w:val="00EC6F21"/>
    <w:rsid w:val="00EC703D"/>
    <w:rsid w:val="00EC7107"/>
    <w:rsid w:val="00EC772E"/>
    <w:rsid w:val="00EC7B33"/>
    <w:rsid w:val="00EC7CA6"/>
    <w:rsid w:val="00EC7DFB"/>
    <w:rsid w:val="00ED0554"/>
    <w:rsid w:val="00ED060B"/>
    <w:rsid w:val="00ED0664"/>
    <w:rsid w:val="00ED074E"/>
    <w:rsid w:val="00ED13E5"/>
    <w:rsid w:val="00ED14AE"/>
    <w:rsid w:val="00ED16A8"/>
    <w:rsid w:val="00ED171A"/>
    <w:rsid w:val="00ED18C2"/>
    <w:rsid w:val="00ED19C2"/>
    <w:rsid w:val="00ED1DA7"/>
    <w:rsid w:val="00ED1EF3"/>
    <w:rsid w:val="00ED1FDC"/>
    <w:rsid w:val="00ED206A"/>
    <w:rsid w:val="00ED2204"/>
    <w:rsid w:val="00ED2268"/>
    <w:rsid w:val="00ED2443"/>
    <w:rsid w:val="00ED2465"/>
    <w:rsid w:val="00ED2872"/>
    <w:rsid w:val="00ED29C6"/>
    <w:rsid w:val="00ED2F23"/>
    <w:rsid w:val="00ED339B"/>
    <w:rsid w:val="00ED3563"/>
    <w:rsid w:val="00ED3B06"/>
    <w:rsid w:val="00ED3C98"/>
    <w:rsid w:val="00ED426C"/>
    <w:rsid w:val="00ED43E7"/>
    <w:rsid w:val="00ED4699"/>
    <w:rsid w:val="00ED4A6F"/>
    <w:rsid w:val="00ED4D78"/>
    <w:rsid w:val="00ED5159"/>
    <w:rsid w:val="00ED523F"/>
    <w:rsid w:val="00ED57E4"/>
    <w:rsid w:val="00ED5862"/>
    <w:rsid w:val="00ED5A4B"/>
    <w:rsid w:val="00ED5B22"/>
    <w:rsid w:val="00ED5E38"/>
    <w:rsid w:val="00ED5EFA"/>
    <w:rsid w:val="00ED61F7"/>
    <w:rsid w:val="00ED674E"/>
    <w:rsid w:val="00ED6869"/>
    <w:rsid w:val="00ED6ABE"/>
    <w:rsid w:val="00ED6B2C"/>
    <w:rsid w:val="00ED6F0B"/>
    <w:rsid w:val="00ED718C"/>
    <w:rsid w:val="00ED773D"/>
    <w:rsid w:val="00ED78F2"/>
    <w:rsid w:val="00ED7B50"/>
    <w:rsid w:val="00ED7C00"/>
    <w:rsid w:val="00EE01AF"/>
    <w:rsid w:val="00EE0368"/>
    <w:rsid w:val="00EE06FF"/>
    <w:rsid w:val="00EE0BEC"/>
    <w:rsid w:val="00EE0C79"/>
    <w:rsid w:val="00EE1133"/>
    <w:rsid w:val="00EE1401"/>
    <w:rsid w:val="00EE15DF"/>
    <w:rsid w:val="00EE1775"/>
    <w:rsid w:val="00EE1B2B"/>
    <w:rsid w:val="00EE1FFE"/>
    <w:rsid w:val="00EE208D"/>
    <w:rsid w:val="00EE2945"/>
    <w:rsid w:val="00EE2BCF"/>
    <w:rsid w:val="00EE2C9C"/>
    <w:rsid w:val="00EE2EB0"/>
    <w:rsid w:val="00EE346E"/>
    <w:rsid w:val="00EE3681"/>
    <w:rsid w:val="00EE36E9"/>
    <w:rsid w:val="00EE3E72"/>
    <w:rsid w:val="00EE4036"/>
    <w:rsid w:val="00EE4490"/>
    <w:rsid w:val="00EE484E"/>
    <w:rsid w:val="00EE4DB9"/>
    <w:rsid w:val="00EE4E54"/>
    <w:rsid w:val="00EE4EEF"/>
    <w:rsid w:val="00EE4F16"/>
    <w:rsid w:val="00EE5229"/>
    <w:rsid w:val="00EE566C"/>
    <w:rsid w:val="00EE57CE"/>
    <w:rsid w:val="00EE57F3"/>
    <w:rsid w:val="00EE58F5"/>
    <w:rsid w:val="00EE593E"/>
    <w:rsid w:val="00EE5D11"/>
    <w:rsid w:val="00EE5EE2"/>
    <w:rsid w:val="00EE636D"/>
    <w:rsid w:val="00EE63D0"/>
    <w:rsid w:val="00EE6652"/>
    <w:rsid w:val="00EE67DC"/>
    <w:rsid w:val="00EE6832"/>
    <w:rsid w:val="00EE6B97"/>
    <w:rsid w:val="00EE70D4"/>
    <w:rsid w:val="00EE7320"/>
    <w:rsid w:val="00EE78A9"/>
    <w:rsid w:val="00EE7A3F"/>
    <w:rsid w:val="00EF009F"/>
    <w:rsid w:val="00EF0117"/>
    <w:rsid w:val="00EF03FC"/>
    <w:rsid w:val="00EF06C4"/>
    <w:rsid w:val="00EF0794"/>
    <w:rsid w:val="00EF0C22"/>
    <w:rsid w:val="00EF1020"/>
    <w:rsid w:val="00EF1150"/>
    <w:rsid w:val="00EF12D8"/>
    <w:rsid w:val="00EF13E3"/>
    <w:rsid w:val="00EF1755"/>
    <w:rsid w:val="00EF1E78"/>
    <w:rsid w:val="00EF22DB"/>
    <w:rsid w:val="00EF22F1"/>
    <w:rsid w:val="00EF27E8"/>
    <w:rsid w:val="00EF2877"/>
    <w:rsid w:val="00EF2949"/>
    <w:rsid w:val="00EF2B3B"/>
    <w:rsid w:val="00EF2D15"/>
    <w:rsid w:val="00EF3113"/>
    <w:rsid w:val="00EF3248"/>
    <w:rsid w:val="00EF3327"/>
    <w:rsid w:val="00EF36DE"/>
    <w:rsid w:val="00EF3D58"/>
    <w:rsid w:val="00EF4142"/>
    <w:rsid w:val="00EF43BC"/>
    <w:rsid w:val="00EF4579"/>
    <w:rsid w:val="00EF472E"/>
    <w:rsid w:val="00EF48BF"/>
    <w:rsid w:val="00EF4C4E"/>
    <w:rsid w:val="00EF5135"/>
    <w:rsid w:val="00EF529C"/>
    <w:rsid w:val="00EF53B7"/>
    <w:rsid w:val="00EF5468"/>
    <w:rsid w:val="00EF5646"/>
    <w:rsid w:val="00EF5D42"/>
    <w:rsid w:val="00EF5E54"/>
    <w:rsid w:val="00EF63BD"/>
    <w:rsid w:val="00EF6B5F"/>
    <w:rsid w:val="00EF6BD1"/>
    <w:rsid w:val="00EF7063"/>
    <w:rsid w:val="00EF7084"/>
    <w:rsid w:val="00EF71B4"/>
    <w:rsid w:val="00EF71E1"/>
    <w:rsid w:val="00EF769E"/>
    <w:rsid w:val="00EF7C6C"/>
    <w:rsid w:val="00EF7DBE"/>
    <w:rsid w:val="00EFEB5D"/>
    <w:rsid w:val="00F0016B"/>
    <w:rsid w:val="00F00839"/>
    <w:rsid w:val="00F0083A"/>
    <w:rsid w:val="00F00E67"/>
    <w:rsid w:val="00F00EF2"/>
    <w:rsid w:val="00F01015"/>
    <w:rsid w:val="00F0105D"/>
    <w:rsid w:val="00F01305"/>
    <w:rsid w:val="00F014E1"/>
    <w:rsid w:val="00F023A4"/>
    <w:rsid w:val="00F02D69"/>
    <w:rsid w:val="00F036FA"/>
    <w:rsid w:val="00F0377F"/>
    <w:rsid w:val="00F038ED"/>
    <w:rsid w:val="00F03A69"/>
    <w:rsid w:val="00F03B39"/>
    <w:rsid w:val="00F03BAA"/>
    <w:rsid w:val="00F03BB1"/>
    <w:rsid w:val="00F03D40"/>
    <w:rsid w:val="00F03E19"/>
    <w:rsid w:val="00F03F5A"/>
    <w:rsid w:val="00F03F99"/>
    <w:rsid w:val="00F04052"/>
    <w:rsid w:val="00F04317"/>
    <w:rsid w:val="00F04BC3"/>
    <w:rsid w:val="00F04DED"/>
    <w:rsid w:val="00F04FED"/>
    <w:rsid w:val="00F05645"/>
    <w:rsid w:val="00F05B1B"/>
    <w:rsid w:val="00F05E44"/>
    <w:rsid w:val="00F05E77"/>
    <w:rsid w:val="00F05F6B"/>
    <w:rsid w:val="00F0618C"/>
    <w:rsid w:val="00F0628C"/>
    <w:rsid w:val="00F063E8"/>
    <w:rsid w:val="00F06431"/>
    <w:rsid w:val="00F0658A"/>
    <w:rsid w:val="00F06639"/>
    <w:rsid w:val="00F06673"/>
    <w:rsid w:val="00F06961"/>
    <w:rsid w:val="00F06DC7"/>
    <w:rsid w:val="00F071EB"/>
    <w:rsid w:val="00F07328"/>
    <w:rsid w:val="00F07516"/>
    <w:rsid w:val="00F075E3"/>
    <w:rsid w:val="00F0796A"/>
    <w:rsid w:val="00F07C45"/>
    <w:rsid w:val="00F07D7F"/>
    <w:rsid w:val="00F07D95"/>
    <w:rsid w:val="00F07E5E"/>
    <w:rsid w:val="00F102FE"/>
    <w:rsid w:val="00F104BA"/>
    <w:rsid w:val="00F1054A"/>
    <w:rsid w:val="00F1066F"/>
    <w:rsid w:val="00F10788"/>
    <w:rsid w:val="00F107D8"/>
    <w:rsid w:val="00F10922"/>
    <w:rsid w:val="00F10B53"/>
    <w:rsid w:val="00F10C09"/>
    <w:rsid w:val="00F111BB"/>
    <w:rsid w:val="00F1199A"/>
    <w:rsid w:val="00F11DC3"/>
    <w:rsid w:val="00F1205B"/>
    <w:rsid w:val="00F1214A"/>
    <w:rsid w:val="00F1214B"/>
    <w:rsid w:val="00F1270D"/>
    <w:rsid w:val="00F12ACA"/>
    <w:rsid w:val="00F12D53"/>
    <w:rsid w:val="00F1308C"/>
    <w:rsid w:val="00F1332D"/>
    <w:rsid w:val="00F1339C"/>
    <w:rsid w:val="00F13449"/>
    <w:rsid w:val="00F134E8"/>
    <w:rsid w:val="00F1371A"/>
    <w:rsid w:val="00F1374D"/>
    <w:rsid w:val="00F13880"/>
    <w:rsid w:val="00F13902"/>
    <w:rsid w:val="00F1393F"/>
    <w:rsid w:val="00F139B0"/>
    <w:rsid w:val="00F13A9F"/>
    <w:rsid w:val="00F13BAE"/>
    <w:rsid w:val="00F13C7C"/>
    <w:rsid w:val="00F13DA4"/>
    <w:rsid w:val="00F14017"/>
    <w:rsid w:val="00F1415F"/>
    <w:rsid w:val="00F14201"/>
    <w:rsid w:val="00F14F67"/>
    <w:rsid w:val="00F14FEE"/>
    <w:rsid w:val="00F1508C"/>
    <w:rsid w:val="00F150B6"/>
    <w:rsid w:val="00F15416"/>
    <w:rsid w:val="00F15615"/>
    <w:rsid w:val="00F15674"/>
    <w:rsid w:val="00F1575F"/>
    <w:rsid w:val="00F1578E"/>
    <w:rsid w:val="00F15BD0"/>
    <w:rsid w:val="00F15E59"/>
    <w:rsid w:val="00F15F7A"/>
    <w:rsid w:val="00F162B1"/>
    <w:rsid w:val="00F16523"/>
    <w:rsid w:val="00F16750"/>
    <w:rsid w:val="00F1682A"/>
    <w:rsid w:val="00F16838"/>
    <w:rsid w:val="00F169EF"/>
    <w:rsid w:val="00F16A74"/>
    <w:rsid w:val="00F16C92"/>
    <w:rsid w:val="00F16DDA"/>
    <w:rsid w:val="00F16F55"/>
    <w:rsid w:val="00F1759B"/>
    <w:rsid w:val="00F17848"/>
    <w:rsid w:val="00F17BC4"/>
    <w:rsid w:val="00F17F20"/>
    <w:rsid w:val="00F20068"/>
    <w:rsid w:val="00F20763"/>
    <w:rsid w:val="00F20AFD"/>
    <w:rsid w:val="00F20BA9"/>
    <w:rsid w:val="00F20D64"/>
    <w:rsid w:val="00F210CA"/>
    <w:rsid w:val="00F2191F"/>
    <w:rsid w:val="00F21A99"/>
    <w:rsid w:val="00F21C83"/>
    <w:rsid w:val="00F223FB"/>
    <w:rsid w:val="00F2269B"/>
    <w:rsid w:val="00F226C6"/>
    <w:rsid w:val="00F227C8"/>
    <w:rsid w:val="00F22A8B"/>
    <w:rsid w:val="00F230A8"/>
    <w:rsid w:val="00F231E6"/>
    <w:rsid w:val="00F2350A"/>
    <w:rsid w:val="00F235AC"/>
    <w:rsid w:val="00F2382D"/>
    <w:rsid w:val="00F23942"/>
    <w:rsid w:val="00F239EE"/>
    <w:rsid w:val="00F23CB7"/>
    <w:rsid w:val="00F23F11"/>
    <w:rsid w:val="00F24423"/>
    <w:rsid w:val="00F24488"/>
    <w:rsid w:val="00F244B5"/>
    <w:rsid w:val="00F24BA7"/>
    <w:rsid w:val="00F24E84"/>
    <w:rsid w:val="00F24EC0"/>
    <w:rsid w:val="00F25173"/>
    <w:rsid w:val="00F252B2"/>
    <w:rsid w:val="00F25660"/>
    <w:rsid w:val="00F257B5"/>
    <w:rsid w:val="00F257F8"/>
    <w:rsid w:val="00F25DF5"/>
    <w:rsid w:val="00F2636F"/>
    <w:rsid w:val="00F263AE"/>
    <w:rsid w:val="00F26434"/>
    <w:rsid w:val="00F26668"/>
    <w:rsid w:val="00F26C0A"/>
    <w:rsid w:val="00F2720E"/>
    <w:rsid w:val="00F272D6"/>
    <w:rsid w:val="00F274E8"/>
    <w:rsid w:val="00F2776D"/>
    <w:rsid w:val="00F277F8"/>
    <w:rsid w:val="00F279D9"/>
    <w:rsid w:val="00F27BE0"/>
    <w:rsid w:val="00F27D60"/>
    <w:rsid w:val="00F27E87"/>
    <w:rsid w:val="00F304B3"/>
    <w:rsid w:val="00F3056B"/>
    <w:rsid w:val="00F305F7"/>
    <w:rsid w:val="00F30790"/>
    <w:rsid w:val="00F30A92"/>
    <w:rsid w:val="00F30BD7"/>
    <w:rsid w:val="00F31124"/>
    <w:rsid w:val="00F31130"/>
    <w:rsid w:val="00F3124B"/>
    <w:rsid w:val="00F31404"/>
    <w:rsid w:val="00F31CEB"/>
    <w:rsid w:val="00F32042"/>
    <w:rsid w:val="00F32453"/>
    <w:rsid w:val="00F325A2"/>
    <w:rsid w:val="00F32E3F"/>
    <w:rsid w:val="00F32E9A"/>
    <w:rsid w:val="00F335FF"/>
    <w:rsid w:val="00F3362D"/>
    <w:rsid w:val="00F336F8"/>
    <w:rsid w:val="00F33C00"/>
    <w:rsid w:val="00F33C4A"/>
    <w:rsid w:val="00F33D16"/>
    <w:rsid w:val="00F34044"/>
    <w:rsid w:val="00F34132"/>
    <w:rsid w:val="00F341E4"/>
    <w:rsid w:val="00F34238"/>
    <w:rsid w:val="00F342C1"/>
    <w:rsid w:val="00F34478"/>
    <w:rsid w:val="00F346BA"/>
    <w:rsid w:val="00F346E6"/>
    <w:rsid w:val="00F34CC0"/>
    <w:rsid w:val="00F34DDF"/>
    <w:rsid w:val="00F35073"/>
    <w:rsid w:val="00F350D4"/>
    <w:rsid w:val="00F351D7"/>
    <w:rsid w:val="00F3538A"/>
    <w:rsid w:val="00F35530"/>
    <w:rsid w:val="00F358D8"/>
    <w:rsid w:val="00F35DC7"/>
    <w:rsid w:val="00F35DE3"/>
    <w:rsid w:val="00F360B0"/>
    <w:rsid w:val="00F363D6"/>
    <w:rsid w:val="00F36894"/>
    <w:rsid w:val="00F368B8"/>
    <w:rsid w:val="00F368E3"/>
    <w:rsid w:val="00F36A5D"/>
    <w:rsid w:val="00F36C0B"/>
    <w:rsid w:val="00F36C1A"/>
    <w:rsid w:val="00F3721F"/>
    <w:rsid w:val="00F37851"/>
    <w:rsid w:val="00F378A6"/>
    <w:rsid w:val="00F37C4A"/>
    <w:rsid w:val="00F3BDAF"/>
    <w:rsid w:val="00F3DB8B"/>
    <w:rsid w:val="00F40036"/>
    <w:rsid w:val="00F40068"/>
    <w:rsid w:val="00F40192"/>
    <w:rsid w:val="00F4030D"/>
    <w:rsid w:val="00F4032A"/>
    <w:rsid w:val="00F4078D"/>
    <w:rsid w:val="00F40864"/>
    <w:rsid w:val="00F409DF"/>
    <w:rsid w:val="00F40D8D"/>
    <w:rsid w:val="00F412D7"/>
    <w:rsid w:val="00F414C1"/>
    <w:rsid w:val="00F419A7"/>
    <w:rsid w:val="00F419FE"/>
    <w:rsid w:val="00F41C91"/>
    <w:rsid w:val="00F42A45"/>
    <w:rsid w:val="00F42C7B"/>
    <w:rsid w:val="00F42E31"/>
    <w:rsid w:val="00F42E48"/>
    <w:rsid w:val="00F42ED4"/>
    <w:rsid w:val="00F430F2"/>
    <w:rsid w:val="00F435CA"/>
    <w:rsid w:val="00F4390E"/>
    <w:rsid w:val="00F43B1A"/>
    <w:rsid w:val="00F43BA0"/>
    <w:rsid w:val="00F44381"/>
    <w:rsid w:val="00F44895"/>
    <w:rsid w:val="00F44AD4"/>
    <w:rsid w:val="00F44D0F"/>
    <w:rsid w:val="00F44F34"/>
    <w:rsid w:val="00F44FF3"/>
    <w:rsid w:val="00F450F0"/>
    <w:rsid w:val="00F4529B"/>
    <w:rsid w:val="00F463D8"/>
    <w:rsid w:val="00F46429"/>
    <w:rsid w:val="00F466F2"/>
    <w:rsid w:val="00F46D96"/>
    <w:rsid w:val="00F46E34"/>
    <w:rsid w:val="00F4729D"/>
    <w:rsid w:val="00F474ED"/>
    <w:rsid w:val="00F4768F"/>
    <w:rsid w:val="00F4775D"/>
    <w:rsid w:val="00F47AA2"/>
    <w:rsid w:val="00F47D16"/>
    <w:rsid w:val="00F47DB9"/>
    <w:rsid w:val="00F47F0A"/>
    <w:rsid w:val="00F50109"/>
    <w:rsid w:val="00F50284"/>
    <w:rsid w:val="00F50585"/>
    <w:rsid w:val="00F50673"/>
    <w:rsid w:val="00F50A04"/>
    <w:rsid w:val="00F50A05"/>
    <w:rsid w:val="00F51284"/>
    <w:rsid w:val="00F512AF"/>
    <w:rsid w:val="00F516B3"/>
    <w:rsid w:val="00F516E3"/>
    <w:rsid w:val="00F519E4"/>
    <w:rsid w:val="00F51BFF"/>
    <w:rsid w:val="00F51C86"/>
    <w:rsid w:val="00F51D1F"/>
    <w:rsid w:val="00F51E54"/>
    <w:rsid w:val="00F51F75"/>
    <w:rsid w:val="00F5216B"/>
    <w:rsid w:val="00F52584"/>
    <w:rsid w:val="00F53446"/>
    <w:rsid w:val="00F53451"/>
    <w:rsid w:val="00F53BC7"/>
    <w:rsid w:val="00F53CFA"/>
    <w:rsid w:val="00F53FC7"/>
    <w:rsid w:val="00F54403"/>
    <w:rsid w:val="00F54832"/>
    <w:rsid w:val="00F54898"/>
    <w:rsid w:val="00F54A00"/>
    <w:rsid w:val="00F54A16"/>
    <w:rsid w:val="00F54D8D"/>
    <w:rsid w:val="00F54F6D"/>
    <w:rsid w:val="00F55799"/>
    <w:rsid w:val="00F55A16"/>
    <w:rsid w:val="00F55C49"/>
    <w:rsid w:val="00F55C53"/>
    <w:rsid w:val="00F55E00"/>
    <w:rsid w:val="00F55FA6"/>
    <w:rsid w:val="00F561B4"/>
    <w:rsid w:val="00F5665F"/>
    <w:rsid w:val="00F56C85"/>
    <w:rsid w:val="00F56E55"/>
    <w:rsid w:val="00F56E67"/>
    <w:rsid w:val="00F57037"/>
    <w:rsid w:val="00F57588"/>
    <w:rsid w:val="00F5761A"/>
    <w:rsid w:val="00F57885"/>
    <w:rsid w:val="00F578AD"/>
    <w:rsid w:val="00F57A46"/>
    <w:rsid w:val="00F57C26"/>
    <w:rsid w:val="00F57DAD"/>
    <w:rsid w:val="00F57E38"/>
    <w:rsid w:val="00F57E63"/>
    <w:rsid w:val="00F57F3E"/>
    <w:rsid w:val="00F6012F"/>
    <w:rsid w:val="00F605C4"/>
    <w:rsid w:val="00F606AA"/>
    <w:rsid w:val="00F60A99"/>
    <w:rsid w:val="00F60E2B"/>
    <w:rsid w:val="00F612A0"/>
    <w:rsid w:val="00F61665"/>
    <w:rsid w:val="00F6250F"/>
    <w:rsid w:val="00F62BE3"/>
    <w:rsid w:val="00F62C3C"/>
    <w:rsid w:val="00F62E2B"/>
    <w:rsid w:val="00F63AB5"/>
    <w:rsid w:val="00F6489E"/>
    <w:rsid w:val="00F64C86"/>
    <w:rsid w:val="00F64CC7"/>
    <w:rsid w:val="00F64D40"/>
    <w:rsid w:val="00F64E66"/>
    <w:rsid w:val="00F6533B"/>
    <w:rsid w:val="00F6544C"/>
    <w:rsid w:val="00F6594A"/>
    <w:rsid w:val="00F65B73"/>
    <w:rsid w:val="00F65DD1"/>
    <w:rsid w:val="00F66144"/>
    <w:rsid w:val="00F665FA"/>
    <w:rsid w:val="00F66B0B"/>
    <w:rsid w:val="00F66B0E"/>
    <w:rsid w:val="00F66E68"/>
    <w:rsid w:val="00F66E7D"/>
    <w:rsid w:val="00F66EB5"/>
    <w:rsid w:val="00F6713F"/>
    <w:rsid w:val="00F6734E"/>
    <w:rsid w:val="00F67442"/>
    <w:rsid w:val="00F679A7"/>
    <w:rsid w:val="00F679EB"/>
    <w:rsid w:val="00F67AFF"/>
    <w:rsid w:val="00F67B20"/>
    <w:rsid w:val="00F67BCB"/>
    <w:rsid w:val="00F67CFC"/>
    <w:rsid w:val="00F67DAF"/>
    <w:rsid w:val="00F67E24"/>
    <w:rsid w:val="00F67EEB"/>
    <w:rsid w:val="00F703A1"/>
    <w:rsid w:val="00F706F3"/>
    <w:rsid w:val="00F708C6"/>
    <w:rsid w:val="00F7097E"/>
    <w:rsid w:val="00F70A6B"/>
    <w:rsid w:val="00F70D86"/>
    <w:rsid w:val="00F71084"/>
    <w:rsid w:val="00F71134"/>
    <w:rsid w:val="00F717C0"/>
    <w:rsid w:val="00F719CC"/>
    <w:rsid w:val="00F719EB"/>
    <w:rsid w:val="00F71B9A"/>
    <w:rsid w:val="00F71BAF"/>
    <w:rsid w:val="00F71C6C"/>
    <w:rsid w:val="00F7204F"/>
    <w:rsid w:val="00F7221A"/>
    <w:rsid w:val="00F722E0"/>
    <w:rsid w:val="00F72A53"/>
    <w:rsid w:val="00F72D68"/>
    <w:rsid w:val="00F72DB8"/>
    <w:rsid w:val="00F73300"/>
    <w:rsid w:val="00F736C8"/>
    <w:rsid w:val="00F73A04"/>
    <w:rsid w:val="00F73D56"/>
    <w:rsid w:val="00F74078"/>
    <w:rsid w:val="00F742F7"/>
    <w:rsid w:val="00F744B5"/>
    <w:rsid w:val="00F74B51"/>
    <w:rsid w:val="00F74C02"/>
    <w:rsid w:val="00F750B6"/>
    <w:rsid w:val="00F75129"/>
    <w:rsid w:val="00F75383"/>
    <w:rsid w:val="00F75553"/>
    <w:rsid w:val="00F756E3"/>
    <w:rsid w:val="00F75C23"/>
    <w:rsid w:val="00F75CBE"/>
    <w:rsid w:val="00F75DFF"/>
    <w:rsid w:val="00F762BA"/>
    <w:rsid w:val="00F7632C"/>
    <w:rsid w:val="00F763D2"/>
    <w:rsid w:val="00F764C7"/>
    <w:rsid w:val="00F76693"/>
    <w:rsid w:val="00F76AE9"/>
    <w:rsid w:val="00F76C41"/>
    <w:rsid w:val="00F76F5F"/>
    <w:rsid w:val="00F77158"/>
    <w:rsid w:val="00F7794D"/>
    <w:rsid w:val="00F77AC3"/>
    <w:rsid w:val="00F77ACF"/>
    <w:rsid w:val="00F77DDA"/>
    <w:rsid w:val="00F77E10"/>
    <w:rsid w:val="00F80266"/>
    <w:rsid w:val="00F80AAC"/>
    <w:rsid w:val="00F80AE9"/>
    <w:rsid w:val="00F81362"/>
    <w:rsid w:val="00F813D8"/>
    <w:rsid w:val="00F81A94"/>
    <w:rsid w:val="00F821D6"/>
    <w:rsid w:val="00F82433"/>
    <w:rsid w:val="00F82952"/>
    <w:rsid w:val="00F82AB3"/>
    <w:rsid w:val="00F82ADF"/>
    <w:rsid w:val="00F82CD0"/>
    <w:rsid w:val="00F82D55"/>
    <w:rsid w:val="00F82F32"/>
    <w:rsid w:val="00F83076"/>
    <w:rsid w:val="00F83695"/>
    <w:rsid w:val="00F83B46"/>
    <w:rsid w:val="00F83C96"/>
    <w:rsid w:val="00F84057"/>
    <w:rsid w:val="00F84646"/>
    <w:rsid w:val="00F8485A"/>
    <w:rsid w:val="00F84CA7"/>
    <w:rsid w:val="00F84D44"/>
    <w:rsid w:val="00F84DEE"/>
    <w:rsid w:val="00F8504C"/>
    <w:rsid w:val="00F850F5"/>
    <w:rsid w:val="00F85451"/>
    <w:rsid w:val="00F854EE"/>
    <w:rsid w:val="00F857CF"/>
    <w:rsid w:val="00F85C31"/>
    <w:rsid w:val="00F85EF3"/>
    <w:rsid w:val="00F86163"/>
    <w:rsid w:val="00F8620F"/>
    <w:rsid w:val="00F86D45"/>
    <w:rsid w:val="00F86D6F"/>
    <w:rsid w:val="00F87983"/>
    <w:rsid w:val="00F87AF8"/>
    <w:rsid w:val="00F87D97"/>
    <w:rsid w:val="00F87DDD"/>
    <w:rsid w:val="00F87FB7"/>
    <w:rsid w:val="00F9056F"/>
    <w:rsid w:val="00F9097B"/>
    <w:rsid w:val="00F90BB9"/>
    <w:rsid w:val="00F90E48"/>
    <w:rsid w:val="00F91353"/>
    <w:rsid w:val="00F91639"/>
    <w:rsid w:val="00F916E5"/>
    <w:rsid w:val="00F916E8"/>
    <w:rsid w:val="00F9191E"/>
    <w:rsid w:val="00F919ED"/>
    <w:rsid w:val="00F91A79"/>
    <w:rsid w:val="00F91D8E"/>
    <w:rsid w:val="00F91E15"/>
    <w:rsid w:val="00F91E7E"/>
    <w:rsid w:val="00F92113"/>
    <w:rsid w:val="00F92D80"/>
    <w:rsid w:val="00F936B4"/>
    <w:rsid w:val="00F93C3F"/>
    <w:rsid w:val="00F93CA2"/>
    <w:rsid w:val="00F93DCC"/>
    <w:rsid w:val="00F93E0A"/>
    <w:rsid w:val="00F93F64"/>
    <w:rsid w:val="00F9429C"/>
    <w:rsid w:val="00F9431A"/>
    <w:rsid w:val="00F94594"/>
    <w:rsid w:val="00F94994"/>
    <w:rsid w:val="00F94B71"/>
    <w:rsid w:val="00F94D9D"/>
    <w:rsid w:val="00F94EB1"/>
    <w:rsid w:val="00F95014"/>
    <w:rsid w:val="00F95353"/>
    <w:rsid w:val="00F9542F"/>
    <w:rsid w:val="00F95501"/>
    <w:rsid w:val="00F955E3"/>
    <w:rsid w:val="00F957F3"/>
    <w:rsid w:val="00F95E2C"/>
    <w:rsid w:val="00F95F7B"/>
    <w:rsid w:val="00F962FA"/>
    <w:rsid w:val="00F96346"/>
    <w:rsid w:val="00F9684A"/>
    <w:rsid w:val="00F96BA9"/>
    <w:rsid w:val="00F97598"/>
    <w:rsid w:val="00F97792"/>
    <w:rsid w:val="00F97826"/>
    <w:rsid w:val="00F978EE"/>
    <w:rsid w:val="00F979DF"/>
    <w:rsid w:val="00F97AC2"/>
    <w:rsid w:val="00F97DD0"/>
    <w:rsid w:val="00FA01A2"/>
    <w:rsid w:val="00FA01C6"/>
    <w:rsid w:val="00FA0342"/>
    <w:rsid w:val="00FA0488"/>
    <w:rsid w:val="00FA065C"/>
    <w:rsid w:val="00FA0825"/>
    <w:rsid w:val="00FA08AD"/>
    <w:rsid w:val="00FA0D22"/>
    <w:rsid w:val="00FA0FCC"/>
    <w:rsid w:val="00FA1707"/>
    <w:rsid w:val="00FA17B3"/>
    <w:rsid w:val="00FA180F"/>
    <w:rsid w:val="00FA184B"/>
    <w:rsid w:val="00FA1ADC"/>
    <w:rsid w:val="00FA215F"/>
    <w:rsid w:val="00FA24BA"/>
    <w:rsid w:val="00FA2579"/>
    <w:rsid w:val="00FA283A"/>
    <w:rsid w:val="00FA2924"/>
    <w:rsid w:val="00FA2AA7"/>
    <w:rsid w:val="00FA2DA4"/>
    <w:rsid w:val="00FA2F27"/>
    <w:rsid w:val="00FA33A6"/>
    <w:rsid w:val="00FA33F3"/>
    <w:rsid w:val="00FA3469"/>
    <w:rsid w:val="00FA34D2"/>
    <w:rsid w:val="00FA36A1"/>
    <w:rsid w:val="00FA3776"/>
    <w:rsid w:val="00FA39B1"/>
    <w:rsid w:val="00FA3AF7"/>
    <w:rsid w:val="00FA4150"/>
    <w:rsid w:val="00FA43CB"/>
    <w:rsid w:val="00FA4480"/>
    <w:rsid w:val="00FA47BE"/>
    <w:rsid w:val="00FA490C"/>
    <w:rsid w:val="00FA49B2"/>
    <w:rsid w:val="00FA500E"/>
    <w:rsid w:val="00FA51C7"/>
    <w:rsid w:val="00FA5697"/>
    <w:rsid w:val="00FA56D9"/>
    <w:rsid w:val="00FA5766"/>
    <w:rsid w:val="00FA5F13"/>
    <w:rsid w:val="00FA5F2D"/>
    <w:rsid w:val="00FA635C"/>
    <w:rsid w:val="00FA686E"/>
    <w:rsid w:val="00FA6977"/>
    <w:rsid w:val="00FA6CAB"/>
    <w:rsid w:val="00FA74C8"/>
    <w:rsid w:val="00FA77B6"/>
    <w:rsid w:val="00FA7816"/>
    <w:rsid w:val="00FA7955"/>
    <w:rsid w:val="00FA7CF8"/>
    <w:rsid w:val="00FA7D7D"/>
    <w:rsid w:val="00FB0200"/>
    <w:rsid w:val="00FB0298"/>
    <w:rsid w:val="00FB091A"/>
    <w:rsid w:val="00FB09B1"/>
    <w:rsid w:val="00FB10E6"/>
    <w:rsid w:val="00FB1605"/>
    <w:rsid w:val="00FB1A56"/>
    <w:rsid w:val="00FB20BB"/>
    <w:rsid w:val="00FB20FA"/>
    <w:rsid w:val="00FB22D0"/>
    <w:rsid w:val="00FB238E"/>
    <w:rsid w:val="00FB25A3"/>
    <w:rsid w:val="00FB276F"/>
    <w:rsid w:val="00FB27D1"/>
    <w:rsid w:val="00FB2878"/>
    <w:rsid w:val="00FB336E"/>
    <w:rsid w:val="00FB3DC8"/>
    <w:rsid w:val="00FB3DF2"/>
    <w:rsid w:val="00FB3EE6"/>
    <w:rsid w:val="00FB3FFC"/>
    <w:rsid w:val="00FB435A"/>
    <w:rsid w:val="00FB4677"/>
    <w:rsid w:val="00FB47AB"/>
    <w:rsid w:val="00FB4817"/>
    <w:rsid w:val="00FB486D"/>
    <w:rsid w:val="00FB4A82"/>
    <w:rsid w:val="00FB4BEE"/>
    <w:rsid w:val="00FB4C2C"/>
    <w:rsid w:val="00FB4EE8"/>
    <w:rsid w:val="00FB5284"/>
    <w:rsid w:val="00FB55A0"/>
    <w:rsid w:val="00FB5AA1"/>
    <w:rsid w:val="00FB5E6C"/>
    <w:rsid w:val="00FB5F3B"/>
    <w:rsid w:val="00FB6081"/>
    <w:rsid w:val="00FB620D"/>
    <w:rsid w:val="00FB62F0"/>
    <w:rsid w:val="00FB66C5"/>
    <w:rsid w:val="00FB674A"/>
    <w:rsid w:val="00FB6A73"/>
    <w:rsid w:val="00FB6D64"/>
    <w:rsid w:val="00FB6D8C"/>
    <w:rsid w:val="00FB6F67"/>
    <w:rsid w:val="00FB74E5"/>
    <w:rsid w:val="00FB7623"/>
    <w:rsid w:val="00FB7624"/>
    <w:rsid w:val="00FC064A"/>
    <w:rsid w:val="00FC07A7"/>
    <w:rsid w:val="00FC0852"/>
    <w:rsid w:val="00FC0AD7"/>
    <w:rsid w:val="00FC0C4B"/>
    <w:rsid w:val="00FC0D7A"/>
    <w:rsid w:val="00FC10DE"/>
    <w:rsid w:val="00FC10F5"/>
    <w:rsid w:val="00FC15A3"/>
    <w:rsid w:val="00FC1773"/>
    <w:rsid w:val="00FC198C"/>
    <w:rsid w:val="00FC2671"/>
    <w:rsid w:val="00FC281F"/>
    <w:rsid w:val="00FC2A9C"/>
    <w:rsid w:val="00FC2AE2"/>
    <w:rsid w:val="00FC2D5F"/>
    <w:rsid w:val="00FC2F24"/>
    <w:rsid w:val="00FC2F44"/>
    <w:rsid w:val="00FC3E53"/>
    <w:rsid w:val="00FC3F0E"/>
    <w:rsid w:val="00FC3F4C"/>
    <w:rsid w:val="00FC4167"/>
    <w:rsid w:val="00FC4543"/>
    <w:rsid w:val="00FC4988"/>
    <w:rsid w:val="00FC4CE6"/>
    <w:rsid w:val="00FC51CB"/>
    <w:rsid w:val="00FC51E6"/>
    <w:rsid w:val="00FC542F"/>
    <w:rsid w:val="00FC547F"/>
    <w:rsid w:val="00FC54CD"/>
    <w:rsid w:val="00FC5603"/>
    <w:rsid w:val="00FC5CCB"/>
    <w:rsid w:val="00FC5D98"/>
    <w:rsid w:val="00FC6301"/>
    <w:rsid w:val="00FC631B"/>
    <w:rsid w:val="00FC6541"/>
    <w:rsid w:val="00FC6B34"/>
    <w:rsid w:val="00FC6D60"/>
    <w:rsid w:val="00FC729D"/>
    <w:rsid w:val="00FC7328"/>
    <w:rsid w:val="00FC7512"/>
    <w:rsid w:val="00FC77CF"/>
    <w:rsid w:val="00FC77E3"/>
    <w:rsid w:val="00FC7E61"/>
    <w:rsid w:val="00FC7FEA"/>
    <w:rsid w:val="00FD02C8"/>
    <w:rsid w:val="00FD03B8"/>
    <w:rsid w:val="00FD05F0"/>
    <w:rsid w:val="00FD0B28"/>
    <w:rsid w:val="00FD1289"/>
    <w:rsid w:val="00FD14B9"/>
    <w:rsid w:val="00FD1609"/>
    <w:rsid w:val="00FD17BA"/>
    <w:rsid w:val="00FD1D81"/>
    <w:rsid w:val="00FD208C"/>
    <w:rsid w:val="00FD265B"/>
    <w:rsid w:val="00FD290E"/>
    <w:rsid w:val="00FD29DB"/>
    <w:rsid w:val="00FD2C9D"/>
    <w:rsid w:val="00FD2D78"/>
    <w:rsid w:val="00FD2E99"/>
    <w:rsid w:val="00FD2F74"/>
    <w:rsid w:val="00FD3431"/>
    <w:rsid w:val="00FD35AE"/>
    <w:rsid w:val="00FD37D7"/>
    <w:rsid w:val="00FD3B94"/>
    <w:rsid w:val="00FD3C21"/>
    <w:rsid w:val="00FD3DD9"/>
    <w:rsid w:val="00FD3E82"/>
    <w:rsid w:val="00FD40DD"/>
    <w:rsid w:val="00FD4283"/>
    <w:rsid w:val="00FD43B3"/>
    <w:rsid w:val="00FD47E8"/>
    <w:rsid w:val="00FD4A97"/>
    <w:rsid w:val="00FD4CCD"/>
    <w:rsid w:val="00FD4EAB"/>
    <w:rsid w:val="00FD5D1F"/>
    <w:rsid w:val="00FD5D58"/>
    <w:rsid w:val="00FD5DCE"/>
    <w:rsid w:val="00FD61A9"/>
    <w:rsid w:val="00FD6295"/>
    <w:rsid w:val="00FD6349"/>
    <w:rsid w:val="00FD6455"/>
    <w:rsid w:val="00FD6925"/>
    <w:rsid w:val="00FD6B9B"/>
    <w:rsid w:val="00FD6DD5"/>
    <w:rsid w:val="00FD6E67"/>
    <w:rsid w:val="00FD729E"/>
    <w:rsid w:val="00FD74A3"/>
    <w:rsid w:val="00FD7555"/>
    <w:rsid w:val="00FD7ABF"/>
    <w:rsid w:val="00FD7BD5"/>
    <w:rsid w:val="00FD7D25"/>
    <w:rsid w:val="00FE0010"/>
    <w:rsid w:val="00FE008D"/>
    <w:rsid w:val="00FE0700"/>
    <w:rsid w:val="00FE0CF3"/>
    <w:rsid w:val="00FE1118"/>
    <w:rsid w:val="00FE13B7"/>
    <w:rsid w:val="00FE15FE"/>
    <w:rsid w:val="00FE1936"/>
    <w:rsid w:val="00FE20AA"/>
    <w:rsid w:val="00FE2293"/>
    <w:rsid w:val="00FE2C5F"/>
    <w:rsid w:val="00FE2E64"/>
    <w:rsid w:val="00FE33D5"/>
    <w:rsid w:val="00FE3775"/>
    <w:rsid w:val="00FE37D1"/>
    <w:rsid w:val="00FE38A5"/>
    <w:rsid w:val="00FE3B1E"/>
    <w:rsid w:val="00FE40E5"/>
    <w:rsid w:val="00FE41D2"/>
    <w:rsid w:val="00FE4739"/>
    <w:rsid w:val="00FE47AE"/>
    <w:rsid w:val="00FE48BE"/>
    <w:rsid w:val="00FE4941"/>
    <w:rsid w:val="00FE49BF"/>
    <w:rsid w:val="00FE4BA3"/>
    <w:rsid w:val="00FE4CFF"/>
    <w:rsid w:val="00FE4DB2"/>
    <w:rsid w:val="00FE4FAF"/>
    <w:rsid w:val="00FE5055"/>
    <w:rsid w:val="00FE5192"/>
    <w:rsid w:val="00FE5235"/>
    <w:rsid w:val="00FE575F"/>
    <w:rsid w:val="00FE59A2"/>
    <w:rsid w:val="00FE61A7"/>
    <w:rsid w:val="00FE681D"/>
    <w:rsid w:val="00FE6A82"/>
    <w:rsid w:val="00FE6AFF"/>
    <w:rsid w:val="00FE6B6B"/>
    <w:rsid w:val="00FE6B93"/>
    <w:rsid w:val="00FE6DB0"/>
    <w:rsid w:val="00FE6F5C"/>
    <w:rsid w:val="00FE7198"/>
    <w:rsid w:val="00FE74DF"/>
    <w:rsid w:val="00FE7744"/>
    <w:rsid w:val="00FE78F9"/>
    <w:rsid w:val="00FF01C6"/>
    <w:rsid w:val="00FF0707"/>
    <w:rsid w:val="00FF0DBD"/>
    <w:rsid w:val="00FF111D"/>
    <w:rsid w:val="00FF1205"/>
    <w:rsid w:val="00FF1D88"/>
    <w:rsid w:val="00FF1DE6"/>
    <w:rsid w:val="00FF1F1F"/>
    <w:rsid w:val="00FF1FF4"/>
    <w:rsid w:val="00FF2100"/>
    <w:rsid w:val="00FF21BF"/>
    <w:rsid w:val="00FF28B9"/>
    <w:rsid w:val="00FF294A"/>
    <w:rsid w:val="00FF2A9F"/>
    <w:rsid w:val="00FF301E"/>
    <w:rsid w:val="00FF3153"/>
    <w:rsid w:val="00FF31A3"/>
    <w:rsid w:val="00FF3412"/>
    <w:rsid w:val="00FF3795"/>
    <w:rsid w:val="00FF3A07"/>
    <w:rsid w:val="00FF3B12"/>
    <w:rsid w:val="00FF3D27"/>
    <w:rsid w:val="00FF3D7B"/>
    <w:rsid w:val="00FF3DEF"/>
    <w:rsid w:val="00FF3FEA"/>
    <w:rsid w:val="00FF45CD"/>
    <w:rsid w:val="00FF4A38"/>
    <w:rsid w:val="00FF4C68"/>
    <w:rsid w:val="00FF4C8B"/>
    <w:rsid w:val="00FF529A"/>
    <w:rsid w:val="00FF53F3"/>
    <w:rsid w:val="00FF5734"/>
    <w:rsid w:val="00FF57C4"/>
    <w:rsid w:val="00FF580E"/>
    <w:rsid w:val="00FF5945"/>
    <w:rsid w:val="00FF5BA9"/>
    <w:rsid w:val="00FF5BC5"/>
    <w:rsid w:val="00FF5D32"/>
    <w:rsid w:val="00FF5D45"/>
    <w:rsid w:val="00FF5E9A"/>
    <w:rsid w:val="00FF62E0"/>
    <w:rsid w:val="00FF666D"/>
    <w:rsid w:val="00FF6736"/>
    <w:rsid w:val="00FF6C7F"/>
    <w:rsid w:val="00FF6DA7"/>
    <w:rsid w:val="00FF6DE6"/>
    <w:rsid w:val="00FF788A"/>
    <w:rsid w:val="00FF78CA"/>
    <w:rsid w:val="00FF792F"/>
    <w:rsid w:val="00FF7AFA"/>
    <w:rsid w:val="0105926D"/>
    <w:rsid w:val="010A9F21"/>
    <w:rsid w:val="010DB8A1"/>
    <w:rsid w:val="0126EFCB"/>
    <w:rsid w:val="012B097E"/>
    <w:rsid w:val="01352509"/>
    <w:rsid w:val="013C7CFC"/>
    <w:rsid w:val="01430164"/>
    <w:rsid w:val="0146D506"/>
    <w:rsid w:val="0150E323"/>
    <w:rsid w:val="01595FFC"/>
    <w:rsid w:val="015E6170"/>
    <w:rsid w:val="0169705E"/>
    <w:rsid w:val="016EF116"/>
    <w:rsid w:val="01789A23"/>
    <w:rsid w:val="017A62B1"/>
    <w:rsid w:val="01803594"/>
    <w:rsid w:val="01997D4B"/>
    <w:rsid w:val="019BBA9E"/>
    <w:rsid w:val="019C206D"/>
    <w:rsid w:val="019F593E"/>
    <w:rsid w:val="01A2B6C2"/>
    <w:rsid w:val="01B7859C"/>
    <w:rsid w:val="01BEF9BF"/>
    <w:rsid w:val="01C40D73"/>
    <w:rsid w:val="01DEBF36"/>
    <w:rsid w:val="01E45C2B"/>
    <w:rsid w:val="01EFF85F"/>
    <w:rsid w:val="0201C550"/>
    <w:rsid w:val="020A2619"/>
    <w:rsid w:val="020D1D5E"/>
    <w:rsid w:val="0230EC2B"/>
    <w:rsid w:val="0233FED0"/>
    <w:rsid w:val="023B6CB5"/>
    <w:rsid w:val="02432BE1"/>
    <w:rsid w:val="024F0B1B"/>
    <w:rsid w:val="02534703"/>
    <w:rsid w:val="02645B3A"/>
    <w:rsid w:val="026E26F1"/>
    <w:rsid w:val="0271C8CA"/>
    <w:rsid w:val="02738DFC"/>
    <w:rsid w:val="028F8099"/>
    <w:rsid w:val="0299CA55"/>
    <w:rsid w:val="029B00B3"/>
    <w:rsid w:val="02A05746"/>
    <w:rsid w:val="02A0D402"/>
    <w:rsid w:val="02A46BB2"/>
    <w:rsid w:val="02A86885"/>
    <w:rsid w:val="02AC3C1B"/>
    <w:rsid w:val="02B415A8"/>
    <w:rsid w:val="02C20C0E"/>
    <w:rsid w:val="02C2C02C"/>
    <w:rsid w:val="02C44434"/>
    <w:rsid w:val="02C50633"/>
    <w:rsid w:val="02CC0897"/>
    <w:rsid w:val="02E41592"/>
    <w:rsid w:val="02EA9DFF"/>
    <w:rsid w:val="02F7C7EB"/>
    <w:rsid w:val="0305817B"/>
    <w:rsid w:val="0306C895"/>
    <w:rsid w:val="03079C31"/>
    <w:rsid w:val="03102DA5"/>
    <w:rsid w:val="0313548F"/>
    <w:rsid w:val="03173D7F"/>
    <w:rsid w:val="0319E11B"/>
    <w:rsid w:val="031EE299"/>
    <w:rsid w:val="03243B47"/>
    <w:rsid w:val="032D2E99"/>
    <w:rsid w:val="032E6BDA"/>
    <w:rsid w:val="03401F9B"/>
    <w:rsid w:val="03483FEA"/>
    <w:rsid w:val="034B0770"/>
    <w:rsid w:val="035F0D14"/>
    <w:rsid w:val="03623B20"/>
    <w:rsid w:val="03624C7B"/>
    <w:rsid w:val="03640C1B"/>
    <w:rsid w:val="036A8DFB"/>
    <w:rsid w:val="037597B3"/>
    <w:rsid w:val="037A3061"/>
    <w:rsid w:val="037DA309"/>
    <w:rsid w:val="039357A5"/>
    <w:rsid w:val="0398BA42"/>
    <w:rsid w:val="039BBD41"/>
    <w:rsid w:val="03A8FEF0"/>
    <w:rsid w:val="03ABDBEB"/>
    <w:rsid w:val="03BE14B9"/>
    <w:rsid w:val="03BF0722"/>
    <w:rsid w:val="03BF8B53"/>
    <w:rsid w:val="03C15C53"/>
    <w:rsid w:val="03CC1967"/>
    <w:rsid w:val="03D5BD8C"/>
    <w:rsid w:val="03DDA468"/>
    <w:rsid w:val="03E236C7"/>
    <w:rsid w:val="03E46437"/>
    <w:rsid w:val="03E749BE"/>
    <w:rsid w:val="03F97CE2"/>
    <w:rsid w:val="03FA7FD8"/>
    <w:rsid w:val="03FFFF83"/>
    <w:rsid w:val="04047364"/>
    <w:rsid w:val="0417C057"/>
    <w:rsid w:val="041B8A7F"/>
    <w:rsid w:val="042332CF"/>
    <w:rsid w:val="04235C5D"/>
    <w:rsid w:val="04373656"/>
    <w:rsid w:val="043D332F"/>
    <w:rsid w:val="044715F9"/>
    <w:rsid w:val="04529ADB"/>
    <w:rsid w:val="04569AA2"/>
    <w:rsid w:val="045D738D"/>
    <w:rsid w:val="0461B329"/>
    <w:rsid w:val="0473A697"/>
    <w:rsid w:val="04752F5C"/>
    <w:rsid w:val="047697FB"/>
    <w:rsid w:val="048EF82B"/>
    <w:rsid w:val="04A42956"/>
    <w:rsid w:val="04A5BA53"/>
    <w:rsid w:val="04AE777E"/>
    <w:rsid w:val="04B8C73B"/>
    <w:rsid w:val="04BAA024"/>
    <w:rsid w:val="04C3FFA7"/>
    <w:rsid w:val="04C8EAC3"/>
    <w:rsid w:val="04CF5CDD"/>
    <w:rsid w:val="04CFF34E"/>
    <w:rsid w:val="04DB9047"/>
    <w:rsid w:val="04DC742C"/>
    <w:rsid w:val="04DE61F6"/>
    <w:rsid w:val="04E0BB7D"/>
    <w:rsid w:val="04E4F340"/>
    <w:rsid w:val="04EAC8FF"/>
    <w:rsid w:val="04EB1509"/>
    <w:rsid w:val="04EF8ED6"/>
    <w:rsid w:val="04F4BE30"/>
    <w:rsid w:val="04FD3941"/>
    <w:rsid w:val="0508C34B"/>
    <w:rsid w:val="050E4BCF"/>
    <w:rsid w:val="05278AD4"/>
    <w:rsid w:val="053318DB"/>
    <w:rsid w:val="05362634"/>
    <w:rsid w:val="05392274"/>
    <w:rsid w:val="05424A61"/>
    <w:rsid w:val="0548CA25"/>
    <w:rsid w:val="054CAC01"/>
    <w:rsid w:val="055AAA7A"/>
    <w:rsid w:val="055C357C"/>
    <w:rsid w:val="05615001"/>
    <w:rsid w:val="05734F86"/>
    <w:rsid w:val="0584A5B1"/>
    <w:rsid w:val="05993DAE"/>
    <w:rsid w:val="05A1E072"/>
    <w:rsid w:val="05A20B01"/>
    <w:rsid w:val="05A8B157"/>
    <w:rsid w:val="05AAAB10"/>
    <w:rsid w:val="05BE252F"/>
    <w:rsid w:val="05BF0936"/>
    <w:rsid w:val="05CA1A38"/>
    <w:rsid w:val="05D0C9EC"/>
    <w:rsid w:val="05E1A9DB"/>
    <w:rsid w:val="05E3C342"/>
    <w:rsid w:val="05E4A91C"/>
    <w:rsid w:val="05E6C109"/>
    <w:rsid w:val="05E9A2D2"/>
    <w:rsid w:val="05F6B41B"/>
    <w:rsid w:val="0601469B"/>
    <w:rsid w:val="0607FB29"/>
    <w:rsid w:val="060957A7"/>
    <w:rsid w:val="0611452D"/>
    <w:rsid w:val="0623086B"/>
    <w:rsid w:val="062A5756"/>
    <w:rsid w:val="062F7F26"/>
    <w:rsid w:val="063DFDFE"/>
    <w:rsid w:val="06403311"/>
    <w:rsid w:val="0646EDF3"/>
    <w:rsid w:val="064B7D41"/>
    <w:rsid w:val="065537E9"/>
    <w:rsid w:val="06802577"/>
    <w:rsid w:val="0682FDE9"/>
    <w:rsid w:val="068568F2"/>
    <w:rsid w:val="0688A10B"/>
    <w:rsid w:val="068D761F"/>
    <w:rsid w:val="06B150DC"/>
    <w:rsid w:val="06B22DB9"/>
    <w:rsid w:val="06B2A8F9"/>
    <w:rsid w:val="06B5507C"/>
    <w:rsid w:val="06C0E322"/>
    <w:rsid w:val="06C15A82"/>
    <w:rsid w:val="06C768E5"/>
    <w:rsid w:val="06D6E11A"/>
    <w:rsid w:val="06E537C7"/>
    <w:rsid w:val="06E55534"/>
    <w:rsid w:val="06EA8F0B"/>
    <w:rsid w:val="06FC59FB"/>
    <w:rsid w:val="06FCB782"/>
    <w:rsid w:val="06FD2A72"/>
    <w:rsid w:val="07071DC4"/>
    <w:rsid w:val="070B10EA"/>
    <w:rsid w:val="071CE23F"/>
    <w:rsid w:val="071D5F93"/>
    <w:rsid w:val="071F9971"/>
    <w:rsid w:val="0738B15E"/>
    <w:rsid w:val="073E469A"/>
    <w:rsid w:val="073FF260"/>
    <w:rsid w:val="07429F9F"/>
    <w:rsid w:val="074C1662"/>
    <w:rsid w:val="0755D4B3"/>
    <w:rsid w:val="075D84C8"/>
    <w:rsid w:val="0760A23A"/>
    <w:rsid w:val="07619644"/>
    <w:rsid w:val="07653EBF"/>
    <w:rsid w:val="077DBEA6"/>
    <w:rsid w:val="077E0B2D"/>
    <w:rsid w:val="0781127D"/>
    <w:rsid w:val="0781C8B4"/>
    <w:rsid w:val="078D580A"/>
    <w:rsid w:val="079119C1"/>
    <w:rsid w:val="079B1069"/>
    <w:rsid w:val="079B8981"/>
    <w:rsid w:val="07A28A90"/>
    <w:rsid w:val="07AB4759"/>
    <w:rsid w:val="07B0553F"/>
    <w:rsid w:val="07B14474"/>
    <w:rsid w:val="07B21877"/>
    <w:rsid w:val="07B7E6E2"/>
    <w:rsid w:val="07BE6B86"/>
    <w:rsid w:val="07C9FB50"/>
    <w:rsid w:val="07D20FF4"/>
    <w:rsid w:val="07D6B7B5"/>
    <w:rsid w:val="07D89545"/>
    <w:rsid w:val="07DA41B6"/>
    <w:rsid w:val="07E00271"/>
    <w:rsid w:val="07E56624"/>
    <w:rsid w:val="07E80BA2"/>
    <w:rsid w:val="0800DDD4"/>
    <w:rsid w:val="0816EAA3"/>
    <w:rsid w:val="08188AED"/>
    <w:rsid w:val="082F2373"/>
    <w:rsid w:val="082FE546"/>
    <w:rsid w:val="0830D762"/>
    <w:rsid w:val="08332BB5"/>
    <w:rsid w:val="0835AEF4"/>
    <w:rsid w:val="083E08F4"/>
    <w:rsid w:val="08463015"/>
    <w:rsid w:val="0857333A"/>
    <w:rsid w:val="08583C0D"/>
    <w:rsid w:val="08596365"/>
    <w:rsid w:val="085BC9A8"/>
    <w:rsid w:val="085CCDD4"/>
    <w:rsid w:val="085EE9B9"/>
    <w:rsid w:val="085F594E"/>
    <w:rsid w:val="08661B25"/>
    <w:rsid w:val="0872B17B"/>
    <w:rsid w:val="08832A93"/>
    <w:rsid w:val="088C7C8D"/>
    <w:rsid w:val="088D1B98"/>
    <w:rsid w:val="088E83E9"/>
    <w:rsid w:val="08A4E3F5"/>
    <w:rsid w:val="08B6EE5D"/>
    <w:rsid w:val="08BAB9AD"/>
    <w:rsid w:val="08C7BF45"/>
    <w:rsid w:val="08C86B0C"/>
    <w:rsid w:val="08D8EEF9"/>
    <w:rsid w:val="08E34223"/>
    <w:rsid w:val="08E7D80E"/>
    <w:rsid w:val="08F49B38"/>
    <w:rsid w:val="08F6D157"/>
    <w:rsid w:val="09010F20"/>
    <w:rsid w:val="090188F9"/>
    <w:rsid w:val="0916134F"/>
    <w:rsid w:val="09265F67"/>
    <w:rsid w:val="0928A735"/>
    <w:rsid w:val="09295769"/>
    <w:rsid w:val="092E0300"/>
    <w:rsid w:val="09452749"/>
    <w:rsid w:val="09457BDE"/>
    <w:rsid w:val="094717BA"/>
    <w:rsid w:val="0948E5EF"/>
    <w:rsid w:val="094B0923"/>
    <w:rsid w:val="094D8147"/>
    <w:rsid w:val="095107EC"/>
    <w:rsid w:val="0952591C"/>
    <w:rsid w:val="0966462B"/>
    <w:rsid w:val="0967DABA"/>
    <w:rsid w:val="097304B9"/>
    <w:rsid w:val="09761A70"/>
    <w:rsid w:val="09806C42"/>
    <w:rsid w:val="098AE5AB"/>
    <w:rsid w:val="09A36F31"/>
    <w:rsid w:val="09B3C0FB"/>
    <w:rsid w:val="09C4FD18"/>
    <w:rsid w:val="09C555C1"/>
    <w:rsid w:val="09CD919F"/>
    <w:rsid w:val="09DDD3C2"/>
    <w:rsid w:val="09DFA0E8"/>
    <w:rsid w:val="09ECC975"/>
    <w:rsid w:val="09EF5033"/>
    <w:rsid w:val="09F6ED16"/>
    <w:rsid w:val="09FF3B1A"/>
    <w:rsid w:val="0A19F938"/>
    <w:rsid w:val="0A202D89"/>
    <w:rsid w:val="0A214CFD"/>
    <w:rsid w:val="0A256DA2"/>
    <w:rsid w:val="0A2819F5"/>
    <w:rsid w:val="0A309DD7"/>
    <w:rsid w:val="0A31DF13"/>
    <w:rsid w:val="0A3EC5B5"/>
    <w:rsid w:val="0A4597DA"/>
    <w:rsid w:val="0A638FA6"/>
    <w:rsid w:val="0A6CC52D"/>
    <w:rsid w:val="0A6CCCB5"/>
    <w:rsid w:val="0A7AE715"/>
    <w:rsid w:val="0A838B71"/>
    <w:rsid w:val="0AADAC5D"/>
    <w:rsid w:val="0ACA63B8"/>
    <w:rsid w:val="0AD31767"/>
    <w:rsid w:val="0AE346AB"/>
    <w:rsid w:val="0AE3D529"/>
    <w:rsid w:val="0AE8158C"/>
    <w:rsid w:val="0AE81893"/>
    <w:rsid w:val="0AF32D82"/>
    <w:rsid w:val="0B00DCE5"/>
    <w:rsid w:val="0B078977"/>
    <w:rsid w:val="0B0CCE17"/>
    <w:rsid w:val="0B14B510"/>
    <w:rsid w:val="0B197ECE"/>
    <w:rsid w:val="0B271140"/>
    <w:rsid w:val="0B31620D"/>
    <w:rsid w:val="0B342454"/>
    <w:rsid w:val="0B3E209F"/>
    <w:rsid w:val="0B3E5CA8"/>
    <w:rsid w:val="0B425F7B"/>
    <w:rsid w:val="0B49632C"/>
    <w:rsid w:val="0B4E9BC5"/>
    <w:rsid w:val="0B53D0EF"/>
    <w:rsid w:val="0B543603"/>
    <w:rsid w:val="0B5920B6"/>
    <w:rsid w:val="0B60F37E"/>
    <w:rsid w:val="0B6A24D2"/>
    <w:rsid w:val="0B6C5BAD"/>
    <w:rsid w:val="0B70AD01"/>
    <w:rsid w:val="0B753A8B"/>
    <w:rsid w:val="0B760554"/>
    <w:rsid w:val="0B88DECC"/>
    <w:rsid w:val="0B970D32"/>
    <w:rsid w:val="0B986388"/>
    <w:rsid w:val="0B987BC9"/>
    <w:rsid w:val="0B99E110"/>
    <w:rsid w:val="0B9CC183"/>
    <w:rsid w:val="0BA69272"/>
    <w:rsid w:val="0BA96EBB"/>
    <w:rsid w:val="0BB9A054"/>
    <w:rsid w:val="0BBADD6F"/>
    <w:rsid w:val="0BBD2347"/>
    <w:rsid w:val="0BC66974"/>
    <w:rsid w:val="0BC7C30A"/>
    <w:rsid w:val="0BC9269E"/>
    <w:rsid w:val="0BC95B3D"/>
    <w:rsid w:val="0BD09D8E"/>
    <w:rsid w:val="0BDC1846"/>
    <w:rsid w:val="0BEBD0FF"/>
    <w:rsid w:val="0BF602EA"/>
    <w:rsid w:val="0BF7D5A5"/>
    <w:rsid w:val="0BF95CFB"/>
    <w:rsid w:val="0BFF6007"/>
    <w:rsid w:val="0C0134AB"/>
    <w:rsid w:val="0C041A40"/>
    <w:rsid w:val="0C0BC5AE"/>
    <w:rsid w:val="0C0D2235"/>
    <w:rsid w:val="0C147D9F"/>
    <w:rsid w:val="0C168963"/>
    <w:rsid w:val="0C1A7042"/>
    <w:rsid w:val="0C20E899"/>
    <w:rsid w:val="0C29F2B0"/>
    <w:rsid w:val="0C2C9780"/>
    <w:rsid w:val="0C2FF89F"/>
    <w:rsid w:val="0C384B89"/>
    <w:rsid w:val="0C3EE4B0"/>
    <w:rsid w:val="0C44ED50"/>
    <w:rsid w:val="0C4925D1"/>
    <w:rsid w:val="0C5675BF"/>
    <w:rsid w:val="0C56B193"/>
    <w:rsid w:val="0C570776"/>
    <w:rsid w:val="0C5CB287"/>
    <w:rsid w:val="0C5E9293"/>
    <w:rsid w:val="0C72861D"/>
    <w:rsid w:val="0C74289E"/>
    <w:rsid w:val="0C78B1DF"/>
    <w:rsid w:val="0C7BE814"/>
    <w:rsid w:val="0C7CC80B"/>
    <w:rsid w:val="0C88FB47"/>
    <w:rsid w:val="0C8C6562"/>
    <w:rsid w:val="0C942342"/>
    <w:rsid w:val="0C9E7A9F"/>
    <w:rsid w:val="0CAA24AE"/>
    <w:rsid w:val="0CBD8668"/>
    <w:rsid w:val="0CBFAF0B"/>
    <w:rsid w:val="0CD130FB"/>
    <w:rsid w:val="0CD15F4E"/>
    <w:rsid w:val="0CD1D753"/>
    <w:rsid w:val="0CDDD20F"/>
    <w:rsid w:val="0CE7C49A"/>
    <w:rsid w:val="0CEA5BC6"/>
    <w:rsid w:val="0CF0C59C"/>
    <w:rsid w:val="0CF7E28F"/>
    <w:rsid w:val="0CF9FA11"/>
    <w:rsid w:val="0CFA9284"/>
    <w:rsid w:val="0D04E4E9"/>
    <w:rsid w:val="0D117A17"/>
    <w:rsid w:val="0D1219FA"/>
    <w:rsid w:val="0D13ED64"/>
    <w:rsid w:val="0D18C41D"/>
    <w:rsid w:val="0D1BE36D"/>
    <w:rsid w:val="0D204EA2"/>
    <w:rsid w:val="0D26D41E"/>
    <w:rsid w:val="0D295F5E"/>
    <w:rsid w:val="0D2A22CA"/>
    <w:rsid w:val="0D2CBDED"/>
    <w:rsid w:val="0D359944"/>
    <w:rsid w:val="0D376853"/>
    <w:rsid w:val="0D37D43C"/>
    <w:rsid w:val="0D396324"/>
    <w:rsid w:val="0D3FF9A5"/>
    <w:rsid w:val="0D47A15C"/>
    <w:rsid w:val="0D4BA608"/>
    <w:rsid w:val="0D537034"/>
    <w:rsid w:val="0D547B3D"/>
    <w:rsid w:val="0D5CBEC3"/>
    <w:rsid w:val="0D703AD4"/>
    <w:rsid w:val="0D7157E6"/>
    <w:rsid w:val="0D757D7E"/>
    <w:rsid w:val="0D78FA42"/>
    <w:rsid w:val="0D8E3489"/>
    <w:rsid w:val="0DAA1784"/>
    <w:rsid w:val="0DACBA9A"/>
    <w:rsid w:val="0DB6C2AB"/>
    <w:rsid w:val="0DBB57E6"/>
    <w:rsid w:val="0DBBCA22"/>
    <w:rsid w:val="0DC0F557"/>
    <w:rsid w:val="0DC44972"/>
    <w:rsid w:val="0DCB969E"/>
    <w:rsid w:val="0DCF47C7"/>
    <w:rsid w:val="0DD131FF"/>
    <w:rsid w:val="0DDAE0AF"/>
    <w:rsid w:val="0DE2104B"/>
    <w:rsid w:val="0DE296B8"/>
    <w:rsid w:val="0DE3F52B"/>
    <w:rsid w:val="0DE7ED57"/>
    <w:rsid w:val="0DE8D09E"/>
    <w:rsid w:val="0DEC3A1D"/>
    <w:rsid w:val="0DF281F4"/>
    <w:rsid w:val="0E00C151"/>
    <w:rsid w:val="0E06FB2C"/>
    <w:rsid w:val="0E072193"/>
    <w:rsid w:val="0E10439E"/>
    <w:rsid w:val="0E20F61F"/>
    <w:rsid w:val="0E3177CD"/>
    <w:rsid w:val="0E3A33CB"/>
    <w:rsid w:val="0E417869"/>
    <w:rsid w:val="0E581A40"/>
    <w:rsid w:val="0E6B9913"/>
    <w:rsid w:val="0E72E96D"/>
    <w:rsid w:val="0E7C5A35"/>
    <w:rsid w:val="0E8D309E"/>
    <w:rsid w:val="0E9469FF"/>
    <w:rsid w:val="0E9E4561"/>
    <w:rsid w:val="0E9F3417"/>
    <w:rsid w:val="0EAF6C92"/>
    <w:rsid w:val="0EB2EA4E"/>
    <w:rsid w:val="0ED19D8A"/>
    <w:rsid w:val="0ED2C95F"/>
    <w:rsid w:val="0EDDFA01"/>
    <w:rsid w:val="0EE20E7C"/>
    <w:rsid w:val="0EE4763E"/>
    <w:rsid w:val="0EE4E730"/>
    <w:rsid w:val="0EF0DA87"/>
    <w:rsid w:val="0EF3DC89"/>
    <w:rsid w:val="0EF8F814"/>
    <w:rsid w:val="0F01A1D5"/>
    <w:rsid w:val="0F05FED8"/>
    <w:rsid w:val="0F19C4CF"/>
    <w:rsid w:val="0F2ABF6A"/>
    <w:rsid w:val="0F2CF777"/>
    <w:rsid w:val="0F348927"/>
    <w:rsid w:val="0F4179CC"/>
    <w:rsid w:val="0F42F678"/>
    <w:rsid w:val="0F433640"/>
    <w:rsid w:val="0F47DCA2"/>
    <w:rsid w:val="0F534850"/>
    <w:rsid w:val="0F57C63A"/>
    <w:rsid w:val="0F5F9E85"/>
    <w:rsid w:val="0F6B1088"/>
    <w:rsid w:val="0F6F6A11"/>
    <w:rsid w:val="0F71DAD9"/>
    <w:rsid w:val="0F76D124"/>
    <w:rsid w:val="0F796933"/>
    <w:rsid w:val="0F800524"/>
    <w:rsid w:val="0F89B56F"/>
    <w:rsid w:val="0F9CC31E"/>
    <w:rsid w:val="0FA244C7"/>
    <w:rsid w:val="0FA303DD"/>
    <w:rsid w:val="0FA5DE91"/>
    <w:rsid w:val="0FADEC05"/>
    <w:rsid w:val="0FAE5B1E"/>
    <w:rsid w:val="0FB82773"/>
    <w:rsid w:val="0FBFDD89"/>
    <w:rsid w:val="0FBFF83C"/>
    <w:rsid w:val="0FC0A306"/>
    <w:rsid w:val="0FC38E21"/>
    <w:rsid w:val="0FC4DB8C"/>
    <w:rsid w:val="0FC52CDD"/>
    <w:rsid w:val="0FC83C8C"/>
    <w:rsid w:val="0FC9BFC3"/>
    <w:rsid w:val="0FD45D9E"/>
    <w:rsid w:val="0FDA44A1"/>
    <w:rsid w:val="0FDA527F"/>
    <w:rsid w:val="0FDAF244"/>
    <w:rsid w:val="0FE4C53C"/>
    <w:rsid w:val="0FEE6D1A"/>
    <w:rsid w:val="0FFB847A"/>
    <w:rsid w:val="1003624E"/>
    <w:rsid w:val="1007476B"/>
    <w:rsid w:val="100DD4C8"/>
    <w:rsid w:val="101A33D6"/>
    <w:rsid w:val="101F05CA"/>
    <w:rsid w:val="101F1474"/>
    <w:rsid w:val="10220CE8"/>
    <w:rsid w:val="10305B18"/>
    <w:rsid w:val="103448A4"/>
    <w:rsid w:val="104316B7"/>
    <w:rsid w:val="10442887"/>
    <w:rsid w:val="10466ED4"/>
    <w:rsid w:val="104CA55C"/>
    <w:rsid w:val="10559887"/>
    <w:rsid w:val="10579FAF"/>
    <w:rsid w:val="106FCC0F"/>
    <w:rsid w:val="10763D29"/>
    <w:rsid w:val="107C60CD"/>
    <w:rsid w:val="1080393B"/>
    <w:rsid w:val="1094477E"/>
    <w:rsid w:val="109E0E5B"/>
    <w:rsid w:val="109FDF5B"/>
    <w:rsid w:val="10A31063"/>
    <w:rsid w:val="10A63BFF"/>
    <w:rsid w:val="10AA2250"/>
    <w:rsid w:val="10B3BD1B"/>
    <w:rsid w:val="10B773A8"/>
    <w:rsid w:val="10B78AD7"/>
    <w:rsid w:val="10BAEB1D"/>
    <w:rsid w:val="10C461C2"/>
    <w:rsid w:val="10C48FB6"/>
    <w:rsid w:val="10C628AD"/>
    <w:rsid w:val="10CA0450"/>
    <w:rsid w:val="10CF65FC"/>
    <w:rsid w:val="10D2D12A"/>
    <w:rsid w:val="10DA6A77"/>
    <w:rsid w:val="10DD3056"/>
    <w:rsid w:val="10E48BD2"/>
    <w:rsid w:val="10E50E0D"/>
    <w:rsid w:val="10E8AFCF"/>
    <w:rsid w:val="10E981E5"/>
    <w:rsid w:val="10F07817"/>
    <w:rsid w:val="10FD9772"/>
    <w:rsid w:val="10FF40BF"/>
    <w:rsid w:val="11036BB1"/>
    <w:rsid w:val="1103D903"/>
    <w:rsid w:val="11072DA9"/>
    <w:rsid w:val="110937E3"/>
    <w:rsid w:val="111491C1"/>
    <w:rsid w:val="11151BE3"/>
    <w:rsid w:val="111547AC"/>
    <w:rsid w:val="111C288C"/>
    <w:rsid w:val="1130342F"/>
    <w:rsid w:val="1131EE97"/>
    <w:rsid w:val="113AD229"/>
    <w:rsid w:val="113C976E"/>
    <w:rsid w:val="113D1B1D"/>
    <w:rsid w:val="1158ABAA"/>
    <w:rsid w:val="115FF0CE"/>
    <w:rsid w:val="116F0B10"/>
    <w:rsid w:val="11733393"/>
    <w:rsid w:val="117926D2"/>
    <w:rsid w:val="1181DEB4"/>
    <w:rsid w:val="1189DD20"/>
    <w:rsid w:val="118C4A92"/>
    <w:rsid w:val="118FB17F"/>
    <w:rsid w:val="1193C44A"/>
    <w:rsid w:val="119F1812"/>
    <w:rsid w:val="11B30F74"/>
    <w:rsid w:val="11B36BC4"/>
    <w:rsid w:val="11C08E75"/>
    <w:rsid w:val="11C41C7B"/>
    <w:rsid w:val="11CF8494"/>
    <w:rsid w:val="11D9834B"/>
    <w:rsid w:val="11E00F66"/>
    <w:rsid w:val="11EFAABB"/>
    <w:rsid w:val="11F4CB69"/>
    <w:rsid w:val="11FD10F6"/>
    <w:rsid w:val="11FE7E8D"/>
    <w:rsid w:val="120D50D8"/>
    <w:rsid w:val="120E2804"/>
    <w:rsid w:val="12122B29"/>
    <w:rsid w:val="1212E6D5"/>
    <w:rsid w:val="122651D7"/>
    <w:rsid w:val="122B2393"/>
    <w:rsid w:val="1237FBAE"/>
    <w:rsid w:val="1242AC44"/>
    <w:rsid w:val="124EE79A"/>
    <w:rsid w:val="12554960"/>
    <w:rsid w:val="12568CE0"/>
    <w:rsid w:val="125CA077"/>
    <w:rsid w:val="126308BF"/>
    <w:rsid w:val="126AFD0F"/>
    <w:rsid w:val="126C986A"/>
    <w:rsid w:val="126EA18B"/>
    <w:rsid w:val="126EC532"/>
    <w:rsid w:val="126FD471"/>
    <w:rsid w:val="1277F72C"/>
    <w:rsid w:val="127E44AD"/>
    <w:rsid w:val="1289B1C6"/>
    <w:rsid w:val="128AC705"/>
    <w:rsid w:val="128DBD7A"/>
    <w:rsid w:val="1294B371"/>
    <w:rsid w:val="12AA80DE"/>
    <w:rsid w:val="12C06143"/>
    <w:rsid w:val="12D20D36"/>
    <w:rsid w:val="12D58A10"/>
    <w:rsid w:val="12D6DC4B"/>
    <w:rsid w:val="12DA642A"/>
    <w:rsid w:val="12E3AE00"/>
    <w:rsid w:val="12EFC835"/>
    <w:rsid w:val="12F5657E"/>
    <w:rsid w:val="12FFFA65"/>
    <w:rsid w:val="130B2052"/>
    <w:rsid w:val="130D56B4"/>
    <w:rsid w:val="130F5AD1"/>
    <w:rsid w:val="13195CDE"/>
    <w:rsid w:val="131CD2AD"/>
    <w:rsid w:val="1337FD59"/>
    <w:rsid w:val="1340854D"/>
    <w:rsid w:val="1348B5F3"/>
    <w:rsid w:val="13590761"/>
    <w:rsid w:val="135F47E8"/>
    <w:rsid w:val="1365B671"/>
    <w:rsid w:val="1366CB7D"/>
    <w:rsid w:val="136F6736"/>
    <w:rsid w:val="137226C8"/>
    <w:rsid w:val="13769794"/>
    <w:rsid w:val="137B6EEE"/>
    <w:rsid w:val="137F5A81"/>
    <w:rsid w:val="13804C70"/>
    <w:rsid w:val="1389FC25"/>
    <w:rsid w:val="138A05B3"/>
    <w:rsid w:val="138BF922"/>
    <w:rsid w:val="1399731F"/>
    <w:rsid w:val="139B5780"/>
    <w:rsid w:val="13A0BD06"/>
    <w:rsid w:val="13A52CF4"/>
    <w:rsid w:val="13B8FC78"/>
    <w:rsid w:val="13C46FA8"/>
    <w:rsid w:val="13C8F69E"/>
    <w:rsid w:val="13CB18AF"/>
    <w:rsid w:val="13CF9297"/>
    <w:rsid w:val="13D28932"/>
    <w:rsid w:val="13D3578B"/>
    <w:rsid w:val="13D3CC0F"/>
    <w:rsid w:val="13DEA58C"/>
    <w:rsid w:val="13DEE780"/>
    <w:rsid w:val="13E3208C"/>
    <w:rsid w:val="13E47618"/>
    <w:rsid w:val="13E53E64"/>
    <w:rsid w:val="13E72A2B"/>
    <w:rsid w:val="13EB5F74"/>
    <w:rsid w:val="13F35999"/>
    <w:rsid w:val="13F7F1D5"/>
    <w:rsid w:val="13F85A91"/>
    <w:rsid w:val="13FBADBF"/>
    <w:rsid w:val="13FF2A67"/>
    <w:rsid w:val="1400247B"/>
    <w:rsid w:val="140558DF"/>
    <w:rsid w:val="14287FA7"/>
    <w:rsid w:val="14293B25"/>
    <w:rsid w:val="142AAC75"/>
    <w:rsid w:val="142FFA78"/>
    <w:rsid w:val="143C325C"/>
    <w:rsid w:val="1449AC2F"/>
    <w:rsid w:val="144E3BBD"/>
    <w:rsid w:val="14503067"/>
    <w:rsid w:val="14515B51"/>
    <w:rsid w:val="14544C0E"/>
    <w:rsid w:val="145B447F"/>
    <w:rsid w:val="1464EAA6"/>
    <w:rsid w:val="146ED0C9"/>
    <w:rsid w:val="1478AF11"/>
    <w:rsid w:val="147F443F"/>
    <w:rsid w:val="14863466"/>
    <w:rsid w:val="1487FACF"/>
    <w:rsid w:val="148AB6A9"/>
    <w:rsid w:val="148BF398"/>
    <w:rsid w:val="14945C69"/>
    <w:rsid w:val="14A69ADD"/>
    <w:rsid w:val="14A90E9D"/>
    <w:rsid w:val="14AC3A28"/>
    <w:rsid w:val="14B82BE3"/>
    <w:rsid w:val="14BAF205"/>
    <w:rsid w:val="14C476E5"/>
    <w:rsid w:val="14C4D35C"/>
    <w:rsid w:val="14C62A28"/>
    <w:rsid w:val="14C8CEA7"/>
    <w:rsid w:val="14C98565"/>
    <w:rsid w:val="14CB650C"/>
    <w:rsid w:val="14CF5D8C"/>
    <w:rsid w:val="14E00129"/>
    <w:rsid w:val="14E3B938"/>
    <w:rsid w:val="14E4F17A"/>
    <w:rsid w:val="14EBB825"/>
    <w:rsid w:val="14F1D90E"/>
    <w:rsid w:val="1508A520"/>
    <w:rsid w:val="1509B03C"/>
    <w:rsid w:val="150D9B1F"/>
    <w:rsid w:val="152002CB"/>
    <w:rsid w:val="1522DA5D"/>
    <w:rsid w:val="152965BF"/>
    <w:rsid w:val="152B10D2"/>
    <w:rsid w:val="152B5F94"/>
    <w:rsid w:val="152E6936"/>
    <w:rsid w:val="152F7F7F"/>
    <w:rsid w:val="153A10B7"/>
    <w:rsid w:val="153B8C8D"/>
    <w:rsid w:val="153D5ADB"/>
    <w:rsid w:val="1543CE7A"/>
    <w:rsid w:val="154DEAE4"/>
    <w:rsid w:val="155599C9"/>
    <w:rsid w:val="1555E3C8"/>
    <w:rsid w:val="15566FCA"/>
    <w:rsid w:val="155CABAF"/>
    <w:rsid w:val="156A2D15"/>
    <w:rsid w:val="156DCA27"/>
    <w:rsid w:val="156F9C70"/>
    <w:rsid w:val="156F9CE3"/>
    <w:rsid w:val="1579E1B6"/>
    <w:rsid w:val="157DB2FD"/>
    <w:rsid w:val="1587D01F"/>
    <w:rsid w:val="158C3A3A"/>
    <w:rsid w:val="159771C6"/>
    <w:rsid w:val="159C38FB"/>
    <w:rsid w:val="15A66FDC"/>
    <w:rsid w:val="15BCF49D"/>
    <w:rsid w:val="15BD6BA9"/>
    <w:rsid w:val="15C15288"/>
    <w:rsid w:val="15C7AE6A"/>
    <w:rsid w:val="15C9FDED"/>
    <w:rsid w:val="15D5105D"/>
    <w:rsid w:val="15D8FE9E"/>
    <w:rsid w:val="15D93151"/>
    <w:rsid w:val="15E27F12"/>
    <w:rsid w:val="15E82DA6"/>
    <w:rsid w:val="15EF8030"/>
    <w:rsid w:val="15F2182F"/>
    <w:rsid w:val="16048CAD"/>
    <w:rsid w:val="16071B42"/>
    <w:rsid w:val="16075520"/>
    <w:rsid w:val="1609768F"/>
    <w:rsid w:val="160FD431"/>
    <w:rsid w:val="16209DC8"/>
    <w:rsid w:val="16357F41"/>
    <w:rsid w:val="163D09C4"/>
    <w:rsid w:val="163F56A3"/>
    <w:rsid w:val="1642C831"/>
    <w:rsid w:val="16434349"/>
    <w:rsid w:val="1659BF14"/>
    <w:rsid w:val="165EE46B"/>
    <w:rsid w:val="16649620"/>
    <w:rsid w:val="1665651D"/>
    <w:rsid w:val="166A5842"/>
    <w:rsid w:val="167AACE2"/>
    <w:rsid w:val="168AFF22"/>
    <w:rsid w:val="168D5D96"/>
    <w:rsid w:val="168F5A4B"/>
    <w:rsid w:val="16957EEC"/>
    <w:rsid w:val="16974A92"/>
    <w:rsid w:val="169BED1E"/>
    <w:rsid w:val="16AB7A94"/>
    <w:rsid w:val="16ACE875"/>
    <w:rsid w:val="16AF5E77"/>
    <w:rsid w:val="16B8B0D9"/>
    <w:rsid w:val="16BD9BC9"/>
    <w:rsid w:val="16BE3B34"/>
    <w:rsid w:val="16C5376E"/>
    <w:rsid w:val="16D12B3E"/>
    <w:rsid w:val="16D8335E"/>
    <w:rsid w:val="16EF28D9"/>
    <w:rsid w:val="16F0A332"/>
    <w:rsid w:val="16F460A1"/>
    <w:rsid w:val="16F5F882"/>
    <w:rsid w:val="16F92FE1"/>
    <w:rsid w:val="16FF301D"/>
    <w:rsid w:val="17087A42"/>
    <w:rsid w:val="170ADCD1"/>
    <w:rsid w:val="170C6539"/>
    <w:rsid w:val="17186922"/>
    <w:rsid w:val="1718F601"/>
    <w:rsid w:val="171C16DA"/>
    <w:rsid w:val="173265A6"/>
    <w:rsid w:val="173A52B7"/>
    <w:rsid w:val="173B3CF8"/>
    <w:rsid w:val="173CAC72"/>
    <w:rsid w:val="174E18CD"/>
    <w:rsid w:val="175A7ED6"/>
    <w:rsid w:val="175D22E9"/>
    <w:rsid w:val="1764BA4B"/>
    <w:rsid w:val="17658C2E"/>
    <w:rsid w:val="176713F7"/>
    <w:rsid w:val="17675C25"/>
    <w:rsid w:val="176A0215"/>
    <w:rsid w:val="176FEF09"/>
    <w:rsid w:val="17724B75"/>
    <w:rsid w:val="17762E2F"/>
    <w:rsid w:val="17828F54"/>
    <w:rsid w:val="1783FEEA"/>
    <w:rsid w:val="179B4E55"/>
    <w:rsid w:val="17B39BD5"/>
    <w:rsid w:val="17B67A2F"/>
    <w:rsid w:val="17BF31B6"/>
    <w:rsid w:val="17C33958"/>
    <w:rsid w:val="17DEE241"/>
    <w:rsid w:val="17E0FC01"/>
    <w:rsid w:val="17E78C48"/>
    <w:rsid w:val="17E8EE4C"/>
    <w:rsid w:val="17E9DFCD"/>
    <w:rsid w:val="1803299D"/>
    <w:rsid w:val="180899C6"/>
    <w:rsid w:val="180CA341"/>
    <w:rsid w:val="180CC359"/>
    <w:rsid w:val="18133A9E"/>
    <w:rsid w:val="181B9EC6"/>
    <w:rsid w:val="181C3F6B"/>
    <w:rsid w:val="18261858"/>
    <w:rsid w:val="183186DD"/>
    <w:rsid w:val="1840A13D"/>
    <w:rsid w:val="184749C2"/>
    <w:rsid w:val="18493B01"/>
    <w:rsid w:val="184E9AB7"/>
    <w:rsid w:val="1855B63E"/>
    <w:rsid w:val="185E9614"/>
    <w:rsid w:val="1876B244"/>
    <w:rsid w:val="1876CE48"/>
    <w:rsid w:val="187C120E"/>
    <w:rsid w:val="187C1948"/>
    <w:rsid w:val="187F34FA"/>
    <w:rsid w:val="188F4D6D"/>
    <w:rsid w:val="1890381A"/>
    <w:rsid w:val="18911CE5"/>
    <w:rsid w:val="18973107"/>
    <w:rsid w:val="1899CB45"/>
    <w:rsid w:val="189D1D8F"/>
    <w:rsid w:val="18A5F658"/>
    <w:rsid w:val="18AC8109"/>
    <w:rsid w:val="18ACB321"/>
    <w:rsid w:val="18B0A527"/>
    <w:rsid w:val="18B104AA"/>
    <w:rsid w:val="18B433B6"/>
    <w:rsid w:val="18B47178"/>
    <w:rsid w:val="18B8A595"/>
    <w:rsid w:val="18BFF3A0"/>
    <w:rsid w:val="18C6678E"/>
    <w:rsid w:val="18C95FC1"/>
    <w:rsid w:val="18D0381A"/>
    <w:rsid w:val="18DB6F76"/>
    <w:rsid w:val="18F493CA"/>
    <w:rsid w:val="190820BC"/>
    <w:rsid w:val="190914DC"/>
    <w:rsid w:val="190A9BFF"/>
    <w:rsid w:val="190BFCE4"/>
    <w:rsid w:val="190E90D9"/>
    <w:rsid w:val="191BD06A"/>
    <w:rsid w:val="19282982"/>
    <w:rsid w:val="1932DC65"/>
    <w:rsid w:val="194C7653"/>
    <w:rsid w:val="194D3132"/>
    <w:rsid w:val="1961C9CA"/>
    <w:rsid w:val="196E4F60"/>
    <w:rsid w:val="1973D166"/>
    <w:rsid w:val="1973FB0D"/>
    <w:rsid w:val="19782EF9"/>
    <w:rsid w:val="198FB0B7"/>
    <w:rsid w:val="199B1934"/>
    <w:rsid w:val="19A44CC6"/>
    <w:rsid w:val="19AFC6D1"/>
    <w:rsid w:val="19B807EA"/>
    <w:rsid w:val="19BA8386"/>
    <w:rsid w:val="19C8EF2E"/>
    <w:rsid w:val="19D480C7"/>
    <w:rsid w:val="19D555E6"/>
    <w:rsid w:val="19D7120C"/>
    <w:rsid w:val="19DB8D1C"/>
    <w:rsid w:val="19DC1643"/>
    <w:rsid w:val="19FAE981"/>
    <w:rsid w:val="1A01C98D"/>
    <w:rsid w:val="1A08A5D2"/>
    <w:rsid w:val="1A12F65F"/>
    <w:rsid w:val="1A228578"/>
    <w:rsid w:val="1A2A9A19"/>
    <w:rsid w:val="1A2C1EBC"/>
    <w:rsid w:val="1A3127D3"/>
    <w:rsid w:val="1A3A6C7D"/>
    <w:rsid w:val="1A413BFD"/>
    <w:rsid w:val="1A442945"/>
    <w:rsid w:val="1A56322C"/>
    <w:rsid w:val="1A6C6978"/>
    <w:rsid w:val="1A72DB22"/>
    <w:rsid w:val="1A85B98F"/>
    <w:rsid w:val="1A86AD7B"/>
    <w:rsid w:val="1A8B7CE8"/>
    <w:rsid w:val="1A8FD1DB"/>
    <w:rsid w:val="1A908D9D"/>
    <w:rsid w:val="1A91C5F4"/>
    <w:rsid w:val="1A93F8AC"/>
    <w:rsid w:val="1A99D74A"/>
    <w:rsid w:val="1A9B2BA5"/>
    <w:rsid w:val="1A9FC556"/>
    <w:rsid w:val="1AA66625"/>
    <w:rsid w:val="1AC896D7"/>
    <w:rsid w:val="1AC9518E"/>
    <w:rsid w:val="1ACAC085"/>
    <w:rsid w:val="1AD8C7E9"/>
    <w:rsid w:val="1ADCB98F"/>
    <w:rsid w:val="1AE49B02"/>
    <w:rsid w:val="1AE60728"/>
    <w:rsid w:val="1AED8645"/>
    <w:rsid w:val="1AF0AC55"/>
    <w:rsid w:val="1AF51C47"/>
    <w:rsid w:val="1AF87D2A"/>
    <w:rsid w:val="1B0EC7B8"/>
    <w:rsid w:val="1B17707C"/>
    <w:rsid w:val="1B2710B9"/>
    <w:rsid w:val="1B29D20B"/>
    <w:rsid w:val="1B2AF2EC"/>
    <w:rsid w:val="1B348203"/>
    <w:rsid w:val="1B36D086"/>
    <w:rsid w:val="1B36E995"/>
    <w:rsid w:val="1B3BA173"/>
    <w:rsid w:val="1B453BE3"/>
    <w:rsid w:val="1B4A6E4D"/>
    <w:rsid w:val="1B4FD79C"/>
    <w:rsid w:val="1B5A14A4"/>
    <w:rsid w:val="1B5A6044"/>
    <w:rsid w:val="1B5DD1BE"/>
    <w:rsid w:val="1B6C6569"/>
    <w:rsid w:val="1B751618"/>
    <w:rsid w:val="1B7AC9B5"/>
    <w:rsid w:val="1B80D8A5"/>
    <w:rsid w:val="1B82BE77"/>
    <w:rsid w:val="1B894512"/>
    <w:rsid w:val="1B92E561"/>
    <w:rsid w:val="1B961AFC"/>
    <w:rsid w:val="1B97173B"/>
    <w:rsid w:val="1B98D571"/>
    <w:rsid w:val="1BA35FD2"/>
    <w:rsid w:val="1BA4C320"/>
    <w:rsid w:val="1BA52464"/>
    <w:rsid w:val="1BABB65E"/>
    <w:rsid w:val="1BB19F30"/>
    <w:rsid w:val="1BBB6F51"/>
    <w:rsid w:val="1BC7DD70"/>
    <w:rsid w:val="1BE731B8"/>
    <w:rsid w:val="1BE97AD3"/>
    <w:rsid w:val="1BECE1C0"/>
    <w:rsid w:val="1BF5BA23"/>
    <w:rsid w:val="1C057B22"/>
    <w:rsid w:val="1C0EE280"/>
    <w:rsid w:val="1C1DED3F"/>
    <w:rsid w:val="1C2C26D2"/>
    <w:rsid w:val="1C2E6983"/>
    <w:rsid w:val="1C6DC466"/>
    <w:rsid w:val="1C74F716"/>
    <w:rsid w:val="1C7889F0"/>
    <w:rsid w:val="1C7F638E"/>
    <w:rsid w:val="1C8861EC"/>
    <w:rsid w:val="1C8EB772"/>
    <w:rsid w:val="1C905A71"/>
    <w:rsid w:val="1C9E9188"/>
    <w:rsid w:val="1C9F0D35"/>
    <w:rsid w:val="1CA3CD20"/>
    <w:rsid w:val="1CBC9B2C"/>
    <w:rsid w:val="1CBD28B6"/>
    <w:rsid w:val="1CC61D0F"/>
    <w:rsid w:val="1CD57C31"/>
    <w:rsid w:val="1CD5D235"/>
    <w:rsid w:val="1CDA3713"/>
    <w:rsid w:val="1CE07B6B"/>
    <w:rsid w:val="1CE76D43"/>
    <w:rsid w:val="1CF050F5"/>
    <w:rsid w:val="1CF9D668"/>
    <w:rsid w:val="1CFC7E95"/>
    <w:rsid w:val="1D0C514C"/>
    <w:rsid w:val="1D0CD773"/>
    <w:rsid w:val="1D13B705"/>
    <w:rsid w:val="1D181B5D"/>
    <w:rsid w:val="1D1E4119"/>
    <w:rsid w:val="1D214A0B"/>
    <w:rsid w:val="1D2B7C87"/>
    <w:rsid w:val="1D2F4E3C"/>
    <w:rsid w:val="1D3A4E9D"/>
    <w:rsid w:val="1D3AD463"/>
    <w:rsid w:val="1D405565"/>
    <w:rsid w:val="1D4DBF98"/>
    <w:rsid w:val="1D4E0891"/>
    <w:rsid w:val="1D4E50CA"/>
    <w:rsid w:val="1D523718"/>
    <w:rsid w:val="1D633CE2"/>
    <w:rsid w:val="1D6A91D1"/>
    <w:rsid w:val="1D76ABCB"/>
    <w:rsid w:val="1D861EA2"/>
    <w:rsid w:val="1D862742"/>
    <w:rsid w:val="1D86AEC8"/>
    <w:rsid w:val="1D8E2283"/>
    <w:rsid w:val="1D92E204"/>
    <w:rsid w:val="1D996E25"/>
    <w:rsid w:val="1D9AD457"/>
    <w:rsid w:val="1D9D633A"/>
    <w:rsid w:val="1DB13EE6"/>
    <w:rsid w:val="1DB6CA16"/>
    <w:rsid w:val="1DBE38A8"/>
    <w:rsid w:val="1DC1153A"/>
    <w:rsid w:val="1DC638E9"/>
    <w:rsid w:val="1DC9E0D3"/>
    <w:rsid w:val="1DD14D2A"/>
    <w:rsid w:val="1DD76618"/>
    <w:rsid w:val="1DDEF163"/>
    <w:rsid w:val="1DEB9534"/>
    <w:rsid w:val="1DEEB2B0"/>
    <w:rsid w:val="1DEF418D"/>
    <w:rsid w:val="1DF1180B"/>
    <w:rsid w:val="1DF3DC5B"/>
    <w:rsid w:val="1DFC12B7"/>
    <w:rsid w:val="1DFCAFA8"/>
    <w:rsid w:val="1DFF7137"/>
    <w:rsid w:val="1E0342DE"/>
    <w:rsid w:val="1E06DFC7"/>
    <w:rsid w:val="1E0BE179"/>
    <w:rsid w:val="1E0C3C22"/>
    <w:rsid w:val="1E114EBE"/>
    <w:rsid w:val="1E1DA7EA"/>
    <w:rsid w:val="1E1EDDB4"/>
    <w:rsid w:val="1E2A2683"/>
    <w:rsid w:val="1E311E2F"/>
    <w:rsid w:val="1E3357F4"/>
    <w:rsid w:val="1E36F8CA"/>
    <w:rsid w:val="1E370E42"/>
    <w:rsid w:val="1E3B3B36"/>
    <w:rsid w:val="1E3E0765"/>
    <w:rsid w:val="1E421242"/>
    <w:rsid w:val="1E46539A"/>
    <w:rsid w:val="1E49CC80"/>
    <w:rsid w:val="1E4CB93D"/>
    <w:rsid w:val="1E4DF3D8"/>
    <w:rsid w:val="1E5211E0"/>
    <w:rsid w:val="1E616B70"/>
    <w:rsid w:val="1E68849F"/>
    <w:rsid w:val="1E7166CA"/>
    <w:rsid w:val="1E745068"/>
    <w:rsid w:val="1E797D96"/>
    <w:rsid w:val="1E7FAAA8"/>
    <w:rsid w:val="1E909EDA"/>
    <w:rsid w:val="1EA22399"/>
    <w:rsid w:val="1EA6FF03"/>
    <w:rsid w:val="1EB29473"/>
    <w:rsid w:val="1EB31B31"/>
    <w:rsid w:val="1EB52ED6"/>
    <w:rsid w:val="1EB64357"/>
    <w:rsid w:val="1EBC4081"/>
    <w:rsid w:val="1EBD8EFE"/>
    <w:rsid w:val="1EC5BDE2"/>
    <w:rsid w:val="1EC88231"/>
    <w:rsid w:val="1ECD88ED"/>
    <w:rsid w:val="1ED6E84C"/>
    <w:rsid w:val="1EE00A10"/>
    <w:rsid w:val="1EE0AD6E"/>
    <w:rsid w:val="1EEAFA82"/>
    <w:rsid w:val="1EEDD20D"/>
    <w:rsid w:val="1EEFDA8F"/>
    <w:rsid w:val="1EF52729"/>
    <w:rsid w:val="1EFE3471"/>
    <w:rsid w:val="1F077B3D"/>
    <w:rsid w:val="1F0DB96E"/>
    <w:rsid w:val="1F14497F"/>
    <w:rsid w:val="1F17CF89"/>
    <w:rsid w:val="1F2256AE"/>
    <w:rsid w:val="1F248E7B"/>
    <w:rsid w:val="1F270F86"/>
    <w:rsid w:val="1F2BCE97"/>
    <w:rsid w:val="1F334A37"/>
    <w:rsid w:val="1F480B86"/>
    <w:rsid w:val="1F4AACF1"/>
    <w:rsid w:val="1F5DA80E"/>
    <w:rsid w:val="1F61AB15"/>
    <w:rsid w:val="1F630288"/>
    <w:rsid w:val="1F655624"/>
    <w:rsid w:val="1F7627B7"/>
    <w:rsid w:val="1F7A7150"/>
    <w:rsid w:val="1F808305"/>
    <w:rsid w:val="1F9C6867"/>
    <w:rsid w:val="1FA159FF"/>
    <w:rsid w:val="1FA34E02"/>
    <w:rsid w:val="1FA3892A"/>
    <w:rsid w:val="1FAF42C9"/>
    <w:rsid w:val="1FB24F71"/>
    <w:rsid w:val="1FC3BAE5"/>
    <w:rsid w:val="1FC63EB3"/>
    <w:rsid w:val="1FD3C136"/>
    <w:rsid w:val="1FD4704B"/>
    <w:rsid w:val="1FD66A7D"/>
    <w:rsid w:val="1FD9AA4B"/>
    <w:rsid w:val="1FDC3442"/>
    <w:rsid w:val="1FDD92A3"/>
    <w:rsid w:val="1FE6F7BB"/>
    <w:rsid w:val="1FEA3CD1"/>
    <w:rsid w:val="1FEB082C"/>
    <w:rsid w:val="1FEE4F97"/>
    <w:rsid w:val="1FF5CA3E"/>
    <w:rsid w:val="1FFECB68"/>
    <w:rsid w:val="2004DE2D"/>
    <w:rsid w:val="20069A67"/>
    <w:rsid w:val="200717B0"/>
    <w:rsid w:val="200AB441"/>
    <w:rsid w:val="200FA824"/>
    <w:rsid w:val="201581A6"/>
    <w:rsid w:val="20240A69"/>
    <w:rsid w:val="2036C1F8"/>
    <w:rsid w:val="20382332"/>
    <w:rsid w:val="20431497"/>
    <w:rsid w:val="2047E0A5"/>
    <w:rsid w:val="20579841"/>
    <w:rsid w:val="205CA6BC"/>
    <w:rsid w:val="205D0BEB"/>
    <w:rsid w:val="206E0272"/>
    <w:rsid w:val="20747D88"/>
    <w:rsid w:val="207A58C3"/>
    <w:rsid w:val="207EF0BE"/>
    <w:rsid w:val="208794C7"/>
    <w:rsid w:val="209DB10D"/>
    <w:rsid w:val="20A15C88"/>
    <w:rsid w:val="20A33785"/>
    <w:rsid w:val="20A609FE"/>
    <w:rsid w:val="20A6A078"/>
    <w:rsid w:val="20A6EBFD"/>
    <w:rsid w:val="20DA1F64"/>
    <w:rsid w:val="20E054E7"/>
    <w:rsid w:val="20E8DFA8"/>
    <w:rsid w:val="20EE6AD8"/>
    <w:rsid w:val="20EF3D88"/>
    <w:rsid w:val="20F1E3EC"/>
    <w:rsid w:val="20F30F8B"/>
    <w:rsid w:val="20F50B1A"/>
    <w:rsid w:val="20F853D7"/>
    <w:rsid w:val="20FAEEC4"/>
    <w:rsid w:val="20FED2E9"/>
    <w:rsid w:val="210764DA"/>
    <w:rsid w:val="210A82C7"/>
    <w:rsid w:val="210CF345"/>
    <w:rsid w:val="2111BC84"/>
    <w:rsid w:val="211E7A29"/>
    <w:rsid w:val="212232BE"/>
    <w:rsid w:val="2122B20A"/>
    <w:rsid w:val="21252FA6"/>
    <w:rsid w:val="21282F37"/>
    <w:rsid w:val="2128A491"/>
    <w:rsid w:val="213AE3A0"/>
    <w:rsid w:val="214005F6"/>
    <w:rsid w:val="2140D76D"/>
    <w:rsid w:val="214F6CBC"/>
    <w:rsid w:val="21507D6B"/>
    <w:rsid w:val="2150A654"/>
    <w:rsid w:val="2163CF57"/>
    <w:rsid w:val="217AB296"/>
    <w:rsid w:val="21810FE8"/>
    <w:rsid w:val="21812C2F"/>
    <w:rsid w:val="218532A8"/>
    <w:rsid w:val="218ECCBB"/>
    <w:rsid w:val="218F19E8"/>
    <w:rsid w:val="21A6E880"/>
    <w:rsid w:val="21A6F00F"/>
    <w:rsid w:val="21ADA836"/>
    <w:rsid w:val="21ADBCE2"/>
    <w:rsid w:val="21B1D203"/>
    <w:rsid w:val="21B9E429"/>
    <w:rsid w:val="21BEB624"/>
    <w:rsid w:val="21D4AE4B"/>
    <w:rsid w:val="21D87803"/>
    <w:rsid w:val="21DBEA95"/>
    <w:rsid w:val="21DC6324"/>
    <w:rsid w:val="21DD45AC"/>
    <w:rsid w:val="21EF7109"/>
    <w:rsid w:val="21F0EE01"/>
    <w:rsid w:val="21F27309"/>
    <w:rsid w:val="2216999F"/>
    <w:rsid w:val="221C7E7D"/>
    <w:rsid w:val="221FFD26"/>
    <w:rsid w:val="2228DC33"/>
    <w:rsid w:val="2231D0CC"/>
    <w:rsid w:val="223508B0"/>
    <w:rsid w:val="2239242B"/>
    <w:rsid w:val="223E6DC3"/>
    <w:rsid w:val="2241BBFC"/>
    <w:rsid w:val="22435AF8"/>
    <w:rsid w:val="224CE6A5"/>
    <w:rsid w:val="224F4D8A"/>
    <w:rsid w:val="22546413"/>
    <w:rsid w:val="225F599F"/>
    <w:rsid w:val="226A685D"/>
    <w:rsid w:val="226E759F"/>
    <w:rsid w:val="227512CF"/>
    <w:rsid w:val="22756520"/>
    <w:rsid w:val="227E94B6"/>
    <w:rsid w:val="22824DB3"/>
    <w:rsid w:val="228355BE"/>
    <w:rsid w:val="2283B4B1"/>
    <w:rsid w:val="2289FC06"/>
    <w:rsid w:val="228BF7BE"/>
    <w:rsid w:val="228DEEB1"/>
    <w:rsid w:val="228E1052"/>
    <w:rsid w:val="2297F6E6"/>
    <w:rsid w:val="229CCC9D"/>
    <w:rsid w:val="22A13260"/>
    <w:rsid w:val="22A18EBA"/>
    <w:rsid w:val="22A343A5"/>
    <w:rsid w:val="22A3DC37"/>
    <w:rsid w:val="22B7DBE8"/>
    <w:rsid w:val="22B94415"/>
    <w:rsid w:val="22D529DA"/>
    <w:rsid w:val="22DDE731"/>
    <w:rsid w:val="22E87F50"/>
    <w:rsid w:val="22ED8BD0"/>
    <w:rsid w:val="2307693E"/>
    <w:rsid w:val="230A294C"/>
    <w:rsid w:val="231A7324"/>
    <w:rsid w:val="231DAA37"/>
    <w:rsid w:val="231FB342"/>
    <w:rsid w:val="2323A1B9"/>
    <w:rsid w:val="2327C182"/>
    <w:rsid w:val="2329277D"/>
    <w:rsid w:val="233C6F27"/>
    <w:rsid w:val="233CCB94"/>
    <w:rsid w:val="233EB872"/>
    <w:rsid w:val="2340821F"/>
    <w:rsid w:val="234362B8"/>
    <w:rsid w:val="2348417B"/>
    <w:rsid w:val="23525A53"/>
    <w:rsid w:val="2361A30F"/>
    <w:rsid w:val="237331D2"/>
    <w:rsid w:val="2374FA8C"/>
    <w:rsid w:val="237812DD"/>
    <w:rsid w:val="237872FC"/>
    <w:rsid w:val="237E121C"/>
    <w:rsid w:val="2381A200"/>
    <w:rsid w:val="2388970B"/>
    <w:rsid w:val="238E2C8C"/>
    <w:rsid w:val="23926A9D"/>
    <w:rsid w:val="2396EBF5"/>
    <w:rsid w:val="23A0C86F"/>
    <w:rsid w:val="23A52D30"/>
    <w:rsid w:val="23C82666"/>
    <w:rsid w:val="23D17A9D"/>
    <w:rsid w:val="23D8EBF0"/>
    <w:rsid w:val="23D94898"/>
    <w:rsid w:val="23DC24E2"/>
    <w:rsid w:val="23DCC7EF"/>
    <w:rsid w:val="23E8A892"/>
    <w:rsid w:val="23F249D3"/>
    <w:rsid w:val="23F77B0A"/>
    <w:rsid w:val="23FD6D98"/>
    <w:rsid w:val="23FDF2F1"/>
    <w:rsid w:val="2402F36D"/>
    <w:rsid w:val="240B681C"/>
    <w:rsid w:val="24137378"/>
    <w:rsid w:val="24155BF4"/>
    <w:rsid w:val="241BF77B"/>
    <w:rsid w:val="243AA487"/>
    <w:rsid w:val="243FAC98"/>
    <w:rsid w:val="2442041A"/>
    <w:rsid w:val="2455CCDC"/>
    <w:rsid w:val="245A9B86"/>
    <w:rsid w:val="245F2744"/>
    <w:rsid w:val="2463FB14"/>
    <w:rsid w:val="2465012F"/>
    <w:rsid w:val="2467CC37"/>
    <w:rsid w:val="2473EAF0"/>
    <w:rsid w:val="2476C6F2"/>
    <w:rsid w:val="2477DA79"/>
    <w:rsid w:val="2479C19A"/>
    <w:rsid w:val="2480B1A4"/>
    <w:rsid w:val="24884716"/>
    <w:rsid w:val="249A2C53"/>
    <w:rsid w:val="249BCB30"/>
    <w:rsid w:val="24A0F7AD"/>
    <w:rsid w:val="24A44766"/>
    <w:rsid w:val="24A77768"/>
    <w:rsid w:val="24B0E720"/>
    <w:rsid w:val="24CA8274"/>
    <w:rsid w:val="24DD0C24"/>
    <w:rsid w:val="24E013FA"/>
    <w:rsid w:val="24E38EAE"/>
    <w:rsid w:val="24E44241"/>
    <w:rsid w:val="24EDCF6C"/>
    <w:rsid w:val="24EFD476"/>
    <w:rsid w:val="24F4A360"/>
    <w:rsid w:val="24F5E67B"/>
    <w:rsid w:val="24FC7B7A"/>
    <w:rsid w:val="2502F977"/>
    <w:rsid w:val="25086B7D"/>
    <w:rsid w:val="250A331B"/>
    <w:rsid w:val="251094BE"/>
    <w:rsid w:val="253388B8"/>
    <w:rsid w:val="25362483"/>
    <w:rsid w:val="253B946F"/>
    <w:rsid w:val="254BDD4E"/>
    <w:rsid w:val="254E166B"/>
    <w:rsid w:val="255E7C4A"/>
    <w:rsid w:val="255ED997"/>
    <w:rsid w:val="258B37D5"/>
    <w:rsid w:val="2594FCF4"/>
    <w:rsid w:val="259CC842"/>
    <w:rsid w:val="25ADA200"/>
    <w:rsid w:val="25B55B0D"/>
    <w:rsid w:val="25D56FD0"/>
    <w:rsid w:val="25DD9E4A"/>
    <w:rsid w:val="25E51BF2"/>
    <w:rsid w:val="25EECE8A"/>
    <w:rsid w:val="25F44440"/>
    <w:rsid w:val="25F89424"/>
    <w:rsid w:val="2600EB5B"/>
    <w:rsid w:val="26020607"/>
    <w:rsid w:val="260240F8"/>
    <w:rsid w:val="2603AAD3"/>
    <w:rsid w:val="260520FF"/>
    <w:rsid w:val="2608580A"/>
    <w:rsid w:val="26100043"/>
    <w:rsid w:val="2614FE4D"/>
    <w:rsid w:val="2616D8F7"/>
    <w:rsid w:val="26204F29"/>
    <w:rsid w:val="2626020D"/>
    <w:rsid w:val="26315F1B"/>
    <w:rsid w:val="263181B6"/>
    <w:rsid w:val="2632F179"/>
    <w:rsid w:val="2633E7AA"/>
    <w:rsid w:val="26425FB3"/>
    <w:rsid w:val="2657D1A1"/>
    <w:rsid w:val="265DC8FB"/>
    <w:rsid w:val="2663188D"/>
    <w:rsid w:val="26637FAE"/>
    <w:rsid w:val="266D3CA3"/>
    <w:rsid w:val="26765934"/>
    <w:rsid w:val="26830456"/>
    <w:rsid w:val="2690F2D9"/>
    <w:rsid w:val="2692B1E9"/>
    <w:rsid w:val="26B05699"/>
    <w:rsid w:val="26B6C38E"/>
    <w:rsid w:val="26C98177"/>
    <w:rsid w:val="26CAAC63"/>
    <w:rsid w:val="26D820FE"/>
    <w:rsid w:val="26DB911D"/>
    <w:rsid w:val="26DDF365"/>
    <w:rsid w:val="26DE6EB9"/>
    <w:rsid w:val="26E2AF25"/>
    <w:rsid w:val="26EB9D67"/>
    <w:rsid w:val="26F19E45"/>
    <w:rsid w:val="270AB82C"/>
    <w:rsid w:val="270C06BB"/>
    <w:rsid w:val="2715F734"/>
    <w:rsid w:val="271D8F06"/>
    <w:rsid w:val="2725EE03"/>
    <w:rsid w:val="2738B96A"/>
    <w:rsid w:val="2741CE0F"/>
    <w:rsid w:val="274E0CA3"/>
    <w:rsid w:val="27515C13"/>
    <w:rsid w:val="27557CA0"/>
    <w:rsid w:val="27597D7C"/>
    <w:rsid w:val="275B80F6"/>
    <w:rsid w:val="275F952D"/>
    <w:rsid w:val="27622587"/>
    <w:rsid w:val="2766EF15"/>
    <w:rsid w:val="276A7746"/>
    <w:rsid w:val="276B712E"/>
    <w:rsid w:val="2770E0D8"/>
    <w:rsid w:val="2780EC53"/>
    <w:rsid w:val="27837465"/>
    <w:rsid w:val="278FE0AE"/>
    <w:rsid w:val="27914256"/>
    <w:rsid w:val="2795A796"/>
    <w:rsid w:val="27971242"/>
    <w:rsid w:val="279F3DCE"/>
    <w:rsid w:val="27AC3738"/>
    <w:rsid w:val="27AEB799"/>
    <w:rsid w:val="27AF7B3B"/>
    <w:rsid w:val="27BD19AD"/>
    <w:rsid w:val="27C04C7D"/>
    <w:rsid w:val="27C162DD"/>
    <w:rsid w:val="27C54397"/>
    <w:rsid w:val="27C71F5E"/>
    <w:rsid w:val="27CEC1DA"/>
    <w:rsid w:val="27D4D74B"/>
    <w:rsid w:val="27D54A7A"/>
    <w:rsid w:val="27D58E35"/>
    <w:rsid w:val="27D5A997"/>
    <w:rsid w:val="27E2AE56"/>
    <w:rsid w:val="27E9135A"/>
    <w:rsid w:val="2801E4BA"/>
    <w:rsid w:val="2803B2E4"/>
    <w:rsid w:val="28063BFC"/>
    <w:rsid w:val="28145286"/>
    <w:rsid w:val="281C3F92"/>
    <w:rsid w:val="28242DB7"/>
    <w:rsid w:val="28243EA0"/>
    <w:rsid w:val="28266814"/>
    <w:rsid w:val="2827021D"/>
    <w:rsid w:val="282718B2"/>
    <w:rsid w:val="28402024"/>
    <w:rsid w:val="2840423A"/>
    <w:rsid w:val="284AE4CC"/>
    <w:rsid w:val="284CB292"/>
    <w:rsid w:val="284FCE2E"/>
    <w:rsid w:val="28554744"/>
    <w:rsid w:val="28573B9C"/>
    <w:rsid w:val="286E8A8A"/>
    <w:rsid w:val="2874943C"/>
    <w:rsid w:val="287BCF83"/>
    <w:rsid w:val="287EAA3A"/>
    <w:rsid w:val="289F5980"/>
    <w:rsid w:val="28A5EAD6"/>
    <w:rsid w:val="28BC19B5"/>
    <w:rsid w:val="28CE2F77"/>
    <w:rsid w:val="28DA1358"/>
    <w:rsid w:val="28DDB2F5"/>
    <w:rsid w:val="28DE0D52"/>
    <w:rsid w:val="28F43468"/>
    <w:rsid w:val="28F4F759"/>
    <w:rsid w:val="29085004"/>
    <w:rsid w:val="29098A5A"/>
    <w:rsid w:val="290E3390"/>
    <w:rsid w:val="290FF6B7"/>
    <w:rsid w:val="29131DBB"/>
    <w:rsid w:val="2921B52C"/>
    <w:rsid w:val="29220645"/>
    <w:rsid w:val="2922C26D"/>
    <w:rsid w:val="2923D9F0"/>
    <w:rsid w:val="29269853"/>
    <w:rsid w:val="292C5A95"/>
    <w:rsid w:val="2933411C"/>
    <w:rsid w:val="2937DB1E"/>
    <w:rsid w:val="294F1013"/>
    <w:rsid w:val="29516E32"/>
    <w:rsid w:val="295B6848"/>
    <w:rsid w:val="2965C84B"/>
    <w:rsid w:val="296B0565"/>
    <w:rsid w:val="297604EF"/>
    <w:rsid w:val="297885D4"/>
    <w:rsid w:val="29828743"/>
    <w:rsid w:val="298E1AE3"/>
    <w:rsid w:val="29948782"/>
    <w:rsid w:val="29AA5FA6"/>
    <w:rsid w:val="29B5F767"/>
    <w:rsid w:val="29BEF467"/>
    <w:rsid w:val="29CA18D8"/>
    <w:rsid w:val="29CDC7C1"/>
    <w:rsid w:val="29CE9646"/>
    <w:rsid w:val="29CF0EF0"/>
    <w:rsid w:val="29D17CC2"/>
    <w:rsid w:val="29D8C915"/>
    <w:rsid w:val="29DD9FF7"/>
    <w:rsid w:val="29EDFE7F"/>
    <w:rsid w:val="2A13AAF2"/>
    <w:rsid w:val="2A15C6D7"/>
    <w:rsid w:val="2A18B4AC"/>
    <w:rsid w:val="2A27B24E"/>
    <w:rsid w:val="2A3631B3"/>
    <w:rsid w:val="2A3F34AD"/>
    <w:rsid w:val="2A43F70D"/>
    <w:rsid w:val="2A4A19CB"/>
    <w:rsid w:val="2A4FC819"/>
    <w:rsid w:val="2A582D5B"/>
    <w:rsid w:val="2A5CDD03"/>
    <w:rsid w:val="2A6BF15D"/>
    <w:rsid w:val="2A8C8CD1"/>
    <w:rsid w:val="2A8FEEE8"/>
    <w:rsid w:val="2A99FE84"/>
    <w:rsid w:val="2A9A9C89"/>
    <w:rsid w:val="2A9D9C96"/>
    <w:rsid w:val="2A9EB52C"/>
    <w:rsid w:val="2AAA6DF3"/>
    <w:rsid w:val="2AAC7E26"/>
    <w:rsid w:val="2AB460DE"/>
    <w:rsid w:val="2AB9946B"/>
    <w:rsid w:val="2ABA6190"/>
    <w:rsid w:val="2AC02667"/>
    <w:rsid w:val="2AC173FF"/>
    <w:rsid w:val="2ACF117D"/>
    <w:rsid w:val="2AE3D676"/>
    <w:rsid w:val="2AE48EA5"/>
    <w:rsid w:val="2AEB24D5"/>
    <w:rsid w:val="2AF2ECA7"/>
    <w:rsid w:val="2AFA11AD"/>
    <w:rsid w:val="2B10760E"/>
    <w:rsid w:val="2B17AADE"/>
    <w:rsid w:val="2B2328C0"/>
    <w:rsid w:val="2B2893EA"/>
    <w:rsid w:val="2B2C002B"/>
    <w:rsid w:val="2B3A08AA"/>
    <w:rsid w:val="2B3B538F"/>
    <w:rsid w:val="2B528BC3"/>
    <w:rsid w:val="2B61BAFC"/>
    <w:rsid w:val="2B698081"/>
    <w:rsid w:val="2B69A006"/>
    <w:rsid w:val="2B73ED25"/>
    <w:rsid w:val="2B771371"/>
    <w:rsid w:val="2B7FD680"/>
    <w:rsid w:val="2B908C62"/>
    <w:rsid w:val="2B91620F"/>
    <w:rsid w:val="2B9D36CA"/>
    <w:rsid w:val="2BA136ED"/>
    <w:rsid w:val="2BA2367B"/>
    <w:rsid w:val="2BBB8BDE"/>
    <w:rsid w:val="2BBC30EE"/>
    <w:rsid w:val="2BC41A72"/>
    <w:rsid w:val="2BC868B8"/>
    <w:rsid w:val="2BD583FC"/>
    <w:rsid w:val="2BDA3514"/>
    <w:rsid w:val="2BDC6F64"/>
    <w:rsid w:val="2BDE1E0B"/>
    <w:rsid w:val="2BE5EA2C"/>
    <w:rsid w:val="2BE6A9DB"/>
    <w:rsid w:val="2BE85E16"/>
    <w:rsid w:val="2BF15615"/>
    <w:rsid w:val="2BF79174"/>
    <w:rsid w:val="2BFDECE6"/>
    <w:rsid w:val="2C02A1B0"/>
    <w:rsid w:val="2C1A7E5D"/>
    <w:rsid w:val="2C1C7767"/>
    <w:rsid w:val="2C1CA189"/>
    <w:rsid w:val="2C2BEFB1"/>
    <w:rsid w:val="2C3310B0"/>
    <w:rsid w:val="2C35C82A"/>
    <w:rsid w:val="2C360008"/>
    <w:rsid w:val="2C3F443B"/>
    <w:rsid w:val="2C43C1CB"/>
    <w:rsid w:val="2C472BD4"/>
    <w:rsid w:val="2C4797FF"/>
    <w:rsid w:val="2C4D3675"/>
    <w:rsid w:val="2C55346D"/>
    <w:rsid w:val="2C5AAA27"/>
    <w:rsid w:val="2C6DE4D4"/>
    <w:rsid w:val="2C81CD61"/>
    <w:rsid w:val="2C883552"/>
    <w:rsid w:val="2C8D1970"/>
    <w:rsid w:val="2C8DEF72"/>
    <w:rsid w:val="2C9D30EA"/>
    <w:rsid w:val="2CA719D0"/>
    <w:rsid w:val="2CB9279C"/>
    <w:rsid w:val="2CC0457D"/>
    <w:rsid w:val="2CC71325"/>
    <w:rsid w:val="2CD024BA"/>
    <w:rsid w:val="2CD0A174"/>
    <w:rsid w:val="2CED6D15"/>
    <w:rsid w:val="2CEE3BD7"/>
    <w:rsid w:val="2CEE5C24"/>
    <w:rsid w:val="2CEEA921"/>
    <w:rsid w:val="2CEF060B"/>
    <w:rsid w:val="2CF7BE0A"/>
    <w:rsid w:val="2CFAA965"/>
    <w:rsid w:val="2CFEFB4C"/>
    <w:rsid w:val="2D044183"/>
    <w:rsid w:val="2D17AA97"/>
    <w:rsid w:val="2D23368F"/>
    <w:rsid w:val="2D29E391"/>
    <w:rsid w:val="2D2FBA17"/>
    <w:rsid w:val="2D4121B6"/>
    <w:rsid w:val="2D4DAD3D"/>
    <w:rsid w:val="2D597070"/>
    <w:rsid w:val="2D5B3908"/>
    <w:rsid w:val="2D68B025"/>
    <w:rsid w:val="2D6FDDFA"/>
    <w:rsid w:val="2D71A5A7"/>
    <w:rsid w:val="2D89262F"/>
    <w:rsid w:val="2D9361D5"/>
    <w:rsid w:val="2D93B983"/>
    <w:rsid w:val="2DA34D6E"/>
    <w:rsid w:val="2DA92244"/>
    <w:rsid w:val="2DAA1E67"/>
    <w:rsid w:val="2DB0B9C5"/>
    <w:rsid w:val="2DC2DE91"/>
    <w:rsid w:val="2DD2BAEF"/>
    <w:rsid w:val="2DD3CBC5"/>
    <w:rsid w:val="2DF417D5"/>
    <w:rsid w:val="2DF6E88E"/>
    <w:rsid w:val="2DF78D82"/>
    <w:rsid w:val="2E027004"/>
    <w:rsid w:val="2E0D62C8"/>
    <w:rsid w:val="2E1491B1"/>
    <w:rsid w:val="2E154C44"/>
    <w:rsid w:val="2E1EBCBF"/>
    <w:rsid w:val="2E2D8119"/>
    <w:rsid w:val="2E33A951"/>
    <w:rsid w:val="2E395F55"/>
    <w:rsid w:val="2E483AF0"/>
    <w:rsid w:val="2E5B9761"/>
    <w:rsid w:val="2E5E6B56"/>
    <w:rsid w:val="2E62CB9F"/>
    <w:rsid w:val="2E71FC2A"/>
    <w:rsid w:val="2E8ED88F"/>
    <w:rsid w:val="2E92ECC4"/>
    <w:rsid w:val="2E962A76"/>
    <w:rsid w:val="2E9A95E5"/>
    <w:rsid w:val="2EA37BE3"/>
    <w:rsid w:val="2EA3B873"/>
    <w:rsid w:val="2EA7987A"/>
    <w:rsid w:val="2EACCE3F"/>
    <w:rsid w:val="2EBC6B46"/>
    <w:rsid w:val="2EBFD6EF"/>
    <w:rsid w:val="2ECAC82A"/>
    <w:rsid w:val="2ECB3583"/>
    <w:rsid w:val="2ED38B6E"/>
    <w:rsid w:val="2ED9E75F"/>
    <w:rsid w:val="2EE189A3"/>
    <w:rsid w:val="2EE3DD38"/>
    <w:rsid w:val="2EE976FE"/>
    <w:rsid w:val="2EEB1107"/>
    <w:rsid w:val="2EECBCAE"/>
    <w:rsid w:val="2EF8ECF6"/>
    <w:rsid w:val="2EFAC37B"/>
    <w:rsid w:val="2F121F45"/>
    <w:rsid w:val="2F141D6C"/>
    <w:rsid w:val="2F1A1BE6"/>
    <w:rsid w:val="2F23393C"/>
    <w:rsid w:val="2F25CB46"/>
    <w:rsid w:val="2F278C16"/>
    <w:rsid w:val="2F316AC3"/>
    <w:rsid w:val="2F3E327E"/>
    <w:rsid w:val="2F5BF018"/>
    <w:rsid w:val="2F602F3C"/>
    <w:rsid w:val="2F73E5F4"/>
    <w:rsid w:val="2F75BD9E"/>
    <w:rsid w:val="2F7DD421"/>
    <w:rsid w:val="2F86E462"/>
    <w:rsid w:val="2F870949"/>
    <w:rsid w:val="2F87DC31"/>
    <w:rsid w:val="2F917AA2"/>
    <w:rsid w:val="2F954DBD"/>
    <w:rsid w:val="2FBC1027"/>
    <w:rsid w:val="2FC10A21"/>
    <w:rsid w:val="2FC55898"/>
    <w:rsid w:val="2FD09F14"/>
    <w:rsid w:val="2FD0AE82"/>
    <w:rsid w:val="2FD63C9D"/>
    <w:rsid w:val="2FD78FFA"/>
    <w:rsid w:val="2FE01ADE"/>
    <w:rsid w:val="2FEA5C1B"/>
    <w:rsid w:val="2FF0E2D3"/>
    <w:rsid w:val="2FF77822"/>
    <w:rsid w:val="2FFE779F"/>
    <w:rsid w:val="3007EE79"/>
    <w:rsid w:val="300A3E9F"/>
    <w:rsid w:val="300A73E7"/>
    <w:rsid w:val="300C7EC9"/>
    <w:rsid w:val="300CD374"/>
    <w:rsid w:val="302040AF"/>
    <w:rsid w:val="3039084A"/>
    <w:rsid w:val="30488A04"/>
    <w:rsid w:val="30542C3F"/>
    <w:rsid w:val="30698810"/>
    <w:rsid w:val="306E2814"/>
    <w:rsid w:val="306F407B"/>
    <w:rsid w:val="309AAC2C"/>
    <w:rsid w:val="30ABB154"/>
    <w:rsid w:val="30BBEA66"/>
    <w:rsid w:val="30BC559E"/>
    <w:rsid w:val="30C73906"/>
    <w:rsid w:val="30CA9626"/>
    <w:rsid w:val="30CAA967"/>
    <w:rsid w:val="30E5DCC3"/>
    <w:rsid w:val="30EF0ED7"/>
    <w:rsid w:val="3102B492"/>
    <w:rsid w:val="3111269E"/>
    <w:rsid w:val="311B9E62"/>
    <w:rsid w:val="31215464"/>
    <w:rsid w:val="3124DDB7"/>
    <w:rsid w:val="312630E2"/>
    <w:rsid w:val="31344C7A"/>
    <w:rsid w:val="3137D4D2"/>
    <w:rsid w:val="313C45DC"/>
    <w:rsid w:val="313CD944"/>
    <w:rsid w:val="315B89B2"/>
    <w:rsid w:val="3160D9A4"/>
    <w:rsid w:val="316DB544"/>
    <w:rsid w:val="317E2C5A"/>
    <w:rsid w:val="317FB59E"/>
    <w:rsid w:val="3185DE9A"/>
    <w:rsid w:val="318642D7"/>
    <w:rsid w:val="318CD5BA"/>
    <w:rsid w:val="318EF843"/>
    <w:rsid w:val="3193F5E5"/>
    <w:rsid w:val="3198CE9F"/>
    <w:rsid w:val="31A5D28E"/>
    <w:rsid w:val="31A94CDE"/>
    <w:rsid w:val="31AAB84F"/>
    <w:rsid w:val="31ADB5A1"/>
    <w:rsid w:val="31B2C4C3"/>
    <w:rsid w:val="31BD6C4F"/>
    <w:rsid w:val="31BED4C8"/>
    <w:rsid w:val="31CC8019"/>
    <w:rsid w:val="31D31203"/>
    <w:rsid w:val="31D5772F"/>
    <w:rsid w:val="31D6259D"/>
    <w:rsid w:val="31D6AC71"/>
    <w:rsid w:val="31D843BD"/>
    <w:rsid w:val="31D89575"/>
    <w:rsid w:val="31D8C786"/>
    <w:rsid w:val="31E9564A"/>
    <w:rsid w:val="31EC5C18"/>
    <w:rsid w:val="31F164A8"/>
    <w:rsid w:val="31F4C38F"/>
    <w:rsid w:val="31FFBA4B"/>
    <w:rsid w:val="3203827A"/>
    <w:rsid w:val="320DF20E"/>
    <w:rsid w:val="3217FE5A"/>
    <w:rsid w:val="322CC2E1"/>
    <w:rsid w:val="32327F0D"/>
    <w:rsid w:val="3243EDF2"/>
    <w:rsid w:val="324BC888"/>
    <w:rsid w:val="324C512F"/>
    <w:rsid w:val="324EC068"/>
    <w:rsid w:val="32552BB0"/>
    <w:rsid w:val="325825FF"/>
    <w:rsid w:val="3258FE42"/>
    <w:rsid w:val="325AA711"/>
    <w:rsid w:val="325F575A"/>
    <w:rsid w:val="326AB71D"/>
    <w:rsid w:val="3278DD1C"/>
    <w:rsid w:val="32823AA0"/>
    <w:rsid w:val="32909EB4"/>
    <w:rsid w:val="3291240A"/>
    <w:rsid w:val="329C3158"/>
    <w:rsid w:val="329E341E"/>
    <w:rsid w:val="32AADB44"/>
    <w:rsid w:val="32AFE056"/>
    <w:rsid w:val="32B107AE"/>
    <w:rsid w:val="32B19753"/>
    <w:rsid w:val="32C957F8"/>
    <w:rsid w:val="32D097AD"/>
    <w:rsid w:val="32D0D79B"/>
    <w:rsid w:val="32D5A225"/>
    <w:rsid w:val="32DB0C54"/>
    <w:rsid w:val="32E37202"/>
    <w:rsid w:val="32E68489"/>
    <w:rsid w:val="32F6DC61"/>
    <w:rsid w:val="32F7A8D5"/>
    <w:rsid w:val="32FA2017"/>
    <w:rsid w:val="33041A47"/>
    <w:rsid w:val="33078B53"/>
    <w:rsid w:val="3308F991"/>
    <w:rsid w:val="3320A486"/>
    <w:rsid w:val="33269A82"/>
    <w:rsid w:val="3327D515"/>
    <w:rsid w:val="33296989"/>
    <w:rsid w:val="332BFF90"/>
    <w:rsid w:val="333893E6"/>
    <w:rsid w:val="3338DF5E"/>
    <w:rsid w:val="3348021B"/>
    <w:rsid w:val="335C67D5"/>
    <w:rsid w:val="3365D6AD"/>
    <w:rsid w:val="336A7CD2"/>
    <w:rsid w:val="336EE264"/>
    <w:rsid w:val="336FA4CA"/>
    <w:rsid w:val="3371156A"/>
    <w:rsid w:val="3374DAD7"/>
    <w:rsid w:val="3379D368"/>
    <w:rsid w:val="337FCB15"/>
    <w:rsid w:val="33824E9F"/>
    <w:rsid w:val="338C0EF1"/>
    <w:rsid w:val="3390EB01"/>
    <w:rsid w:val="3391EE13"/>
    <w:rsid w:val="33B16FBF"/>
    <w:rsid w:val="33BEC198"/>
    <w:rsid w:val="33C6F52C"/>
    <w:rsid w:val="33CACB43"/>
    <w:rsid w:val="33D48D1B"/>
    <w:rsid w:val="33D4B94F"/>
    <w:rsid w:val="33DEE0AE"/>
    <w:rsid w:val="33E1BD61"/>
    <w:rsid w:val="33E29C18"/>
    <w:rsid w:val="33ED242F"/>
    <w:rsid w:val="33ED3658"/>
    <w:rsid w:val="33F6A905"/>
    <w:rsid w:val="33FB43C9"/>
    <w:rsid w:val="33FC9C61"/>
    <w:rsid w:val="33FE37CB"/>
    <w:rsid w:val="3401C6C4"/>
    <w:rsid w:val="340FB3A3"/>
    <w:rsid w:val="34129672"/>
    <w:rsid w:val="3414B545"/>
    <w:rsid w:val="3416BE80"/>
    <w:rsid w:val="341B9BB3"/>
    <w:rsid w:val="342B8AF0"/>
    <w:rsid w:val="342F0CC2"/>
    <w:rsid w:val="34314CED"/>
    <w:rsid w:val="3431ACDF"/>
    <w:rsid w:val="343654D9"/>
    <w:rsid w:val="343A36F7"/>
    <w:rsid w:val="34415D9E"/>
    <w:rsid w:val="344B59A2"/>
    <w:rsid w:val="3451609B"/>
    <w:rsid w:val="34541874"/>
    <w:rsid w:val="346671BD"/>
    <w:rsid w:val="34709F6B"/>
    <w:rsid w:val="347E3E23"/>
    <w:rsid w:val="347E9E4C"/>
    <w:rsid w:val="3480D996"/>
    <w:rsid w:val="34867C4E"/>
    <w:rsid w:val="348F588E"/>
    <w:rsid w:val="3495CC98"/>
    <w:rsid w:val="349D1F23"/>
    <w:rsid w:val="349D47A5"/>
    <w:rsid w:val="34A1AFF0"/>
    <w:rsid w:val="34B592FE"/>
    <w:rsid w:val="34BAA482"/>
    <w:rsid w:val="34BCB46C"/>
    <w:rsid w:val="34BD0D48"/>
    <w:rsid w:val="34CA9551"/>
    <w:rsid w:val="34CCCA8A"/>
    <w:rsid w:val="34D03FDB"/>
    <w:rsid w:val="34D63FC5"/>
    <w:rsid w:val="34D84A96"/>
    <w:rsid w:val="34DFC71F"/>
    <w:rsid w:val="34F302D4"/>
    <w:rsid w:val="34F3AA37"/>
    <w:rsid w:val="34FE8C6A"/>
    <w:rsid w:val="34FF63EF"/>
    <w:rsid w:val="3511AB49"/>
    <w:rsid w:val="3525DE38"/>
    <w:rsid w:val="352C185F"/>
    <w:rsid w:val="353D6B7A"/>
    <w:rsid w:val="354681B2"/>
    <w:rsid w:val="354EE28E"/>
    <w:rsid w:val="35508E59"/>
    <w:rsid w:val="3563409A"/>
    <w:rsid w:val="356656B1"/>
    <w:rsid w:val="35672AA0"/>
    <w:rsid w:val="356ECB8A"/>
    <w:rsid w:val="35717B32"/>
    <w:rsid w:val="35766E66"/>
    <w:rsid w:val="357B707E"/>
    <w:rsid w:val="35831920"/>
    <w:rsid w:val="35927AC0"/>
    <w:rsid w:val="3594183C"/>
    <w:rsid w:val="359C46CD"/>
    <w:rsid w:val="35A9090A"/>
    <w:rsid w:val="35AD8B0C"/>
    <w:rsid w:val="35B5B63E"/>
    <w:rsid w:val="35BA27B5"/>
    <w:rsid w:val="35BB0361"/>
    <w:rsid w:val="35C0F4F7"/>
    <w:rsid w:val="35D65054"/>
    <w:rsid w:val="35DA8DE6"/>
    <w:rsid w:val="35E6A503"/>
    <w:rsid w:val="35E95DAB"/>
    <w:rsid w:val="35ECA2E1"/>
    <w:rsid w:val="35ED30FC"/>
    <w:rsid w:val="35EFF925"/>
    <w:rsid w:val="35F1017E"/>
    <w:rsid w:val="35FC6035"/>
    <w:rsid w:val="35FD50F5"/>
    <w:rsid w:val="3607441A"/>
    <w:rsid w:val="3608D76B"/>
    <w:rsid w:val="360C2EEB"/>
    <w:rsid w:val="360FD466"/>
    <w:rsid w:val="3610AB9D"/>
    <w:rsid w:val="36190F98"/>
    <w:rsid w:val="36201CB3"/>
    <w:rsid w:val="3623CFAA"/>
    <w:rsid w:val="3628D4E0"/>
    <w:rsid w:val="36296E62"/>
    <w:rsid w:val="3629FBE0"/>
    <w:rsid w:val="362FA405"/>
    <w:rsid w:val="363701E2"/>
    <w:rsid w:val="365149E8"/>
    <w:rsid w:val="3657D81D"/>
    <w:rsid w:val="36680CAD"/>
    <w:rsid w:val="36811EE8"/>
    <w:rsid w:val="3687FAC1"/>
    <w:rsid w:val="368DC901"/>
    <w:rsid w:val="3691B3C3"/>
    <w:rsid w:val="36A30084"/>
    <w:rsid w:val="36A8B62C"/>
    <w:rsid w:val="36B05BC9"/>
    <w:rsid w:val="36B8453C"/>
    <w:rsid w:val="36BD7EAB"/>
    <w:rsid w:val="36C419AC"/>
    <w:rsid w:val="36CF5B68"/>
    <w:rsid w:val="36D28286"/>
    <w:rsid w:val="36D3D818"/>
    <w:rsid w:val="36D578A5"/>
    <w:rsid w:val="36DA3268"/>
    <w:rsid w:val="36ECBC33"/>
    <w:rsid w:val="3703BBF1"/>
    <w:rsid w:val="370787D2"/>
    <w:rsid w:val="37102A96"/>
    <w:rsid w:val="37140758"/>
    <w:rsid w:val="371561AB"/>
    <w:rsid w:val="371CD30D"/>
    <w:rsid w:val="3726798E"/>
    <w:rsid w:val="372E0495"/>
    <w:rsid w:val="372FE89D"/>
    <w:rsid w:val="373C1C38"/>
    <w:rsid w:val="37529812"/>
    <w:rsid w:val="3760AC50"/>
    <w:rsid w:val="37683F93"/>
    <w:rsid w:val="3769330C"/>
    <w:rsid w:val="376988F2"/>
    <w:rsid w:val="376DA3CA"/>
    <w:rsid w:val="376E7FCC"/>
    <w:rsid w:val="376FBC40"/>
    <w:rsid w:val="3770F165"/>
    <w:rsid w:val="377A137E"/>
    <w:rsid w:val="377AE7C4"/>
    <w:rsid w:val="377B1B18"/>
    <w:rsid w:val="378C9E5F"/>
    <w:rsid w:val="378DCBD7"/>
    <w:rsid w:val="378E8033"/>
    <w:rsid w:val="379209AD"/>
    <w:rsid w:val="37951879"/>
    <w:rsid w:val="3796DE18"/>
    <w:rsid w:val="379C59AE"/>
    <w:rsid w:val="37A0E938"/>
    <w:rsid w:val="37A4D934"/>
    <w:rsid w:val="37AB8498"/>
    <w:rsid w:val="37AF7170"/>
    <w:rsid w:val="37AF8592"/>
    <w:rsid w:val="37B0FEE4"/>
    <w:rsid w:val="37B3AB81"/>
    <w:rsid w:val="37B64ECE"/>
    <w:rsid w:val="37BC08CF"/>
    <w:rsid w:val="37BCF5C6"/>
    <w:rsid w:val="37C0196F"/>
    <w:rsid w:val="37C40F34"/>
    <w:rsid w:val="37C635D0"/>
    <w:rsid w:val="37DC99ED"/>
    <w:rsid w:val="37E15E81"/>
    <w:rsid w:val="37E7381E"/>
    <w:rsid w:val="37EB36A5"/>
    <w:rsid w:val="37EED577"/>
    <w:rsid w:val="37F415A9"/>
    <w:rsid w:val="37FCA9E9"/>
    <w:rsid w:val="37FCDAAC"/>
    <w:rsid w:val="3807A781"/>
    <w:rsid w:val="381163CB"/>
    <w:rsid w:val="3813BB6D"/>
    <w:rsid w:val="381785DC"/>
    <w:rsid w:val="381F9E1D"/>
    <w:rsid w:val="381FA328"/>
    <w:rsid w:val="38292B2A"/>
    <w:rsid w:val="382A164E"/>
    <w:rsid w:val="382AF1D2"/>
    <w:rsid w:val="382CB767"/>
    <w:rsid w:val="382F9EE0"/>
    <w:rsid w:val="38310ECB"/>
    <w:rsid w:val="383274FD"/>
    <w:rsid w:val="3833E7C5"/>
    <w:rsid w:val="3848563D"/>
    <w:rsid w:val="3848DF8C"/>
    <w:rsid w:val="384ADCB6"/>
    <w:rsid w:val="384C3160"/>
    <w:rsid w:val="384F3D6C"/>
    <w:rsid w:val="384F5136"/>
    <w:rsid w:val="38576ADA"/>
    <w:rsid w:val="385853BB"/>
    <w:rsid w:val="3858BBB9"/>
    <w:rsid w:val="386292C5"/>
    <w:rsid w:val="38652DB1"/>
    <w:rsid w:val="38779457"/>
    <w:rsid w:val="3889E7F7"/>
    <w:rsid w:val="388E0D30"/>
    <w:rsid w:val="388F6F3F"/>
    <w:rsid w:val="38912F14"/>
    <w:rsid w:val="38990ACE"/>
    <w:rsid w:val="38A44273"/>
    <w:rsid w:val="38A6FFA7"/>
    <w:rsid w:val="38AA0CA7"/>
    <w:rsid w:val="38ACA298"/>
    <w:rsid w:val="38AE2733"/>
    <w:rsid w:val="38B1BB53"/>
    <w:rsid w:val="38B3D9C9"/>
    <w:rsid w:val="38B8DA8E"/>
    <w:rsid w:val="38E51FFA"/>
    <w:rsid w:val="38F09D9F"/>
    <w:rsid w:val="38FF7E73"/>
    <w:rsid w:val="390232B5"/>
    <w:rsid w:val="3921A85B"/>
    <w:rsid w:val="39330758"/>
    <w:rsid w:val="3938E4AC"/>
    <w:rsid w:val="393E5462"/>
    <w:rsid w:val="393E9FA9"/>
    <w:rsid w:val="394439DE"/>
    <w:rsid w:val="394843AB"/>
    <w:rsid w:val="394964E6"/>
    <w:rsid w:val="394B2FB3"/>
    <w:rsid w:val="394F70ED"/>
    <w:rsid w:val="395696BD"/>
    <w:rsid w:val="396AB3C8"/>
    <w:rsid w:val="396D4A9E"/>
    <w:rsid w:val="396E17D3"/>
    <w:rsid w:val="39721E7A"/>
    <w:rsid w:val="397C2BDF"/>
    <w:rsid w:val="3983EB59"/>
    <w:rsid w:val="398EEF59"/>
    <w:rsid w:val="3990334B"/>
    <w:rsid w:val="399450A5"/>
    <w:rsid w:val="39969DDE"/>
    <w:rsid w:val="3998AB0D"/>
    <w:rsid w:val="399BF75F"/>
    <w:rsid w:val="39A0F772"/>
    <w:rsid w:val="39A2971F"/>
    <w:rsid w:val="39A5B0EB"/>
    <w:rsid w:val="39A758A6"/>
    <w:rsid w:val="39A7BE85"/>
    <w:rsid w:val="39C432C2"/>
    <w:rsid w:val="39C4FB8B"/>
    <w:rsid w:val="39C60A74"/>
    <w:rsid w:val="39C86C00"/>
    <w:rsid w:val="39CD2010"/>
    <w:rsid w:val="39CE455E"/>
    <w:rsid w:val="39CF2234"/>
    <w:rsid w:val="39CF2F29"/>
    <w:rsid w:val="39CF76C5"/>
    <w:rsid w:val="39D3D4C8"/>
    <w:rsid w:val="39D5900B"/>
    <w:rsid w:val="39DD5518"/>
    <w:rsid w:val="39EAB53C"/>
    <w:rsid w:val="39FA3B0E"/>
    <w:rsid w:val="3A12532B"/>
    <w:rsid w:val="3A1D268A"/>
    <w:rsid w:val="3A239C06"/>
    <w:rsid w:val="3A2D610C"/>
    <w:rsid w:val="3A42F460"/>
    <w:rsid w:val="3A452831"/>
    <w:rsid w:val="3A4EB0DD"/>
    <w:rsid w:val="3A52E2D7"/>
    <w:rsid w:val="3A59C869"/>
    <w:rsid w:val="3A5C4222"/>
    <w:rsid w:val="3A5D6632"/>
    <w:rsid w:val="3A676922"/>
    <w:rsid w:val="3A6A2993"/>
    <w:rsid w:val="3A76A352"/>
    <w:rsid w:val="3A7E1683"/>
    <w:rsid w:val="3A88E859"/>
    <w:rsid w:val="3A90F669"/>
    <w:rsid w:val="3A9D7B20"/>
    <w:rsid w:val="3AA3B2B5"/>
    <w:rsid w:val="3AB1B468"/>
    <w:rsid w:val="3AC2576A"/>
    <w:rsid w:val="3AC9D868"/>
    <w:rsid w:val="3ACC0CEA"/>
    <w:rsid w:val="3ACF6159"/>
    <w:rsid w:val="3AD89858"/>
    <w:rsid w:val="3AE72654"/>
    <w:rsid w:val="3AEE89FA"/>
    <w:rsid w:val="3B035E09"/>
    <w:rsid w:val="3B07D500"/>
    <w:rsid w:val="3B100C17"/>
    <w:rsid w:val="3B1C2962"/>
    <w:rsid w:val="3B33BEEF"/>
    <w:rsid w:val="3B347B6E"/>
    <w:rsid w:val="3B396121"/>
    <w:rsid w:val="3B399278"/>
    <w:rsid w:val="3B3D0EEA"/>
    <w:rsid w:val="3B434FF3"/>
    <w:rsid w:val="3B53E2FD"/>
    <w:rsid w:val="3B54F0F5"/>
    <w:rsid w:val="3B593900"/>
    <w:rsid w:val="3B59AED6"/>
    <w:rsid w:val="3B5E9BEE"/>
    <w:rsid w:val="3B67A58A"/>
    <w:rsid w:val="3B74C58D"/>
    <w:rsid w:val="3B78ABFD"/>
    <w:rsid w:val="3B7B281E"/>
    <w:rsid w:val="3B7BD1FC"/>
    <w:rsid w:val="3B86C523"/>
    <w:rsid w:val="3BA4E4F7"/>
    <w:rsid w:val="3BB1D827"/>
    <w:rsid w:val="3BB39C09"/>
    <w:rsid w:val="3BCC8AFB"/>
    <w:rsid w:val="3BD02A26"/>
    <w:rsid w:val="3BD8516C"/>
    <w:rsid w:val="3BE7A79E"/>
    <w:rsid w:val="3BED6C1A"/>
    <w:rsid w:val="3BEDC33B"/>
    <w:rsid w:val="3BF7D766"/>
    <w:rsid w:val="3C052939"/>
    <w:rsid w:val="3C0D4037"/>
    <w:rsid w:val="3C114CE7"/>
    <w:rsid w:val="3C15A2C4"/>
    <w:rsid w:val="3C35602C"/>
    <w:rsid w:val="3C381FD2"/>
    <w:rsid w:val="3C3E9A61"/>
    <w:rsid w:val="3C40CD4A"/>
    <w:rsid w:val="3C4C70BD"/>
    <w:rsid w:val="3C5C10B1"/>
    <w:rsid w:val="3C5E614D"/>
    <w:rsid w:val="3C6E7DE9"/>
    <w:rsid w:val="3C6F3A28"/>
    <w:rsid w:val="3C71E0EB"/>
    <w:rsid w:val="3C767191"/>
    <w:rsid w:val="3C808CDC"/>
    <w:rsid w:val="3C81582D"/>
    <w:rsid w:val="3C869ABF"/>
    <w:rsid w:val="3C93CDA7"/>
    <w:rsid w:val="3C93DDA8"/>
    <w:rsid w:val="3C9C669E"/>
    <w:rsid w:val="3C9F1CAF"/>
    <w:rsid w:val="3CA5C402"/>
    <w:rsid w:val="3CB3A46C"/>
    <w:rsid w:val="3CB41765"/>
    <w:rsid w:val="3CC447F5"/>
    <w:rsid w:val="3CCAE5AB"/>
    <w:rsid w:val="3CD04BCF"/>
    <w:rsid w:val="3CDD7A17"/>
    <w:rsid w:val="3CE123E3"/>
    <w:rsid w:val="3CE6BBFF"/>
    <w:rsid w:val="3CE6F668"/>
    <w:rsid w:val="3CFD41DB"/>
    <w:rsid w:val="3D01039E"/>
    <w:rsid w:val="3D02FED2"/>
    <w:rsid w:val="3D049ADA"/>
    <w:rsid w:val="3D0CB8F3"/>
    <w:rsid w:val="3D0E8379"/>
    <w:rsid w:val="3D1C7241"/>
    <w:rsid w:val="3D2004BD"/>
    <w:rsid w:val="3D2F3D7C"/>
    <w:rsid w:val="3D30E5D6"/>
    <w:rsid w:val="3D39A12C"/>
    <w:rsid w:val="3D3B7ACF"/>
    <w:rsid w:val="3D3E12AB"/>
    <w:rsid w:val="3D44B6C2"/>
    <w:rsid w:val="3D48C7C4"/>
    <w:rsid w:val="3D4A6567"/>
    <w:rsid w:val="3D50CC61"/>
    <w:rsid w:val="3D537252"/>
    <w:rsid w:val="3D5902DF"/>
    <w:rsid w:val="3D61CDAA"/>
    <w:rsid w:val="3D77B396"/>
    <w:rsid w:val="3D7AC6CD"/>
    <w:rsid w:val="3D7ADE18"/>
    <w:rsid w:val="3D8B3C9C"/>
    <w:rsid w:val="3D97300C"/>
    <w:rsid w:val="3DA9192E"/>
    <w:rsid w:val="3DAAF8AB"/>
    <w:rsid w:val="3DB0383C"/>
    <w:rsid w:val="3DBE960D"/>
    <w:rsid w:val="3DC25A89"/>
    <w:rsid w:val="3DD02279"/>
    <w:rsid w:val="3DD5ED53"/>
    <w:rsid w:val="3DE70024"/>
    <w:rsid w:val="3DE73213"/>
    <w:rsid w:val="3DF8BBC3"/>
    <w:rsid w:val="3E04B20F"/>
    <w:rsid w:val="3E0FC405"/>
    <w:rsid w:val="3E1CD68C"/>
    <w:rsid w:val="3E23135C"/>
    <w:rsid w:val="3E32272B"/>
    <w:rsid w:val="3E346B52"/>
    <w:rsid w:val="3E3923C6"/>
    <w:rsid w:val="3E3DC3A4"/>
    <w:rsid w:val="3E412785"/>
    <w:rsid w:val="3E427586"/>
    <w:rsid w:val="3E428390"/>
    <w:rsid w:val="3E43EE97"/>
    <w:rsid w:val="3E5F420C"/>
    <w:rsid w:val="3E5FFD2E"/>
    <w:rsid w:val="3E6278ED"/>
    <w:rsid w:val="3E739356"/>
    <w:rsid w:val="3E8074AC"/>
    <w:rsid w:val="3E9A1C1F"/>
    <w:rsid w:val="3E9BCA39"/>
    <w:rsid w:val="3EA5B736"/>
    <w:rsid w:val="3EAA1083"/>
    <w:rsid w:val="3EABB9E0"/>
    <w:rsid w:val="3EAC5E7F"/>
    <w:rsid w:val="3EADDFAB"/>
    <w:rsid w:val="3EC0F9E7"/>
    <w:rsid w:val="3EC501E7"/>
    <w:rsid w:val="3EC802BD"/>
    <w:rsid w:val="3ED06656"/>
    <w:rsid w:val="3ED6A642"/>
    <w:rsid w:val="3EDBEE49"/>
    <w:rsid w:val="3EDD068F"/>
    <w:rsid w:val="3EE635C8"/>
    <w:rsid w:val="3EF372C7"/>
    <w:rsid w:val="3EF54A5B"/>
    <w:rsid w:val="3EF76FD4"/>
    <w:rsid w:val="3EF7709F"/>
    <w:rsid w:val="3F08ACC2"/>
    <w:rsid w:val="3F135EE6"/>
    <w:rsid w:val="3F199ABF"/>
    <w:rsid w:val="3F1F2837"/>
    <w:rsid w:val="3F21458D"/>
    <w:rsid w:val="3F2E14DD"/>
    <w:rsid w:val="3F378353"/>
    <w:rsid w:val="3F3F7C57"/>
    <w:rsid w:val="3F511ECF"/>
    <w:rsid w:val="3F5D5327"/>
    <w:rsid w:val="3F6C1487"/>
    <w:rsid w:val="3F735215"/>
    <w:rsid w:val="3F78CC27"/>
    <w:rsid w:val="3F793458"/>
    <w:rsid w:val="3F7BE2E7"/>
    <w:rsid w:val="3F7EE458"/>
    <w:rsid w:val="3F848551"/>
    <w:rsid w:val="3F866D54"/>
    <w:rsid w:val="3F91F744"/>
    <w:rsid w:val="3F9A3FCC"/>
    <w:rsid w:val="3F9DEC02"/>
    <w:rsid w:val="3FA6A345"/>
    <w:rsid w:val="3FAE6AF8"/>
    <w:rsid w:val="3FB8A66A"/>
    <w:rsid w:val="3FCE5336"/>
    <w:rsid w:val="3FCF11EF"/>
    <w:rsid w:val="3FD400BB"/>
    <w:rsid w:val="3FD95BFE"/>
    <w:rsid w:val="3FE3A01B"/>
    <w:rsid w:val="3FE4B8C4"/>
    <w:rsid w:val="3FEDFFFE"/>
    <w:rsid w:val="3FF0D38F"/>
    <w:rsid w:val="3FF4F7C4"/>
    <w:rsid w:val="4001C98B"/>
    <w:rsid w:val="4004D0F6"/>
    <w:rsid w:val="400AEED2"/>
    <w:rsid w:val="4022F853"/>
    <w:rsid w:val="40287DC8"/>
    <w:rsid w:val="402C299E"/>
    <w:rsid w:val="402D1770"/>
    <w:rsid w:val="40382B59"/>
    <w:rsid w:val="403DBA61"/>
    <w:rsid w:val="4046D31E"/>
    <w:rsid w:val="404C8351"/>
    <w:rsid w:val="404CFCBE"/>
    <w:rsid w:val="40573965"/>
    <w:rsid w:val="40630CA1"/>
    <w:rsid w:val="4067332A"/>
    <w:rsid w:val="406ECB71"/>
    <w:rsid w:val="4070FA5A"/>
    <w:rsid w:val="40731D9F"/>
    <w:rsid w:val="407399D8"/>
    <w:rsid w:val="40744C9E"/>
    <w:rsid w:val="40763FE1"/>
    <w:rsid w:val="407A761C"/>
    <w:rsid w:val="407BF788"/>
    <w:rsid w:val="407E6891"/>
    <w:rsid w:val="40850D0F"/>
    <w:rsid w:val="4094E6A5"/>
    <w:rsid w:val="4094F4C5"/>
    <w:rsid w:val="4097CC6B"/>
    <w:rsid w:val="40996E6C"/>
    <w:rsid w:val="409C7B52"/>
    <w:rsid w:val="40A09E9F"/>
    <w:rsid w:val="40A16DF9"/>
    <w:rsid w:val="40A47BD7"/>
    <w:rsid w:val="40B9074B"/>
    <w:rsid w:val="40BA3777"/>
    <w:rsid w:val="40C1690B"/>
    <w:rsid w:val="40CC14FA"/>
    <w:rsid w:val="40CF6CFF"/>
    <w:rsid w:val="40CF98D5"/>
    <w:rsid w:val="40D17DED"/>
    <w:rsid w:val="40F3AD61"/>
    <w:rsid w:val="40F85FB8"/>
    <w:rsid w:val="40FBADAE"/>
    <w:rsid w:val="40FE253E"/>
    <w:rsid w:val="41016502"/>
    <w:rsid w:val="410CC7C0"/>
    <w:rsid w:val="412DD14A"/>
    <w:rsid w:val="412FDD95"/>
    <w:rsid w:val="4136102D"/>
    <w:rsid w:val="413F0E5F"/>
    <w:rsid w:val="4149B5EE"/>
    <w:rsid w:val="414F637C"/>
    <w:rsid w:val="4157D67E"/>
    <w:rsid w:val="41585C83"/>
    <w:rsid w:val="4164A440"/>
    <w:rsid w:val="417F707C"/>
    <w:rsid w:val="418E5431"/>
    <w:rsid w:val="41A4978B"/>
    <w:rsid w:val="41AB29B1"/>
    <w:rsid w:val="41B099B4"/>
    <w:rsid w:val="41BB5486"/>
    <w:rsid w:val="41C2F723"/>
    <w:rsid w:val="41C702E6"/>
    <w:rsid w:val="41CF3554"/>
    <w:rsid w:val="41D00D70"/>
    <w:rsid w:val="41DE86FB"/>
    <w:rsid w:val="41DF9CDB"/>
    <w:rsid w:val="41EB8B2B"/>
    <w:rsid w:val="41F21896"/>
    <w:rsid w:val="41FF978D"/>
    <w:rsid w:val="420740E0"/>
    <w:rsid w:val="421A248F"/>
    <w:rsid w:val="421EA6F2"/>
    <w:rsid w:val="4228E9D8"/>
    <w:rsid w:val="422DDAB0"/>
    <w:rsid w:val="422E2264"/>
    <w:rsid w:val="422EC474"/>
    <w:rsid w:val="423A7B2E"/>
    <w:rsid w:val="424C21D6"/>
    <w:rsid w:val="4264F2BD"/>
    <w:rsid w:val="42666280"/>
    <w:rsid w:val="4267DB33"/>
    <w:rsid w:val="426A627F"/>
    <w:rsid w:val="426B6936"/>
    <w:rsid w:val="426EEE6B"/>
    <w:rsid w:val="4279C518"/>
    <w:rsid w:val="42829618"/>
    <w:rsid w:val="42881D08"/>
    <w:rsid w:val="428FFF63"/>
    <w:rsid w:val="429350C2"/>
    <w:rsid w:val="42957257"/>
    <w:rsid w:val="42ABC979"/>
    <w:rsid w:val="42AC6EAE"/>
    <w:rsid w:val="42B30721"/>
    <w:rsid w:val="42B5FCF4"/>
    <w:rsid w:val="42B998B9"/>
    <w:rsid w:val="42D053F8"/>
    <w:rsid w:val="42D756FD"/>
    <w:rsid w:val="42DCD007"/>
    <w:rsid w:val="42E86DE5"/>
    <w:rsid w:val="42EFC2B3"/>
    <w:rsid w:val="42FD1D97"/>
    <w:rsid w:val="430BFD67"/>
    <w:rsid w:val="4311FA05"/>
    <w:rsid w:val="4325A0C0"/>
    <w:rsid w:val="433C0FC6"/>
    <w:rsid w:val="434070AB"/>
    <w:rsid w:val="4342CFAB"/>
    <w:rsid w:val="4347D9B8"/>
    <w:rsid w:val="434C3FFB"/>
    <w:rsid w:val="434E3699"/>
    <w:rsid w:val="435724E7"/>
    <w:rsid w:val="4358B5B0"/>
    <w:rsid w:val="4368FCEE"/>
    <w:rsid w:val="43704D44"/>
    <w:rsid w:val="4376971C"/>
    <w:rsid w:val="4380C9DA"/>
    <w:rsid w:val="43957CE3"/>
    <w:rsid w:val="439E5167"/>
    <w:rsid w:val="43A584D2"/>
    <w:rsid w:val="43B122A3"/>
    <w:rsid w:val="43B1FBC8"/>
    <w:rsid w:val="43B7F101"/>
    <w:rsid w:val="43B9A6EB"/>
    <w:rsid w:val="43C84F54"/>
    <w:rsid w:val="43CD77CC"/>
    <w:rsid w:val="43D95380"/>
    <w:rsid w:val="43DEE851"/>
    <w:rsid w:val="43DF9867"/>
    <w:rsid w:val="43DFFD91"/>
    <w:rsid w:val="43E2EC42"/>
    <w:rsid w:val="43EEDED2"/>
    <w:rsid w:val="43F1A8A2"/>
    <w:rsid w:val="43FD30CE"/>
    <w:rsid w:val="43FE48CA"/>
    <w:rsid w:val="4402A3DD"/>
    <w:rsid w:val="44053E1C"/>
    <w:rsid w:val="4407C33A"/>
    <w:rsid w:val="441870C4"/>
    <w:rsid w:val="4420B4A9"/>
    <w:rsid w:val="4421140B"/>
    <w:rsid w:val="44289F6E"/>
    <w:rsid w:val="4435B6AB"/>
    <w:rsid w:val="4436306E"/>
    <w:rsid w:val="44365BB3"/>
    <w:rsid w:val="443DCDC3"/>
    <w:rsid w:val="445CE642"/>
    <w:rsid w:val="446B4873"/>
    <w:rsid w:val="446BAA15"/>
    <w:rsid w:val="446E22A2"/>
    <w:rsid w:val="446EC8E8"/>
    <w:rsid w:val="4472FEA2"/>
    <w:rsid w:val="44757F88"/>
    <w:rsid w:val="44763871"/>
    <w:rsid w:val="4478C8E0"/>
    <w:rsid w:val="44849B7D"/>
    <w:rsid w:val="448A39C5"/>
    <w:rsid w:val="448C0FEA"/>
    <w:rsid w:val="448CE259"/>
    <w:rsid w:val="44969F61"/>
    <w:rsid w:val="44B274F4"/>
    <w:rsid w:val="44C8AB3C"/>
    <w:rsid w:val="44D52A69"/>
    <w:rsid w:val="44E0C900"/>
    <w:rsid w:val="44E3AA19"/>
    <w:rsid w:val="44EC6BBC"/>
    <w:rsid w:val="44F0E3C7"/>
    <w:rsid w:val="44F4BCFF"/>
    <w:rsid w:val="44FAD88F"/>
    <w:rsid w:val="44FBFF01"/>
    <w:rsid w:val="45018783"/>
    <w:rsid w:val="450619BF"/>
    <w:rsid w:val="450C4C5B"/>
    <w:rsid w:val="451175A4"/>
    <w:rsid w:val="451CECE1"/>
    <w:rsid w:val="451D4E0B"/>
    <w:rsid w:val="4522AAED"/>
    <w:rsid w:val="45463A28"/>
    <w:rsid w:val="454A3A9E"/>
    <w:rsid w:val="454AE8E1"/>
    <w:rsid w:val="4552411A"/>
    <w:rsid w:val="4561056D"/>
    <w:rsid w:val="457198F7"/>
    <w:rsid w:val="4579D136"/>
    <w:rsid w:val="457A43CE"/>
    <w:rsid w:val="457BE680"/>
    <w:rsid w:val="4585E687"/>
    <w:rsid w:val="458B7C75"/>
    <w:rsid w:val="458FC73E"/>
    <w:rsid w:val="4594F35F"/>
    <w:rsid w:val="459AFA20"/>
    <w:rsid w:val="45AA3C06"/>
    <w:rsid w:val="45B9F688"/>
    <w:rsid w:val="45C5BAAE"/>
    <w:rsid w:val="45D04A2A"/>
    <w:rsid w:val="45D15F6A"/>
    <w:rsid w:val="45D4BCE3"/>
    <w:rsid w:val="45DC5CE4"/>
    <w:rsid w:val="45DDA727"/>
    <w:rsid w:val="45E75B9A"/>
    <w:rsid w:val="45EE7D6A"/>
    <w:rsid w:val="45F68142"/>
    <w:rsid w:val="45FF4424"/>
    <w:rsid w:val="4600AC6B"/>
    <w:rsid w:val="4605A3DE"/>
    <w:rsid w:val="4619F657"/>
    <w:rsid w:val="46296472"/>
    <w:rsid w:val="462F90AB"/>
    <w:rsid w:val="46318F25"/>
    <w:rsid w:val="463440DB"/>
    <w:rsid w:val="463A1ADB"/>
    <w:rsid w:val="4648D8DC"/>
    <w:rsid w:val="4653540F"/>
    <w:rsid w:val="465DBE56"/>
    <w:rsid w:val="466420D6"/>
    <w:rsid w:val="46744267"/>
    <w:rsid w:val="46765900"/>
    <w:rsid w:val="46785C5B"/>
    <w:rsid w:val="467A706D"/>
    <w:rsid w:val="46821B6B"/>
    <w:rsid w:val="46939B3C"/>
    <w:rsid w:val="469631D4"/>
    <w:rsid w:val="469A0C06"/>
    <w:rsid w:val="469D6658"/>
    <w:rsid w:val="46A507D2"/>
    <w:rsid w:val="46B20D6A"/>
    <w:rsid w:val="46C1A5D4"/>
    <w:rsid w:val="46C72EAF"/>
    <w:rsid w:val="46C88FCA"/>
    <w:rsid w:val="46CB08D4"/>
    <w:rsid w:val="46CE7A5D"/>
    <w:rsid w:val="46D5BD82"/>
    <w:rsid w:val="46E1C103"/>
    <w:rsid w:val="46EC88A0"/>
    <w:rsid w:val="46F44505"/>
    <w:rsid w:val="46F565CE"/>
    <w:rsid w:val="46F7B65C"/>
    <w:rsid w:val="46F82D54"/>
    <w:rsid w:val="46F8A5F2"/>
    <w:rsid w:val="46FA4AE2"/>
    <w:rsid w:val="4701EEAF"/>
    <w:rsid w:val="4703112D"/>
    <w:rsid w:val="4707E930"/>
    <w:rsid w:val="470A6606"/>
    <w:rsid w:val="470A700A"/>
    <w:rsid w:val="471137E6"/>
    <w:rsid w:val="47181900"/>
    <w:rsid w:val="47223C19"/>
    <w:rsid w:val="472506FD"/>
    <w:rsid w:val="47391C2F"/>
    <w:rsid w:val="473BA8AA"/>
    <w:rsid w:val="4744B58F"/>
    <w:rsid w:val="474720A8"/>
    <w:rsid w:val="474E365B"/>
    <w:rsid w:val="47538788"/>
    <w:rsid w:val="47580C90"/>
    <w:rsid w:val="47660742"/>
    <w:rsid w:val="476A96AE"/>
    <w:rsid w:val="476EBDC6"/>
    <w:rsid w:val="47710D8E"/>
    <w:rsid w:val="4772E3E1"/>
    <w:rsid w:val="47881236"/>
    <w:rsid w:val="478A0B90"/>
    <w:rsid w:val="479CAE10"/>
    <w:rsid w:val="47A545B1"/>
    <w:rsid w:val="47A888E8"/>
    <w:rsid w:val="47B5C6B8"/>
    <w:rsid w:val="47B9B56F"/>
    <w:rsid w:val="47BB29AB"/>
    <w:rsid w:val="47BE37DD"/>
    <w:rsid w:val="47C192EF"/>
    <w:rsid w:val="47C24005"/>
    <w:rsid w:val="47C7B1FD"/>
    <w:rsid w:val="47CAAA3F"/>
    <w:rsid w:val="47CC6FA6"/>
    <w:rsid w:val="47DCBF74"/>
    <w:rsid w:val="47DD8480"/>
    <w:rsid w:val="47DFF860"/>
    <w:rsid w:val="47F22477"/>
    <w:rsid w:val="480C50B7"/>
    <w:rsid w:val="480CFA45"/>
    <w:rsid w:val="480EDB23"/>
    <w:rsid w:val="4814C0D8"/>
    <w:rsid w:val="482753C8"/>
    <w:rsid w:val="482E4F28"/>
    <w:rsid w:val="483B46AC"/>
    <w:rsid w:val="484480AE"/>
    <w:rsid w:val="4845A490"/>
    <w:rsid w:val="484E38DA"/>
    <w:rsid w:val="4851783D"/>
    <w:rsid w:val="4852962F"/>
    <w:rsid w:val="4856C4C8"/>
    <w:rsid w:val="485DAD2B"/>
    <w:rsid w:val="4861FBED"/>
    <w:rsid w:val="4864602B"/>
    <w:rsid w:val="48648E86"/>
    <w:rsid w:val="48668E71"/>
    <w:rsid w:val="486B8F74"/>
    <w:rsid w:val="486C2C20"/>
    <w:rsid w:val="486EA620"/>
    <w:rsid w:val="4870EC3C"/>
    <w:rsid w:val="4875B90E"/>
    <w:rsid w:val="48900DE9"/>
    <w:rsid w:val="48916E44"/>
    <w:rsid w:val="4898D2D5"/>
    <w:rsid w:val="48A3FCE1"/>
    <w:rsid w:val="48A52F57"/>
    <w:rsid w:val="48ACB605"/>
    <w:rsid w:val="48BD4ABA"/>
    <w:rsid w:val="48C3386E"/>
    <w:rsid w:val="48CD3806"/>
    <w:rsid w:val="48D660A3"/>
    <w:rsid w:val="48DBAAAC"/>
    <w:rsid w:val="48E489B6"/>
    <w:rsid w:val="48FADC63"/>
    <w:rsid w:val="48FEBB1C"/>
    <w:rsid w:val="48FFE362"/>
    <w:rsid w:val="4904025B"/>
    <w:rsid w:val="4907BBA4"/>
    <w:rsid w:val="490841C5"/>
    <w:rsid w:val="490C1A88"/>
    <w:rsid w:val="490CDDEF"/>
    <w:rsid w:val="49107FEF"/>
    <w:rsid w:val="4912D23C"/>
    <w:rsid w:val="491E1A24"/>
    <w:rsid w:val="4921B8EE"/>
    <w:rsid w:val="49414ACC"/>
    <w:rsid w:val="4946EE69"/>
    <w:rsid w:val="494AA9F5"/>
    <w:rsid w:val="49519719"/>
    <w:rsid w:val="495362AD"/>
    <w:rsid w:val="49585179"/>
    <w:rsid w:val="495AD938"/>
    <w:rsid w:val="495C70A9"/>
    <w:rsid w:val="49840C9A"/>
    <w:rsid w:val="49855BC4"/>
    <w:rsid w:val="498F25D4"/>
    <w:rsid w:val="4994E744"/>
    <w:rsid w:val="499BFACA"/>
    <w:rsid w:val="49B3ADB2"/>
    <w:rsid w:val="49C88A96"/>
    <w:rsid w:val="49CF9EA7"/>
    <w:rsid w:val="49DBC247"/>
    <w:rsid w:val="49E6330F"/>
    <w:rsid w:val="49EE4AB2"/>
    <w:rsid w:val="49F04959"/>
    <w:rsid w:val="49F11708"/>
    <w:rsid w:val="49F32981"/>
    <w:rsid w:val="4A10947A"/>
    <w:rsid w:val="4A14D333"/>
    <w:rsid w:val="4A152B77"/>
    <w:rsid w:val="4A221DA5"/>
    <w:rsid w:val="4A25E1B7"/>
    <w:rsid w:val="4A28E86F"/>
    <w:rsid w:val="4A2B8F86"/>
    <w:rsid w:val="4A32974C"/>
    <w:rsid w:val="4A414B59"/>
    <w:rsid w:val="4A4FC2BC"/>
    <w:rsid w:val="4A4FDDD7"/>
    <w:rsid w:val="4A553CB0"/>
    <w:rsid w:val="4A56F238"/>
    <w:rsid w:val="4A5D6BBA"/>
    <w:rsid w:val="4A620443"/>
    <w:rsid w:val="4A622BB3"/>
    <w:rsid w:val="4A65E9C0"/>
    <w:rsid w:val="4A6CD8D1"/>
    <w:rsid w:val="4A742945"/>
    <w:rsid w:val="4A7788EF"/>
    <w:rsid w:val="4A86D648"/>
    <w:rsid w:val="4A98EE87"/>
    <w:rsid w:val="4A9DDFB4"/>
    <w:rsid w:val="4AA6F54F"/>
    <w:rsid w:val="4AAD73EA"/>
    <w:rsid w:val="4AB48ED1"/>
    <w:rsid w:val="4ABBECCC"/>
    <w:rsid w:val="4ACE3766"/>
    <w:rsid w:val="4ADF31DE"/>
    <w:rsid w:val="4AECD75F"/>
    <w:rsid w:val="4AEF330E"/>
    <w:rsid w:val="4AF589A4"/>
    <w:rsid w:val="4AF84085"/>
    <w:rsid w:val="4B02C43B"/>
    <w:rsid w:val="4B0EF86B"/>
    <w:rsid w:val="4B1AD66B"/>
    <w:rsid w:val="4B347337"/>
    <w:rsid w:val="4B3A3501"/>
    <w:rsid w:val="4B44FB02"/>
    <w:rsid w:val="4B4FA060"/>
    <w:rsid w:val="4B56AA43"/>
    <w:rsid w:val="4B5849B5"/>
    <w:rsid w:val="4B5A741D"/>
    <w:rsid w:val="4B5B5247"/>
    <w:rsid w:val="4B6577B6"/>
    <w:rsid w:val="4B6ABF06"/>
    <w:rsid w:val="4B6CB68D"/>
    <w:rsid w:val="4B6D525E"/>
    <w:rsid w:val="4B79B733"/>
    <w:rsid w:val="4B7EDD3C"/>
    <w:rsid w:val="4B84ACB5"/>
    <w:rsid w:val="4B8AD4E7"/>
    <w:rsid w:val="4B955047"/>
    <w:rsid w:val="4B96E6F3"/>
    <w:rsid w:val="4B9AB07A"/>
    <w:rsid w:val="4B9F40FC"/>
    <w:rsid w:val="4B9FEF16"/>
    <w:rsid w:val="4BAB7604"/>
    <w:rsid w:val="4BB27CF1"/>
    <w:rsid w:val="4BBC6C58"/>
    <w:rsid w:val="4BBC7E5D"/>
    <w:rsid w:val="4BBCCC71"/>
    <w:rsid w:val="4BBDDEE8"/>
    <w:rsid w:val="4BC0CBA9"/>
    <w:rsid w:val="4BC0F015"/>
    <w:rsid w:val="4BC321D0"/>
    <w:rsid w:val="4BCBD912"/>
    <w:rsid w:val="4BCD18D4"/>
    <w:rsid w:val="4BD4791C"/>
    <w:rsid w:val="4BD5F3A7"/>
    <w:rsid w:val="4BDAC51A"/>
    <w:rsid w:val="4BE0A5B0"/>
    <w:rsid w:val="4BE95470"/>
    <w:rsid w:val="4BFD8A34"/>
    <w:rsid w:val="4C033E07"/>
    <w:rsid w:val="4C0842B3"/>
    <w:rsid w:val="4C0AD18C"/>
    <w:rsid w:val="4C0BB183"/>
    <w:rsid w:val="4C1572AA"/>
    <w:rsid w:val="4C17C4F0"/>
    <w:rsid w:val="4C208CEC"/>
    <w:rsid w:val="4C23FBF3"/>
    <w:rsid w:val="4C2F372E"/>
    <w:rsid w:val="4C35E1F5"/>
    <w:rsid w:val="4C3E85D2"/>
    <w:rsid w:val="4C447EB1"/>
    <w:rsid w:val="4C468537"/>
    <w:rsid w:val="4C4E8998"/>
    <w:rsid w:val="4C56133B"/>
    <w:rsid w:val="4C5989E1"/>
    <w:rsid w:val="4C612AE7"/>
    <w:rsid w:val="4C664B10"/>
    <w:rsid w:val="4C6D46D5"/>
    <w:rsid w:val="4C6FE730"/>
    <w:rsid w:val="4C713650"/>
    <w:rsid w:val="4C7F9E21"/>
    <w:rsid w:val="4C831CEB"/>
    <w:rsid w:val="4C83B1C1"/>
    <w:rsid w:val="4C87297B"/>
    <w:rsid w:val="4C98795A"/>
    <w:rsid w:val="4C9968FE"/>
    <w:rsid w:val="4C9AD3AD"/>
    <w:rsid w:val="4C9FE984"/>
    <w:rsid w:val="4CA49F9E"/>
    <w:rsid w:val="4CA7B1BA"/>
    <w:rsid w:val="4CA87520"/>
    <w:rsid w:val="4CB61A47"/>
    <w:rsid w:val="4CB85E6A"/>
    <w:rsid w:val="4CC2B6BD"/>
    <w:rsid w:val="4CD2B997"/>
    <w:rsid w:val="4CE2612B"/>
    <w:rsid w:val="4CE51E83"/>
    <w:rsid w:val="4CECCC56"/>
    <w:rsid w:val="4CF451B7"/>
    <w:rsid w:val="4CF82C32"/>
    <w:rsid w:val="4D089433"/>
    <w:rsid w:val="4D17459C"/>
    <w:rsid w:val="4D1B6AC3"/>
    <w:rsid w:val="4D1F5FB6"/>
    <w:rsid w:val="4D249A20"/>
    <w:rsid w:val="4D310BB8"/>
    <w:rsid w:val="4D380CB5"/>
    <w:rsid w:val="4D395038"/>
    <w:rsid w:val="4D3BF808"/>
    <w:rsid w:val="4D3F155F"/>
    <w:rsid w:val="4D40C6A0"/>
    <w:rsid w:val="4D48A880"/>
    <w:rsid w:val="4D5256C7"/>
    <w:rsid w:val="4D5634B1"/>
    <w:rsid w:val="4D70C86C"/>
    <w:rsid w:val="4D78616C"/>
    <w:rsid w:val="4D78D6E4"/>
    <w:rsid w:val="4D9AB0B2"/>
    <w:rsid w:val="4D9E4988"/>
    <w:rsid w:val="4DA41314"/>
    <w:rsid w:val="4DAF29B1"/>
    <w:rsid w:val="4DB766EC"/>
    <w:rsid w:val="4DC389DE"/>
    <w:rsid w:val="4DD470B4"/>
    <w:rsid w:val="4DDF8B17"/>
    <w:rsid w:val="4DDFA2C1"/>
    <w:rsid w:val="4DE04F12"/>
    <w:rsid w:val="4DE08F49"/>
    <w:rsid w:val="4DEA5BF8"/>
    <w:rsid w:val="4DED7A04"/>
    <w:rsid w:val="4DEE72F7"/>
    <w:rsid w:val="4DF591C9"/>
    <w:rsid w:val="4E01B353"/>
    <w:rsid w:val="4E03B422"/>
    <w:rsid w:val="4E077868"/>
    <w:rsid w:val="4E0D0F0F"/>
    <w:rsid w:val="4E193A17"/>
    <w:rsid w:val="4E1B5CC0"/>
    <w:rsid w:val="4E1C0953"/>
    <w:rsid w:val="4E1F4868"/>
    <w:rsid w:val="4E32F230"/>
    <w:rsid w:val="4E32F9D3"/>
    <w:rsid w:val="4E354C19"/>
    <w:rsid w:val="4E3DB286"/>
    <w:rsid w:val="4E480829"/>
    <w:rsid w:val="4E4CC002"/>
    <w:rsid w:val="4E582FFA"/>
    <w:rsid w:val="4E5F9250"/>
    <w:rsid w:val="4E720D72"/>
    <w:rsid w:val="4E77B43C"/>
    <w:rsid w:val="4E79D2CF"/>
    <w:rsid w:val="4E7DFB1E"/>
    <w:rsid w:val="4E80E3ED"/>
    <w:rsid w:val="4E81E018"/>
    <w:rsid w:val="4E8D2D57"/>
    <w:rsid w:val="4E8ED468"/>
    <w:rsid w:val="4E8FD277"/>
    <w:rsid w:val="4E9166FB"/>
    <w:rsid w:val="4E973F81"/>
    <w:rsid w:val="4E9CC696"/>
    <w:rsid w:val="4EA20CE8"/>
    <w:rsid w:val="4EAC137E"/>
    <w:rsid w:val="4EB1F264"/>
    <w:rsid w:val="4EB3E3E4"/>
    <w:rsid w:val="4EBC50BC"/>
    <w:rsid w:val="4EC0BABA"/>
    <w:rsid w:val="4EC36FAC"/>
    <w:rsid w:val="4ED3D00A"/>
    <w:rsid w:val="4ED76C1E"/>
    <w:rsid w:val="4EDAE1CD"/>
    <w:rsid w:val="4EEB082B"/>
    <w:rsid w:val="4EEEE21A"/>
    <w:rsid w:val="4EF435B6"/>
    <w:rsid w:val="4EF86203"/>
    <w:rsid w:val="4EFE8DD3"/>
    <w:rsid w:val="4F01EA79"/>
    <w:rsid w:val="4F0408B4"/>
    <w:rsid w:val="4F0A421F"/>
    <w:rsid w:val="4F123DA1"/>
    <w:rsid w:val="4F18E0D2"/>
    <w:rsid w:val="4F24BBE1"/>
    <w:rsid w:val="4F319547"/>
    <w:rsid w:val="4F474855"/>
    <w:rsid w:val="4F4C6F01"/>
    <w:rsid w:val="4F51094A"/>
    <w:rsid w:val="4F53374D"/>
    <w:rsid w:val="4F59EEE2"/>
    <w:rsid w:val="4F63736D"/>
    <w:rsid w:val="4F6A324E"/>
    <w:rsid w:val="4F81872A"/>
    <w:rsid w:val="4F827FCB"/>
    <w:rsid w:val="4F8A9D68"/>
    <w:rsid w:val="4F8AF1B6"/>
    <w:rsid w:val="4F8E0A43"/>
    <w:rsid w:val="4FA15BC5"/>
    <w:rsid w:val="4FA581A2"/>
    <w:rsid w:val="4FA74D76"/>
    <w:rsid w:val="4FA9224B"/>
    <w:rsid w:val="4FBA9B9C"/>
    <w:rsid w:val="4FCA1220"/>
    <w:rsid w:val="4FCE043B"/>
    <w:rsid w:val="4FCFFB6E"/>
    <w:rsid w:val="4FDB1DA1"/>
    <w:rsid w:val="4FE461B6"/>
    <w:rsid w:val="4FECA76F"/>
    <w:rsid w:val="4FEECEF3"/>
    <w:rsid w:val="4FF1FA35"/>
    <w:rsid w:val="4FF79247"/>
    <w:rsid w:val="4FF95E03"/>
    <w:rsid w:val="4FFDCA8F"/>
    <w:rsid w:val="5011FB3E"/>
    <w:rsid w:val="502102F9"/>
    <w:rsid w:val="5029AE90"/>
    <w:rsid w:val="503025E5"/>
    <w:rsid w:val="504109A3"/>
    <w:rsid w:val="5041AAEF"/>
    <w:rsid w:val="5069E7DC"/>
    <w:rsid w:val="507A69C5"/>
    <w:rsid w:val="507D82FC"/>
    <w:rsid w:val="507FC29D"/>
    <w:rsid w:val="5084BF35"/>
    <w:rsid w:val="5089DA17"/>
    <w:rsid w:val="508FF4EB"/>
    <w:rsid w:val="5094592B"/>
    <w:rsid w:val="5097B7DE"/>
    <w:rsid w:val="5097E982"/>
    <w:rsid w:val="5098B982"/>
    <w:rsid w:val="509A13B3"/>
    <w:rsid w:val="509AF65F"/>
    <w:rsid w:val="509FD915"/>
    <w:rsid w:val="50AE461A"/>
    <w:rsid w:val="50AF7BBE"/>
    <w:rsid w:val="50CB6EA3"/>
    <w:rsid w:val="50CCD0D3"/>
    <w:rsid w:val="50CF7B12"/>
    <w:rsid w:val="50CFBA10"/>
    <w:rsid w:val="50DD3815"/>
    <w:rsid w:val="50E61CB1"/>
    <w:rsid w:val="50E76DAB"/>
    <w:rsid w:val="50E9F379"/>
    <w:rsid w:val="5106F5A0"/>
    <w:rsid w:val="510E1836"/>
    <w:rsid w:val="5119E3CF"/>
    <w:rsid w:val="511E8797"/>
    <w:rsid w:val="511E9C9A"/>
    <w:rsid w:val="512AA5D8"/>
    <w:rsid w:val="513AC65B"/>
    <w:rsid w:val="5141AFC1"/>
    <w:rsid w:val="5147C862"/>
    <w:rsid w:val="514A3B01"/>
    <w:rsid w:val="514DF695"/>
    <w:rsid w:val="514E9A81"/>
    <w:rsid w:val="515B50CB"/>
    <w:rsid w:val="515E2C22"/>
    <w:rsid w:val="515F4BD0"/>
    <w:rsid w:val="5163E2A9"/>
    <w:rsid w:val="518131FA"/>
    <w:rsid w:val="5183B273"/>
    <w:rsid w:val="518826EA"/>
    <w:rsid w:val="518D2F1A"/>
    <w:rsid w:val="519071CD"/>
    <w:rsid w:val="51A84FF5"/>
    <w:rsid w:val="51B9BE21"/>
    <w:rsid w:val="51C37E63"/>
    <w:rsid w:val="51C82DC6"/>
    <w:rsid w:val="51CA6085"/>
    <w:rsid w:val="51CC67A2"/>
    <w:rsid w:val="51D86C3C"/>
    <w:rsid w:val="51DE7126"/>
    <w:rsid w:val="51EF3368"/>
    <w:rsid w:val="51F2AB69"/>
    <w:rsid w:val="51F69263"/>
    <w:rsid w:val="51FE2A9C"/>
    <w:rsid w:val="52136C0F"/>
    <w:rsid w:val="5218D8E9"/>
    <w:rsid w:val="52237244"/>
    <w:rsid w:val="523AB8DF"/>
    <w:rsid w:val="523C3735"/>
    <w:rsid w:val="523C74DD"/>
    <w:rsid w:val="523CF505"/>
    <w:rsid w:val="524B703E"/>
    <w:rsid w:val="525CBD2C"/>
    <w:rsid w:val="525D1FDF"/>
    <w:rsid w:val="52633007"/>
    <w:rsid w:val="5269DBB0"/>
    <w:rsid w:val="526FD7CA"/>
    <w:rsid w:val="5275C572"/>
    <w:rsid w:val="527F892F"/>
    <w:rsid w:val="5280D521"/>
    <w:rsid w:val="52925898"/>
    <w:rsid w:val="52982A97"/>
    <w:rsid w:val="52983ECA"/>
    <w:rsid w:val="52A144C8"/>
    <w:rsid w:val="52A953F8"/>
    <w:rsid w:val="52B3C035"/>
    <w:rsid w:val="52B6D271"/>
    <w:rsid w:val="52BCCBAA"/>
    <w:rsid w:val="52C29278"/>
    <w:rsid w:val="52C94BCD"/>
    <w:rsid w:val="52DB7D6C"/>
    <w:rsid w:val="52E72B3A"/>
    <w:rsid w:val="52EA6AE2"/>
    <w:rsid w:val="52EBF7A9"/>
    <w:rsid w:val="52ED26C0"/>
    <w:rsid w:val="52EFB509"/>
    <w:rsid w:val="52F44B82"/>
    <w:rsid w:val="52FF9752"/>
    <w:rsid w:val="531270FC"/>
    <w:rsid w:val="531720CA"/>
    <w:rsid w:val="532C7A18"/>
    <w:rsid w:val="532D1FA6"/>
    <w:rsid w:val="532EE180"/>
    <w:rsid w:val="533B4781"/>
    <w:rsid w:val="533C01D3"/>
    <w:rsid w:val="533F8308"/>
    <w:rsid w:val="53417CA4"/>
    <w:rsid w:val="53422F8C"/>
    <w:rsid w:val="53492E6A"/>
    <w:rsid w:val="534C2668"/>
    <w:rsid w:val="53531A68"/>
    <w:rsid w:val="535486AB"/>
    <w:rsid w:val="53592D0D"/>
    <w:rsid w:val="535B3B26"/>
    <w:rsid w:val="5362448F"/>
    <w:rsid w:val="53729AC1"/>
    <w:rsid w:val="5375A2A8"/>
    <w:rsid w:val="53A69390"/>
    <w:rsid w:val="53A742C2"/>
    <w:rsid w:val="53A75FFE"/>
    <w:rsid w:val="53CF0A40"/>
    <w:rsid w:val="53DC72CA"/>
    <w:rsid w:val="53E0031C"/>
    <w:rsid w:val="53E285D6"/>
    <w:rsid w:val="53F025AE"/>
    <w:rsid w:val="53F77CA1"/>
    <w:rsid w:val="53F91F46"/>
    <w:rsid w:val="53FAA69D"/>
    <w:rsid w:val="53FAA70F"/>
    <w:rsid w:val="53FAE409"/>
    <w:rsid w:val="53FEDE56"/>
    <w:rsid w:val="5400FD92"/>
    <w:rsid w:val="5405D14D"/>
    <w:rsid w:val="540690A2"/>
    <w:rsid w:val="5408020E"/>
    <w:rsid w:val="541255A5"/>
    <w:rsid w:val="54187696"/>
    <w:rsid w:val="54272BEE"/>
    <w:rsid w:val="5428E652"/>
    <w:rsid w:val="54383939"/>
    <w:rsid w:val="543CF030"/>
    <w:rsid w:val="544038F3"/>
    <w:rsid w:val="544A838F"/>
    <w:rsid w:val="544F9096"/>
    <w:rsid w:val="5464694B"/>
    <w:rsid w:val="54665C4C"/>
    <w:rsid w:val="546A759F"/>
    <w:rsid w:val="547B9C91"/>
    <w:rsid w:val="548BA15D"/>
    <w:rsid w:val="548C57C1"/>
    <w:rsid w:val="5499A110"/>
    <w:rsid w:val="54B6307C"/>
    <w:rsid w:val="54BDCACD"/>
    <w:rsid w:val="54BFEE5C"/>
    <w:rsid w:val="54C164E4"/>
    <w:rsid w:val="54DB9B79"/>
    <w:rsid w:val="54E4173F"/>
    <w:rsid w:val="55057A0F"/>
    <w:rsid w:val="55072023"/>
    <w:rsid w:val="55110698"/>
    <w:rsid w:val="551D19F0"/>
    <w:rsid w:val="551F3E95"/>
    <w:rsid w:val="55207C9F"/>
    <w:rsid w:val="55209957"/>
    <w:rsid w:val="55302F10"/>
    <w:rsid w:val="553EE2EF"/>
    <w:rsid w:val="553F9F62"/>
    <w:rsid w:val="555125C1"/>
    <w:rsid w:val="555486EA"/>
    <w:rsid w:val="55626473"/>
    <w:rsid w:val="5562FA97"/>
    <w:rsid w:val="5575B8EC"/>
    <w:rsid w:val="557CD5ED"/>
    <w:rsid w:val="557F1579"/>
    <w:rsid w:val="557F8F12"/>
    <w:rsid w:val="55947B5A"/>
    <w:rsid w:val="55983DD6"/>
    <w:rsid w:val="55995E79"/>
    <w:rsid w:val="55B34515"/>
    <w:rsid w:val="55B77139"/>
    <w:rsid w:val="55C470C8"/>
    <w:rsid w:val="55CA727F"/>
    <w:rsid w:val="55CF1FBC"/>
    <w:rsid w:val="55D18C49"/>
    <w:rsid w:val="55D4384E"/>
    <w:rsid w:val="55EBA8FA"/>
    <w:rsid w:val="55EBB1F4"/>
    <w:rsid w:val="55F35BCA"/>
    <w:rsid w:val="55FBD105"/>
    <w:rsid w:val="55FD4342"/>
    <w:rsid w:val="55FE3990"/>
    <w:rsid w:val="560EC584"/>
    <w:rsid w:val="562AB84B"/>
    <w:rsid w:val="5639480C"/>
    <w:rsid w:val="56457E3A"/>
    <w:rsid w:val="5648D2F7"/>
    <w:rsid w:val="564C3483"/>
    <w:rsid w:val="5658EC4C"/>
    <w:rsid w:val="565E1121"/>
    <w:rsid w:val="56735205"/>
    <w:rsid w:val="56743560"/>
    <w:rsid w:val="56750E13"/>
    <w:rsid w:val="567877CF"/>
    <w:rsid w:val="567A1C20"/>
    <w:rsid w:val="567A84E3"/>
    <w:rsid w:val="568CB5D5"/>
    <w:rsid w:val="56931CE9"/>
    <w:rsid w:val="56960F35"/>
    <w:rsid w:val="56962D76"/>
    <w:rsid w:val="569C5490"/>
    <w:rsid w:val="56C5BB27"/>
    <w:rsid w:val="56C6C19D"/>
    <w:rsid w:val="56DAE5CF"/>
    <w:rsid w:val="56DE77BD"/>
    <w:rsid w:val="56E116E6"/>
    <w:rsid w:val="56ED6E23"/>
    <w:rsid w:val="56ED8540"/>
    <w:rsid w:val="56F0574B"/>
    <w:rsid w:val="570B6C92"/>
    <w:rsid w:val="570E7986"/>
    <w:rsid w:val="5710CA23"/>
    <w:rsid w:val="572195DF"/>
    <w:rsid w:val="57327735"/>
    <w:rsid w:val="57389E54"/>
    <w:rsid w:val="573D4CD3"/>
    <w:rsid w:val="574789A9"/>
    <w:rsid w:val="574A993D"/>
    <w:rsid w:val="5752A64F"/>
    <w:rsid w:val="57596C2E"/>
    <w:rsid w:val="575A8A83"/>
    <w:rsid w:val="575B3E3D"/>
    <w:rsid w:val="5762D3F5"/>
    <w:rsid w:val="576554B0"/>
    <w:rsid w:val="576E22D6"/>
    <w:rsid w:val="5782E3FA"/>
    <w:rsid w:val="579A9F78"/>
    <w:rsid w:val="579D2FCD"/>
    <w:rsid w:val="579FA8C6"/>
    <w:rsid w:val="57A49830"/>
    <w:rsid w:val="57B3EEC4"/>
    <w:rsid w:val="57B973E1"/>
    <w:rsid w:val="57BE081E"/>
    <w:rsid w:val="57C7F86D"/>
    <w:rsid w:val="57D12293"/>
    <w:rsid w:val="57D4FFD5"/>
    <w:rsid w:val="57D63FC5"/>
    <w:rsid w:val="57D9659E"/>
    <w:rsid w:val="57EB1FCC"/>
    <w:rsid w:val="57F44BE1"/>
    <w:rsid w:val="580606EB"/>
    <w:rsid w:val="580CCF9C"/>
    <w:rsid w:val="580D0E35"/>
    <w:rsid w:val="580FE0A1"/>
    <w:rsid w:val="5818B697"/>
    <w:rsid w:val="5819072F"/>
    <w:rsid w:val="58278F1B"/>
    <w:rsid w:val="58528F3E"/>
    <w:rsid w:val="5856DF57"/>
    <w:rsid w:val="585DF399"/>
    <w:rsid w:val="58618B88"/>
    <w:rsid w:val="58662576"/>
    <w:rsid w:val="587CF62D"/>
    <w:rsid w:val="5889427C"/>
    <w:rsid w:val="5893FF40"/>
    <w:rsid w:val="589919D0"/>
    <w:rsid w:val="589B9628"/>
    <w:rsid w:val="58A30FB4"/>
    <w:rsid w:val="58A33BD8"/>
    <w:rsid w:val="58AC9F11"/>
    <w:rsid w:val="58AE4C3B"/>
    <w:rsid w:val="58B206A2"/>
    <w:rsid w:val="58B4D463"/>
    <w:rsid w:val="58B534E8"/>
    <w:rsid w:val="58B599A4"/>
    <w:rsid w:val="58BA4982"/>
    <w:rsid w:val="58BC4CFE"/>
    <w:rsid w:val="58C112B4"/>
    <w:rsid w:val="58CD6643"/>
    <w:rsid w:val="58D3CB0C"/>
    <w:rsid w:val="58DACB32"/>
    <w:rsid w:val="58EE7E47"/>
    <w:rsid w:val="58F27F90"/>
    <w:rsid w:val="59039D40"/>
    <w:rsid w:val="590863BD"/>
    <w:rsid w:val="590F3C83"/>
    <w:rsid w:val="5922C992"/>
    <w:rsid w:val="5927FFAA"/>
    <w:rsid w:val="59292C7D"/>
    <w:rsid w:val="5937D9E2"/>
    <w:rsid w:val="59459D13"/>
    <w:rsid w:val="59464099"/>
    <w:rsid w:val="594C8646"/>
    <w:rsid w:val="595A55E9"/>
    <w:rsid w:val="597A8417"/>
    <w:rsid w:val="598B0BDD"/>
    <w:rsid w:val="59940BF0"/>
    <w:rsid w:val="59A60556"/>
    <w:rsid w:val="59B483DF"/>
    <w:rsid w:val="59BA0640"/>
    <w:rsid w:val="59BB1D0F"/>
    <w:rsid w:val="59BEE1AE"/>
    <w:rsid w:val="59BFC2D5"/>
    <w:rsid w:val="59C0E0AD"/>
    <w:rsid w:val="59C7916D"/>
    <w:rsid w:val="59D31F59"/>
    <w:rsid w:val="59E2C0AB"/>
    <w:rsid w:val="5A086DBC"/>
    <w:rsid w:val="5A10CB71"/>
    <w:rsid w:val="5A14AE60"/>
    <w:rsid w:val="5A186A09"/>
    <w:rsid w:val="5A196FE3"/>
    <w:rsid w:val="5A20C0C9"/>
    <w:rsid w:val="5A224546"/>
    <w:rsid w:val="5A2559FE"/>
    <w:rsid w:val="5A2596EF"/>
    <w:rsid w:val="5A30D64F"/>
    <w:rsid w:val="5A380B4E"/>
    <w:rsid w:val="5A3DBAA2"/>
    <w:rsid w:val="5A428B12"/>
    <w:rsid w:val="5A446EB2"/>
    <w:rsid w:val="5A460BAC"/>
    <w:rsid w:val="5A463FC5"/>
    <w:rsid w:val="5A46E940"/>
    <w:rsid w:val="5A47654F"/>
    <w:rsid w:val="5A50A489"/>
    <w:rsid w:val="5A667A98"/>
    <w:rsid w:val="5A695EEE"/>
    <w:rsid w:val="5A6C4DA7"/>
    <w:rsid w:val="5A6E6001"/>
    <w:rsid w:val="5A6ED6D1"/>
    <w:rsid w:val="5A740071"/>
    <w:rsid w:val="5A74ED95"/>
    <w:rsid w:val="5A77E033"/>
    <w:rsid w:val="5A7F0370"/>
    <w:rsid w:val="5A7F7B85"/>
    <w:rsid w:val="5A819DAC"/>
    <w:rsid w:val="5A8C986A"/>
    <w:rsid w:val="5A8E15F2"/>
    <w:rsid w:val="5A8FCFFA"/>
    <w:rsid w:val="5A985F22"/>
    <w:rsid w:val="5AA0708F"/>
    <w:rsid w:val="5AA5C398"/>
    <w:rsid w:val="5AA64FAA"/>
    <w:rsid w:val="5AA77ABD"/>
    <w:rsid w:val="5AACE3D8"/>
    <w:rsid w:val="5ABD5B80"/>
    <w:rsid w:val="5ACE0C9E"/>
    <w:rsid w:val="5AD30A24"/>
    <w:rsid w:val="5ADD3545"/>
    <w:rsid w:val="5AE859A9"/>
    <w:rsid w:val="5AFD5A91"/>
    <w:rsid w:val="5AFD792C"/>
    <w:rsid w:val="5B030531"/>
    <w:rsid w:val="5B1A8528"/>
    <w:rsid w:val="5B200D73"/>
    <w:rsid w:val="5B2E7A83"/>
    <w:rsid w:val="5B318244"/>
    <w:rsid w:val="5B3889EA"/>
    <w:rsid w:val="5B39F465"/>
    <w:rsid w:val="5B412276"/>
    <w:rsid w:val="5B465918"/>
    <w:rsid w:val="5B4AAAA1"/>
    <w:rsid w:val="5B4C8D62"/>
    <w:rsid w:val="5B501174"/>
    <w:rsid w:val="5B587E17"/>
    <w:rsid w:val="5B5EF9F8"/>
    <w:rsid w:val="5B6F0021"/>
    <w:rsid w:val="5B7C9324"/>
    <w:rsid w:val="5B7E0F0A"/>
    <w:rsid w:val="5B968091"/>
    <w:rsid w:val="5BAABAB4"/>
    <w:rsid w:val="5BAE1C4A"/>
    <w:rsid w:val="5BB50ACB"/>
    <w:rsid w:val="5BBEDC84"/>
    <w:rsid w:val="5BD069AF"/>
    <w:rsid w:val="5BD169ED"/>
    <w:rsid w:val="5BDA8FAD"/>
    <w:rsid w:val="5BDDFABF"/>
    <w:rsid w:val="5BE49067"/>
    <w:rsid w:val="5BEC869C"/>
    <w:rsid w:val="5BF22378"/>
    <w:rsid w:val="5BF7870E"/>
    <w:rsid w:val="5C010118"/>
    <w:rsid w:val="5C026A75"/>
    <w:rsid w:val="5C0ED6E1"/>
    <w:rsid w:val="5C10184F"/>
    <w:rsid w:val="5C10BDF6"/>
    <w:rsid w:val="5C12AFDA"/>
    <w:rsid w:val="5C168A43"/>
    <w:rsid w:val="5C2E191B"/>
    <w:rsid w:val="5C3009D2"/>
    <w:rsid w:val="5C3165AB"/>
    <w:rsid w:val="5C357E1F"/>
    <w:rsid w:val="5C3A6369"/>
    <w:rsid w:val="5C3BBEDD"/>
    <w:rsid w:val="5C4F8AA0"/>
    <w:rsid w:val="5C611967"/>
    <w:rsid w:val="5C696976"/>
    <w:rsid w:val="5C6A972A"/>
    <w:rsid w:val="5C6AE117"/>
    <w:rsid w:val="5C6D05BC"/>
    <w:rsid w:val="5C6DA0B0"/>
    <w:rsid w:val="5CA2E839"/>
    <w:rsid w:val="5CAB6783"/>
    <w:rsid w:val="5CAEEA05"/>
    <w:rsid w:val="5CB1A64E"/>
    <w:rsid w:val="5CBEDEE3"/>
    <w:rsid w:val="5CBF3B62"/>
    <w:rsid w:val="5CC53784"/>
    <w:rsid w:val="5CC7DEEE"/>
    <w:rsid w:val="5CC8FC5E"/>
    <w:rsid w:val="5CCC27B8"/>
    <w:rsid w:val="5CCF2C65"/>
    <w:rsid w:val="5CDE1EC3"/>
    <w:rsid w:val="5CE0F26C"/>
    <w:rsid w:val="5CE6F773"/>
    <w:rsid w:val="5CED4BBF"/>
    <w:rsid w:val="5CF0D71F"/>
    <w:rsid w:val="5CF409BD"/>
    <w:rsid w:val="5CF59562"/>
    <w:rsid w:val="5CF71B37"/>
    <w:rsid w:val="5CF76397"/>
    <w:rsid w:val="5CFC8250"/>
    <w:rsid w:val="5D02F020"/>
    <w:rsid w:val="5D1C187D"/>
    <w:rsid w:val="5D2B85E5"/>
    <w:rsid w:val="5D496A43"/>
    <w:rsid w:val="5D4984E0"/>
    <w:rsid w:val="5D4BAD8E"/>
    <w:rsid w:val="5D50BFD8"/>
    <w:rsid w:val="5D5413A2"/>
    <w:rsid w:val="5D5B1DA4"/>
    <w:rsid w:val="5D5FF9F8"/>
    <w:rsid w:val="5D6B0488"/>
    <w:rsid w:val="5D8DF3D9"/>
    <w:rsid w:val="5D8E1B2A"/>
    <w:rsid w:val="5D92D223"/>
    <w:rsid w:val="5DA62B04"/>
    <w:rsid w:val="5DAC762A"/>
    <w:rsid w:val="5DBEB8B3"/>
    <w:rsid w:val="5DC63DDF"/>
    <w:rsid w:val="5DD4424B"/>
    <w:rsid w:val="5DD53C28"/>
    <w:rsid w:val="5DDA1210"/>
    <w:rsid w:val="5DFBBA44"/>
    <w:rsid w:val="5DFC9F19"/>
    <w:rsid w:val="5DFCE9C8"/>
    <w:rsid w:val="5E033B7D"/>
    <w:rsid w:val="5E0B5556"/>
    <w:rsid w:val="5E112679"/>
    <w:rsid w:val="5E171308"/>
    <w:rsid w:val="5E245D10"/>
    <w:rsid w:val="5E25DF35"/>
    <w:rsid w:val="5E3827E0"/>
    <w:rsid w:val="5E3962BA"/>
    <w:rsid w:val="5E5225EA"/>
    <w:rsid w:val="5E58A5D6"/>
    <w:rsid w:val="5E5916C3"/>
    <w:rsid w:val="5E60BAE0"/>
    <w:rsid w:val="5E62B72B"/>
    <w:rsid w:val="5E7195A0"/>
    <w:rsid w:val="5E79CA32"/>
    <w:rsid w:val="5E819D3A"/>
    <w:rsid w:val="5E9172EB"/>
    <w:rsid w:val="5E926F77"/>
    <w:rsid w:val="5E984E0E"/>
    <w:rsid w:val="5E9AAF18"/>
    <w:rsid w:val="5EA0514A"/>
    <w:rsid w:val="5EAC512C"/>
    <w:rsid w:val="5EB0D9B1"/>
    <w:rsid w:val="5EB1BC38"/>
    <w:rsid w:val="5EC5D77A"/>
    <w:rsid w:val="5EC80D79"/>
    <w:rsid w:val="5ECAA7B3"/>
    <w:rsid w:val="5ECB5DE1"/>
    <w:rsid w:val="5EF328AC"/>
    <w:rsid w:val="5F0B8654"/>
    <w:rsid w:val="5F123149"/>
    <w:rsid w:val="5F133E0A"/>
    <w:rsid w:val="5F1F60E8"/>
    <w:rsid w:val="5F2133B4"/>
    <w:rsid w:val="5F23B833"/>
    <w:rsid w:val="5F342CD4"/>
    <w:rsid w:val="5F3AF479"/>
    <w:rsid w:val="5F43C49F"/>
    <w:rsid w:val="5F497F21"/>
    <w:rsid w:val="5F61E528"/>
    <w:rsid w:val="5F637F53"/>
    <w:rsid w:val="5F94E7E0"/>
    <w:rsid w:val="5F96E821"/>
    <w:rsid w:val="5F9AFA8D"/>
    <w:rsid w:val="5F9D4189"/>
    <w:rsid w:val="5F9DF3C4"/>
    <w:rsid w:val="5F9E30A7"/>
    <w:rsid w:val="5FA07454"/>
    <w:rsid w:val="5FA77C78"/>
    <w:rsid w:val="5FB75904"/>
    <w:rsid w:val="5FBFA8F1"/>
    <w:rsid w:val="5FC297C1"/>
    <w:rsid w:val="5FC85516"/>
    <w:rsid w:val="5FD2CB18"/>
    <w:rsid w:val="5FDA91F3"/>
    <w:rsid w:val="5FE21F31"/>
    <w:rsid w:val="5FF751BF"/>
    <w:rsid w:val="5FF795D3"/>
    <w:rsid w:val="600177C8"/>
    <w:rsid w:val="60056E2B"/>
    <w:rsid w:val="6005E13E"/>
    <w:rsid w:val="600E0EC5"/>
    <w:rsid w:val="600F4F84"/>
    <w:rsid w:val="6020AD3B"/>
    <w:rsid w:val="602B24D0"/>
    <w:rsid w:val="602B45B3"/>
    <w:rsid w:val="602D3624"/>
    <w:rsid w:val="602DF5D5"/>
    <w:rsid w:val="6033C6D9"/>
    <w:rsid w:val="60341E6F"/>
    <w:rsid w:val="603B146D"/>
    <w:rsid w:val="603E77A8"/>
    <w:rsid w:val="603EA8DA"/>
    <w:rsid w:val="605741BD"/>
    <w:rsid w:val="6059DD3A"/>
    <w:rsid w:val="605F8669"/>
    <w:rsid w:val="606A763A"/>
    <w:rsid w:val="607399F2"/>
    <w:rsid w:val="6073A665"/>
    <w:rsid w:val="6074D004"/>
    <w:rsid w:val="60837C38"/>
    <w:rsid w:val="60841F90"/>
    <w:rsid w:val="60879966"/>
    <w:rsid w:val="6099AED2"/>
    <w:rsid w:val="60A808D9"/>
    <w:rsid w:val="60BA84A2"/>
    <w:rsid w:val="60C03EB4"/>
    <w:rsid w:val="60C163AE"/>
    <w:rsid w:val="60CEE9D5"/>
    <w:rsid w:val="60CEF2D8"/>
    <w:rsid w:val="60D78A29"/>
    <w:rsid w:val="60DAF4F3"/>
    <w:rsid w:val="60E1003D"/>
    <w:rsid w:val="60E21E17"/>
    <w:rsid w:val="60E6AF6D"/>
    <w:rsid w:val="60E9E96E"/>
    <w:rsid w:val="60F26C84"/>
    <w:rsid w:val="60F93447"/>
    <w:rsid w:val="60FD296A"/>
    <w:rsid w:val="60FF666E"/>
    <w:rsid w:val="6101B274"/>
    <w:rsid w:val="610E36A1"/>
    <w:rsid w:val="61116C57"/>
    <w:rsid w:val="6114EB41"/>
    <w:rsid w:val="61164815"/>
    <w:rsid w:val="611EA1BE"/>
    <w:rsid w:val="6123B9CE"/>
    <w:rsid w:val="6133C0E0"/>
    <w:rsid w:val="6139C425"/>
    <w:rsid w:val="614DCEC7"/>
    <w:rsid w:val="614EB690"/>
    <w:rsid w:val="6150F9E7"/>
    <w:rsid w:val="61539CC3"/>
    <w:rsid w:val="615D7FF7"/>
    <w:rsid w:val="615F2715"/>
    <w:rsid w:val="616303FC"/>
    <w:rsid w:val="6164BE4B"/>
    <w:rsid w:val="61798728"/>
    <w:rsid w:val="617D868B"/>
    <w:rsid w:val="618375BB"/>
    <w:rsid w:val="618CDC6E"/>
    <w:rsid w:val="6199D1A7"/>
    <w:rsid w:val="61A210B0"/>
    <w:rsid w:val="61AACFBB"/>
    <w:rsid w:val="61B2B8B2"/>
    <w:rsid w:val="61B323C6"/>
    <w:rsid w:val="61B39533"/>
    <w:rsid w:val="61C5266C"/>
    <w:rsid w:val="61C76469"/>
    <w:rsid w:val="61CAC714"/>
    <w:rsid w:val="61CCF408"/>
    <w:rsid w:val="61CD1AD5"/>
    <w:rsid w:val="61D91F16"/>
    <w:rsid w:val="61DC4947"/>
    <w:rsid w:val="61E87A73"/>
    <w:rsid w:val="61FDCBCB"/>
    <w:rsid w:val="62042B93"/>
    <w:rsid w:val="62082315"/>
    <w:rsid w:val="6212ADF4"/>
    <w:rsid w:val="621775F5"/>
    <w:rsid w:val="621D02A9"/>
    <w:rsid w:val="621F6DFD"/>
    <w:rsid w:val="622D4E3B"/>
    <w:rsid w:val="6232A002"/>
    <w:rsid w:val="6233222B"/>
    <w:rsid w:val="62395D66"/>
    <w:rsid w:val="623F4EC6"/>
    <w:rsid w:val="624CDDFF"/>
    <w:rsid w:val="6253419F"/>
    <w:rsid w:val="625341DE"/>
    <w:rsid w:val="62656F73"/>
    <w:rsid w:val="6273FDB5"/>
    <w:rsid w:val="62847A78"/>
    <w:rsid w:val="628DA801"/>
    <w:rsid w:val="628E0D9D"/>
    <w:rsid w:val="62945BB7"/>
    <w:rsid w:val="62980BCD"/>
    <w:rsid w:val="629B4657"/>
    <w:rsid w:val="629C1EA5"/>
    <w:rsid w:val="629C603B"/>
    <w:rsid w:val="62A4A470"/>
    <w:rsid w:val="62A4F034"/>
    <w:rsid w:val="62A53134"/>
    <w:rsid w:val="62A61E92"/>
    <w:rsid w:val="62A63AC7"/>
    <w:rsid w:val="62A70CCC"/>
    <w:rsid w:val="62A7CF89"/>
    <w:rsid w:val="62AFEAB8"/>
    <w:rsid w:val="62B16FF6"/>
    <w:rsid w:val="62B9F02C"/>
    <w:rsid w:val="62BCC978"/>
    <w:rsid w:val="62BE221D"/>
    <w:rsid w:val="62C3A4DE"/>
    <w:rsid w:val="62C628C3"/>
    <w:rsid w:val="62C73F52"/>
    <w:rsid w:val="62C9702E"/>
    <w:rsid w:val="62D9EDB9"/>
    <w:rsid w:val="62DEA503"/>
    <w:rsid w:val="62E4F6E4"/>
    <w:rsid w:val="62E872C0"/>
    <w:rsid w:val="62F32A4D"/>
    <w:rsid w:val="62FF2DE6"/>
    <w:rsid w:val="6300072A"/>
    <w:rsid w:val="6331CED8"/>
    <w:rsid w:val="6335F38B"/>
    <w:rsid w:val="633B4F40"/>
    <w:rsid w:val="633CCFFD"/>
    <w:rsid w:val="634125F4"/>
    <w:rsid w:val="634289D7"/>
    <w:rsid w:val="634AB3A8"/>
    <w:rsid w:val="634EB244"/>
    <w:rsid w:val="635AB5C6"/>
    <w:rsid w:val="635C413D"/>
    <w:rsid w:val="63610841"/>
    <w:rsid w:val="636403C3"/>
    <w:rsid w:val="63658C8F"/>
    <w:rsid w:val="638CD69C"/>
    <w:rsid w:val="63B0892B"/>
    <w:rsid w:val="63B0F340"/>
    <w:rsid w:val="63B6131F"/>
    <w:rsid w:val="63B96DD1"/>
    <w:rsid w:val="63BF655C"/>
    <w:rsid w:val="63C7A1F4"/>
    <w:rsid w:val="63C7CA5C"/>
    <w:rsid w:val="63CD2963"/>
    <w:rsid w:val="63CD8372"/>
    <w:rsid w:val="63D08A90"/>
    <w:rsid w:val="63E070BB"/>
    <w:rsid w:val="63E2D3F8"/>
    <w:rsid w:val="63E4AF79"/>
    <w:rsid w:val="63EB6B44"/>
    <w:rsid w:val="63EC8F1D"/>
    <w:rsid w:val="63F4519F"/>
    <w:rsid w:val="63F72956"/>
    <w:rsid w:val="63FF16DC"/>
    <w:rsid w:val="640871B1"/>
    <w:rsid w:val="64128605"/>
    <w:rsid w:val="6417B9F4"/>
    <w:rsid w:val="64197697"/>
    <w:rsid w:val="641BCFDB"/>
    <w:rsid w:val="641EBF9E"/>
    <w:rsid w:val="64230943"/>
    <w:rsid w:val="6426EB6D"/>
    <w:rsid w:val="6428F6EA"/>
    <w:rsid w:val="6438D042"/>
    <w:rsid w:val="64455F5A"/>
    <w:rsid w:val="6447EB19"/>
    <w:rsid w:val="644E5D03"/>
    <w:rsid w:val="645FEDEE"/>
    <w:rsid w:val="646250A8"/>
    <w:rsid w:val="646C2B4C"/>
    <w:rsid w:val="646FF0FA"/>
    <w:rsid w:val="6471A1CA"/>
    <w:rsid w:val="6472299E"/>
    <w:rsid w:val="64729F0E"/>
    <w:rsid w:val="64766EF9"/>
    <w:rsid w:val="647CBDCD"/>
    <w:rsid w:val="647F4914"/>
    <w:rsid w:val="6487C768"/>
    <w:rsid w:val="64A79375"/>
    <w:rsid w:val="64AB2985"/>
    <w:rsid w:val="64B10299"/>
    <w:rsid w:val="64B76385"/>
    <w:rsid w:val="64B99326"/>
    <w:rsid w:val="64B9FEFD"/>
    <w:rsid w:val="64BDE20B"/>
    <w:rsid w:val="64BE54FD"/>
    <w:rsid w:val="64C08ECC"/>
    <w:rsid w:val="64C38916"/>
    <w:rsid w:val="64CB0DCF"/>
    <w:rsid w:val="64D07819"/>
    <w:rsid w:val="64D2C6CA"/>
    <w:rsid w:val="64D30C91"/>
    <w:rsid w:val="64E2707D"/>
    <w:rsid w:val="64EDECFF"/>
    <w:rsid w:val="64EFAE53"/>
    <w:rsid w:val="64F574D6"/>
    <w:rsid w:val="64F6A470"/>
    <w:rsid w:val="64FE42F1"/>
    <w:rsid w:val="6500A747"/>
    <w:rsid w:val="6509984A"/>
    <w:rsid w:val="6518E9DA"/>
    <w:rsid w:val="651940C6"/>
    <w:rsid w:val="65242E80"/>
    <w:rsid w:val="6526A59B"/>
    <w:rsid w:val="652B3079"/>
    <w:rsid w:val="653837B3"/>
    <w:rsid w:val="6543FAC0"/>
    <w:rsid w:val="6547CFD4"/>
    <w:rsid w:val="654BFB98"/>
    <w:rsid w:val="65539620"/>
    <w:rsid w:val="65553E32"/>
    <w:rsid w:val="6566B50B"/>
    <w:rsid w:val="6572E5AE"/>
    <w:rsid w:val="65744DFF"/>
    <w:rsid w:val="6574F07A"/>
    <w:rsid w:val="65779457"/>
    <w:rsid w:val="65943CD1"/>
    <w:rsid w:val="65A498B4"/>
    <w:rsid w:val="65A7F359"/>
    <w:rsid w:val="65B21337"/>
    <w:rsid w:val="65B9B04F"/>
    <w:rsid w:val="65BACF17"/>
    <w:rsid w:val="65BC8757"/>
    <w:rsid w:val="65C8E161"/>
    <w:rsid w:val="65CAA300"/>
    <w:rsid w:val="65D19AE9"/>
    <w:rsid w:val="65D5F4D2"/>
    <w:rsid w:val="65DA8D82"/>
    <w:rsid w:val="65DDD840"/>
    <w:rsid w:val="65ECE537"/>
    <w:rsid w:val="65F677F8"/>
    <w:rsid w:val="66070AB8"/>
    <w:rsid w:val="660A4337"/>
    <w:rsid w:val="66269A88"/>
    <w:rsid w:val="6631C5FB"/>
    <w:rsid w:val="663C227F"/>
    <w:rsid w:val="6648EA3A"/>
    <w:rsid w:val="664EE61E"/>
    <w:rsid w:val="665B3CFD"/>
    <w:rsid w:val="665CB6EF"/>
    <w:rsid w:val="666211D8"/>
    <w:rsid w:val="66622C4D"/>
    <w:rsid w:val="667DD791"/>
    <w:rsid w:val="6680EBB9"/>
    <w:rsid w:val="6684174F"/>
    <w:rsid w:val="6686B507"/>
    <w:rsid w:val="668EC40D"/>
    <w:rsid w:val="6691BB34"/>
    <w:rsid w:val="66AAF662"/>
    <w:rsid w:val="66ABA4DE"/>
    <w:rsid w:val="66B1C5F2"/>
    <w:rsid w:val="66BB7EC6"/>
    <w:rsid w:val="66C2FAC3"/>
    <w:rsid w:val="66CB23AB"/>
    <w:rsid w:val="66DA5558"/>
    <w:rsid w:val="66DD2DB6"/>
    <w:rsid w:val="66E67A45"/>
    <w:rsid w:val="66F04EF9"/>
    <w:rsid w:val="66FD114A"/>
    <w:rsid w:val="6700570B"/>
    <w:rsid w:val="67075333"/>
    <w:rsid w:val="67082B52"/>
    <w:rsid w:val="670C5B0E"/>
    <w:rsid w:val="670CFA89"/>
    <w:rsid w:val="67121EBF"/>
    <w:rsid w:val="6714FABF"/>
    <w:rsid w:val="6749E958"/>
    <w:rsid w:val="674AF3BF"/>
    <w:rsid w:val="67547423"/>
    <w:rsid w:val="675A70B9"/>
    <w:rsid w:val="676D48FF"/>
    <w:rsid w:val="677AD9AC"/>
    <w:rsid w:val="6783094F"/>
    <w:rsid w:val="67837B8B"/>
    <w:rsid w:val="678BB2D1"/>
    <w:rsid w:val="6793A64C"/>
    <w:rsid w:val="679A2ACD"/>
    <w:rsid w:val="67A65DE5"/>
    <w:rsid w:val="67A9428C"/>
    <w:rsid w:val="67AB8C2F"/>
    <w:rsid w:val="67B57330"/>
    <w:rsid w:val="67BE114B"/>
    <w:rsid w:val="67C26AE9"/>
    <w:rsid w:val="67C834FB"/>
    <w:rsid w:val="67C9E399"/>
    <w:rsid w:val="67D13A76"/>
    <w:rsid w:val="67D4BEA9"/>
    <w:rsid w:val="67DBCAE1"/>
    <w:rsid w:val="67DC8ACC"/>
    <w:rsid w:val="67E6A213"/>
    <w:rsid w:val="67F829D7"/>
    <w:rsid w:val="67FA22EF"/>
    <w:rsid w:val="6802101E"/>
    <w:rsid w:val="68109FF3"/>
    <w:rsid w:val="6813F6F7"/>
    <w:rsid w:val="68178C96"/>
    <w:rsid w:val="68253B3C"/>
    <w:rsid w:val="682E0B33"/>
    <w:rsid w:val="682EA9AE"/>
    <w:rsid w:val="68314D8B"/>
    <w:rsid w:val="6835DB68"/>
    <w:rsid w:val="684016EF"/>
    <w:rsid w:val="68429D49"/>
    <w:rsid w:val="6846E7E3"/>
    <w:rsid w:val="684D6001"/>
    <w:rsid w:val="6851436A"/>
    <w:rsid w:val="68525786"/>
    <w:rsid w:val="685963DE"/>
    <w:rsid w:val="686623A1"/>
    <w:rsid w:val="68767A19"/>
    <w:rsid w:val="687FC869"/>
    <w:rsid w:val="688850C8"/>
    <w:rsid w:val="688CFEF7"/>
    <w:rsid w:val="68A39C2A"/>
    <w:rsid w:val="68A48338"/>
    <w:rsid w:val="68A4B68A"/>
    <w:rsid w:val="68A54C19"/>
    <w:rsid w:val="68B5487C"/>
    <w:rsid w:val="68B62DDC"/>
    <w:rsid w:val="68BA4D52"/>
    <w:rsid w:val="68C00040"/>
    <w:rsid w:val="68CA9A79"/>
    <w:rsid w:val="68CD4D5B"/>
    <w:rsid w:val="68E3395C"/>
    <w:rsid w:val="68EEB120"/>
    <w:rsid w:val="68F06D8D"/>
    <w:rsid w:val="68F624BA"/>
    <w:rsid w:val="68FA589C"/>
    <w:rsid w:val="68FFD0C2"/>
    <w:rsid w:val="6900FBFB"/>
    <w:rsid w:val="69019B9B"/>
    <w:rsid w:val="69034974"/>
    <w:rsid w:val="69056EB0"/>
    <w:rsid w:val="690CDB60"/>
    <w:rsid w:val="690DF53F"/>
    <w:rsid w:val="6910B8C6"/>
    <w:rsid w:val="691E5099"/>
    <w:rsid w:val="692239E2"/>
    <w:rsid w:val="69238C40"/>
    <w:rsid w:val="69278332"/>
    <w:rsid w:val="692BE7AD"/>
    <w:rsid w:val="6944B447"/>
    <w:rsid w:val="694C6171"/>
    <w:rsid w:val="694CC390"/>
    <w:rsid w:val="6953FAD6"/>
    <w:rsid w:val="695E3B4A"/>
    <w:rsid w:val="6963BE7D"/>
    <w:rsid w:val="6964EB44"/>
    <w:rsid w:val="6966F8C4"/>
    <w:rsid w:val="69735C3C"/>
    <w:rsid w:val="69743C3B"/>
    <w:rsid w:val="6975D88D"/>
    <w:rsid w:val="6997FA05"/>
    <w:rsid w:val="699D6AD6"/>
    <w:rsid w:val="69AD2BBE"/>
    <w:rsid w:val="69AF9684"/>
    <w:rsid w:val="69B0F5FE"/>
    <w:rsid w:val="69B67183"/>
    <w:rsid w:val="69BC2607"/>
    <w:rsid w:val="69C75DD0"/>
    <w:rsid w:val="69E29BCC"/>
    <w:rsid w:val="69E4B412"/>
    <w:rsid w:val="69E4BAD3"/>
    <w:rsid w:val="69F3A392"/>
    <w:rsid w:val="69FC125C"/>
    <w:rsid w:val="69FEC534"/>
    <w:rsid w:val="69FF18F4"/>
    <w:rsid w:val="6A1EE305"/>
    <w:rsid w:val="6A25D122"/>
    <w:rsid w:val="6A2E3858"/>
    <w:rsid w:val="6A3091FF"/>
    <w:rsid w:val="6A3696D7"/>
    <w:rsid w:val="6A3DB594"/>
    <w:rsid w:val="6A3FCC14"/>
    <w:rsid w:val="6A40D35A"/>
    <w:rsid w:val="6A4107F4"/>
    <w:rsid w:val="6A46F8EA"/>
    <w:rsid w:val="6A4B97E7"/>
    <w:rsid w:val="6A56FA78"/>
    <w:rsid w:val="6A57D529"/>
    <w:rsid w:val="6A5AA8EE"/>
    <w:rsid w:val="6A5DA4F9"/>
    <w:rsid w:val="6A5E7DCF"/>
    <w:rsid w:val="6A65D9A7"/>
    <w:rsid w:val="6A696C5F"/>
    <w:rsid w:val="6A708519"/>
    <w:rsid w:val="6A746467"/>
    <w:rsid w:val="6A7B0ACB"/>
    <w:rsid w:val="6A8490DF"/>
    <w:rsid w:val="6A8FF87A"/>
    <w:rsid w:val="6A9338E4"/>
    <w:rsid w:val="6A9B378E"/>
    <w:rsid w:val="6AA39036"/>
    <w:rsid w:val="6AA73008"/>
    <w:rsid w:val="6AA9BBF4"/>
    <w:rsid w:val="6AAAE404"/>
    <w:rsid w:val="6AB8E971"/>
    <w:rsid w:val="6ACC6214"/>
    <w:rsid w:val="6ADC9755"/>
    <w:rsid w:val="6ADD0616"/>
    <w:rsid w:val="6AE505D6"/>
    <w:rsid w:val="6AF8C52B"/>
    <w:rsid w:val="6AFA4A29"/>
    <w:rsid w:val="6B070918"/>
    <w:rsid w:val="6B107614"/>
    <w:rsid w:val="6B246D59"/>
    <w:rsid w:val="6B36922F"/>
    <w:rsid w:val="6B4305A6"/>
    <w:rsid w:val="6B515D24"/>
    <w:rsid w:val="6B65CD1D"/>
    <w:rsid w:val="6B67893B"/>
    <w:rsid w:val="6B6FF6FF"/>
    <w:rsid w:val="6B77F9CF"/>
    <w:rsid w:val="6B788A65"/>
    <w:rsid w:val="6B7F2202"/>
    <w:rsid w:val="6B80268E"/>
    <w:rsid w:val="6B83FAEE"/>
    <w:rsid w:val="6B8FC1E6"/>
    <w:rsid w:val="6B9C5C6A"/>
    <w:rsid w:val="6B9C84C2"/>
    <w:rsid w:val="6BAB45F7"/>
    <w:rsid w:val="6BAE5F2C"/>
    <w:rsid w:val="6BC43B62"/>
    <w:rsid w:val="6BC82574"/>
    <w:rsid w:val="6BD70D26"/>
    <w:rsid w:val="6BD7D6A1"/>
    <w:rsid w:val="6BDA7BFC"/>
    <w:rsid w:val="6BE877B4"/>
    <w:rsid w:val="6BEAD4D1"/>
    <w:rsid w:val="6BF07814"/>
    <w:rsid w:val="6BF179C1"/>
    <w:rsid w:val="6BF2F171"/>
    <w:rsid w:val="6BF4A2F2"/>
    <w:rsid w:val="6BF9FC34"/>
    <w:rsid w:val="6BFA2898"/>
    <w:rsid w:val="6BFF009C"/>
    <w:rsid w:val="6C0A28C1"/>
    <w:rsid w:val="6C103D14"/>
    <w:rsid w:val="6C238D8C"/>
    <w:rsid w:val="6C29FC3B"/>
    <w:rsid w:val="6C2DA7A3"/>
    <w:rsid w:val="6C3CB43B"/>
    <w:rsid w:val="6C3F53B4"/>
    <w:rsid w:val="6C409B52"/>
    <w:rsid w:val="6C423696"/>
    <w:rsid w:val="6C4931BD"/>
    <w:rsid w:val="6C4A21B7"/>
    <w:rsid w:val="6C519E80"/>
    <w:rsid w:val="6C596EE8"/>
    <w:rsid w:val="6C63ABBE"/>
    <w:rsid w:val="6C6463F2"/>
    <w:rsid w:val="6C6579F3"/>
    <w:rsid w:val="6C73D703"/>
    <w:rsid w:val="6C84980C"/>
    <w:rsid w:val="6C87D7D5"/>
    <w:rsid w:val="6C88BEC5"/>
    <w:rsid w:val="6C94F5E2"/>
    <w:rsid w:val="6C95C3EB"/>
    <w:rsid w:val="6CA38905"/>
    <w:rsid w:val="6CA770F2"/>
    <w:rsid w:val="6CBDE931"/>
    <w:rsid w:val="6CC031A9"/>
    <w:rsid w:val="6CC49B4F"/>
    <w:rsid w:val="6CD739B8"/>
    <w:rsid w:val="6CE9C3BC"/>
    <w:rsid w:val="6CF03DDB"/>
    <w:rsid w:val="6CF09D5B"/>
    <w:rsid w:val="6CFFAF49"/>
    <w:rsid w:val="6D0C8721"/>
    <w:rsid w:val="6D1B3DEA"/>
    <w:rsid w:val="6D1DD22F"/>
    <w:rsid w:val="6D1FF88D"/>
    <w:rsid w:val="6D2108EE"/>
    <w:rsid w:val="6D24FDA8"/>
    <w:rsid w:val="6D27D900"/>
    <w:rsid w:val="6D2E1517"/>
    <w:rsid w:val="6D31B44D"/>
    <w:rsid w:val="6D327D66"/>
    <w:rsid w:val="6D349CAC"/>
    <w:rsid w:val="6D34E2AF"/>
    <w:rsid w:val="6D465C94"/>
    <w:rsid w:val="6D47C780"/>
    <w:rsid w:val="6D5D6B77"/>
    <w:rsid w:val="6D5E072F"/>
    <w:rsid w:val="6D5E8D75"/>
    <w:rsid w:val="6D5F7AB1"/>
    <w:rsid w:val="6D5FF0B7"/>
    <w:rsid w:val="6D6FE071"/>
    <w:rsid w:val="6D787AA1"/>
    <w:rsid w:val="6D84EBA5"/>
    <w:rsid w:val="6D8A9CAD"/>
    <w:rsid w:val="6D98F0ED"/>
    <w:rsid w:val="6DA18093"/>
    <w:rsid w:val="6DA772B4"/>
    <w:rsid w:val="6DB5F297"/>
    <w:rsid w:val="6DB87546"/>
    <w:rsid w:val="6DC7993C"/>
    <w:rsid w:val="6DD92B3E"/>
    <w:rsid w:val="6DDB27AF"/>
    <w:rsid w:val="6DF515B1"/>
    <w:rsid w:val="6DF8131F"/>
    <w:rsid w:val="6DF9E535"/>
    <w:rsid w:val="6DFC9E89"/>
    <w:rsid w:val="6E00E980"/>
    <w:rsid w:val="6E04E957"/>
    <w:rsid w:val="6E0BB8EB"/>
    <w:rsid w:val="6E1422A7"/>
    <w:rsid w:val="6E1563CD"/>
    <w:rsid w:val="6E246754"/>
    <w:rsid w:val="6E3F46B9"/>
    <w:rsid w:val="6E4205DC"/>
    <w:rsid w:val="6E440F7B"/>
    <w:rsid w:val="6E70BF6F"/>
    <w:rsid w:val="6E738C8E"/>
    <w:rsid w:val="6E79E2C0"/>
    <w:rsid w:val="6E7A1FC4"/>
    <w:rsid w:val="6E802C67"/>
    <w:rsid w:val="6E812BD5"/>
    <w:rsid w:val="6E89625D"/>
    <w:rsid w:val="6E9AB00B"/>
    <w:rsid w:val="6EA3A974"/>
    <w:rsid w:val="6EA54C2F"/>
    <w:rsid w:val="6EB2D637"/>
    <w:rsid w:val="6EB34227"/>
    <w:rsid w:val="6EBD5520"/>
    <w:rsid w:val="6EBE27A2"/>
    <w:rsid w:val="6EC9B9FD"/>
    <w:rsid w:val="6ECDC5D7"/>
    <w:rsid w:val="6ED3FD2C"/>
    <w:rsid w:val="6ED5D8DF"/>
    <w:rsid w:val="6ED7D7CA"/>
    <w:rsid w:val="6ED90FE5"/>
    <w:rsid w:val="6EDCBF7A"/>
    <w:rsid w:val="6EE54E2E"/>
    <w:rsid w:val="6EEF5EE0"/>
    <w:rsid w:val="6EF0F8C8"/>
    <w:rsid w:val="6EF0FBD8"/>
    <w:rsid w:val="6EFD664D"/>
    <w:rsid w:val="6EFDD9AE"/>
    <w:rsid w:val="6F05F521"/>
    <w:rsid w:val="6F09E4E8"/>
    <w:rsid w:val="6F2B4489"/>
    <w:rsid w:val="6F2B5B80"/>
    <w:rsid w:val="6F2CD007"/>
    <w:rsid w:val="6F332DE3"/>
    <w:rsid w:val="6F3870FA"/>
    <w:rsid w:val="6F3A4222"/>
    <w:rsid w:val="6F3B3112"/>
    <w:rsid w:val="6F41C983"/>
    <w:rsid w:val="6F48FCE0"/>
    <w:rsid w:val="6F511843"/>
    <w:rsid w:val="6F59BEA2"/>
    <w:rsid w:val="6F5AE582"/>
    <w:rsid w:val="6F6D0E19"/>
    <w:rsid w:val="6F7BD705"/>
    <w:rsid w:val="6F82FB17"/>
    <w:rsid w:val="6F83F258"/>
    <w:rsid w:val="6F884AA7"/>
    <w:rsid w:val="6F93E939"/>
    <w:rsid w:val="6FA21F1B"/>
    <w:rsid w:val="6FA72EB4"/>
    <w:rsid w:val="6FA90A56"/>
    <w:rsid w:val="6FAA7206"/>
    <w:rsid w:val="6FACD302"/>
    <w:rsid w:val="6FB39F4D"/>
    <w:rsid w:val="6FBEC4D0"/>
    <w:rsid w:val="6FCB3466"/>
    <w:rsid w:val="6FD56A9A"/>
    <w:rsid w:val="6FD690C1"/>
    <w:rsid w:val="6FD7D35D"/>
    <w:rsid w:val="6FDDF0C4"/>
    <w:rsid w:val="6FDE46B5"/>
    <w:rsid w:val="6FE1E462"/>
    <w:rsid w:val="6FE29FBA"/>
    <w:rsid w:val="6FEBDBD7"/>
    <w:rsid w:val="6FEBF2C6"/>
    <w:rsid w:val="6FF7FA97"/>
    <w:rsid w:val="6FFE96B1"/>
    <w:rsid w:val="70000A79"/>
    <w:rsid w:val="70012827"/>
    <w:rsid w:val="700A6F9F"/>
    <w:rsid w:val="7019A048"/>
    <w:rsid w:val="701F6CCD"/>
    <w:rsid w:val="7021748A"/>
    <w:rsid w:val="70258017"/>
    <w:rsid w:val="703616AD"/>
    <w:rsid w:val="70422ACC"/>
    <w:rsid w:val="70483D85"/>
    <w:rsid w:val="7052E310"/>
    <w:rsid w:val="705A8B6C"/>
    <w:rsid w:val="706406E1"/>
    <w:rsid w:val="706863A1"/>
    <w:rsid w:val="70787CAE"/>
    <w:rsid w:val="707986CE"/>
    <w:rsid w:val="709D9BA6"/>
    <w:rsid w:val="709ECE9D"/>
    <w:rsid w:val="70A1F5DB"/>
    <w:rsid w:val="70AF0D98"/>
    <w:rsid w:val="70B1CA53"/>
    <w:rsid w:val="70B6FB1E"/>
    <w:rsid w:val="70C3BE8E"/>
    <w:rsid w:val="70C47187"/>
    <w:rsid w:val="70C68DAE"/>
    <w:rsid w:val="70CB996A"/>
    <w:rsid w:val="70CD8D85"/>
    <w:rsid w:val="70DB6BD8"/>
    <w:rsid w:val="70E11973"/>
    <w:rsid w:val="70EC5863"/>
    <w:rsid w:val="70FFBB60"/>
    <w:rsid w:val="71019344"/>
    <w:rsid w:val="71110C4D"/>
    <w:rsid w:val="711ECF59"/>
    <w:rsid w:val="711F955D"/>
    <w:rsid w:val="712BF5E3"/>
    <w:rsid w:val="7137B8B3"/>
    <w:rsid w:val="71408634"/>
    <w:rsid w:val="7161324E"/>
    <w:rsid w:val="71643415"/>
    <w:rsid w:val="7164AC76"/>
    <w:rsid w:val="7165CC4D"/>
    <w:rsid w:val="7165EB89"/>
    <w:rsid w:val="7174AE44"/>
    <w:rsid w:val="7176C22F"/>
    <w:rsid w:val="717C481D"/>
    <w:rsid w:val="7186C219"/>
    <w:rsid w:val="71A6E924"/>
    <w:rsid w:val="71A74ED8"/>
    <w:rsid w:val="71A996EE"/>
    <w:rsid w:val="71B0A46D"/>
    <w:rsid w:val="71B68A5B"/>
    <w:rsid w:val="71BCFD25"/>
    <w:rsid w:val="71BE4733"/>
    <w:rsid w:val="71C2D0A8"/>
    <w:rsid w:val="71C4EC2A"/>
    <w:rsid w:val="71D0E4C1"/>
    <w:rsid w:val="71D294FA"/>
    <w:rsid w:val="71D4ED79"/>
    <w:rsid w:val="71DBA04F"/>
    <w:rsid w:val="71DD4F20"/>
    <w:rsid w:val="71EFFD55"/>
    <w:rsid w:val="71FD304B"/>
    <w:rsid w:val="72000C79"/>
    <w:rsid w:val="720AB7EF"/>
    <w:rsid w:val="720B9DEE"/>
    <w:rsid w:val="72145CC4"/>
    <w:rsid w:val="722B057D"/>
    <w:rsid w:val="722B6E2B"/>
    <w:rsid w:val="7231BB3A"/>
    <w:rsid w:val="72320375"/>
    <w:rsid w:val="72330277"/>
    <w:rsid w:val="7236EB5E"/>
    <w:rsid w:val="724D9F18"/>
    <w:rsid w:val="724EA810"/>
    <w:rsid w:val="726296ED"/>
    <w:rsid w:val="7262A429"/>
    <w:rsid w:val="726861C7"/>
    <w:rsid w:val="726CF215"/>
    <w:rsid w:val="72812602"/>
    <w:rsid w:val="7299C33B"/>
    <w:rsid w:val="729A1735"/>
    <w:rsid w:val="729EF6E2"/>
    <w:rsid w:val="72A31CFC"/>
    <w:rsid w:val="72ACDCAE"/>
    <w:rsid w:val="72ADE942"/>
    <w:rsid w:val="72BF5967"/>
    <w:rsid w:val="72C1D9CE"/>
    <w:rsid w:val="72C49960"/>
    <w:rsid w:val="72E0DE89"/>
    <w:rsid w:val="72EDF6E9"/>
    <w:rsid w:val="72EEA028"/>
    <w:rsid w:val="72F71F0A"/>
    <w:rsid w:val="72FB0A80"/>
    <w:rsid w:val="72FBCFCA"/>
    <w:rsid w:val="72FE494C"/>
    <w:rsid w:val="7307A920"/>
    <w:rsid w:val="730A003E"/>
    <w:rsid w:val="730E22E0"/>
    <w:rsid w:val="730EE6A4"/>
    <w:rsid w:val="7315358D"/>
    <w:rsid w:val="7320DE39"/>
    <w:rsid w:val="732D07C2"/>
    <w:rsid w:val="733A62FE"/>
    <w:rsid w:val="733EA0EC"/>
    <w:rsid w:val="734254F9"/>
    <w:rsid w:val="734A8532"/>
    <w:rsid w:val="734CB082"/>
    <w:rsid w:val="73605172"/>
    <w:rsid w:val="736920AA"/>
    <w:rsid w:val="736C0F5B"/>
    <w:rsid w:val="736D90B9"/>
    <w:rsid w:val="73787EDD"/>
    <w:rsid w:val="738E6879"/>
    <w:rsid w:val="73911EB6"/>
    <w:rsid w:val="7395EF10"/>
    <w:rsid w:val="739768B6"/>
    <w:rsid w:val="7398948E"/>
    <w:rsid w:val="739A5157"/>
    <w:rsid w:val="73A76E4F"/>
    <w:rsid w:val="73B71BDD"/>
    <w:rsid w:val="73B976EB"/>
    <w:rsid w:val="73BCB04A"/>
    <w:rsid w:val="73C07999"/>
    <w:rsid w:val="73C8DB44"/>
    <w:rsid w:val="73D4CD3A"/>
    <w:rsid w:val="73D99693"/>
    <w:rsid w:val="73E286C9"/>
    <w:rsid w:val="73EF5757"/>
    <w:rsid w:val="73FBAC86"/>
    <w:rsid w:val="7407BFF3"/>
    <w:rsid w:val="7415A1D4"/>
    <w:rsid w:val="74229759"/>
    <w:rsid w:val="7424C20B"/>
    <w:rsid w:val="742739FB"/>
    <w:rsid w:val="743863A3"/>
    <w:rsid w:val="743E1EA7"/>
    <w:rsid w:val="743E5C29"/>
    <w:rsid w:val="7442454E"/>
    <w:rsid w:val="744733E0"/>
    <w:rsid w:val="7448AD0F"/>
    <w:rsid w:val="744D6D06"/>
    <w:rsid w:val="744E34A1"/>
    <w:rsid w:val="74507BA5"/>
    <w:rsid w:val="74590328"/>
    <w:rsid w:val="745A65E9"/>
    <w:rsid w:val="745C8E98"/>
    <w:rsid w:val="745E7657"/>
    <w:rsid w:val="74634353"/>
    <w:rsid w:val="7464BACC"/>
    <w:rsid w:val="7479EFD7"/>
    <w:rsid w:val="749AC862"/>
    <w:rsid w:val="74A438F1"/>
    <w:rsid w:val="74AB830A"/>
    <w:rsid w:val="74B33209"/>
    <w:rsid w:val="74B52BD9"/>
    <w:rsid w:val="74B5E675"/>
    <w:rsid w:val="74B64EA5"/>
    <w:rsid w:val="74BFE30C"/>
    <w:rsid w:val="74C31B09"/>
    <w:rsid w:val="74C5679A"/>
    <w:rsid w:val="74C811F8"/>
    <w:rsid w:val="74CA3DF9"/>
    <w:rsid w:val="74CC4F0E"/>
    <w:rsid w:val="74DE9A65"/>
    <w:rsid w:val="74DF73B0"/>
    <w:rsid w:val="74E2D0E1"/>
    <w:rsid w:val="74E4BBF7"/>
    <w:rsid w:val="74E7E7B6"/>
    <w:rsid w:val="74F511B7"/>
    <w:rsid w:val="7504D125"/>
    <w:rsid w:val="750D9766"/>
    <w:rsid w:val="750DFDFE"/>
    <w:rsid w:val="751B5DB5"/>
    <w:rsid w:val="75202E38"/>
    <w:rsid w:val="7521D713"/>
    <w:rsid w:val="7523A50B"/>
    <w:rsid w:val="7536CC06"/>
    <w:rsid w:val="753915C6"/>
    <w:rsid w:val="753D4A63"/>
    <w:rsid w:val="75433EB0"/>
    <w:rsid w:val="754F5D05"/>
    <w:rsid w:val="7551991F"/>
    <w:rsid w:val="75538EAA"/>
    <w:rsid w:val="75545206"/>
    <w:rsid w:val="7556FF45"/>
    <w:rsid w:val="7559969A"/>
    <w:rsid w:val="755AFB93"/>
    <w:rsid w:val="755C9557"/>
    <w:rsid w:val="7564ABA5"/>
    <w:rsid w:val="75681109"/>
    <w:rsid w:val="756AD376"/>
    <w:rsid w:val="757495E9"/>
    <w:rsid w:val="757F9D2F"/>
    <w:rsid w:val="757FFC7B"/>
    <w:rsid w:val="75884D03"/>
    <w:rsid w:val="7589E5D9"/>
    <w:rsid w:val="758BDC3F"/>
    <w:rsid w:val="758BF370"/>
    <w:rsid w:val="758F5BAA"/>
    <w:rsid w:val="75906AF4"/>
    <w:rsid w:val="75910C30"/>
    <w:rsid w:val="75997A45"/>
    <w:rsid w:val="759EDA1C"/>
    <w:rsid w:val="75A37082"/>
    <w:rsid w:val="75ACA6D5"/>
    <w:rsid w:val="75AD54A7"/>
    <w:rsid w:val="75B3CE22"/>
    <w:rsid w:val="75D3C655"/>
    <w:rsid w:val="75D902C3"/>
    <w:rsid w:val="75DCAFCA"/>
    <w:rsid w:val="75E3C0E7"/>
    <w:rsid w:val="75ED858E"/>
    <w:rsid w:val="75F538D1"/>
    <w:rsid w:val="75F78D7D"/>
    <w:rsid w:val="75FC5B6D"/>
    <w:rsid w:val="7601D10F"/>
    <w:rsid w:val="7611BC1C"/>
    <w:rsid w:val="76167320"/>
    <w:rsid w:val="7621C147"/>
    <w:rsid w:val="7623B035"/>
    <w:rsid w:val="76279555"/>
    <w:rsid w:val="762B837B"/>
    <w:rsid w:val="76300E23"/>
    <w:rsid w:val="763B3083"/>
    <w:rsid w:val="763B5E12"/>
    <w:rsid w:val="7647CD1F"/>
    <w:rsid w:val="764C98E9"/>
    <w:rsid w:val="76510F28"/>
    <w:rsid w:val="76616450"/>
    <w:rsid w:val="7664FEA0"/>
    <w:rsid w:val="766913B4"/>
    <w:rsid w:val="766A9D51"/>
    <w:rsid w:val="76714EB7"/>
    <w:rsid w:val="7675C680"/>
    <w:rsid w:val="767D0811"/>
    <w:rsid w:val="76895FEA"/>
    <w:rsid w:val="768C676D"/>
    <w:rsid w:val="76951300"/>
    <w:rsid w:val="76967631"/>
    <w:rsid w:val="76A7662D"/>
    <w:rsid w:val="76A9CE5F"/>
    <w:rsid w:val="76AB513A"/>
    <w:rsid w:val="76ABAF1C"/>
    <w:rsid w:val="76B849AF"/>
    <w:rsid w:val="76B93C99"/>
    <w:rsid w:val="76BAEA00"/>
    <w:rsid w:val="76C323A6"/>
    <w:rsid w:val="76C4BE0D"/>
    <w:rsid w:val="76CEFB7F"/>
    <w:rsid w:val="76E3D6CA"/>
    <w:rsid w:val="76E469FB"/>
    <w:rsid w:val="76F3F82E"/>
    <w:rsid w:val="76FE4C7E"/>
    <w:rsid w:val="7705B141"/>
    <w:rsid w:val="770902EA"/>
    <w:rsid w:val="770A9E4F"/>
    <w:rsid w:val="770C9728"/>
    <w:rsid w:val="770DC847"/>
    <w:rsid w:val="77123825"/>
    <w:rsid w:val="7727DB2B"/>
    <w:rsid w:val="773252CD"/>
    <w:rsid w:val="77361445"/>
    <w:rsid w:val="77394D03"/>
    <w:rsid w:val="77454298"/>
    <w:rsid w:val="77465424"/>
    <w:rsid w:val="775127C8"/>
    <w:rsid w:val="775238C0"/>
    <w:rsid w:val="7753AEE1"/>
    <w:rsid w:val="775F17FF"/>
    <w:rsid w:val="77736F37"/>
    <w:rsid w:val="7777D883"/>
    <w:rsid w:val="7778AA7D"/>
    <w:rsid w:val="7787E46A"/>
    <w:rsid w:val="778955EF"/>
    <w:rsid w:val="7797137E"/>
    <w:rsid w:val="77979E0A"/>
    <w:rsid w:val="77A05B07"/>
    <w:rsid w:val="77A47CA6"/>
    <w:rsid w:val="77A9CA16"/>
    <w:rsid w:val="77C2EB59"/>
    <w:rsid w:val="77C71EFF"/>
    <w:rsid w:val="77C76B7F"/>
    <w:rsid w:val="77C9FB4C"/>
    <w:rsid w:val="77D804E2"/>
    <w:rsid w:val="77D8967D"/>
    <w:rsid w:val="77FB0C5D"/>
    <w:rsid w:val="7801938D"/>
    <w:rsid w:val="7804E1FC"/>
    <w:rsid w:val="78210913"/>
    <w:rsid w:val="782E6ECF"/>
    <w:rsid w:val="782FAB0E"/>
    <w:rsid w:val="783F3BA4"/>
    <w:rsid w:val="7843DBEA"/>
    <w:rsid w:val="784923C6"/>
    <w:rsid w:val="784B0F09"/>
    <w:rsid w:val="784C1148"/>
    <w:rsid w:val="784E1315"/>
    <w:rsid w:val="78587652"/>
    <w:rsid w:val="7858D168"/>
    <w:rsid w:val="78592B39"/>
    <w:rsid w:val="785D34BF"/>
    <w:rsid w:val="785F7AE5"/>
    <w:rsid w:val="78608EF3"/>
    <w:rsid w:val="786178E8"/>
    <w:rsid w:val="786D18E2"/>
    <w:rsid w:val="78713631"/>
    <w:rsid w:val="787D39E5"/>
    <w:rsid w:val="788D8D85"/>
    <w:rsid w:val="788F1411"/>
    <w:rsid w:val="7893555F"/>
    <w:rsid w:val="789E2721"/>
    <w:rsid w:val="78A557F1"/>
    <w:rsid w:val="78AD0AB9"/>
    <w:rsid w:val="78AE4C5F"/>
    <w:rsid w:val="78AEE5E5"/>
    <w:rsid w:val="78C226CF"/>
    <w:rsid w:val="78C7A741"/>
    <w:rsid w:val="78E005EF"/>
    <w:rsid w:val="78E0DC2F"/>
    <w:rsid w:val="78E66EEF"/>
    <w:rsid w:val="78F35BF0"/>
    <w:rsid w:val="79064441"/>
    <w:rsid w:val="791B38F1"/>
    <w:rsid w:val="7922140D"/>
    <w:rsid w:val="79458B8A"/>
    <w:rsid w:val="794F827D"/>
    <w:rsid w:val="7951B718"/>
    <w:rsid w:val="79566E41"/>
    <w:rsid w:val="795C1A27"/>
    <w:rsid w:val="796BB776"/>
    <w:rsid w:val="796E104A"/>
    <w:rsid w:val="796E3F84"/>
    <w:rsid w:val="7973BADB"/>
    <w:rsid w:val="7979E247"/>
    <w:rsid w:val="798155EC"/>
    <w:rsid w:val="798ABBA2"/>
    <w:rsid w:val="798F7DD8"/>
    <w:rsid w:val="79AA1E02"/>
    <w:rsid w:val="79AE1659"/>
    <w:rsid w:val="79B0BEA0"/>
    <w:rsid w:val="79C6315A"/>
    <w:rsid w:val="79CC76BC"/>
    <w:rsid w:val="79CCCD7C"/>
    <w:rsid w:val="79D316F1"/>
    <w:rsid w:val="79EFAB90"/>
    <w:rsid w:val="79F2B16E"/>
    <w:rsid w:val="79F85518"/>
    <w:rsid w:val="79FDABE4"/>
    <w:rsid w:val="7A04FB9B"/>
    <w:rsid w:val="7A0DA764"/>
    <w:rsid w:val="7A240399"/>
    <w:rsid w:val="7A328E9E"/>
    <w:rsid w:val="7A37B821"/>
    <w:rsid w:val="7A38293D"/>
    <w:rsid w:val="7A46762A"/>
    <w:rsid w:val="7A4AF1E9"/>
    <w:rsid w:val="7A50ADEC"/>
    <w:rsid w:val="7A585311"/>
    <w:rsid w:val="7A6189FC"/>
    <w:rsid w:val="7A6242EA"/>
    <w:rsid w:val="7A66FB94"/>
    <w:rsid w:val="7A6C2EFF"/>
    <w:rsid w:val="7A6FC7F6"/>
    <w:rsid w:val="7A7DDC58"/>
    <w:rsid w:val="7A7E6D8B"/>
    <w:rsid w:val="7A81154A"/>
    <w:rsid w:val="7A917434"/>
    <w:rsid w:val="7A9B8674"/>
    <w:rsid w:val="7AA0AD61"/>
    <w:rsid w:val="7AA1A563"/>
    <w:rsid w:val="7AA214A2"/>
    <w:rsid w:val="7ABEF52A"/>
    <w:rsid w:val="7AD3327A"/>
    <w:rsid w:val="7AE29095"/>
    <w:rsid w:val="7AE2FB14"/>
    <w:rsid w:val="7AEE3988"/>
    <w:rsid w:val="7AF17227"/>
    <w:rsid w:val="7AF6ADFC"/>
    <w:rsid w:val="7AF8A196"/>
    <w:rsid w:val="7AFA1EC4"/>
    <w:rsid w:val="7B0F81B4"/>
    <w:rsid w:val="7B20B912"/>
    <w:rsid w:val="7B283ADE"/>
    <w:rsid w:val="7B328BF3"/>
    <w:rsid w:val="7B358A08"/>
    <w:rsid w:val="7B3CA912"/>
    <w:rsid w:val="7B4F28B5"/>
    <w:rsid w:val="7B5507BE"/>
    <w:rsid w:val="7B57293A"/>
    <w:rsid w:val="7B6107CD"/>
    <w:rsid w:val="7B6201BB"/>
    <w:rsid w:val="7B64F5FE"/>
    <w:rsid w:val="7B6DFCE9"/>
    <w:rsid w:val="7B768130"/>
    <w:rsid w:val="7B7EC25D"/>
    <w:rsid w:val="7B8519D2"/>
    <w:rsid w:val="7B87EF08"/>
    <w:rsid w:val="7B951DD4"/>
    <w:rsid w:val="7BBDF852"/>
    <w:rsid w:val="7BC280D3"/>
    <w:rsid w:val="7BC30722"/>
    <w:rsid w:val="7BC619E1"/>
    <w:rsid w:val="7BD1CA01"/>
    <w:rsid w:val="7BD29F4B"/>
    <w:rsid w:val="7BE17990"/>
    <w:rsid w:val="7BEC5064"/>
    <w:rsid w:val="7BEDF435"/>
    <w:rsid w:val="7BF27AAE"/>
    <w:rsid w:val="7BF3352D"/>
    <w:rsid w:val="7BF3F3C2"/>
    <w:rsid w:val="7BF8947F"/>
    <w:rsid w:val="7BFFC041"/>
    <w:rsid w:val="7C005FE3"/>
    <w:rsid w:val="7C063981"/>
    <w:rsid w:val="7C0BC2D3"/>
    <w:rsid w:val="7C1B3F68"/>
    <w:rsid w:val="7C23C763"/>
    <w:rsid w:val="7C26D8D3"/>
    <w:rsid w:val="7C379899"/>
    <w:rsid w:val="7C501677"/>
    <w:rsid w:val="7C64DE2D"/>
    <w:rsid w:val="7C666E88"/>
    <w:rsid w:val="7C761EEA"/>
    <w:rsid w:val="7C793542"/>
    <w:rsid w:val="7C7C0057"/>
    <w:rsid w:val="7C7F2BC3"/>
    <w:rsid w:val="7C87EC8D"/>
    <w:rsid w:val="7C9237C3"/>
    <w:rsid w:val="7C9DFD85"/>
    <w:rsid w:val="7CA7CBD0"/>
    <w:rsid w:val="7CAF7BAB"/>
    <w:rsid w:val="7CB19742"/>
    <w:rsid w:val="7CB89433"/>
    <w:rsid w:val="7CE1DFF1"/>
    <w:rsid w:val="7CE6C81C"/>
    <w:rsid w:val="7CE7692E"/>
    <w:rsid w:val="7CF197FE"/>
    <w:rsid w:val="7CFAE573"/>
    <w:rsid w:val="7D0A68B2"/>
    <w:rsid w:val="7D0B1C47"/>
    <w:rsid w:val="7D190E80"/>
    <w:rsid w:val="7D2997FD"/>
    <w:rsid w:val="7D2B5471"/>
    <w:rsid w:val="7D2BC125"/>
    <w:rsid w:val="7D30FF08"/>
    <w:rsid w:val="7D33EC0B"/>
    <w:rsid w:val="7D359016"/>
    <w:rsid w:val="7D35DE34"/>
    <w:rsid w:val="7D3CC18F"/>
    <w:rsid w:val="7D3DD824"/>
    <w:rsid w:val="7D485C48"/>
    <w:rsid w:val="7D49A514"/>
    <w:rsid w:val="7D54B0D2"/>
    <w:rsid w:val="7D5549AA"/>
    <w:rsid w:val="7D56E166"/>
    <w:rsid w:val="7D6EF990"/>
    <w:rsid w:val="7D74C093"/>
    <w:rsid w:val="7D957E26"/>
    <w:rsid w:val="7DA740EF"/>
    <w:rsid w:val="7DBC6183"/>
    <w:rsid w:val="7DBCFDF4"/>
    <w:rsid w:val="7DC22ABB"/>
    <w:rsid w:val="7DCDF1AA"/>
    <w:rsid w:val="7DDB0250"/>
    <w:rsid w:val="7DFA2B8A"/>
    <w:rsid w:val="7E10D873"/>
    <w:rsid w:val="7E1C1E85"/>
    <w:rsid w:val="7E1E7A7D"/>
    <w:rsid w:val="7E297DFB"/>
    <w:rsid w:val="7E3C5E75"/>
    <w:rsid w:val="7E42B212"/>
    <w:rsid w:val="7E5045C9"/>
    <w:rsid w:val="7E55BEA4"/>
    <w:rsid w:val="7E59A6D8"/>
    <w:rsid w:val="7E5AFAB6"/>
    <w:rsid w:val="7E5CF4B8"/>
    <w:rsid w:val="7E62FBE3"/>
    <w:rsid w:val="7E66BC17"/>
    <w:rsid w:val="7E6D7A74"/>
    <w:rsid w:val="7E7493DF"/>
    <w:rsid w:val="7E74FF70"/>
    <w:rsid w:val="7E7756F4"/>
    <w:rsid w:val="7E7B282B"/>
    <w:rsid w:val="7E7D8F25"/>
    <w:rsid w:val="7E7E557F"/>
    <w:rsid w:val="7E86C9D4"/>
    <w:rsid w:val="7E8A2E2E"/>
    <w:rsid w:val="7E91D89F"/>
    <w:rsid w:val="7E9212E8"/>
    <w:rsid w:val="7EA3885A"/>
    <w:rsid w:val="7EAD978B"/>
    <w:rsid w:val="7EAFD44C"/>
    <w:rsid w:val="7EB2680B"/>
    <w:rsid w:val="7EB78723"/>
    <w:rsid w:val="7ECD4A9E"/>
    <w:rsid w:val="7ED4E5BC"/>
    <w:rsid w:val="7EDAD990"/>
    <w:rsid w:val="7EE42CA9"/>
    <w:rsid w:val="7EE9887B"/>
    <w:rsid w:val="7EEAD12A"/>
    <w:rsid w:val="7EF03A7F"/>
    <w:rsid w:val="7EF04D2B"/>
    <w:rsid w:val="7EF43D6F"/>
    <w:rsid w:val="7EF66DCA"/>
    <w:rsid w:val="7EF9C0D2"/>
    <w:rsid w:val="7F054666"/>
    <w:rsid w:val="7F0C3798"/>
    <w:rsid w:val="7F0ECCEA"/>
    <w:rsid w:val="7F117A36"/>
    <w:rsid w:val="7F1262D6"/>
    <w:rsid w:val="7F1D45BF"/>
    <w:rsid w:val="7F26A392"/>
    <w:rsid w:val="7F275CF5"/>
    <w:rsid w:val="7F27EE00"/>
    <w:rsid w:val="7F3349F1"/>
    <w:rsid w:val="7F3C326C"/>
    <w:rsid w:val="7F3E056E"/>
    <w:rsid w:val="7F42BE9E"/>
    <w:rsid w:val="7F431150"/>
    <w:rsid w:val="7F43333B"/>
    <w:rsid w:val="7F452691"/>
    <w:rsid w:val="7F4749BD"/>
    <w:rsid w:val="7F4C5FCD"/>
    <w:rsid w:val="7F5193AB"/>
    <w:rsid w:val="7F53F064"/>
    <w:rsid w:val="7F69ACF3"/>
    <w:rsid w:val="7F720603"/>
    <w:rsid w:val="7F798D67"/>
    <w:rsid w:val="7F7AC1E5"/>
    <w:rsid w:val="7F7D08ED"/>
    <w:rsid w:val="7F9123FF"/>
    <w:rsid w:val="7FA1DF5F"/>
    <w:rsid w:val="7FA23984"/>
    <w:rsid w:val="7FA8D285"/>
    <w:rsid w:val="7FABA5E6"/>
    <w:rsid w:val="7FB54D1E"/>
    <w:rsid w:val="7FB7E627"/>
    <w:rsid w:val="7FCA78E8"/>
    <w:rsid w:val="7FD56C9F"/>
    <w:rsid w:val="7FDD8EB3"/>
    <w:rsid w:val="7FDDB347"/>
    <w:rsid w:val="7FE6001E"/>
    <w:rsid w:val="7FEAFF7E"/>
    <w:rsid w:val="7FF15190"/>
    <w:rsid w:val="7FF57E8E"/>
    <w:rsid w:val="7FF6CB17"/>
    <w:rsid w:val="7FF8C519"/>
    <w:rsid w:val="7FFFC4A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4"/>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4"/>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AF61AA"/>
    <w:pPr>
      <w:keepNext/>
      <w:spacing w:before="360" w:after="120" w:line="240" w:lineRule="auto"/>
      <w:outlineLvl w:val="3"/>
    </w:pPr>
    <w:rPr>
      <w:rFonts w:ascii="Arial Narrow" w:eastAsia="Times New Roman" w:hAnsi="Arial Narrow" w:cs="Times New Roman"/>
      <w:b/>
      <w:bCs/>
      <w:sz w:val="20"/>
      <w:szCs w:val="20"/>
    </w:rPr>
  </w:style>
  <w:style w:type="table" w:customStyle="1" w:styleId="TableGrid1">
    <w:name w:val="Table Grid1"/>
    <w:basedOn w:val="TableNormal"/>
    <w:next w:val="TableGrid"/>
    <w:uiPriority w:val="59"/>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AF61AA"/>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HTAtableplain,Lash Style Table,Dossier table,Section 3- footnotes,CMA Table Template,MSD Table Grid"/>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List Paragraph1,List Paragraph11,L,Recommendation,CV text,Colorful List - Accent 11,COOP,Primary Bullet List,Figure_name,Numbered Indented Text,Bullet- First level,List NUmber,Listenabsatz1,lp1,standard lewis,Body Text1,Body text,List1,LP"/>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604E35"/>
    <w:pPr>
      <w:keepNext/>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5"/>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List Paragraph1 Char,List Paragraph11 Char,L Char,Recommendation Char,CV text Char,Colorful List - Accent 11 Char,COOP Char,Primary Bullet List Char,Figure_name Char,Numbered Indented Text Char,Bullet- First level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6"/>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3"/>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CF4A32"/>
    <w:rPr>
      <w:rFonts w:ascii="Arial Narrow" w:eastAsia="MS Gothic" w:hAnsi="Arial Narrow" w:cs="Arial"/>
      <w:sz w:val="20"/>
      <w:szCs w:val="20"/>
      <w:lang w:bidi="en-US"/>
    </w:rPr>
  </w:style>
  <w:style w:type="paragraph" w:customStyle="1" w:styleId="TableFooter">
    <w:name w:val="Table Footer"/>
    <w:basedOn w:val="Normal"/>
    <w:link w:val="TableFooterChar"/>
    <w:qFormat/>
    <w:rsid w:val="00CF4A32"/>
    <w:pPr>
      <w:widowControl w:val="0"/>
      <w:snapToGrid w:val="0"/>
      <w:spacing w:before="40" w:after="240" w:line="240" w:lineRule="auto"/>
      <w:contextualSpacing/>
      <w:jc w:val="both"/>
    </w:pPr>
    <w:rPr>
      <w:rFonts w:ascii="Arial Narrow" w:eastAsia="MS Gothic" w:hAnsi="Arial Narrow" w:cs="Arial"/>
      <w:sz w:val="20"/>
      <w:szCs w:val="20"/>
      <w:lang w:bidi="en-US"/>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radley Hand ITC" w:hAnsi="Bradley Hand ITC"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radley Hand ITC" w:hAnsi="Bradley Hand ITC"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radley Hand ITC" w:hAnsi="Bradley Hand ITC"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9"/>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0"/>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1"/>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paragraph">
    <w:name w:val="paragraph"/>
    <w:basedOn w:val="Normal"/>
    <w:rsid w:val="00CD08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D080E"/>
  </w:style>
  <w:style w:type="character" w:customStyle="1" w:styleId="eop">
    <w:name w:val="eop"/>
    <w:basedOn w:val="DefaultParagraphFont"/>
    <w:rsid w:val="00CD080E"/>
  </w:style>
  <w:style w:type="paragraph" w:customStyle="1" w:styleId="Commentary">
    <w:name w:val="Commentary"/>
    <w:basedOn w:val="Normal"/>
    <w:link w:val="CommentaryChar"/>
    <w:uiPriority w:val="1"/>
    <w:qFormat/>
    <w:rsid w:val="3BA4E4F7"/>
    <w:rPr>
      <w:color w:val="2E74B5" w:themeColor="accent1" w:themeShade="BF"/>
    </w:rPr>
  </w:style>
  <w:style w:type="character" w:customStyle="1" w:styleId="CommentaryChar">
    <w:name w:val="Commentary Char"/>
    <w:basedOn w:val="DefaultParagraphFont"/>
    <w:link w:val="Commentary"/>
    <w:uiPriority w:val="1"/>
    <w:rsid w:val="3BA4E4F7"/>
    <w:rPr>
      <w:rFonts w:ascii="Franklin Gothic Book" w:eastAsiaTheme="minorEastAsia" w:hAnsi="Franklin Gothic Book" w:cstheme="minorBidi"/>
      <w:color w:val="2E74B5"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Mention">
    <w:name w:val="Mention"/>
    <w:basedOn w:val="DefaultParagraphFont"/>
    <w:uiPriority w:val="99"/>
    <w:unhideWhenUsed/>
    <w:rPr>
      <w:color w:val="2B579A"/>
      <w:shd w:val="clear" w:color="auto" w:fill="E6E6E6"/>
    </w:rPr>
  </w:style>
  <w:style w:type="table" w:customStyle="1" w:styleId="Summarybox1">
    <w:name w:val="Summary box1"/>
    <w:basedOn w:val="TableNormal"/>
    <w:next w:val="TableGrid"/>
    <w:rsid w:val="00983A37"/>
    <w:pPr>
      <w:spacing w:after="0" w:line="240" w:lineRule="auto"/>
    </w:pPr>
    <w:rPr>
      <w:rFonts w:eastAsia="MS Mincho"/>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Bold">
    <w:name w:val="Small Bold"/>
    <w:basedOn w:val="DefaultParagraphFont"/>
    <w:uiPriority w:val="4"/>
    <w:qFormat/>
    <w:rsid w:val="00D42355"/>
    <w:rPr>
      <w:rFonts w:ascii="Candara" w:hAnsi="Candara"/>
      <w:b/>
      <w:sz w:val="20"/>
      <w:lang w:val="en-AU"/>
    </w:rPr>
  </w:style>
  <w:style w:type="character" w:customStyle="1" w:styleId="Small">
    <w:name w:val="Small"/>
    <w:basedOn w:val="DefaultParagraphFont"/>
    <w:uiPriority w:val="4"/>
    <w:qFormat/>
    <w:rsid w:val="00D42355"/>
    <w:rPr>
      <w:rFonts w:ascii="Arial Narrow" w:hAnsi="Arial Narrow"/>
      <w:sz w:val="20"/>
    </w:rPr>
  </w:style>
  <w:style w:type="paragraph" w:customStyle="1" w:styleId="Table">
    <w:name w:val="Table"/>
    <w:basedOn w:val="Normal"/>
    <w:link w:val="TableChar"/>
    <w:qFormat/>
    <w:rsid w:val="003F4E7A"/>
    <w:pPr>
      <w:spacing w:before="0" w:after="0" w:line="480" w:lineRule="auto"/>
    </w:pPr>
    <w:rPr>
      <w:rFonts w:ascii="Times New Roman" w:eastAsiaTheme="minorEastAsia" w:hAnsi="Times New Roman" w:cs="Times New Roman"/>
      <w:sz w:val="20"/>
      <w:szCs w:val="20"/>
      <w:lang w:eastAsia="en-AU"/>
    </w:rPr>
  </w:style>
  <w:style w:type="character" w:customStyle="1" w:styleId="TableChar">
    <w:name w:val="Table Char"/>
    <w:basedOn w:val="DefaultParagraphFont"/>
    <w:link w:val="Table"/>
    <w:locked/>
    <w:rsid w:val="003F4E7A"/>
    <w:rPr>
      <w:rFonts w:ascii="Times New Roman" w:eastAsiaTheme="minorEastAsia" w:hAnsi="Times New Roman" w:cs="Times New Roman"/>
      <w:sz w:val="20"/>
      <w:szCs w:val="20"/>
      <w:lang w:eastAsia="en-AU"/>
    </w:rPr>
  </w:style>
  <w:style w:type="paragraph" w:customStyle="1" w:styleId="TableCentre">
    <w:name w:val="Table Centre"/>
    <w:basedOn w:val="Table"/>
    <w:qFormat/>
    <w:rsid w:val="003F4E7A"/>
    <w:pPr>
      <w:jc w:val="center"/>
    </w:pPr>
  </w:style>
  <w:style w:type="paragraph" w:customStyle="1" w:styleId="CommentaryTabletext">
    <w:name w:val="Commentary Table text"/>
    <w:basedOn w:val="Commentary"/>
    <w:link w:val="CommentaryTabletextChar"/>
    <w:qFormat/>
    <w:rsid w:val="003F4E7A"/>
    <w:pPr>
      <w:spacing w:before="0" w:after="240" w:line="240" w:lineRule="auto"/>
      <w:contextualSpacing/>
    </w:pPr>
    <w:rPr>
      <w:rFonts w:ascii="Arial Narrow" w:eastAsiaTheme="majorEastAsia" w:hAnsi="Arial Narrow" w:cs="Times New Roman"/>
      <w:i/>
      <w:iCs/>
      <w:color w:val="0070C0"/>
      <w:sz w:val="20"/>
      <w:lang w:bidi="en-US"/>
    </w:rPr>
  </w:style>
  <w:style w:type="character" w:customStyle="1" w:styleId="CommentaryTabletextChar">
    <w:name w:val="Commentary Table text Char"/>
    <w:basedOn w:val="CommentaryChar"/>
    <w:link w:val="CommentaryTabletext"/>
    <w:rsid w:val="003F4E7A"/>
    <w:rPr>
      <w:rFonts w:ascii="Arial Narrow" w:eastAsiaTheme="majorEastAsia" w:hAnsi="Arial Narrow" w:cs="Times New Roman"/>
      <w:i/>
      <w:iCs/>
      <w:color w:val="0070C0"/>
      <w:sz w:val="20"/>
      <w:lang w:bidi="en-US"/>
    </w:rPr>
  </w:style>
  <w:style w:type="character" w:styleId="UnresolvedMention">
    <w:name w:val="Unresolved Mention"/>
    <w:basedOn w:val="DefaultParagraphFont"/>
    <w:uiPriority w:val="99"/>
    <w:unhideWhenUsed/>
    <w:rsid w:val="00BD11A5"/>
    <w:rPr>
      <w:color w:val="605E5C"/>
      <w:shd w:val="clear" w:color="auto" w:fill="E1DFDD"/>
    </w:rPr>
  </w:style>
  <w:style w:type="table" w:customStyle="1" w:styleId="Submissionstandard">
    <w:name w:val="Submission standard"/>
    <w:qFormat/>
    <w:rsid w:val="008F0E9D"/>
    <w:pPr>
      <w:spacing w:after="0" w:line="240" w:lineRule="auto"/>
    </w:pPr>
    <w:rPr>
      <w:rFonts w:ascii="Arial Narrow" w:eastAsia="Times New Roman" w:hAnsi="Arial Narrow"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Bookman Old Style" w:hAnsi="Bookman Old Style" w:cs="Times New Roman"/>
        <w:b/>
        <w:sz w:val="20"/>
      </w:rPr>
      <w:tblPr/>
      <w:tcPr>
        <w:shd w:val="clear" w:color="auto" w:fill="BFBFBF"/>
      </w:tcPr>
    </w:tblStylePr>
  </w:style>
  <w:style w:type="paragraph" w:customStyle="1" w:styleId="NormalBulletList">
    <w:name w:val="Normal Bullet List"/>
    <w:basedOn w:val="Normal"/>
    <w:uiPriority w:val="3"/>
    <w:qFormat/>
    <w:rsid w:val="00D02E8D"/>
    <w:pPr>
      <w:numPr>
        <w:numId w:val="19"/>
      </w:numPr>
      <w:spacing w:before="0" w:after="240" w:line="480" w:lineRule="auto"/>
      <w:contextualSpacing/>
    </w:pPr>
    <w:rPr>
      <w:rFonts w:ascii="Times New Roman" w:eastAsiaTheme="majorEastAsia" w:hAnsi="Times New Roman" w:cs="Times New Roman"/>
      <w:sz w:val="24"/>
      <w:lang w:bidi="en-US"/>
    </w:rPr>
  </w:style>
  <w:style w:type="character" w:customStyle="1" w:styleId="ui-provider">
    <w:name w:val="ui-provider"/>
    <w:basedOn w:val="DefaultParagraphFont"/>
    <w:rsid w:val="00DA50B5"/>
  </w:style>
  <w:style w:type="paragraph" w:customStyle="1" w:styleId="BoxName0">
    <w:name w:val="BoxName"/>
    <w:basedOn w:val="Normal"/>
    <w:rsid w:val="00824FF8"/>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824FF8"/>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824FF8"/>
    <w:pPr>
      <w:numPr>
        <w:numId w:val="22"/>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Default">
    <w:name w:val="Default"/>
    <w:rsid w:val="004679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A65EE"/>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0A65EE"/>
    <w:rPr>
      <w:rFonts w:ascii="Book Antiqua" w:eastAsia="Times New Roman" w:hAnsi="Book Antiqua" w:cs="Times New Roman"/>
      <w:sz w:val="24"/>
      <w:szCs w:val="20"/>
    </w:rPr>
  </w:style>
  <w:style w:type="paragraph" w:styleId="NoSpacing">
    <w:name w:val="No Spacing"/>
    <w:uiPriority w:val="1"/>
    <w:qFormat/>
    <w:rsid w:val="00432EB8"/>
    <w:pPr>
      <w:spacing w:after="0" w:line="240" w:lineRule="auto"/>
    </w:pPr>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36974135">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7286351">
      <w:bodyDiv w:val="1"/>
      <w:marLeft w:val="0"/>
      <w:marRight w:val="0"/>
      <w:marTop w:val="0"/>
      <w:marBottom w:val="0"/>
      <w:divBdr>
        <w:top w:val="none" w:sz="0" w:space="0" w:color="auto"/>
        <w:left w:val="none" w:sz="0" w:space="0" w:color="auto"/>
        <w:bottom w:val="none" w:sz="0" w:space="0" w:color="auto"/>
        <w:right w:val="none" w:sz="0" w:space="0" w:color="auto"/>
      </w:divBdr>
      <w:divsChild>
        <w:div w:id="177353133">
          <w:marLeft w:val="0"/>
          <w:marRight w:val="0"/>
          <w:marTop w:val="0"/>
          <w:marBottom w:val="0"/>
          <w:divBdr>
            <w:top w:val="none" w:sz="0" w:space="0" w:color="auto"/>
            <w:left w:val="none" w:sz="0" w:space="0" w:color="auto"/>
            <w:bottom w:val="none" w:sz="0" w:space="0" w:color="auto"/>
            <w:right w:val="none" w:sz="0" w:space="0" w:color="auto"/>
          </w:divBdr>
          <w:divsChild>
            <w:div w:id="1337197218">
              <w:marLeft w:val="-75"/>
              <w:marRight w:val="0"/>
              <w:marTop w:val="30"/>
              <w:marBottom w:val="30"/>
              <w:divBdr>
                <w:top w:val="none" w:sz="0" w:space="0" w:color="auto"/>
                <w:left w:val="none" w:sz="0" w:space="0" w:color="auto"/>
                <w:bottom w:val="none" w:sz="0" w:space="0" w:color="auto"/>
                <w:right w:val="none" w:sz="0" w:space="0" w:color="auto"/>
              </w:divBdr>
              <w:divsChild>
                <w:div w:id="172763989">
                  <w:marLeft w:val="0"/>
                  <w:marRight w:val="0"/>
                  <w:marTop w:val="0"/>
                  <w:marBottom w:val="0"/>
                  <w:divBdr>
                    <w:top w:val="none" w:sz="0" w:space="0" w:color="auto"/>
                    <w:left w:val="none" w:sz="0" w:space="0" w:color="auto"/>
                    <w:bottom w:val="none" w:sz="0" w:space="0" w:color="auto"/>
                    <w:right w:val="none" w:sz="0" w:space="0" w:color="auto"/>
                  </w:divBdr>
                  <w:divsChild>
                    <w:div w:id="1225484466">
                      <w:marLeft w:val="0"/>
                      <w:marRight w:val="0"/>
                      <w:marTop w:val="0"/>
                      <w:marBottom w:val="0"/>
                      <w:divBdr>
                        <w:top w:val="none" w:sz="0" w:space="0" w:color="auto"/>
                        <w:left w:val="none" w:sz="0" w:space="0" w:color="auto"/>
                        <w:bottom w:val="none" w:sz="0" w:space="0" w:color="auto"/>
                        <w:right w:val="none" w:sz="0" w:space="0" w:color="auto"/>
                      </w:divBdr>
                    </w:div>
                  </w:divsChild>
                </w:div>
                <w:div w:id="211310306">
                  <w:marLeft w:val="0"/>
                  <w:marRight w:val="0"/>
                  <w:marTop w:val="0"/>
                  <w:marBottom w:val="0"/>
                  <w:divBdr>
                    <w:top w:val="none" w:sz="0" w:space="0" w:color="auto"/>
                    <w:left w:val="none" w:sz="0" w:space="0" w:color="auto"/>
                    <w:bottom w:val="none" w:sz="0" w:space="0" w:color="auto"/>
                    <w:right w:val="none" w:sz="0" w:space="0" w:color="auto"/>
                  </w:divBdr>
                  <w:divsChild>
                    <w:div w:id="832066566">
                      <w:marLeft w:val="0"/>
                      <w:marRight w:val="0"/>
                      <w:marTop w:val="0"/>
                      <w:marBottom w:val="0"/>
                      <w:divBdr>
                        <w:top w:val="none" w:sz="0" w:space="0" w:color="auto"/>
                        <w:left w:val="none" w:sz="0" w:space="0" w:color="auto"/>
                        <w:bottom w:val="none" w:sz="0" w:space="0" w:color="auto"/>
                        <w:right w:val="none" w:sz="0" w:space="0" w:color="auto"/>
                      </w:divBdr>
                    </w:div>
                  </w:divsChild>
                </w:div>
                <w:div w:id="260796186">
                  <w:marLeft w:val="0"/>
                  <w:marRight w:val="0"/>
                  <w:marTop w:val="0"/>
                  <w:marBottom w:val="0"/>
                  <w:divBdr>
                    <w:top w:val="none" w:sz="0" w:space="0" w:color="auto"/>
                    <w:left w:val="none" w:sz="0" w:space="0" w:color="auto"/>
                    <w:bottom w:val="none" w:sz="0" w:space="0" w:color="auto"/>
                    <w:right w:val="none" w:sz="0" w:space="0" w:color="auto"/>
                  </w:divBdr>
                  <w:divsChild>
                    <w:div w:id="1166244336">
                      <w:marLeft w:val="0"/>
                      <w:marRight w:val="0"/>
                      <w:marTop w:val="0"/>
                      <w:marBottom w:val="0"/>
                      <w:divBdr>
                        <w:top w:val="none" w:sz="0" w:space="0" w:color="auto"/>
                        <w:left w:val="none" w:sz="0" w:space="0" w:color="auto"/>
                        <w:bottom w:val="none" w:sz="0" w:space="0" w:color="auto"/>
                        <w:right w:val="none" w:sz="0" w:space="0" w:color="auto"/>
                      </w:divBdr>
                    </w:div>
                  </w:divsChild>
                </w:div>
                <w:div w:id="338972746">
                  <w:marLeft w:val="0"/>
                  <w:marRight w:val="0"/>
                  <w:marTop w:val="0"/>
                  <w:marBottom w:val="0"/>
                  <w:divBdr>
                    <w:top w:val="none" w:sz="0" w:space="0" w:color="auto"/>
                    <w:left w:val="none" w:sz="0" w:space="0" w:color="auto"/>
                    <w:bottom w:val="none" w:sz="0" w:space="0" w:color="auto"/>
                    <w:right w:val="none" w:sz="0" w:space="0" w:color="auto"/>
                  </w:divBdr>
                  <w:divsChild>
                    <w:div w:id="1803384697">
                      <w:marLeft w:val="0"/>
                      <w:marRight w:val="0"/>
                      <w:marTop w:val="0"/>
                      <w:marBottom w:val="0"/>
                      <w:divBdr>
                        <w:top w:val="none" w:sz="0" w:space="0" w:color="auto"/>
                        <w:left w:val="none" w:sz="0" w:space="0" w:color="auto"/>
                        <w:bottom w:val="none" w:sz="0" w:space="0" w:color="auto"/>
                        <w:right w:val="none" w:sz="0" w:space="0" w:color="auto"/>
                      </w:divBdr>
                    </w:div>
                  </w:divsChild>
                </w:div>
                <w:div w:id="436608774">
                  <w:marLeft w:val="0"/>
                  <w:marRight w:val="0"/>
                  <w:marTop w:val="0"/>
                  <w:marBottom w:val="0"/>
                  <w:divBdr>
                    <w:top w:val="none" w:sz="0" w:space="0" w:color="auto"/>
                    <w:left w:val="none" w:sz="0" w:space="0" w:color="auto"/>
                    <w:bottom w:val="none" w:sz="0" w:space="0" w:color="auto"/>
                    <w:right w:val="none" w:sz="0" w:space="0" w:color="auto"/>
                  </w:divBdr>
                  <w:divsChild>
                    <w:div w:id="427847548">
                      <w:marLeft w:val="0"/>
                      <w:marRight w:val="0"/>
                      <w:marTop w:val="0"/>
                      <w:marBottom w:val="0"/>
                      <w:divBdr>
                        <w:top w:val="none" w:sz="0" w:space="0" w:color="auto"/>
                        <w:left w:val="none" w:sz="0" w:space="0" w:color="auto"/>
                        <w:bottom w:val="none" w:sz="0" w:space="0" w:color="auto"/>
                        <w:right w:val="none" w:sz="0" w:space="0" w:color="auto"/>
                      </w:divBdr>
                    </w:div>
                  </w:divsChild>
                </w:div>
                <w:div w:id="487939316">
                  <w:marLeft w:val="0"/>
                  <w:marRight w:val="0"/>
                  <w:marTop w:val="0"/>
                  <w:marBottom w:val="0"/>
                  <w:divBdr>
                    <w:top w:val="none" w:sz="0" w:space="0" w:color="auto"/>
                    <w:left w:val="none" w:sz="0" w:space="0" w:color="auto"/>
                    <w:bottom w:val="none" w:sz="0" w:space="0" w:color="auto"/>
                    <w:right w:val="none" w:sz="0" w:space="0" w:color="auto"/>
                  </w:divBdr>
                  <w:divsChild>
                    <w:div w:id="1365906334">
                      <w:marLeft w:val="0"/>
                      <w:marRight w:val="0"/>
                      <w:marTop w:val="0"/>
                      <w:marBottom w:val="0"/>
                      <w:divBdr>
                        <w:top w:val="none" w:sz="0" w:space="0" w:color="auto"/>
                        <w:left w:val="none" w:sz="0" w:space="0" w:color="auto"/>
                        <w:bottom w:val="none" w:sz="0" w:space="0" w:color="auto"/>
                        <w:right w:val="none" w:sz="0" w:space="0" w:color="auto"/>
                      </w:divBdr>
                    </w:div>
                  </w:divsChild>
                </w:div>
                <w:div w:id="505756288">
                  <w:marLeft w:val="0"/>
                  <w:marRight w:val="0"/>
                  <w:marTop w:val="0"/>
                  <w:marBottom w:val="0"/>
                  <w:divBdr>
                    <w:top w:val="none" w:sz="0" w:space="0" w:color="auto"/>
                    <w:left w:val="none" w:sz="0" w:space="0" w:color="auto"/>
                    <w:bottom w:val="none" w:sz="0" w:space="0" w:color="auto"/>
                    <w:right w:val="none" w:sz="0" w:space="0" w:color="auto"/>
                  </w:divBdr>
                  <w:divsChild>
                    <w:div w:id="249894060">
                      <w:marLeft w:val="0"/>
                      <w:marRight w:val="0"/>
                      <w:marTop w:val="0"/>
                      <w:marBottom w:val="0"/>
                      <w:divBdr>
                        <w:top w:val="none" w:sz="0" w:space="0" w:color="auto"/>
                        <w:left w:val="none" w:sz="0" w:space="0" w:color="auto"/>
                        <w:bottom w:val="none" w:sz="0" w:space="0" w:color="auto"/>
                        <w:right w:val="none" w:sz="0" w:space="0" w:color="auto"/>
                      </w:divBdr>
                    </w:div>
                  </w:divsChild>
                </w:div>
                <w:div w:id="545070789">
                  <w:marLeft w:val="0"/>
                  <w:marRight w:val="0"/>
                  <w:marTop w:val="0"/>
                  <w:marBottom w:val="0"/>
                  <w:divBdr>
                    <w:top w:val="none" w:sz="0" w:space="0" w:color="auto"/>
                    <w:left w:val="none" w:sz="0" w:space="0" w:color="auto"/>
                    <w:bottom w:val="none" w:sz="0" w:space="0" w:color="auto"/>
                    <w:right w:val="none" w:sz="0" w:space="0" w:color="auto"/>
                  </w:divBdr>
                  <w:divsChild>
                    <w:div w:id="918366735">
                      <w:marLeft w:val="0"/>
                      <w:marRight w:val="0"/>
                      <w:marTop w:val="0"/>
                      <w:marBottom w:val="0"/>
                      <w:divBdr>
                        <w:top w:val="none" w:sz="0" w:space="0" w:color="auto"/>
                        <w:left w:val="none" w:sz="0" w:space="0" w:color="auto"/>
                        <w:bottom w:val="none" w:sz="0" w:space="0" w:color="auto"/>
                        <w:right w:val="none" w:sz="0" w:space="0" w:color="auto"/>
                      </w:divBdr>
                    </w:div>
                  </w:divsChild>
                </w:div>
                <w:div w:id="589773866">
                  <w:marLeft w:val="0"/>
                  <w:marRight w:val="0"/>
                  <w:marTop w:val="0"/>
                  <w:marBottom w:val="0"/>
                  <w:divBdr>
                    <w:top w:val="none" w:sz="0" w:space="0" w:color="auto"/>
                    <w:left w:val="none" w:sz="0" w:space="0" w:color="auto"/>
                    <w:bottom w:val="none" w:sz="0" w:space="0" w:color="auto"/>
                    <w:right w:val="none" w:sz="0" w:space="0" w:color="auto"/>
                  </w:divBdr>
                  <w:divsChild>
                    <w:div w:id="1775444528">
                      <w:marLeft w:val="0"/>
                      <w:marRight w:val="0"/>
                      <w:marTop w:val="0"/>
                      <w:marBottom w:val="0"/>
                      <w:divBdr>
                        <w:top w:val="none" w:sz="0" w:space="0" w:color="auto"/>
                        <w:left w:val="none" w:sz="0" w:space="0" w:color="auto"/>
                        <w:bottom w:val="none" w:sz="0" w:space="0" w:color="auto"/>
                        <w:right w:val="none" w:sz="0" w:space="0" w:color="auto"/>
                      </w:divBdr>
                    </w:div>
                  </w:divsChild>
                </w:div>
                <w:div w:id="677195704">
                  <w:marLeft w:val="0"/>
                  <w:marRight w:val="0"/>
                  <w:marTop w:val="0"/>
                  <w:marBottom w:val="0"/>
                  <w:divBdr>
                    <w:top w:val="none" w:sz="0" w:space="0" w:color="auto"/>
                    <w:left w:val="none" w:sz="0" w:space="0" w:color="auto"/>
                    <w:bottom w:val="none" w:sz="0" w:space="0" w:color="auto"/>
                    <w:right w:val="none" w:sz="0" w:space="0" w:color="auto"/>
                  </w:divBdr>
                  <w:divsChild>
                    <w:div w:id="1354184796">
                      <w:marLeft w:val="0"/>
                      <w:marRight w:val="0"/>
                      <w:marTop w:val="0"/>
                      <w:marBottom w:val="0"/>
                      <w:divBdr>
                        <w:top w:val="none" w:sz="0" w:space="0" w:color="auto"/>
                        <w:left w:val="none" w:sz="0" w:space="0" w:color="auto"/>
                        <w:bottom w:val="none" w:sz="0" w:space="0" w:color="auto"/>
                        <w:right w:val="none" w:sz="0" w:space="0" w:color="auto"/>
                      </w:divBdr>
                    </w:div>
                  </w:divsChild>
                </w:div>
                <w:div w:id="761608477">
                  <w:marLeft w:val="0"/>
                  <w:marRight w:val="0"/>
                  <w:marTop w:val="0"/>
                  <w:marBottom w:val="0"/>
                  <w:divBdr>
                    <w:top w:val="none" w:sz="0" w:space="0" w:color="auto"/>
                    <w:left w:val="none" w:sz="0" w:space="0" w:color="auto"/>
                    <w:bottom w:val="none" w:sz="0" w:space="0" w:color="auto"/>
                    <w:right w:val="none" w:sz="0" w:space="0" w:color="auto"/>
                  </w:divBdr>
                  <w:divsChild>
                    <w:div w:id="1624729595">
                      <w:marLeft w:val="0"/>
                      <w:marRight w:val="0"/>
                      <w:marTop w:val="0"/>
                      <w:marBottom w:val="0"/>
                      <w:divBdr>
                        <w:top w:val="none" w:sz="0" w:space="0" w:color="auto"/>
                        <w:left w:val="none" w:sz="0" w:space="0" w:color="auto"/>
                        <w:bottom w:val="none" w:sz="0" w:space="0" w:color="auto"/>
                        <w:right w:val="none" w:sz="0" w:space="0" w:color="auto"/>
                      </w:divBdr>
                    </w:div>
                  </w:divsChild>
                </w:div>
                <w:div w:id="764619333">
                  <w:marLeft w:val="0"/>
                  <w:marRight w:val="0"/>
                  <w:marTop w:val="0"/>
                  <w:marBottom w:val="0"/>
                  <w:divBdr>
                    <w:top w:val="none" w:sz="0" w:space="0" w:color="auto"/>
                    <w:left w:val="none" w:sz="0" w:space="0" w:color="auto"/>
                    <w:bottom w:val="none" w:sz="0" w:space="0" w:color="auto"/>
                    <w:right w:val="none" w:sz="0" w:space="0" w:color="auto"/>
                  </w:divBdr>
                  <w:divsChild>
                    <w:div w:id="493495049">
                      <w:marLeft w:val="0"/>
                      <w:marRight w:val="0"/>
                      <w:marTop w:val="0"/>
                      <w:marBottom w:val="0"/>
                      <w:divBdr>
                        <w:top w:val="none" w:sz="0" w:space="0" w:color="auto"/>
                        <w:left w:val="none" w:sz="0" w:space="0" w:color="auto"/>
                        <w:bottom w:val="none" w:sz="0" w:space="0" w:color="auto"/>
                        <w:right w:val="none" w:sz="0" w:space="0" w:color="auto"/>
                      </w:divBdr>
                    </w:div>
                  </w:divsChild>
                </w:div>
                <w:div w:id="778991027">
                  <w:marLeft w:val="0"/>
                  <w:marRight w:val="0"/>
                  <w:marTop w:val="0"/>
                  <w:marBottom w:val="0"/>
                  <w:divBdr>
                    <w:top w:val="none" w:sz="0" w:space="0" w:color="auto"/>
                    <w:left w:val="none" w:sz="0" w:space="0" w:color="auto"/>
                    <w:bottom w:val="none" w:sz="0" w:space="0" w:color="auto"/>
                    <w:right w:val="none" w:sz="0" w:space="0" w:color="auto"/>
                  </w:divBdr>
                  <w:divsChild>
                    <w:div w:id="1000084629">
                      <w:marLeft w:val="0"/>
                      <w:marRight w:val="0"/>
                      <w:marTop w:val="0"/>
                      <w:marBottom w:val="0"/>
                      <w:divBdr>
                        <w:top w:val="none" w:sz="0" w:space="0" w:color="auto"/>
                        <w:left w:val="none" w:sz="0" w:space="0" w:color="auto"/>
                        <w:bottom w:val="none" w:sz="0" w:space="0" w:color="auto"/>
                        <w:right w:val="none" w:sz="0" w:space="0" w:color="auto"/>
                      </w:divBdr>
                    </w:div>
                  </w:divsChild>
                </w:div>
                <w:div w:id="826168438">
                  <w:marLeft w:val="0"/>
                  <w:marRight w:val="0"/>
                  <w:marTop w:val="0"/>
                  <w:marBottom w:val="0"/>
                  <w:divBdr>
                    <w:top w:val="none" w:sz="0" w:space="0" w:color="auto"/>
                    <w:left w:val="none" w:sz="0" w:space="0" w:color="auto"/>
                    <w:bottom w:val="none" w:sz="0" w:space="0" w:color="auto"/>
                    <w:right w:val="none" w:sz="0" w:space="0" w:color="auto"/>
                  </w:divBdr>
                  <w:divsChild>
                    <w:div w:id="1810707798">
                      <w:marLeft w:val="0"/>
                      <w:marRight w:val="0"/>
                      <w:marTop w:val="0"/>
                      <w:marBottom w:val="0"/>
                      <w:divBdr>
                        <w:top w:val="none" w:sz="0" w:space="0" w:color="auto"/>
                        <w:left w:val="none" w:sz="0" w:space="0" w:color="auto"/>
                        <w:bottom w:val="none" w:sz="0" w:space="0" w:color="auto"/>
                        <w:right w:val="none" w:sz="0" w:space="0" w:color="auto"/>
                      </w:divBdr>
                    </w:div>
                  </w:divsChild>
                </w:div>
                <w:div w:id="858086545">
                  <w:marLeft w:val="0"/>
                  <w:marRight w:val="0"/>
                  <w:marTop w:val="0"/>
                  <w:marBottom w:val="0"/>
                  <w:divBdr>
                    <w:top w:val="none" w:sz="0" w:space="0" w:color="auto"/>
                    <w:left w:val="none" w:sz="0" w:space="0" w:color="auto"/>
                    <w:bottom w:val="none" w:sz="0" w:space="0" w:color="auto"/>
                    <w:right w:val="none" w:sz="0" w:space="0" w:color="auto"/>
                  </w:divBdr>
                  <w:divsChild>
                    <w:div w:id="2003577964">
                      <w:marLeft w:val="0"/>
                      <w:marRight w:val="0"/>
                      <w:marTop w:val="0"/>
                      <w:marBottom w:val="0"/>
                      <w:divBdr>
                        <w:top w:val="none" w:sz="0" w:space="0" w:color="auto"/>
                        <w:left w:val="none" w:sz="0" w:space="0" w:color="auto"/>
                        <w:bottom w:val="none" w:sz="0" w:space="0" w:color="auto"/>
                        <w:right w:val="none" w:sz="0" w:space="0" w:color="auto"/>
                      </w:divBdr>
                    </w:div>
                  </w:divsChild>
                </w:div>
                <w:div w:id="862939059">
                  <w:marLeft w:val="0"/>
                  <w:marRight w:val="0"/>
                  <w:marTop w:val="0"/>
                  <w:marBottom w:val="0"/>
                  <w:divBdr>
                    <w:top w:val="none" w:sz="0" w:space="0" w:color="auto"/>
                    <w:left w:val="none" w:sz="0" w:space="0" w:color="auto"/>
                    <w:bottom w:val="none" w:sz="0" w:space="0" w:color="auto"/>
                    <w:right w:val="none" w:sz="0" w:space="0" w:color="auto"/>
                  </w:divBdr>
                  <w:divsChild>
                    <w:div w:id="847603247">
                      <w:marLeft w:val="0"/>
                      <w:marRight w:val="0"/>
                      <w:marTop w:val="0"/>
                      <w:marBottom w:val="0"/>
                      <w:divBdr>
                        <w:top w:val="none" w:sz="0" w:space="0" w:color="auto"/>
                        <w:left w:val="none" w:sz="0" w:space="0" w:color="auto"/>
                        <w:bottom w:val="none" w:sz="0" w:space="0" w:color="auto"/>
                        <w:right w:val="none" w:sz="0" w:space="0" w:color="auto"/>
                      </w:divBdr>
                    </w:div>
                  </w:divsChild>
                </w:div>
                <w:div w:id="886725263">
                  <w:marLeft w:val="0"/>
                  <w:marRight w:val="0"/>
                  <w:marTop w:val="0"/>
                  <w:marBottom w:val="0"/>
                  <w:divBdr>
                    <w:top w:val="none" w:sz="0" w:space="0" w:color="auto"/>
                    <w:left w:val="none" w:sz="0" w:space="0" w:color="auto"/>
                    <w:bottom w:val="none" w:sz="0" w:space="0" w:color="auto"/>
                    <w:right w:val="none" w:sz="0" w:space="0" w:color="auto"/>
                  </w:divBdr>
                  <w:divsChild>
                    <w:div w:id="1974095262">
                      <w:marLeft w:val="0"/>
                      <w:marRight w:val="0"/>
                      <w:marTop w:val="0"/>
                      <w:marBottom w:val="0"/>
                      <w:divBdr>
                        <w:top w:val="none" w:sz="0" w:space="0" w:color="auto"/>
                        <w:left w:val="none" w:sz="0" w:space="0" w:color="auto"/>
                        <w:bottom w:val="none" w:sz="0" w:space="0" w:color="auto"/>
                        <w:right w:val="none" w:sz="0" w:space="0" w:color="auto"/>
                      </w:divBdr>
                    </w:div>
                  </w:divsChild>
                </w:div>
                <w:div w:id="891503430">
                  <w:marLeft w:val="0"/>
                  <w:marRight w:val="0"/>
                  <w:marTop w:val="0"/>
                  <w:marBottom w:val="0"/>
                  <w:divBdr>
                    <w:top w:val="none" w:sz="0" w:space="0" w:color="auto"/>
                    <w:left w:val="none" w:sz="0" w:space="0" w:color="auto"/>
                    <w:bottom w:val="none" w:sz="0" w:space="0" w:color="auto"/>
                    <w:right w:val="none" w:sz="0" w:space="0" w:color="auto"/>
                  </w:divBdr>
                  <w:divsChild>
                    <w:div w:id="843477802">
                      <w:marLeft w:val="0"/>
                      <w:marRight w:val="0"/>
                      <w:marTop w:val="0"/>
                      <w:marBottom w:val="0"/>
                      <w:divBdr>
                        <w:top w:val="none" w:sz="0" w:space="0" w:color="auto"/>
                        <w:left w:val="none" w:sz="0" w:space="0" w:color="auto"/>
                        <w:bottom w:val="none" w:sz="0" w:space="0" w:color="auto"/>
                        <w:right w:val="none" w:sz="0" w:space="0" w:color="auto"/>
                      </w:divBdr>
                    </w:div>
                  </w:divsChild>
                </w:div>
                <w:div w:id="925378124">
                  <w:marLeft w:val="0"/>
                  <w:marRight w:val="0"/>
                  <w:marTop w:val="0"/>
                  <w:marBottom w:val="0"/>
                  <w:divBdr>
                    <w:top w:val="none" w:sz="0" w:space="0" w:color="auto"/>
                    <w:left w:val="none" w:sz="0" w:space="0" w:color="auto"/>
                    <w:bottom w:val="none" w:sz="0" w:space="0" w:color="auto"/>
                    <w:right w:val="none" w:sz="0" w:space="0" w:color="auto"/>
                  </w:divBdr>
                  <w:divsChild>
                    <w:div w:id="1429962258">
                      <w:marLeft w:val="0"/>
                      <w:marRight w:val="0"/>
                      <w:marTop w:val="0"/>
                      <w:marBottom w:val="0"/>
                      <w:divBdr>
                        <w:top w:val="none" w:sz="0" w:space="0" w:color="auto"/>
                        <w:left w:val="none" w:sz="0" w:space="0" w:color="auto"/>
                        <w:bottom w:val="none" w:sz="0" w:space="0" w:color="auto"/>
                        <w:right w:val="none" w:sz="0" w:space="0" w:color="auto"/>
                      </w:divBdr>
                    </w:div>
                  </w:divsChild>
                </w:div>
                <w:div w:id="929043431">
                  <w:marLeft w:val="0"/>
                  <w:marRight w:val="0"/>
                  <w:marTop w:val="0"/>
                  <w:marBottom w:val="0"/>
                  <w:divBdr>
                    <w:top w:val="none" w:sz="0" w:space="0" w:color="auto"/>
                    <w:left w:val="none" w:sz="0" w:space="0" w:color="auto"/>
                    <w:bottom w:val="none" w:sz="0" w:space="0" w:color="auto"/>
                    <w:right w:val="none" w:sz="0" w:space="0" w:color="auto"/>
                  </w:divBdr>
                  <w:divsChild>
                    <w:div w:id="965308418">
                      <w:marLeft w:val="0"/>
                      <w:marRight w:val="0"/>
                      <w:marTop w:val="0"/>
                      <w:marBottom w:val="0"/>
                      <w:divBdr>
                        <w:top w:val="none" w:sz="0" w:space="0" w:color="auto"/>
                        <w:left w:val="none" w:sz="0" w:space="0" w:color="auto"/>
                        <w:bottom w:val="none" w:sz="0" w:space="0" w:color="auto"/>
                        <w:right w:val="none" w:sz="0" w:space="0" w:color="auto"/>
                      </w:divBdr>
                    </w:div>
                  </w:divsChild>
                </w:div>
                <w:div w:id="1108547426">
                  <w:marLeft w:val="0"/>
                  <w:marRight w:val="0"/>
                  <w:marTop w:val="0"/>
                  <w:marBottom w:val="0"/>
                  <w:divBdr>
                    <w:top w:val="none" w:sz="0" w:space="0" w:color="auto"/>
                    <w:left w:val="none" w:sz="0" w:space="0" w:color="auto"/>
                    <w:bottom w:val="none" w:sz="0" w:space="0" w:color="auto"/>
                    <w:right w:val="none" w:sz="0" w:space="0" w:color="auto"/>
                  </w:divBdr>
                  <w:divsChild>
                    <w:div w:id="78138692">
                      <w:marLeft w:val="0"/>
                      <w:marRight w:val="0"/>
                      <w:marTop w:val="0"/>
                      <w:marBottom w:val="0"/>
                      <w:divBdr>
                        <w:top w:val="none" w:sz="0" w:space="0" w:color="auto"/>
                        <w:left w:val="none" w:sz="0" w:space="0" w:color="auto"/>
                        <w:bottom w:val="none" w:sz="0" w:space="0" w:color="auto"/>
                        <w:right w:val="none" w:sz="0" w:space="0" w:color="auto"/>
                      </w:divBdr>
                    </w:div>
                  </w:divsChild>
                </w:div>
                <w:div w:id="1120881047">
                  <w:marLeft w:val="0"/>
                  <w:marRight w:val="0"/>
                  <w:marTop w:val="0"/>
                  <w:marBottom w:val="0"/>
                  <w:divBdr>
                    <w:top w:val="none" w:sz="0" w:space="0" w:color="auto"/>
                    <w:left w:val="none" w:sz="0" w:space="0" w:color="auto"/>
                    <w:bottom w:val="none" w:sz="0" w:space="0" w:color="auto"/>
                    <w:right w:val="none" w:sz="0" w:space="0" w:color="auto"/>
                  </w:divBdr>
                  <w:divsChild>
                    <w:div w:id="422650490">
                      <w:marLeft w:val="0"/>
                      <w:marRight w:val="0"/>
                      <w:marTop w:val="0"/>
                      <w:marBottom w:val="0"/>
                      <w:divBdr>
                        <w:top w:val="none" w:sz="0" w:space="0" w:color="auto"/>
                        <w:left w:val="none" w:sz="0" w:space="0" w:color="auto"/>
                        <w:bottom w:val="none" w:sz="0" w:space="0" w:color="auto"/>
                        <w:right w:val="none" w:sz="0" w:space="0" w:color="auto"/>
                      </w:divBdr>
                    </w:div>
                  </w:divsChild>
                </w:div>
                <w:div w:id="1220633439">
                  <w:marLeft w:val="0"/>
                  <w:marRight w:val="0"/>
                  <w:marTop w:val="0"/>
                  <w:marBottom w:val="0"/>
                  <w:divBdr>
                    <w:top w:val="none" w:sz="0" w:space="0" w:color="auto"/>
                    <w:left w:val="none" w:sz="0" w:space="0" w:color="auto"/>
                    <w:bottom w:val="none" w:sz="0" w:space="0" w:color="auto"/>
                    <w:right w:val="none" w:sz="0" w:space="0" w:color="auto"/>
                  </w:divBdr>
                  <w:divsChild>
                    <w:div w:id="966590606">
                      <w:marLeft w:val="0"/>
                      <w:marRight w:val="0"/>
                      <w:marTop w:val="0"/>
                      <w:marBottom w:val="0"/>
                      <w:divBdr>
                        <w:top w:val="none" w:sz="0" w:space="0" w:color="auto"/>
                        <w:left w:val="none" w:sz="0" w:space="0" w:color="auto"/>
                        <w:bottom w:val="none" w:sz="0" w:space="0" w:color="auto"/>
                        <w:right w:val="none" w:sz="0" w:space="0" w:color="auto"/>
                      </w:divBdr>
                    </w:div>
                  </w:divsChild>
                </w:div>
                <w:div w:id="1226993708">
                  <w:marLeft w:val="0"/>
                  <w:marRight w:val="0"/>
                  <w:marTop w:val="0"/>
                  <w:marBottom w:val="0"/>
                  <w:divBdr>
                    <w:top w:val="none" w:sz="0" w:space="0" w:color="auto"/>
                    <w:left w:val="none" w:sz="0" w:space="0" w:color="auto"/>
                    <w:bottom w:val="none" w:sz="0" w:space="0" w:color="auto"/>
                    <w:right w:val="none" w:sz="0" w:space="0" w:color="auto"/>
                  </w:divBdr>
                  <w:divsChild>
                    <w:div w:id="942567781">
                      <w:marLeft w:val="0"/>
                      <w:marRight w:val="0"/>
                      <w:marTop w:val="0"/>
                      <w:marBottom w:val="0"/>
                      <w:divBdr>
                        <w:top w:val="none" w:sz="0" w:space="0" w:color="auto"/>
                        <w:left w:val="none" w:sz="0" w:space="0" w:color="auto"/>
                        <w:bottom w:val="none" w:sz="0" w:space="0" w:color="auto"/>
                        <w:right w:val="none" w:sz="0" w:space="0" w:color="auto"/>
                      </w:divBdr>
                    </w:div>
                  </w:divsChild>
                </w:div>
                <w:div w:id="1234239882">
                  <w:marLeft w:val="0"/>
                  <w:marRight w:val="0"/>
                  <w:marTop w:val="0"/>
                  <w:marBottom w:val="0"/>
                  <w:divBdr>
                    <w:top w:val="none" w:sz="0" w:space="0" w:color="auto"/>
                    <w:left w:val="none" w:sz="0" w:space="0" w:color="auto"/>
                    <w:bottom w:val="none" w:sz="0" w:space="0" w:color="auto"/>
                    <w:right w:val="none" w:sz="0" w:space="0" w:color="auto"/>
                  </w:divBdr>
                  <w:divsChild>
                    <w:div w:id="812721203">
                      <w:marLeft w:val="0"/>
                      <w:marRight w:val="0"/>
                      <w:marTop w:val="0"/>
                      <w:marBottom w:val="0"/>
                      <w:divBdr>
                        <w:top w:val="none" w:sz="0" w:space="0" w:color="auto"/>
                        <w:left w:val="none" w:sz="0" w:space="0" w:color="auto"/>
                        <w:bottom w:val="none" w:sz="0" w:space="0" w:color="auto"/>
                        <w:right w:val="none" w:sz="0" w:space="0" w:color="auto"/>
                      </w:divBdr>
                    </w:div>
                  </w:divsChild>
                </w:div>
                <w:div w:id="1252469718">
                  <w:marLeft w:val="0"/>
                  <w:marRight w:val="0"/>
                  <w:marTop w:val="0"/>
                  <w:marBottom w:val="0"/>
                  <w:divBdr>
                    <w:top w:val="none" w:sz="0" w:space="0" w:color="auto"/>
                    <w:left w:val="none" w:sz="0" w:space="0" w:color="auto"/>
                    <w:bottom w:val="none" w:sz="0" w:space="0" w:color="auto"/>
                    <w:right w:val="none" w:sz="0" w:space="0" w:color="auto"/>
                  </w:divBdr>
                  <w:divsChild>
                    <w:div w:id="541208675">
                      <w:marLeft w:val="0"/>
                      <w:marRight w:val="0"/>
                      <w:marTop w:val="0"/>
                      <w:marBottom w:val="0"/>
                      <w:divBdr>
                        <w:top w:val="none" w:sz="0" w:space="0" w:color="auto"/>
                        <w:left w:val="none" w:sz="0" w:space="0" w:color="auto"/>
                        <w:bottom w:val="none" w:sz="0" w:space="0" w:color="auto"/>
                        <w:right w:val="none" w:sz="0" w:space="0" w:color="auto"/>
                      </w:divBdr>
                    </w:div>
                  </w:divsChild>
                </w:div>
                <w:div w:id="1291015980">
                  <w:marLeft w:val="0"/>
                  <w:marRight w:val="0"/>
                  <w:marTop w:val="0"/>
                  <w:marBottom w:val="0"/>
                  <w:divBdr>
                    <w:top w:val="none" w:sz="0" w:space="0" w:color="auto"/>
                    <w:left w:val="none" w:sz="0" w:space="0" w:color="auto"/>
                    <w:bottom w:val="none" w:sz="0" w:space="0" w:color="auto"/>
                    <w:right w:val="none" w:sz="0" w:space="0" w:color="auto"/>
                  </w:divBdr>
                  <w:divsChild>
                    <w:div w:id="1496455078">
                      <w:marLeft w:val="0"/>
                      <w:marRight w:val="0"/>
                      <w:marTop w:val="0"/>
                      <w:marBottom w:val="0"/>
                      <w:divBdr>
                        <w:top w:val="none" w:sz="0" w:space="0" w:color="auto"/>
                        <w:left w:val="none" w:sz="0" w:space="0" w:color="auto"/>
                        <w:bottom w:val="none" w:sz="0" w:space="0" w:color="auto"/>
                        <w:right w:val="none" w:sz="0" w:space="0" w:color="auto"/>
                      </w:divBdr>
                    </w:div>
                  </w:divsChild>
                </w:div>
                <w:div w:id="1303539729">
                  <w:marLeft w:val="0"/>
                  <w:marRight w:val="0"/>
                  <w:marTop w:val="0"/>
                  <w:marBottom w:val="0"/>
                  <w:divBdr>
                    <w:top w:val="none" w:sz="0" w:space="0" w:color="auto"/>
                    <w:left w:val="none" w:sz="0" w:space="0" w:color="auto"/>
                    <w:bottom w:val="none" w:sz="0" w:space="0" w:color="auto"/>
                    <w:right w:val="none" w:sz="0" w:space="0" w:color="auto"/>
                  </w:divBdr>
                  <w:divsChild>
                    <w:div w:id="189149066">
                      <w:marLeft w:val="0"/>
                      <w:marRight w:val="0"/>
                      <w:marTop w:val="0"/>
                      <w:marBottom w:val="0"/>
                      <w:divBdr>
                        <w:top w:val="none" w:sz="0" w:space="0" w:color="auto"/>
                        <w:left w:val="none" w:sz="0" w:space="0" w:color="auto"/>
                        <w:bottom w:val="none" w:sz="0" w:space="0" w:color="auto"/>
                        <w:right w:val="none" w:sz="0" w:space="0" w:color="auto"/>
                      </w:divBdr>
                    </w:div>
                  </w:divsChild>
                </w:div>
                <w:div w:id="1316226614">
                  <w:marLeft w:val="0"/>
                  <w:marRight w:val="0"/>
                  <w:marTop w:val="0"/>
                  <w:marBottom w:val="0"/>
                  <w:divBdr>
                    <w:top w:val="none" w:sz="0" w:space="0" w:color="auto"/>
                    <w:left w:val="none" w:sz="0" w:space="0" w:color="auto"/>
                    <w:bottom w:val="none" w:sz="0" w:space="0" w:color="auto"/>
                    <w:right w:val="none" w:sz="0" w:space="0" w:color="auto"/>
                  </w:divBdr>
                  <w:divsChild>
                    <w:div w:id="1697466869">
                      <w:marLeft w:val="0"/>
                      <w:marRight w:val="0"/>
                      <w:marTop w:val="0"/>
                      <w:marBottom w:val="0"/>
                      <w:divBdr>
                        <w:top w:val="none" w:sz="0" w:space="0" w:color="auto"/>
                        <w:left w:val="none" w:sz="0" w:space="0" w:color="auto"/>
                        <w:bottom w:val="none" w:sz="0" w:space="0" w:color="auto"/>
                        <w:right w:val="none" w:sz="0" w:space="0" w:color="auto"/>
                      </w:divBdr>
                    </w:div>
                  </w:divsChild>
                </w:div>
                <w:div w:id="1322389659">
                  <w:marLeft w:val="0"/>
                  <w:marRight w:val="0"/>
                  <w:marTop w:val="0"/>
                  <w:marBottom w:val="0"/>
                  <w:divBdr>
                    <w:top w:val="none" w:sz="0" w:space="0" w:color="auto"/>
                    <w:left w:val="none" w:sz="0" w:space="0" w:color="auto"/>
                    <w:bottom w:val="none" w:sz="0" w:space="0" w:color="auto"/>
                    <w:right w:val="none" w:sz="0" w:space="0" w:color="auto"/>
                  </w:divBdr>
                  <w:divsChild>
                    <w:div w:id="241333021">
                      <w:marLeft w:val="0"/>
                      <w:marRight w:val="0"/>
                      <w:marTop w:val="0"/>
                      <w:marBottom w:val="0"/>
                      <w:divBdr>
                        <w:top w:val="none" w:sz="0" w:space="0" w:color="auto"/>
                        <w:left w:val="none" w:sz="0" w:space="0" w:color="auto"/>
                        <w:bottom w:val="none" w:sz="0" w:space="0" w:color="auto"/>
                        <w:right w:val="none" w:sz="0" w:space="0" w:color="auto"/>
                      </w:divBdr>
                    </w:div>
                  </w:divsChild>
                </w:div>
                <w:div w:id="1415396862">
                  <w:marLeft w:val="0"/>
                  <w:marRight w:val="0"/>
                  <w:marTop w:val="0"/>
                  <w:marBottom w:val="0"/>
                  <w:divBdr>
                    <w:top w:val="none" w:sz="0" w:space="0" w:color="auto"/>
                    <w:left w:val="none" w:sz="0" w:space="0" w:color="auto"/>
                    <w:bottom w:val="none" w:sz="0" w:space="0" w:color="auto"/>
                    <w:right w:val="none" w:sz="0" w:space="0" w:color="auto"/>
                  </w:divBdr>
                  <w:divsChild>
                    <w:div w:id="83693514">
                      <w:marLeft w:val="0"/>
                      <w:marRight w:val="0"/>
                      <w:marTop w:val="0"/>
                      <w:marBottom w:val="0"/>
                      <w:divBdr>
                        <w:top w:val="none" w:sz="0" w:space="0" w:color="auto"/>
                        <w:left w:val="none" w:sz="0" w:space="0" w:color="auto"/>
                        <w:bottom w:val="none" w:sz="0" w:space="0" w:color="auto"/>
                        <w:right w:val="none" w:sz="0" w:space="0" w:color="auto"/>
                      </w:divBdr>
                    </w:div>
                  </w:divsChild>
                </w:div>
                <w:div w:id="1433546346">
                  <w:marLeft w:val="0"/>
                  <w:marRight w:val="0"/>
                  <w:marTop w:val="0"/>
                  <w:marBottom w:val="0"/>
                  <w:divBdr>
                    <w:top w:val="none" w:sz="0" w:space="0" w:color="auto"/>
                    <w:left w:val="none" w:sz="0" w:space="0" w:color="auto"/>
                    <w:bottom w:val="none" w:sz="0" w:space="0" w:color="auto"/>
                    <w:right w:val="none" w:sz="0" w:space="0" w:color="auto"/>
                  </w:divBdr>
                  <w:divsChild>
                    <w:div w:id="329337583">
                      <w:marLeft w:val="0"/>
                      <w:marRight w:val="0"/>
                      <w:marTop w:val="0"/>
                      <w:marBottom w:val="0"/>
                      <w:divBdr>
                        <w:top w:val="none" w:sz="0" w:space="0" w:color="auto"/>
                        <w:left w:val="none" w:sz="0" w:space="0" w:color="auto"/>
                        <w:bottom w:val="none" w:sz="0" w:space="0" w:color="auto"/>
                        <w:right w:val="none" w:sz="0" w:space="0" w:color="auto"/>
                      </w:divBdr>
                    </w:div>
                    <w:div w:id="1241939660">
                      <w:marLeft w:val="0"/>
                      <w:marRight w:val="0"/>
                      <w:marTop w:val="0"/>
                      <w:marBottom w:val="0"/>
                      <w:divBdr>
                        <w:top w:val="none" w:sz="0" w:space="0" w:color="auto"/>
                        <w:left w:val="none" w:sz="0" w:space="0" w:color="auto"/>
                        <w:bottom w:val="none" w:sz="0" w:space="0" w:color="auto"/>
                        <w:right w:val="none" w:sz="0" w:space="0" w:color="auto"/>
                      </w:divBdr>
                    </w:div>
                  </w:divsChild>
                </w:div>
                <w:div w:id="1433894162">
                  <w:marLeft w:val="0"/>
                  <w:marRight w:val="0"/>
                  <w:marTop w:val="0"/>
                  <w:marBottom w:val="0"/>
                  <w:divBdr>
                    <w:top w:val="none" w:sz="0" w:space="0" w:color="auto"/>
                    <w:left w:val="none" w:sz="0" w:space="0" w:color="auto"/>
                    <w:bottom w:val="none" w:sz="0" w:space="0" w:color="auto"/>
                    <w:right w:val="none" w:sz="0" w:space="0" w:color="auto"/>
                  </w:divBdr>
                  <w:divsChild>
                    <w:div w:id="1913269163">
                      <w:marLeft w:val="0"/>
                      <w:marRight w:val="0"/>
                      <w:marTop w:val="0"/>
                      <w:marBottom w:val="0"/>
                      <w:divBdr>
                        <w:top w:val="none" w:sz="0" w:space="0" w:color="auto"/>
                        <w:left w:val="none" w:sz="0" w:space="0" w:color="auto"/>
                        <w:bottom w:val="none" w:sz="0" w:space="0" w:color="auto"/>
                        <w:right w:val="none" w:sz="0" w:space="0" w:color="auto"/>
                      </w:divBdr>
                    </w:div>
                  </w:divsChild>
                </w:div>
                <w:div w:id="1434017164">
                  <w:marLeft w:val="0"/>
                  <w:marRight w:val="0"/>
                  <w:marTop w:val="0"/>
                  <w:marBottom w:val="0"/>
                  <w:divBdr>
                    <w:top w:val="none" w:sz="0" w:space="0" w:color="auto"/>
                    <w:left w:val="none" w:sz="0" w:space="0" w:color="auto"/>
                    <w:bottom w:val="none" w:sz="0" w:space="0" w:color="auto"/>
                    <w:right w:val="none" w:sz="0" w:space="0" w:color="auto"/>
                  </w:divBdr>
                  <w:divsChild>
                    <w:div w:id="1121000599">
                      <w:marLeft w:val="0"/>
                      <w:marRight w:val="0"/>
                      <w:marTop w:val="0"/>
                      <w:marBottom w:val="0"/>
                      <w:divBdr>
                        <w:top w:val="none" w:sz="0" w:space="0" w:color="auto"/>
                        <w:left w:val="none" w:sz="0" w:space="0" w:color="auto"/>
                        <w:bottom w:val="none" w:sz="0" w:space="0" w:color="auto"/>
                        <w:right w:val="none" w:sz="0" w:space="0" w:color="auto"/>
                      </w:divBdr>
                    </w:div>
                  </w:divsChild>
                </w:div>
                <w:div w:id="1572234922">
                  <w:marLeft w:val="0"/>
                  <w:marRight w:val="0"/>
                  <w:marTop w:val="0"/>
                  <w:marBottom w:val="0"/>
                  <w:divBdr>
                    <w:top w:val="none" w:sz="0" w:space="0" w:color="auto"/>
                    <w:left w:val="none" w:sz="0" w:space="0" w:color="auto"/>
                    <w:bottom w:val="none" w:sz="0" w:space="0" w:color="auto"/>
                    <w:right w:val="none" w:sz="0" w:space="0" w:color="auto"/>
                  </w:divBdr>
                  <w:divsChild>
                    <w:div w:id="946231144">
                      <w:marLeft w:val="0"/>
                      <w:marRight w:val="0"/>
                      <w:marTop w:val="0"/>
                      <w:marBottom w:val="0"/>
                      <w:divBdr>
                        <w:top w:val="none" w:sz="0" w:space="0" w:color="auto"/>
                        <w:left w:val="none" w:sz="0" w:space="0" w:color="auto"/>
                        <w:bottom w:val="none" w:sz="0" w:space="0" w:color="auto"/>
                        <w:right w:val="none" w:sz="0" w:space="0" w:color="auto"/>
                      </w:divBdr>
                    </w:div>
                  </w:divsChild>
                </w:div>
                <w:div w:id="1572621459">
                  <w:marLeft w:val="0"/>
                  <w:marRight w:val="0"/>
                  <w:marTop w:val="0"/>
                  <w:marBottom w:val="0"/>
                  <w:divBdr>
                    <w:top w:val="none" w:sz="0" w:space="0" w:color="auto"/>
                    <w:left w:val="none" w:sz="0" w:space="0" w:color="auto"/>
                    <w:bottom w:val="none" w:sz="0" w:space="0" w:color="auto"/>
                    <w:right w:val="none" w:sz="0" w:space="0" w:color="auto"/>
                  </w:divBdr>
                  <w:divsChild>
                    <w:div w:id="836965940">
                      <w:marLeft w:val="0"/>
                      <w:marRight w:val="0"/>
                      <w:marTop w:val="0"/>
                      <w:marBottom w:val="0"/>
                      <w:divBdr>
                        <w:top w:val="none" w:sz="0" w:space="0" w:color="auto"/>
                        <w:left w:val="none" w:sz="0" w:space="0" w:color="auto"/>
                        <w:bottom w:val="none" w:sz="0" w:space="0" w:color="auto"/>
                        <w:right w:val="none" w:sz="0" w:space="0" w:color="auto"/>
                      </w:divBdr>
                    </w:div>
                  </w:divsChild>
                </w:div>
                <w:div w:id="1641881899">
                  <w:marLeft w:val="0"/>
                  <w:marRight w:val="0"/>
                  <w:marTop w:val="0"/>
                  <w:marBottom w:val="0"/>
                  <w:divBdr>
                    <w:top w:val="none" w:sz="0" w:space="0" w:color="auto"/>
                    <w:left w:val="none" w:sz="0" w:space="0" w:color="auto"/>
                    <w:bottom w:val="none" w:sz="0" w:space="0" w:color="auto"/>
                    <w:right w:val="none" w:sz="0" w:space="0" w:color="auto"/>
                  </w:divBdr>
                  <w:divsChild>
                    <w:div w:id="468598901">
                      <w:marLeft w:val="0"/>
                      <w:marRight w:val="0"/>
                      <w:marTop w:val="0"/>
                      <w:marBottom w:val="0"/>
                      <w:divBdr>
                        <w:top w:val="none" w:sz="0" w:space="0" w:color="auto"/>
                        <w:left w:val="none" w:sz="0" w:space="0" w:color="auto"/>
                        <w:bottom w:val="none" w:sz="0" w:space="0" w:color="auto"/>
                        <w:right w:val="none" w:sz="0" w:space="0" w:color="auto"/>
                      </w:divBdr>
                    </w:div>
                  </w:divsChild>
                </w:div>
                <w:div w:id="1687829756">
                  <w:marLeft w:val="0"/>
                  <w:marRight w:val="0"/>
                  <w:marTop w:val="0"/>
                  <w:marBottom w:val="0"/>
                  <w:divBdr>
                    <w:top w:val="none" w:sz="0" w:space="0" w:color="auto"/>
                    <w:left w:val="none" w:sz="0" w:space="0" w:color="auto"/>
                    <w:bottom w:val="none" w:sz="0" w:space="0" w:color="auto"/>
                    <w:right w:val="none" w:sz="0" w:space="0" w:color="auto"/>
                  </w:divBdr>
                  <w:divsChild>
                    <w:div w:id="2040423981">
                      <w:marLeft w:val="0"/>
                      <w:marRight w:val="0"/>
                      <w:marTop w:val="0"/>
                      <w:marBottom w:val="0"/>
                      <w:divBdr>
                        <w:top w:val="none" w:sz="0" w:space="0" w:color="auto"/>
                        <w:left w:val="none" w:sz="0" w:space="0" w:color="auto"/>
                        <w:bottom w:val="none" w:sz="0" w:space="0" w:color="auto"/>
                        <w:right w:val="none" w:sz="0" w:space="0" w:color="auto"/>
                      </w:divBdr>
                    </w:div>
                  </w:divsChild>
                </w:div>
                <w:div w:id="1688167029">
                  <w:marLeft w:val="0"/>
                  <w:marRight w:val="0"/>
                  <w:marTop w:val="0"/>
                  <w:marBottom w:val="0"/>
                  <w:divBdr>
                    <w:top w:val="none" w:sz="0" w:space="0" w:color="auto"/>
                    <w:left w:val="none" w:sz="0" w:space="0" w:color="auto"/>
                    <w:bottom w:val="none" w:sz="0" w:space="0" w:color="auto"/>
                    <w:right w:val="none" w:sz="0" w:space="0" w:color="auto"/>
                  </w:divBdr>
                  <w:divsChild>
                    <w:div w:id="1956401814">
                      <w:marLeft w:val="0"/>
                      <w:marRight w:val="0"/>
                      <w:marTop w:val="0"/>
                      <w:marBottom w:val="0"/>
                      <w:divBdr>
                        <w:top w:val="none" w:sz="0" w:space="0" w:color="auto"/>
                        <w:left w:val="none" w:sz="0" w:space="0" w:color="auto"/>
                        <w:bottom w:val="none" w:sz="0" w:space="0" w:color="auto"/>
                        <w:right w:val="none" w:sz="0" w:space="0" w:color="auto"/>
                      </w:divBdr>
                    </w:div>
                  </w:divsChild>
                </w:div>
                <w:div w:id="1693261332">
                  <w:marLeft w:val="0"/>
                  <w:marRight w:val="0"/>
                  <w:marTop w:val="0"/>
                  <w:marBottom w:val="0"/>
                  <w:divBdr>
                    <w:top w:val="none" w:sz="0" w:space="0" w:color="auto"/>
                    <w:left w:val="none" w:sz="0" w:space="0" w:color="auto"/>
                    <w:bottom w:val="none" w:sz="0" w:space="0" w:color="auto"/>
                    <w:right w:val="none" w:sz="0" w:space="0" w:color="auto"/>
                  </w:divBdr>
                  <w:divsChild>
                    <w:div w:id="137185785">
                      <w:marLeft w:val="0"/>
                      <w:marRight w:val="0"/>
                      <w:marTop w:val="0"/>
                      <w:marBottom w:val="0"/>
                      <w:divBdr>
                        <w:top w:val="none" w:sz="0" w:space="0" w:color="auto"/>
                        <w:left w:val="none" w:sz="0" w:space="0" w:color="auto"/>
                        <w:bottom w:val="none" w:sz="0" w:space="0" w:color="auto"/>
                        <w:right w:val="none" w:sz="0" w:space="0" w:color="auto"/>
                      </w:divBdr>
                    </w:div>
                  </w:divsChild>
                </w:div>
                <w:div w:id="1802961490">
                  <w:marLeft w:val="0"/>
                  <w:marRight w:val="0"/>
                  <w:marTop w:val="0"/>
                  <w:marBottom w:val="0"/>
                  <w:divBdr>
                    <w:top w:val="none" w:sz="0" w:space="0" w:color="auto"/>
                    <w:left w:val="none" w:sz="0" w:space="0" w:color="auto"/>
                    <w:bottom w:val="none" w:sz="0" w:space="0" w:color="auto"/>
                    <w:right w:val="none" w:sz="0" w:space="0" w:color="auto"/>
                  </w:divBdr>
                  <w:divsChild>
                    <w:div w:id="953753084">
                      <w:marLeft w:val="0"/>
                      <w:marRight w:val="0"/>
                      <w:marTop w:val="0"/>
                      <w:marBottom w:val="0"/>
                      <w:divBdr>
                        <w:top w:val="none" w:sz="0" w:space="0" w:color="auto"/>
                        <w:left w:val="none" w:sz="0" w:space="0" w:color="auto"/>
                        <w:bottom w:val="none" w:sz="0" w:space="0" w:color="auto"/>
                        <w:right w:val="none" w:sz="0" w:space="0" w:color="auto"/>
                      </w:divBdr>
                    </w:div>
                  </w:divsChild>
                </w:div>
                <w:div w:id="1811053955">
                  <w:marLeft w:val="0"/>
                  <w:marRight w:val="0"/>
                  <w:marTop w:val="0"/>
                  <w:marBottom w:val="0"/>
                  <w:divBdr>
                    <w:top w:val="none" w:sz="0" w:space="0" w:color="auto"/>
                    <w:left w:val="none" w:sz="0" w:space="0" w:color="auto"/>
                    <w:bottom w:val="none" w:sz="0" w:space="0" w:color="auto"/>
                    <w:right w:val="none" w:sz="0" w:space="0" w:color="auto"/>
                  </w:divBdr>
                  <w:divsChild>
                    <w:div w:id="1195845584">
                      <w:marLeft w:val="0"/>
                      <w:marRight w:val="0"/>
                      <w:marTop w:val="0"/>
                      <w:marBottom w:val="0"/>
                      <w:divBdr>
                        <w:top w:val="none" w:sz="0" w:space="0" w:color="auto"/>
                        <w:left w:val="none" w:sz="0" w:space="0" w:color="auto"/>
                        <w:bottom w:val="none" w:sz="0" w:space="0" w:color="auto"/>
                        <w:right w:val="none" w:sz="0" w:space="0" w:color="auto"/>
                      </w:divBdr>
                    </w:div>
                    <w:div w:id="1637024870">
                      <w:marLeft w:val="0"/>
                      <w:marRight w:val="0"/>
                      <w:marTop w:val="0"/>
                      <w:marBottom w:val="0"/>
                      <w:divBdr>
                        <w:top w:val="none" w:sz="0" w:space="0" w:color="auto"/>
                        <w:left w:val="none" w:sz="0" w:space="0" w:color="auto"/>
                        <w:bottom w:val="none" w:sz="0" w:space="0" w:color="auto"/>
                        <w:right w:val="none" w:sz="0" w:space="0" w:color="auto"/>
                      </w:divBdr>
                    </w:div>
                  </w:divsChild>
                </w:div>
                <w:div w:id="1866286257">
                  <w:marLeft w:val="0"/>
                  <w:marRight w:val="0"/>
                  <w:marTop w:val="0"/>
                  <w:marBottom w:val="0"/>
                  <w:divBdr>
                    <w:top w:val="none" w:sz="0" w:space="0" w:color="auto"/>
                    <w:left w:val="none" w:sz="0" w:space="0" w:color="auto"/>
                    <w:bottom w:val="none" w:sz="0" w:space="0" w:color="auto"/>
                    <w:right w:val="none" w:sz="0" w:space="0" w:color="auto"/>
                  </w:divBdr>
                  <w:divsChild>
                    <w:div w:id="167450615">
                      <w:marLeft w:val="0"/>
                      <w:marRight w:val="0"/>
                      <w:marTop w:val="0"/>
                      <w:marBottom w:val="0"/>
                      <w:divBdr>
                        <w:top w:val="none" w:sz="0" w:space="0" w:color="auto"/>
                        <w:left w:val="none" w:sz="0" w:space="0" w:color="auto"/>
                        <w:bottom w:val="none" w:sz="0" w:space="0" w:color="auto"/>
                        <w:right w:val="none" w:sz="0" w:space="0" w:color="auto"/>
                      </w:divBdr>
                    </w:div>
                  </w:divsChild>
                </w:div>
                <w:div w:id="1937715868">
                  <w:marLeft w:val="0"/>
                  <w:marRight w:val="0"/>
                  <w:marTop w:val="0"/>
                  <w:marBottom w:val="0"/>
                  <w:divBdr>
                    <w:top w:val="none" w:sz="0" w:space="0" w:color="auto"/>
                    <w:left w:val="none" w:sz="0" w:space="0" w:color="auto"/>
                    <w:bottom w:val="none" w:sz="0" w:space="0" w:color="auto"/>
                    <w:right w:val="none" w:sz="0" w:space="0" w:color="auto"/>
                  </w:divBdr>
                  <w:divsChild>
                    <w:div w:id="397939823">
                      <w:marLeft w:val="0"/>
                      <w:marRight w:val="0"/>
                      <w:marTop w:val="0"/>
                      <w:marBottom w:val="0"/>
                      <w:divBdr>
                        <w:top w:val="none" w:sz="0" w:space="0" w:color="auto"/>
                        <w:left w:val="none" w:sz="0" w:space="0" w:color="auto"/>
                        <w:bottom w:val="none" w:sz="0" w:space="0" w:color="auto"/>
                        <w:right w:val="none" w:sz="0" w:space="0" w:color="auto"/>
                      </w:divBdr>
                    </w:div>
                    <w:div w:id="1775829385">
                      <w:marLeft w:val="0"/>
                      <w:marRight w:val="0"/>
                      <w:marTop w:val="0"/>
                      <w:marBottom w:val="0"/>
                      <w:divBdr>
                        <w:top w:val="none" w:sz="0" w:space="0" w:color="auto"/>
                        <w:left w:val="none" w:sz="0" w:space="0" w:color="auto"/>
                        <w:bottom w:val="none" w:sz="0" w:space="0" w:color="auto"/>
                        <w:right w:val="none" w:sz="0" w:space="0" w:color="auto"/>
                      </w:divBdr>
                    </w:div>
                  </w:divsChild>
                </w:div>
                <w:div w:id="1993365267">
                  <w:marLeft w:val="0"/>
                  <w:marRight w:val="0"/>
                  <w:marTop w:val="0"/>
                  <w:marBottom w:val="0"/>
                  <w:divBdr>
                    <w:top w:val="none" w:sz="0" w:space="0" w:color="auto"/>
                    <w:left w:val="none" w:sz="0" w:space="0" w:color="auto"/>
                    <w:bottom w:val="none" w:sz="0" w:space="0" w:color="auto"/>
                    <w:right w:val="none" w:sz="0" w:space="0" w:color="auto"/>
                  </w:divBdr>
                  <w:divsChild>
                    <w:div w:id="1377312283">
                      <w:marLeft w:val="0"/>
                      <w:marRight w:val="0"/>
                      <w:marTop w:val="0"/>
                      <w:marBottom w:val="0"/>
                      <w:divBdr>
                        <w:top w:val="none" w:sz="0" w:space="0" w:color="auto"/>
                        <w:left w:val="none" w:sz="0" w:space="0" w:color="auto"/>
                        <w:bottom w:val="none" w:sz="0" w:space="0" w:color="auto"/>
                        <w:right w:val="none" w:sz="0" w:space="0" w:color="auto"/>
                      </w:divBdr>
                    </w:div>
                  </w:divsChild>
                </w:div>
                <w:div w:id="1998340057">
                  <w:marLeft w:val="0"/>
                  <w:marRight w:val="0"/>
                  <w:marTop w:val="0"/>
                  <w:marBottom w:val="0"/>
                  <w:divBdr>
                    <w:top w:val="none" w:sz="0" w:space="0" w:color="auto"/>
                    <w:left w:val="none" w:sz="0" w:space="0" w:color="auto"/>
                    <w:bottom w:val="none" w:sz="0" w:space="0" w:color="auto"/>
                    <w:right w:val="none" w:sz="0" w:space="0" w:color="auto"/>
                  </w:divBdr>
                  <w:divsChild>
                    <w:div w:id="1316956182">
                      <w:marLeft w:val="0"/>
                      <w:marRight w:val="0"/>
                      <w:marTop w:val="0"/>
                      <w:marBottom w:val="0"/>
                      <w:divBdr>
                        <w:top w:val="none" w:sz="0" w:space="0" w:color="auto"/>
                        <w:left w:val="none" w:sz="0" w:space="0" w:color="auto"/>
                        <w:bottom w:val="none" w:sz="0" w:space="0" w:color="auto"/>
                        <w:right w:val="none" w:sz="0" w:space="0" w:color="auto"/>
                      </w:divBdr>
                    </w:div>
                  </w:divsChild>
                </w:div>
                <w:div w:id="2014213925">
                  <w:marLeft w:val="0"/>
                  <w:marRight w:val="0"/>
                  <w:marTop w:val="0"/>
                  <w:marBottom w:val="0"/>
                  <w:divBdr>
                    <w:top w:val="none" w:sz="0" w:space="0" w:color="auto"/>
                    <w:left w:val="none" w:sz="0" w:space="0" w:color="auto"/>
                    <w:bottom w:val="none" w:sz="0" w:space="0" w:color="auto"/>
                    <w:right w:val="none" w:sz="0" w:space="0" w:color="auto"/>
                  </w:divBdr>
                  <w:divsChild>
                    <w:div w:id="1546213585">
                      <w:marLeft w:val="0"/>
                      <w:marRight w:val="0"/>
                      <w:marTop w:val="0"/>
                      <w:marBottom w:val="0"/>
                      <w:divBdr>
                        <w:top w:val="none" w:sz="0" w:space="0" w:color="auto"/>
                        <w:left w:val="none" w:sz="0" w:space="0" w:color="auto"/>
                        <w:bottom w:val="none" w:sz="0" w:space="0" w:color="auto"/>
                        <w:right w:val="none" w:sz="0" w:space="0" w:color="auto"/>
                      </w:divBdr>
                    </w:div>
                  </w:divsChild>
                </w:div>
                <w:div w:id="2056585664">
                  <w:marLeft w:val="0"/>
                  <w:marRight w:val="0"/>
                  <w:marTop w:val="0"/>
                  <w:marBottom w:val="0"/>
                  <w:divBdr>
                    <w:top w:val="none" w:sz="0" w:space="0" w:color="auto"/>
                    <w:left w:val="none" w:sz="0" w:space="0" w:color="auto"/>
                    <w:bottom w:val="none" w:sz="0" w:space="0" w:color="auto"/>
                    <w:right w:val="none" w:sz="0" w:space="0" w:color="auto"/>
                  </w:divBdr>
                  <w:divsChild>
                    <w:div w:id="13720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2180">
          <w:marLeft w:val="0"/>
          <w:marRight w:val="0"/>
          <w:marTop w:val="0"/>
          <w:marBottom w:val="0"/>
          <w:divBdr>
            <w:top w:val="none" w:sz="0" w:space="0" w:color="auto"/>
            <w:left w:val="none" w:sz="0" w:space="0" w:color="auto"/>
            <w:bottom w:val="none" w:sz="0" w:space="0" w:color="auto"/>
            <w:right w:val="none" w:sz="0" w:space="0" w:color="auto"/>
          </w:divBdr>
        </w:div>
        <w:div w:id="1567760856">
          <w:marLeft w:val="0"/>
          <w:marRight w:val="0"/>
          <w:marTop w:val="0"/>
          <w:marBottom w:val="0"/>
          <w:divBdr>
            <w:top w:val="none" w:sz="0" w:space="0" w:color="auto"/>
            <w:left w:val="none" w:sz="0" w:space="0" w:color="auto"/>
            <w:bottom w:val="none" w:sz="0" w:space="0" w:color="auto"/>
            <w:right w:val="none" w:sz="0" w:space="0" w:color="auto"/>
          </w:divBdr>
        </w:div>
        <w:div w:id="1720742717">
          <w:marLeft w:val="0"/>
          <w:marRight w:val="0"/>
          <w:marTop w:val="0"/>
          <w:marBottom w:val="0"/>
          <w:divBdr>
            <w:top w:val="none" w:sz="0" w:space="0" w:color="auto"/>
            <w:left w:val="none" w:sz="0" w:space="0" w:color="auto"/>
            <w:bottom w:val="none" w:sz="0" w:space="0" w:color="auto"/>
            <w:right w:val="none" w:sz="0" w:space="0" w:color="auto"/>
          </w:divBdr>
        </w:div>
      </w:divsChild>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85338606">
      <w:bodyDiv w:val="1"/>
      <w:marLeft w:val="0"/>
      <w:marRight w:val="0"/>
      <w:marTop w:val="0"/>
      <w:marBottom w:val="0"/>
      <w:divBdr>
        <w:top w:val="none" w:sz="0" w:space="0" w:color="auto"/>
        <w:left w:val="none" w:sz="0" w:space="0" w:color="auto"/>
        <w:bottom w:val="none" w:sz="0" w:space="0" w:color="auto"/>
        <w:right w:val="none" w:sz="0" w:space="0" w:color="auto"/>
      </w:divBdr>
      <w:divsChild>
        <w:div w:id="1852136778">
          <w:marLeft w:val="0"/>
          <w:marRight w:val="0"/>
          <w:marTop w:val="120"/>
          <w:marBottom w:val="0"/>
          <w:divBdr>
            <w:top w:val="none" w:sz="0" w:space="0" w:color="auto"/>
            <w:left w:val="none" w:sz="0" w:space="0" w:color="auto"/>
            <w:bottom w:val="none" w:sz="0" w:space="0" w:color="auto"/>
            <w:right w:val="none" w:sz="0" w:space="0" w:color="auto"/>
          </w:divBdr>
        </w:div>
      </w:divsChild>
    </w:div>
    <w:div w:id="192112724">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30971334">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6489086">
      <w:bodyDiv w:val="1"/>
      <w:marLeft w:val="0"/>
      <w:marRight w:val="0"/>
      <w:marTop w:val="0"/>
      <w:marBottom w:val="0"/>
      <w:divBdr>
        <w:top w:val="none" w:sz="0" w:space="0" w:color="auto"/>
        <w:left w:val="none" w:sz="0" w:space="0" w:color="auto"/>
        <w:bottom w:val="none" w:sz="0" w:space="0" w:color="auto"/>
        <w:right w:val="none" w:sz="0" w:space="0" w:color="auto"/>
      </w:divBdr>
      <w:divsChild>
        <w:div w:id="10302014">
          <w:marLeft w:val="0"/>
          <w:marRight w:val="0"/>
          <w:marTop w:val="0"/>
          <w:marBottom w:val="0"/>
          <w:divBdr>
            <w:top w:val="none" w:sz="0" w:space="0" w:color="auto"/>
            <w:left w:val="none" w:sz="0" w:space="0" w:color="auto"/>
            <w:bottom w:val="none" w:sz="0" w:space="0" w:color="auto"/>
            <w:right w:val="none" w:sz="0" w:space="0" w:color="auto"/>
          </w:divBdr>
          <w:divsChild>
            <w:div w:id="172303930">
              <w:marLeft w:val="0"/>
              <w:marRight w:val="0"/>
              <w:marTop w:val="0"/>
              <w:marBottom w:val="0"/>
              <w:divBdr>
                <w:top w:val="none" w:sz="0" w:space="0" w:color="auto"/>
                <w:left w:val="none" w:sz="0" w:space="0" w:color="auto"/>
                <w:bottom w:val="none" w:sz="0" w:space="0" w:color="auto"/>
                <w:right w:val="none" w:sz="0" w:space="0" w:color="auto"/>
              </w:divBdr>
            </w:div>
          </w:divsChild>
        </w:div>
        <w:div w:id="11038131">
          <w:marLeft w:val="0"/>
          <w:marRight w:val="0"/>
          <w:marTop w:val="0"/>
          <w:marBottom w:val="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
          </w:divsChild>
        </w:div>
        <w:div w:id="47650781">
          <w:marLeft w:val="0"/>
          <w:marRight w:val="0"/>
          <w:marTop w:val="0"/>
          <w:marBottom w:val="0"/>
          <w:divBdr>
            <w:top w:val="none" w:sz="0" w:space="0" w:color="auto"/>
            <w:left w:val="none" w:sz="0" w:space="0" w:color="auto"/>
            <w:bottom w:val="none" w:sz="0" w:space="0" w:color="auto"/>
            <w:right w:val="none" w:sz="0" w:space="0" w:color="auto"/>
          </w:divBdr>
          <w:divsChild>
            <w:div w:id="1244098051">
              <w:marLeft w:val="0"/>
              <w:marRight w:val="0"/>
              <w:marTop w:val="0"/>
              <w:marBottom w:val="0"/>
              <w:divBdr>
                <w:top w:val="none" w:sz="0" w:space="0" w:color="auto"/>
                <w:left w:val="none" w:sz="0" w:space="0" w:color="auto"/>
                <w:bottom w:val="none" w:sz="0" w:space="0" w:color="auto"/>
                <w:right w:val="none" w:sz="0" w:space="0" w:color="auto"/>
              </w:divBdr>
            </w:div>
          </w:divsChild>
        </w:div>
        <w:div w:id="72171321">
          <w:marLeft w:val="0"/>
          <w:marRight w:val="0"/>
          <w:marTop w:val="0"/>
          <w:marBottom w:val="0"/>
          <w:divBdr>
            <w:top w:val="none" w:sz="0" w:space="0" w:color="auto"/>
            <w:left w:val="none" w:sz="0" w:space="0" w:color="auto"/>
            <w:bottom w:val="none" w:sz="0" w:space="0" w:color="auto"/>
            <w:right w:val="none" w:sz="0" w:space="0" w:color="auto"/>
          </w:divBdr>
          <w:divsChild>
            <w:div w:id="1707245080">
              <w:marLeft w:val="0"/>
              <w:marRight w:val="0"/>
              <w:marTop w:val="0"/>
              <w:marBottom w:val="0"/>
              <w:divBdr>
                <w:top w:val="none" w:sz="0" w:space="0" w:color="auto"/>
                <w:left w:val="none" w:sz="0" w:space="0" w:color="auto"/>
                <w:bottom w:val="none" w:sz="0" w:space="0" w:color="auto"/>
                <w:right w:val="none" w:sz="0" w:space="0" w:color="auto"/>
              </w:divBdr>
            </w:div>
          </w:divsChild>
        </w:div>
        <w:div w:id="91316970">
          <w:marLeft w:val="0"/>
          <w:marRight w:val="0"/>
          <w:marTop w:val="0"/>
          <w:marBottom w:val="0"/>
          <w:divBdr>
            <w:top w:val="none" w:sz="0" w:space="0" w:color="auto"/>
            <w:left w:val="none" w:sz="0" w:space="0" w:color="auto"/>
            <w:bottom w:val="none" w:sz="0" w:space="0" w:color="auto"/>
            <w:right w:val="none" w:sz="0" w:space="0" w:color="auto"/>
          </w:divBdr>
          <w:divsChild>
            <w:div w:id="468087536">
              <w:marLeft w:val="0"/>
              <w:marRight w:val="0"/>
              <w:marTop w:val="0"/>
              <w:marBottom w:val="0"/>
              <w:divBdr>
                <w:top w:val="none" w:sz="0" w:space="0" w:color="auto"/>
                <w:left w:val="none" w:sz="0" w:space="0" w:color="auto"/>
                <w:bottom w:val="none" w:sz="0" w:space="0" w:color="auto"/>
                <w:right w:val="none" w:sz="0" w:space="0" w:color="auto"/>
              </w:divBdr>
            </w:div>
            <w:div w:id="490104659">
              <w:marLeft w:val="0"/>
              <w:marRight w:val="0"/>
              <w:marTop w:val="0"/>
              <w:marBottom w:val="0"/>
              <w:divBdr>
                <w:top w:val="none" w:sz="0" w:space="0" w:color="auto"/>
                <w:left w:val="none" w:sz="0" w:space="0" w:color="auto"/>
                <w:bottom w:val="none" w:sz="0" w:space="0" w:color="auto"/>
                <w:right w:val="none" w:sz="0" w:space="0" w:color="auto"/>
              </w:divBdr>
            </w:div>
          </w:divsChild>
        </w:div>
        <w:div w:id="97794885">
          <w:marLeft w:val="0"/>
          <w:marRight w:val="0"/>
          <w:marTop w:val="0"/>
          <w:marBottom w:val="0"/>
          <w:divBdr>
            <w:top w:val="none" w:sz="0" w:space="0" w:color="auto"/>
            <w:left w:val="none" w:sz="0" w:space="0" w:color="auto"/>
            <w:bottom w:val="none" w:sz="0" w:space="0" w:color="auto"/>
            <w:right w:val="none" w:sz="0" w:space="0" w:color="auto"/>
          </w:divBdr>
          <w:divsChild>
            <w:div w:id="629436037">
              <w:marLeft w:val="0"/>
              <w:marRight w:val="0"/>
              <w:marTop w:val="0"/>
              <w:marBottom w:val="0"/>
              <w:divBdr>
                <w:top w:val="none" w:sz="0" w:space="0" w:color="auto"/>
                <w:left w:val="none" w:sz="0" w:space="0" w:color="auto"/>
                <w:bottom w:val="none" w:sz="0" w:space="0" w:color="auto"/>
                <w:right w:val="none" w:sz="0" w:space="0" w:color="auto"/>
              </w:divBdr>
            </w:div>
          </w:divsChild>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63937586">
              <w:marLeft w:val="0"/>
              <w:marRight w:val="0"/>
              <w:marTop w:val="0"/>
              <w:marBottom w:val="0"/>
              <w:divBdr>
                <w:top w:val="none" w:sz="0" w:space="0" w:color="auto"/>
                <w:left w:val="none" w:sz="0" w:space="0" w:color="auto"/>
                <w:bottom w:val="none" w:sz="0" w:space="0" w:color="auto"/>
                <w:right w:val="none" w:sz="0" w:space="0" w:color="auto"/>
              </w:divBdr>
            </w:div>
          </w:divsChild>
        </w:div>
        <w:div w:id="164443747">
          <w:marLeft w:val="0"/>
          <w:marRight w:val="0"/>
          <w:marTop w:val="0"/>
          <w:marBottom w:val="0"/>
          <w:divBdr>
            <w:top w:val="none" w:sz="0" w:space="0" w:color="auto"/>
            <w:left w:val="none" w:sz="0" w:space="0" w:color="auto"/>
            <w:bottom w:val="none" w:sz="0" w:space="0" w:color="auto"/>
            <w:right w:val="none" w:sz="0" w:space="0" w:color="auto"/>
          </w:divBdr>
          <w:divsChild>
            <w:div w:id="77480214">
              <w:marLeft w:val="0"/>
              <w:marRight w:val="0"/>
              <w:marTop w:val="0"/>
              <w:marBottom w:val="0"/>
              <w:divBdr>
                <w:top w:val="none" w:sz="0" w:space="0" w:color="auto"/>
                <w:left w:val="none" w:sz="0" w:space="0" w:color="auto"/>
                <w:bottom w:val="none" w:sz="0" w:space="0" w:color="auto"/>
                <w:right w:val="none" w:sz="0" w:space="0" w:color="auto"/>
              </w:divBdr>
            </w:div>
          </w:divsChild>
        </w:div>
        <w:div w:id="177349026">
          <w:marLeft w:val="0"/>
          <w:marRight w:val="0"/>
          <w:marTop w:val="0"/>
          <w:marBottom w:val="0"/>
          <w:divBdr>
            <w:top w:val="none" w:sz="0" w:space="0" w:color="auto"/>
            <w:left w:val="none" w:sz="0" w:space="0" w:color="auto"/>
            <w:bottom w:val="none" w:sz="0" w:space="0" w:color="auto"/>
            <w:right w:val="none" w:sz="0" w:space="0" w:color="auto"/>
          </w:divBdr>
          <w:divsChild>
            <w:div w:id="115563146">
              <w:marLeft w:val="0"/>
              <w:marRight w:val="0"/>
              <w:marTop w:val="0"/>
              <w:marBottom w:val="0"/>
              <w:divBdr>
                <w:top w:val="none" w:sz="0" w:space="0" w:color="auto"/>
                <w:left w:val="none" w:sz="0" w:space="0" w:color="auto"/>
                <w:bottom w:val="none" w:sz="0" w:space="0" w:color="auto"/>
                <w:right w:val="none" w:sz="0" w:space="0" w:color="auto"/>
              </w:divBdr>
            </w:div>
            <w:div w:id="1879196617">
              <w:marLeft w:val="0"/>
              <w:marRight w:val="0"/>
              <w:marTop w:val="0"/>
              <w:marBottom w:val="0"/>
              <w:divBdr>
                <w:top w:val="none" w:sz="0" w:space="0" w:color="auto"/>
                <w:left w:val="none" w:sz="0" w:space="0" w:color="auto"/>
                <w:bottom w:val="none" w:sz="0" w:space="0" w:color="auto"/>
                <w:right w:val="none" w:sz="0" w:space="0" w:color="auto"/>
              </w:divBdr>
            </w:div>
          </w:divsChild>
        </w:div>
        <w:div w:id="292058846">
          <w:marLeft w:val="0"/>
          <w:marRight w:val="0"/>
          <w:marTop w:val="0"/>
          <w:marBottom w:val="0"/>
          <w:divBdr>
            <w:top w:val="none" w:sz="0" w:space="0" w:color="auto"/>
            <w:left w:val="none" w:sz="0" w:space="0" w:color="auto"/>
            <w:bottom w:val="none" w:sz="0" w:space="0" w:color="auto"/>
            <w:right w:val="none" w:sz="0" w:space="0" w:color="auto"/>
          </w:divBdr>
          <w:divsChild>
            <w:div w:id="899285273">
              <w:marLeft w:val="0"/>
              <w:marRight w:val="0"/>
              <w:marTop w:val="0"/>
              <w:marBottom w:val="0"/>
              <w:divBdr>
                <w:top w:val="none" w:sz="0" w:space="0" w:color="auto"/>
                <w:left w:val="none" w:sz="0" w:space="0" w:color="auto"/>
                <w:bottom w:val="none" w:sz="0" w:space="0" w:color="auto"/>
                <w:right w:val="none" w:sz="0" w:space="0" w:color="auto"/>
              </w:divBdr>
            </w:div>
          </w:divsChild>
        </w:div>
        <w:div w:id="315889076">
          <w:marLeft w:val="0"/>
          <w:marRight w:val="0"/>
          <w:marTop w:val="0"/>
          <w:marBottom w:val="0"/>
          <w:divBdr>
            <w:top w:val="none" w:sz="0" w:space="0" w:color="auto"/>
            <w:left w:val="none" w:sz="0" w:space="0" w:color="auto"/>
            <w:bottom w:val="none" w:sz="0" w:space="0" w:color="auto"/>
            <w:right w:val="none" w:sz="0" w:space="0" w:color="auto"/>
          </w:divBdr>
          <w:divsChild>
            <w:div w:id="987786231">
              <w:marLeft w:val="0"/>
              <w:marRight w:val="0"/>
              <w:marTop w:val="0"/>
              <w:marBottom w:val="0"/>
              <w:divBdr>
                <w:top w:val="none" w:sz="0" w:space="0" w:color="auto"/>
                <w:left w:val="none" w:sz="0" w:space="0" w:color="auto"/>
                <w:bottom w:val="none" w:sz="0" w:space="0" w:color="auto"/>
                <w:right w:val="none" w:sz="0" w:space="0" w:color="auto"/>
              </w:divBdr>
            </w:div>
          </w:divsChild>
        </w:div>
        <w:div w:id="321201771">
          <w:marLeft w:val="0"/>
          <w:marRight w:val="0"/>
          <w:marTop w:val="0"/>
          <w:marBottom w:val="0"/>
          <w:divBdr>
            <w:top w:val="none" w:sz="0" w:space="0" w:color="auto"/>
            <w:left w:val="none" w:sz="0" w:space="0" w:color="auto"/>
            <w:bottom w:val="none" w:sz="0" w:space="0" w:color="auto"/>
            <w:right w:val="none" w:sz="0" w:space="0" w:color="auto"/>
          </w:divBdr>
          <w:divsChild>
            <w:div w:id="1997030442">
              <w:marLeft w:val="0"/>
              <w:marRight w:val="0"/>
              <w:marTop w:val="0"/>
              <w:marBottom w:val="0"/>
              <w:divBdr>
                <w:top w:val="none" w:sz="0" w:space="0" w:color="auto"/>
                <w:left w:val="none" w:sz="0" w:space="0" w:color="auto"/>
                <w:bottom w:val="none" w:sz="0" w:space="0" w:color="auto"/>
                <w:right w:val="none" w:sz="0" w:space="0" w:color="auto"/>
              </w:divBdr>
            </w:div>
          </w:divsChild>
        </w:div>
        <w:div w:id="322204736">
          <w:marLeft w:val="0"/>
          <w:marRight w:val="0"/>
          <w:marTop w:val="0"/>
          <w:marBottom w:val="0"/>
          <w:divBdr>
            <w:top w:val="none" w:sz="0" w:space="0" w:color="auto"/>
            <w:left w:val="none" w:sz="0" w:space="0" w:color="auto"/>
            <w:bottom w:val="none" w:sz="0" w:space="0" w:color="auto"/>
            <w:right w:val="none" w:sz="0" w:space="0" w:color="auto"/>
          </w:divBdr>
          <w:divsChild>
            <w:div w:id="1149639103">
              <w:marLeft w:val="0"/>
              <w:marRight w:val="0"/>
              <w:marTop w:val="0"/>
              <w:marBottom w:val="0"/>
              <w:divBdr>
                <w:top w:val="none" w:sz="0" w:space="0" w:color="auto"/>
                <w:left w:val="none" w:sz="0" w:space="0" w:color="auto"/>
                <w:bottom w:val="none" w:sz="0" w:space="0" w:color="auto"/>
                <w:right w:val="none" w:sz="0" w:space="0" w:color="auto"/>
              </w:divBdr>
            </w:div>
            <w:div w:id="1371302867">
              <w:marLeft w:val="0"/>
              <w:marRight w:val="0"/>
              <w:marTop w:val="0"/>
              <w:marBottom w:val="0"/>
              <w:divBdr>
                <w:top w:val="none" w:sz="0" w:space="0" w:color="auto"/>
                <w:left w:val="none" w:sz="0" w:space="0" w:color="auto"/>
                <w:bottom w:val="none" w:sz="0" w:space="0" w:color="auto"/>
                <w:right w:val="none" w:sz="0" w:space="0" w:color="auto"/>
              </w:divBdr>
            </w:div>
          </w:divsChild>
        </w:div>
        <w:div w:id="328681253">
          <w:marLeft w:val="0"/>
          <w:marRight w:val="0"/>
          <w:marTop w:val="0"/>
          <w:marBottom w:val="0"/>
          <w:divBdr>
            <w:top w:val="none" w:sz="0" w:space="0" w:color="auto"/>
            <w:left w:val="none" w:sz="0" w:space="0" w:color="auto"/>
            <w:bottom w:val="none" w:sz="0" w:space="0" w:color="auto"/>
            <w:right w:val="none" w:sz="0" w:space="0" w:color="auto"/>
          </w:divBdr>
          <w:divsChild>
            <w:div w:id="1821771994">
              <w:marLeft w:val="0"/>
              <w:marRight w:val="0"/>
              <w:marTop w:val="0"/>
              <w:marBottom w:val="0"/>
              <w:divBdr>
                <w:top w:val="none" w:sz="0" w:space="0" w:color="auto"/>
                <w:left w:val="none" w:sz="0" w:space="0" w:color="auto"/>
                <w:bottom w:val="none" w:sz="0" w:space="0" w:color="auto"/>
                <w:right w:val="none" w:sz="0" w:space="0" w:color="auto"/>
              </w:divBdr>
            </w:div>
          </w:divsChild>
        </w:div>
        <w:div w:id="330573159">
          <w:marLeft w:val="0"/>
          <w:marRight w:val="0"/>
          <w:marTop w:val="0"/>
          <w:marBottom w:val="0"/>
          <w:divBdr>
            <w:top w:val="none" w:sz="0" w:space="0" w:color="auto"/>
            <w:left w:val="none" w:sz="0" w:space="0" w:color="auto"/>
            <w:bottom w:val="none" w:sz="0" w:space="0" w:color="auto"/>
            <w:right w:val="none" w:sz="0" w:space="0" w:color="auto"/>
          </w:divBdr>
          <w:divsChild>
            <w:div w:id="1759249335">
              <w:marLeft w:val="0"/>
              <w:marRight w:val="0"/>
              <w:marTop w:val="0"/>
              <w:marBottom w:val="0"/>
              <w:divBdr>
                <w:top w:val="none" w:sz="0" w:space="0" w:color="auto"/>
                <w:left w:val="none" w:sz="0" w:space="0" w:color="auto"/>
                <w:bottom w:val="none" w:sz="0" w:space="0" w:color="auto"/>
                <w:right w:val="none" w:sz="0" w:space="0" w:color="auto"/>
              </w:divBdr>
            </w:div>
          </w:divsChild>
        </w:div>
        <w:div w:id="359090794">
          <w:marLeft w:val="0"/>
          <w:marRight w:val="0"/>
          <w:marTop w:val="0"/>
          <w:marBottom w:val="0"/>
          <w:divBdr>
            <w:top w:val="none" w:sz="0" w:space="0" w:color="auto"/>
            <w:left w:val="none" w:sz="0" w:space="0" w:color="auto"/>
            <w:bottom w:val="none" w:sz="0" w:space="0" w:color="auto"/>
            <w:right w:val="none" w:sz="0" w:space="0" w:color="auto"/>
          </w:divBdr>
          <w:divsChild>
            <w:div w:id="1699966274">
              <w:marLeft w:val="0"/>
              <w:marRight w:val="0"/>
              <w:marTop w:val="0"/>
              <w:marBottom w:val="0"/>
              <w:divBdr>
                <w:top w:val="none" w:sz="0" w:space="0" w:color="auto"/>
                <w:left w:val="none" w:sz="0" w:space="0" w:color="auto"/>
                <w:bottom w:val="none" w:sz="0" w:space="0" w:color="auto"/>
                <w:right w:val="none" w:sz="0" w:space="0" w:color="auto"/>
              </w:divBdr>
            </w:div>
          </w:divsChild>
        </w:div>
        <w:div w:id="369308200">
          <w:marLeft w:val="0"/>
          <w:marRight w:val="0"/>
          <w:marTop w:val="0"/>
          <w:marBottom w:val="0"/>
          <w:divBdr>
            <w:top w:val="none" w:sz="0" w:space="0" w:color="auto"/>
            <w:left w:val="none" w:sz="0" w:space="0" w:color="auto"/>
            <w:bottom w:val="none" w:sz="0" w:space="0" w:color="auto"/>
            <w:right w:val="none" w:sz="0" w:space="0" w:color="auto"/>
          </w:divBdr>
          <w:divsChild>
            <w:div w:id="617025965">
              <w:marLeft w:val="0"/>
              <w:marRight w:val="0"/>
              <w:marTop w:val="0"/>
              <w:marBottom w:val="0"/>
              <w:divBdr>
                <w:top w:val="none" w:sz="0" w:space="0" w:color="auto"/>
                <w:left w:val="none" w:sz="0" w:space="0" w:color="auto"/>
                <w:bottom w:val="none" w:sz="0" w:space="0" w:color="auto"/>
                <w:right w:val="none" w:sz="0" w:space="0" w:color="auto"/>
              </w:divBdr>
            </w:div>
          </w:divsChild>
        </w:div>
        <w:div w:id="400098899">
          <w:marLeft w:val="0"/>
          <w:marRight w:val="0"/>
          <w:marTop w:val="0"/>
          <w:marBottom w:val="0"/>
          <w:divBdr>
            <w:top w:val="none" w:sz="0" w:space="0" w:color="auto"/>
            <w:left w:val="none" w:sz="0" w:space="0" w:color="auto"/>
            <w:bottom w:val="none" w:sz="0" w:space="0" w:color="auto"/>
            <w:right w:val="none" w:sz="0" w:space="0" w:color="auto"/>
          </w:divBdr>
          <w:divsChild>
            <w:div w:id="2006668261">
              <w:marLeft w:val="0"/>
              <w:marRight w:val="0"/>
              <w:marTop w:val="0"/>
              <w:marBottom w:val="0"/>
              <w:divBdr>
                <w:top w:val="none" w:sz="0" w:space="0" w:color="auto"/>
                <w:left w:val="none" w:sz="0" w:space="0" w:color="auto"/>
                <w:bottom w:val="none" w:sz="0" w:space="0" w:color="auto"/>
                <w:right w:val="none" w:sz="0" w:space="0" w:color="auto"/>
              </w:divBdr>
            </w:div>
          </w:divsChild>
        </w:div>
        <w:div w:id="416636206">
          <w:marLeft w:val="0"/>
          <w:marRight w:val="0"/>
          <w:marTop w:val="0"/>
          <w:marBottom w:val="0"/>
          <w:divBdr>
            <w:top w:val="none" w:sz="0" w:space="0" w:color="auto"/>
            <w:left w:val="none" w:sz="0" w:space="0" w:color="auto"/>
            <w:bottom w:val="none" w:sz="0" w:space="0" w:color="auto"/>
            <w:right w:val="none" w:sz="0" w:space="0" w:color="auto"/>
          </w:divBdr>
          <w:divsChild>
            <w:div w:id="841316424">
              <w:marLeft w:val="0"/>
              <w:marRight w:val="0"/>
              <w:marTop w:val="0"/>
              <w:marBottom w:val="0"/>
              <w:divBdr>
                <w:top w:val="none" w:sz="0" w:space="0" w:color="auto"/>
                <w:left w:val="none" w:sz="0" w:space="0" w:color="auto"/>
                <w:bottom w:val="none" w:sz="0" w:space="0" w:color="auto"/>
                <w:right w:val="none" w:sz="0" w:space="0" w:color="auto"/>
              </w:divBdr>
            </w:div>
          </w:divsChild>
        </w:div>
        <w:div w:id="429816591">
          <w:marLeft w:val="0"/>
          <w:marRight w:val="0"/>
          <w:marTop w:val="0"/>
          <w:marBottom w:val="0"/>
          <w:divBdr>
            <w:top w:val="none" w:sz="0" w:space="0" w:color="auto"/>
            <w:left w:val="none" w:sz="0" w:space="0" w:color="auto"/>
            <w:bottom w:val="none" w:sz="0" w:space="0" w:color="auto"/>
            <w:right w:val="none" w:sz="0" w:space="0" w:color="auto"/>
          </w:divBdr>
          <w:divsChild>
            <w:div w:id="1323653640">
              <w:marLeft w:val="0"/>
              <w:marRight w:val="0"/>
              <w:marTop w:val="0"/>
              <w:marBottom w:val="0"/>
              <w:divBdr>
                <w:top w:val="none" w:sz="0" w:space="0" w:color="auto"/>
                <w:left w:val="none" w:sz="0" w:space="0" w:color="auto"/>
                <w:bottom w:val="none" w:sz="0" w:space="0" w:color="auto"/>
                <w:right w:val="none" w:sz="0" w:space="0" w:color="auto"/>
              </w:divBdr>
            </w:div>
            <w:div w:id="1878001746">
              <w:marLeft w:val="0"/>
              <w:marRight w:val="0"/>
              <w:marTop w:val="0"/>
              <w:marBottom w:val="0"/>
              <w:divBdr>
                <w:top w:val="none" w:sz="0" w:space="0" w:color="auto"/>
                <w:left w:val="none" w:sz="0" w:space="0" w:color="auto"/>
                <w:bottom w:val="none" w:sz="0" w:space="0" w:color="auto"/>
                <w:right w:val="none" w:sz="0" w:space="0" w:color="auto"/>
              </w:divBdr>
            </w:div>
          </w:divsChild>
        </w:div>
        <w:div w:id="430440691">
          <w:marLeft w:val="0"/>
          <w:marRight w:val="0"/>
          <w:marTop w:val="0"/>
          <w:marBottom w:val="0"/>
          <w:divBdr>
            <w:top w:val="none" w:sz="0" w:space="0" w:color="auto"/>
            <w:left w:val="none" w:sz="0" w:space="0" w:color="auto"/>
            <w:bottom w:val="none" w:sz="0" w:space="0" w:color="auto"/>
            <w:right w:val="none" w:sz="0" w:space="0" w:color="auto"/>
          </w:divBdr>
          <w:divsChild>
            <w:div w:id="815071252">
              <w:marLeft w:val="0"/>
              <w:marRight w:val="0"/>
              <w:marTop w:val="0"/>
              <w:marBottom w:val="0"/>
              <w:divBdr>
                <w:top w:val="none" w:sz="0" w:space="0" w:color="auto"/>
                <w:left w:val="none" w:sz="0" w:space="0" w:color="auto"/>
                <w:bottom w:val="none" w:sz="0" w:space="0" w:color="auto"/>
                <w:right w:val="none" w:sz="0" w:space="0" w:color="auto"/>
              </w:divBdr>
            </w:div>
          </w:divsChild>
        </w:div>
        <w:div w:id="441389018">
          <w:marLeft w:val="0"/>
          <w:marRight w:val="0"/>
          <w:marTop w:val="0"/>
          <w:marBottom w:val="0"/>
          <w:divBdr>
            <w:top w:val="none" w:sz="0" w:space="0" w:color="auto"/>
            <w:left w:val="none" w:sz="0" w:space="0" w:color="auto"/>
            <w:bottom w:val="none" w:sz="0" w:space="0" w:color="auto"/>
            <w:right w:val="none" w:sz="0" w:space="0" w:color="auto"/>
          </w:divBdr>
          <w:divsChild>
            <w:div w:id="141971579">
              <w:marLeft w:val="0"/>
              <w:marRight w:val="0"/>
              <w:marTop w:val="0"/>
              <w:marBottom w:val="0"/>
              <w:divBdr>
                <w:top w:val="none" w:sz="0" w:space="0" w:color="auto"/>
                <w:left w:val="none" w:sz="0" w:space="0" w:color="auto"/>
                <w:bottom w:val="none" w:sz="0" w:space="0" w:color="auto"/>
                <w:right w:val="none" w:sz="0" w:space="0" w:color="auto"/>
              </w:divBdr>
            </w:div>
            <w:div w:id="1709990786">
              <w:marLeft w:val="0"/>
              <w:marRight w:val="0"/>
              <w:marTop w:val="0"/>
              <w:marBottom w:val="0"/>
              <w:divBdr>
                <w:top w:val="none" w:sz="0" w:space="0" w:color="auto"/>
                <w:left w:val="none" w:sz="0" w:space="0" w:color="auto"/>
                <w:bottom w:val="none" w:sz="0" w:space="0" w:color="auto"/>
                <w:right w:val="none" w:sz="0" w:space="0" w:color="auto"/>
              </w:divBdr>
            </w:div>
          </w:divsChild>
        </w:div>
        <w:div w:id="465856688">
          <w:marLeft w:val="0"/>
          <w:marRight w:val="0"/>
          <w:marTop w:val="0"/>
          <w:marBottom w:val="0"/>
          <w:divBdr>
            <w:top w:val="none" w:sz="0" w:space="0" w:color="auto"/>
            <w:left w:val="none" w:sz="0" w:space="0" w:color="auto"/>
            <w:bottom w:val="none" w:sz="0" w:space="0" w:color="auto"/>
            <w:right w:val="none" w:sz="0" w:space="0" w:color="auto"/>
          </w:divBdr>
          <w:divsChild>
            <w:div w:id="884216991">
              <w:marLeft w:val="0"/>
              <w:marRight w:val="0"/>
              <w:marTop w:val="0"/>
              <w:marBottom w:val="0"/>
              <w:divBdr>
                <w:top w:val="none" w:sz="0" w:space="0" w:color="auto"/>
                <w:left w:val="none" w:sz="0" w:space="0" w:color="auto"/>
                <w:bottom w:val="none" w:sz="0" w:space="0" w:color="auto"/>
                <w:right w:val="none" w:sz="0" w:space="0" w:color="auto"/>
              </w:divBdr>
            </w:div>
          </w:divsChild>
        </w:div>
        <w:div w:id="482937432">
          <w:marLeft w:val="0"/>
          <w:marRight w:val="0"/>
          <w:marTop w:val="0"/>
          <w:marBottom w:val="0"/>
          <w:divBdr>
            <w:top w:val="none" w:sz="0" w:space="0" w:color="auto"/>
            <w:left w:val="none" w:sz="0" w:space="0" w:color="auto"/>
            <w:bottom w:val="none" w:sz="0" w:space="0" w:color="auto"/>
            <w:right w:val="none" w:sz="0" w:space="0" w:color="auto"/>
          </w:divBdr>
          <w:divsChild>
            <w:div w:id="1016614047">
              <w:marLeft w:val="0"/>
              <w:marRight w:val="0"/>
              <w:marTop w:val="0"/>
              <w:marBottom w:val="0"/>
              <w:divBdr>
                <w:top w:val="none" w:sz="0" w:space="0" w:color="auto"/>
                <w:left w:val="none" w:sz="0" w:space="0" w:color="auto"/>
                <w:bottom w:val="none" w:sz="0" w:space="0" w:color="auto"/>
                <w:right w:val="none" w:sz="0" w:space="0" w:color="auto"/>
              </w:divBdr>
            </w:div>
            <w:div w:id="1807434845">
              <w:marLeft w:val="0"/>
              <w:marRight w:val="0"/>
              <w:marTop w:val="0"/>
              <w:marBottom w:val="0"/>
              <w:divBdr>
                <w:top w:val="none" w:sz="0" w:space="0" w:color="auto"/>
                <w:left w:val="none" w:sz="0" w:space="0" w:color="auto"/>
                <w:bottom w:val="none" w:sz="0" w:space="0" w:color="auto"/>
                <w:right w:val="none" w:sz="0" w:space="0" w:color="auto"/>
              </w:divBdr>
            </w:div>
          </w:divsChild>
        </w:div>
        <w:div w:id="503663883">
          <w:marLeft w:val="0"/>
          <w:marRight w:val="0"/>
          <w:marTop w:val="0"/>
          <w:marBottom w:val="0"/>
          <w:divBdr>
            <w:top w:val="none" w:sz="0" w:space="0" w:color="auto"/>
            <w:left w:val="none" w:sz="0" w:space="0" w:color="auto"/>
            <w:bottom w:val="none" w:sz="0" w:space="0" w:color="auto"/>
            <w:right w:val="none" w:sz="0" w:space="0" w:color="auto"/>
          </w:divBdr>
          <w:divsChild>
            <w:div w:id="316610732">
              <w:marLeft w:val="0"/>
              <w:marRight w:val="0"/>
              <w:marTop w:val="0"/>
              <w:marBottom w:val="0"/>
              <w:divBdr>
                <w:top w:val="none" w:sz="0" w:space="0" w:color="auto"/>
                <w:left w:val="none" w:sz="0" w:space="0" w:color="auto"/>
                <w:bottom w:val="none" w:sz="0" w:space="0" w:color="auto"/>
                <w:right w:val="none" w:sz="0" w:space="0" w:color="auto"/>
              </w:divBdr>
            </w:div>
          </w:divsChild>
        </w:div>
        <w:div w:id="554506618">
          <w:marLeft w:val="0"/>
          <w:marRight w:val="0"/>
          <w:marTop w:val="0"/>
          <w:marBottom w:val="0"/>
          <w:divBdr>
            <w:top w:val="none" w:sz="0" w:space="0" w:color="auto"/>
            <w:left w:val="none" w:sz="0" w:space="0" w:color="auto"/>
            <w:bottom w:val="none" w:sz="0" w:space="0" w:color="auto"/>
            <w:right w:val="none" w:sz="0" w:space="0" w:color="auto"/>
          </w:divBdr>
          <w:divsChild>
            <w:div w:id="349646744">
              <w:marLeft w:val="0"/>
              <w:marRight w:val="0"/>
              <w:marTop w:val="0"/>
              <w:marBottom w:val="0"/>
              <w:divBdr>
                <w:top w:val="none" w:sz="0" w:space="0" w:color="auto"/>
                <w:left w:val="none" w:sz="0" w:space="0" w:color="auto"/>
                <w:bottom w:val="none" w:sz="0" w:space="0" w:color="auto"/>
                <w:right w:val="none" w:sz="0" w:space="0" w:color="auto"/>
              </w:divBdr>
            </w:div>
            <w:div w:id="1693871806">
              <w:marLeft w:val="0"/>
              <w:marRight w:val="0"/>
              <w:marTop w:val="0"/>
              <w:marBottom w:val="0"/>
              <w:divBdr>
                <w:top w:val="none" w:sz="0" w:space="0" w:color="auto"/>
                <w:left w:val="none" w:sz="0" w:space="0" w:color="auto"/>
                <w:bottom w:val="none" w:sz="0" w:space="0" w:color="auto"/>
                <w:right w:val="none" w:sz="0" w:space="0" w:color="auto"/>
              </w:divBdr>
            </w:div>
          </w:divsChild>
        </w:div>
        <w:div w:id="562984705">
          <w:marLeft w:val="0"/>
          <w:marRight w:val="0"/>
          <w:marTop w:val="0"/>
          <w:marBottom w:val="0"/>
          <w:divBdr>
            <w:top w:val="none" w:sz="0" w:space="0" w:color="auto"/>
            <w:left w:val="none" w:sz="0" w:space="0" w:color="auto"/>
            <w:bottom w:val="none" w:sz="0" w:space="0" w:color="auto"/>
            <w:right w:val="none" w:sz="0" w:space="0" w:color="auto"/>
          </w:divBdr>
          <w:divsChild>
            <w:div w:id="1372461732">
              <w:marLeft w:val="0"/>
              <w:marRight w:val="0"/>
              <w:marTop w:val="0"/>
              <w:marBottom w:val="0"/>
              <w:divBdr>
                <w:top w:val="none" w:sz="0" w:space="0" w:color="auto"/>
                <w:left w:val="none" w:sz="0" w:space="0" w:color="auto"/>
                <w:bottom w:val="none" w:sz="0" w:space="0" w:color="auto"/>
                <w:right w:val="none" w:sz="0" w:space="0" w:color="auto"/>
              </w:divBdr>
            </w:div>
          </w:divsChild>
        </w:div>
        <w:div w:id="570427468">
          <w:marLeft w:val="0"/>
          <w:marRight w:val="0"/>
          <w:marTop w:val="0"/>
          <w:marBottom w:val="0"/>
          <w:divBdr>
            <w:top w:val="none" w:sz="0" w:space="0" w:color="auto"/>
            <w:left w:val="none" w:sz="0" w:space="0" w:color="auto"/>
            <w:bottom w:val="none" w:sz="0" w:space="0" w:color="auto"/>
            <w:right w:val="none" w:sz="0" w:space="0" w:color="auto"/>
          </w:divBdr>
          <w:divsChild>
            <w:div w:id="1618482932">
              <w:marLeft w:val="0"/>
              <w:marRight w:val="0"/>
              <w:marTop w:val="0"/>
              <w:marBottom w:val="0"/>
              <w:divBdr>
                <w:top w:val="none" w:sz="0" w:space="0" w:color="auto"/>
                <w:left w:val="none" w:sz="0" w:space="0" w:color="auto"/>
                <w:bottom w:val="none" w:sz="0" w:space="0" w:color="auto"/>
                <w:right w:val="none" w:sz="0" w:space="0" w:color="auto"/>
              </w:divBdr>
            </w:div>
          </w:divsChild>
        </w:div>
        <w:div w:id="605356065">
          <w:marLeft w:val="0"/>
          <w:marRight w:val="0"/>
          <w:marTop w:val="0"/>
          <w:marBottom w:val="0"/>
          <w:divBdr>
            <w:top w:val="none" w:sz="0" w:space="0" w:color="auto"/>
            <w:left w:val="none" w:sz="0" w:space="0" w:color="auto"/>
            <w:bottom w:val="none" w:sz="0" w:space="0" w:color="auto"/>
            <w:right w:val="none" w:sz="0" w:space="0" w:color="auto"/>
          </w:divBdr>
          <w:divsChild>
            <w:div w:id="1644770395">
              <w:marLeft w:val="0"/>
              <w:marRight w:val="0"/>
              <w:marTop w:val="0"/>
              <w:marBottom w:val="0"/>
              <w:divBdr>
                <w:top w:val="none" w:sz="0" w:space="0" w:color="auto"/>
                <w:left w:val="none" w:sz="0" w:space="0" w:color="auto"/>
                <w:bottom w:val="none" w:sz="0" w:space="0" w:color="auto"/>
                <w:right w:val="none" w:sz="0" w:space="0" w:color="auto"/>
              </w:divBdr>
            </w:div>
          </w:divsChild>
        </w:div>
        <w:div w:id="610089233">
          <w:marLeft w:val="0"/>
          <w:marRight w:val="0"/>
          <w:marTop w:val="0"/>
          <w:marBottom w:val="0"/>
          <w:divBdr>
            <w:top w:val="none" w:sz="0" w:space="0" w:color="auto"/>
            <w:left w:val="none" w:sz="0" w:space="0" w:color="auto"/>
            <w:bottom w:val="none" w:sz="0" w:space="0" w:color="auto"/>
            <w:right w:val="none" w:sz="0" w:space="0" w:color="auto"/>
          </w:divBdr>
          <w:divsChild>
            <w:div w:id="839857870">
              <w:marLeft w:val="0"/>
              <w:marRight w:val="0"/>
              <w:marTop w:val="0"/>
              <w:marBottom w:val="0"/>
              <w:divBdr>
                <w:top w:val="none" w:sz="0" w:space="0" w:color="auto"/>
                <w:left w:val="none" w:sz="0" w:space="0" w:color="auto"/>
                <w:bottom w:val="none" w:sz="0" w:space="0" w:color="auto"/>
                <w:right w:val="none" w:sz="0" w:space="0" w:color="auto"/>
              </w:divBdr>
            </w:div>
            <w:div w:id="1094210240">
              <w:marLeft w:val="0"/>
              <w:marRight w:val="0"/>
              <w:marTop w:val="0"/>
              <w:marBottom w:val="0"/>
              <w:divBdr>
                <w:top w:val="none" w:sz="0" w:space="0" w:color="auto"/>
                <w:left w:val="none" w:sz="0" w:space="0" w:color="auto"/>
                <w:bottom w:val="none" w:sz="0" w:space="0" w:color="auto"/>
                <w:right w:val="none" w:sz="0" w:space="0" w:color="auto"/>
              </w:divBdr>
            </w:div>
          </w:divsChild>
        </w:div>
        <w:div w:id="634723645">
          <w:marLeft w:val="0"/>
          <w:marRight w:val="0"/>
          <w:marTop w:val="0"/>
          <w:marBottom w:val="0"/>
          <w:divBdr>
            <w:top w:val="none" w:sz="0" w:space="0" w:color="auto"/>
            <w:left w:val="none" w:sz="0" w:space="0" w:color="auto"/>
            <w:bottom w:val="none" w:sz="0" w:space="0" w:color="auto"/>
            <w:right w:val="none" w:sz="0" w:space="0" w:color="auto"/>
          </w:divBdr>
          <w:divsChild>
            <w:div w:id="1571697607">
              <w:marLeft w:val="0"/>
              <w:marRight w:val="0"/>
              <w:marTop w:val="0"/>
              <w:marBottom w:val="0"/>
              <w:divBdr>
                <w:top w:val="none" w:sz="0" w:space="0" w:color="auto"/>
                <w:left w:val="none" w:sz="0" w:space="0" w:color="auto"/>
                <w:bottom w:val="none" w:sz="0" w:space="0" w:color="auto"/>
                <w:right w:val="none" w:sz="0" w:space="0" w:color="auto"/>
              </w:divBdr>
            </w:div>
            <w:div w:id="1977102647">
              <w:marLeft w:val="0"/>
              <w:marRight w:val="0"/>
              <w:marTop w:val="0"/>
              <w:marBottom w:val="0"/>
              <w:divBdr>
                <w:top w:val="none" w:sz="0" w:space="0" w:color="auto"/>
                <w:left w:val="none" w:sz="0" w:space="0" w:color="auto"/>
                <w:bottom w:val="none" w:sz="0" w:space="0" w:color="auto"/>
                <w:right w:val="none" w:sz="0" w:space="0" w:color="auto"/>
              </w:divBdr>
            </w:div>
          </w:divsChild>
        </w:div>
        <w:div w:id="656300017">
          <w:marLeft w:val="0"/>
          <w:marRight w:val="0"/>
          <w:marTop w:val="0"/>
          <w:marBottom w:val="0"/>
          <w:divBdr>
            <w:top w:val="none" w:sz="0" w:space="0" w:color="auto"/>
            <w:left w:val="none" w:sz="0" w:space="0" w:color="auto"/>
            <w:bottom w:val="none" w:sz="0" w:space="0" w:color="auto"/>
            <w:right w:val="none" w:sz="0" w:space="0" w:color="auto"/>
          </w:divBdr>
          <w:divsChild>
            <w:div w:id="280381876">
              <w:marLeft w:val="0"/>
              <w:marRight w:val="0"/>
              <w:marTop w:val="0"/>
              <w:marBottom w:val="0"/>
              <w:divBdr>
                <w:top w:val="none" w:sz="0" w:space="0" w:color="auto"/>
                <w:left w:val="none" w:sz="0" w:space="0" w:color="auto"/>
                <w:bottom w:val="none" w:sz="0" w:space="0" w:color="auto"/>
                <w:right w:val="none" w:sz="0" w:space="0" w:color="auto"/>
              </w:divBdr>
            </w:div>
            <w:div w:id="529805723">
              <w:marLeft w:val="0"/>
              <w:marRight w:val="0"/>
              <w:marTop w:val="0"/>
              <w:marBottom w:val="0"/>
              <w:divBdr>
                <w:top w:val="none" w:sz="0" w:space="0" w:color="auto"/>
                <w:left w:val="none" w:sz="0" w:space="0" w:color="auto"/>
                <w:bottom w:val="none" w:sz="0" w:space="0" w:color="auto"/>
                <w:right w:val="none" w:sz="0" w:space="0" w:color="auto"/>
              </w:divBdr>
            </w:div>
          </w:divsChild>
        </w:div>
        <w:div w:id="715810176">
          <w:marLeft w:val="0"/>
          <w:marRight w:val="0"/>
          <w:marTop w:val="0"/>
          <w:marBottom w:val="0"/>
          <w:divBdr>
            <w:top w:val="none" w:sz="0" w:space="0" w:color="auto"/>
            <w:left w:val="none" w:sz="0" w:space="0" w:color="auto"/>
            <w:bottom w:val="none" w:sz="0" w:space="0" w:color="auto"/>
            <w:right w:val="none" w:sz="0" w:space="0" w:color="auto"/>
          </w:divBdr>
          <w:divsChild>
            <w:div w:id="1718553712">
              <w:marLeft w:val="0"/>
              <w:marRight w:val="0"/>
              <w:marTop w:val="0"/>
              <w:marBottom w:val="0"/>
              <w:divBdr>
                <w:top w:val="none" w:sz="0" w:space="0" w:color="auto"/>
                <w:left w:val="none" w:sz="0" w:space="0" w:color="auto"/>
                <w:bottom w:val="none" w:sz="0" w:space="0" w:color="auto"/>
                <w:right w:val="none" w:sz="0" w:space="0" w:color="auto"/>
              </w:divBdr>
            </w:div>
          </w:divsChild>
        </w:div>
        <w:div w:id="748233879">
          <w:marLeft w:val="0"/>
          <w:marRight w:val="0"/>
          <w:marTop w:val="0"/>
          <w:marBottom w:val="0"/>
          <w:divBdr>
            <w:top w:val="none" w:sz="0" w:space="0" w:color="auto"/>
            <w:left w:val="none" w:sz="0" w:space="0" w:color="auto"/>
            <w:bottom w:val="none" w:sz="0" w:space="0" w:color="auto"/>
            <w:right w:val="none" w:sz="0" w:space="0" w:color="auto"/>
          </w:divBdr>
          <w:divsChild>
            <w:div w:id="1694451861">
              <w:marLeft w:val="0"/>
              <w:marRight w:val="0"/>
              <w:marTop w:val="0"/>
              <w:marBottom w:val="0"/>
              <w:divBdr>
                <w:top w:val="none" w:sz="0" w:space="0" w:color="auto"/>
                <w:left w:val="none" w:sz="0" w:space="0" w:color="auto"/>
                <w:bottom w:val="none" w:sz="0" w:space="0" w:color="auto"/>
                <w:right w:val="none" w:sz="0" w:space="0" w:color="auto"/>
              </w:divBdr>
            </w:div>
          </w:divsChild>
        </w:div>
        <w:div w:id="763647593">
          <w:marLeft w:val="0"/>
          <w:marRight w:val="0"/>
          <w:marTop w:val="0"/>
          <w:marBottom w:val="0"/>
          <w:divBdr>
            <w:top w:val="none" w:sz="0" w:space="0" w:color="auto"/>
            <w:left w:val="none" w:sz="0" w:space="0" w:color="auto"/>
            <w:bottom w:val="none" w:sz="0" w:space="0" w:color="auto"/>
            <w:right w:val="none" w:sz="0" w:space="0" w:color="auto"/>
          </w:divBdr>
          <w:divsChild>
            <w:div w:id="1781678703">
              <w:marLeft w:val="0"/>
              <w:marRight w:val="0"/>
              <w:marTop w:val="0"/>
              <w:marBottom w:val="0"/>
              <w:divBdr>
                <w:top w:val="none" w:sz="0" w:space="0" w:color="auto"/>
                <w:left w:val="none" w:sz="0" w:space="0" w:color="auto"/>
                <w:bottom w:val="none" w:sz="0" w:space="0" w:color="auto"/>
                <w:right w:val="none" w:sz="0" w:space="0" w:color="auto"/>
              </w:divBdr>
            </w:div>
          </w:divsChild>
        </w:div>
        <w:div w:id="784889714">
          <w:marLeft w:val="0"/>
          <w:marRight w:val="0"/>
          <w:marTop w:val="0"/>
          <w:marBottom w:val="0"/>
          <w:divBdr>
            <w:top w:val="none" w:sz="0" w:space="0" w:color="auto"/>
            <w:left w:val="none" w:sz="0" w:space="0" w:color="auto"/>
            <w:bottom w:val="none" w:sz="0" w:space="0" w:color="auto"/>
            <w:right w:val="none" w:sz="0" w:space="0" w:color="auto"/>
          </w:divBdr>
          <w:divsChild>
            <w:div w:id="1133060226">
              <w:marLeft w:val="0"/>
              <w:marRight w:val="0"/>
              <w:marTop w:val="0"/>
              <w:marBottom w:val="0"/>
              <w:divBdr>
                <w:top w:val="none" w:sz="0" w:space="0" w:color="auto"/>
                <w:left w:val="none" w:sz="0" w:space="0" w:color="auto"/>
                <w:bottom w:val="none" w:sz="0" w:space="0" w:color="auto"/>
                <w:right w:val="none" w:sz="0" w:space="0" w:color="auto"/>
              </w:divBdr>
            </w:div>
          </w:divsChild>
        </w:div>
        <w:div w:id="785199606">
          <w:marLeft w:val="0"/>
          <w:marRight w:val="0"/>
          <w:marTop w:val="0"/>
          <w:marBottom w:val="0"/>
          <w:divBdr>
            <w:top w:val="none" w:sz="0" w:space="0" w:color="auto"/>
            <w:left w:val="none" w:sz="0" w:space="0" w:color="auto"/>
            <w:bottom w:val="none" w:sz="0" w:space="0" w:color="auto"/>
            <w:right w:val="none" w:sz="0" w:space="0" w:color="auto"/>
          </w:divBdr>
          <w:divsChild>
            <w:div w:id="379327944">
              <w:marLeft w:val="0"/>
              <w:marRight w:val="0"/>
              <w:marTop w:val="0"/>
              <w:marBottom w:val="0"/>
              <w:divBdr>
                <w:top w:val="none" w:sz="0" w:space="0" w:color="auto"/>
                <w:left w:val="none" w:sz="0" w:space="0" w:color="auto"/>
                <w:bottom w:val="none" w:sz="0" w:space="0" w:color="auto"/>
                <w:right w:val="none" w:sz="0" w:space="0" w:color="auto"/>
              </w:divBdr>
            </w:div>
          </w:divsChild>
        </w:div>
        <w:div w:id="786046485">
          <w:marLeft w:val="0"/>
          <w:marRight w:val="0"/>
          <w:marTop w:val="0"/>
          <w:marBottom w:val="0"/>
          <w:divBdr>
            <w:top w:val="none" w:sz="0" w:space="0" w:color="auto"/>
            <w:left w:val="none" w:sz="0" w:space="0" w:color="auto"/>
            <w:bottom w:val="none" w:sz="0" w:space="0" w:color="auto"/>
            <w:right w:val="none" w:sz="0" w:space="0" w:color="auto"/>
          </w:divBdr>
          <w:divsChild>
            <w:div w:id="873804982">
              <w:marLeft w:val="0"/>
              <w:marRight w:val="0"/>
              <w:marTop w:val="0"/>
              <w:marBottom w:val="0"/>
              <w:divBdr>
                <w:top w:val="none" w:sz="0" w:space="0" w:color="auto"/>
                <w:left w:val="none" w:sz="0" w:space="0" w:color="auto"/>
                <w:bottom w:val="none" w:sz="0" w:space="0" w:color="auto"/>
                <w:right w:val="none" w:sz="0" w:space="0" w:color="auto"/>
              </w:divBdr>
            </w:div>
          </w:divsChild>
        </w:div>
        <w:div w:id="835001350">
          <w:marLeft w:val="0"/>
          <w:marRight w:val="0"/>
          <w:marTop w:val="0"/>
          <w:marBottom w:val="0"/>
          <w:divBdr>
            <w:top w:val="none" w:sz="0" w:space="0" w:color="auto"/>
            <w:left w:val="none" w:sz="0" w:space="0" w:color="auto"/>
            <w:bottom w:val="none" w:sz="0" w:space="0" w:color="auto"/>
            <w:right w:val="none" w:sz="0" w:space="0" w:color="auto"/>
          </w:divBdr>
          <w:divsChild>
            <w:div w:id="405687866">
              <w:marLeft w:val="0"/>
              <w:marRight w:val="0"/>
              <w:marTop w:val="0"/>
              <w:marBottom w:val="0"/>
              <w:divBdr>
                <w:top w:val="none" w:sz="0" w:space="0" w:color="auto"/>
                <w:left w:val="none" w:sz="0" w:space="0" w:color="auto"/>
                <w:bottom w:val="none" w:sz="0" w:space="0" w:color="auto"/>
                <w:right w:val="none" w:sz="0" w:space="0" w:color="auto"/>
              </w:divBdr>
            </w:div>
          </w:divsChild>
        </w:div>
        <w:div w:id="854151910">
          <w:marLeft w:val="0"/>
          <w:marRight w:val="0"/>
          <w:marTop w:val="0"/>
          <w:marBottom w:val="0"/>
          <w:divBdr>
            <w:top w:val="none" w:sz="0" w:space="0" w:color="auto"/>
            <w:left w:val="none" w:sz="0" w:space="0" w:color="auto"/>
            <w:bottom w:val="none" w:sz="0" w:space="0" w:color="auto"/>
            <w:right w:val="none" w:sz="0" w:space="0" w:color="auto"/>
          </w:divBdr>
          <w:divsChild>
            <w:div w:id="21589424">
              <w:marLeft w:val="0"/>
              <w:marRight w:val="0"/>
              <w:marTop w:val="0"/>
              <w:marBottom w:val="0"/>
              <w:divBdr>
                <w:top w:val="none" w:sz="0" w:space="0" w:color="auto"/>
                <w:left w:val="none" w:sz="0" w:space="0" w:color="auto"/>
                <w:bottom w:val="none" w:sz="0" w:space="0" w:color="auto"/>
                <w:right w:val="none" w:sz="0" w:space="0" w:color="auto"/>
              </w:divBdr>
            </w:div>
          </w:divsChild>
        </w:div>
        <w:div w:id="860237813">
          <w:marLeft w:val="0"/>
          <w:marRight w:val="0"/>
          <w:marTop w:val="0"/>
          <w:marBottom w:val="0"/>
          <w:divBdr>
            <w:top w:val="none" w:sz="0" w:space="0" w:color="auto"/>
            <w:left w:val="none" w:sz="0" w:space="0" w:color="auto"/>
            <w:bottom w:val="none" w:sz="0" w:space="0" w:color="auto"/>
            <w:right w:val="none" w:sz="0" w:space="0" w:color="auto"/>
          </w:divBdr>
          <w:divsChild>
            <w:div w:id="23218915">
              <w:marLeft w:val="0"/>
              <w:marRight w:val="0"/>
              <w:marTop w:val="0"/>
              <w:marBottom w:val="0"/>
              <w:divBdr>
                <w:top w:val="none" w:sz="0" w:space="0" w:color="auto"/>
                <w:left w:val="none" w:sz="0" w:space="0" w:color="auto"/>
                <w:bottom w:val="none" w:sz="0" w:space="0" w:color="auto"/>
                <w:right w:val="none" w:sz="0" w:space="0" w:color="auto"/>
              </w:divBdr>
            </w:div>
            <w:div w:id="296572859">
              <w:marLeft w:val="0"/>
              <w:marRight w:val="0"/>
              <w:marTop w:val="0"/>
              <w:marBottom w:val="0"/>
              <w:divBdr>
                <w:top w:val="none" w:sz="0" w:space="0" w:color="auto"/>
                <w:left w:val="none" w:sz="0" w:space="0" w:color="auto"/>
                <w:bottom w:val="none" w:sz="0" w:space="0" w:color="auto"/>
                <w:right w:val="none" w:sz="0" w:space="0" w:color="auto"/>
              </w:divBdr>
            </w:div>
          </w:divsChild>
        </w:div>
        <w:div w:id="867446317">
          <w:marLeft w:val="0"/>
          <w:marRight w:val="0"/>
          <w:marTop w:val="0"/>
          <w:marBottom w:val="0"/>
          <w:divBdr>
            <w:top w:val="none" w:sz="0" w:space="0" w:color="auto"/>
            <w:left w:val="none" w:sz="0" w:space="0" w:color="auto"/>
            <w:bottom w:val="none" w:sz="0" w:space="0" w:color="auto"/>
            <w:right w:val="none" w:sz="0" w:space="0" w:color="auto"/>
          </w:divBdr>
          <w:divsChild>
            <w:div w:id="270170482">
              <w:marLeft w:val="0"/>
              <w:marRight w:val="0"/>
              <w:marTop w:val="0"/>
              <w:marBottom w:val="0"/>
              <w:divBdr>
                <w:top w:val="none" w:sz="0" w:space="0" w:color="auto"/>
                <w:left w:val="none" w:sz="0" w:space="0" w:color="auto"/>
                <w:bottom w:val="none" w:sz="0" w:space="0" w:color="auto"/>
                <w:right w:val="none" w:sz="0" w:space="0" w:color="auto"/>
              </w:divBdr>
            </w:div>
          </w:divsChild>
        </w:div>
        <w:div w:id="873424073">
          <w:marLeft w:val="0"/>
          <w:marRight w:val="0"/>
          <w:marTop w:val="0"/>
          <w:marBottom w:val="0"/>
          <w:divBdr>
            <w:top w:val="none" w:sz="0" w:space="0" w:color="auto"/>
            <w:left w:val="none" w:sz="0" w:space="0" w:color="auto"/>
            <w:bottom w:val="none" w:sz="0" w:space="0" w:color="auto"/>
            <w:right w:val="none" w:sz="0" w:space="0" w:color="auto"/>
          </w:divBdr>
          <w:divsChild>
            <w:div w:id="1274632169">
              <w:marLeft w:val="0"/>
              <w:marRight w:val="0"/>
              <w:marTop w:val="0"/>
              <w:marBottom w:val="0"/>
              <w:divBdr>
                <w:top w:val="none" w:sz="0" w:space="0" w:color="auto"/>
                <w:left w:val="none" w:sz="0" w:space="0" w:color="auto"/>
                <w:bottom w:val="none" w:sz="0" w:space="0" w:color="auto"/>
                <w:right w:val="none" w:sz="0" w:space="0" w:color="auto"/>
              </w:divBdr>
            </w:div>
          </w:divsChild>
        </w:div>
        <w:div w:id="884946548">
          <w:marLeft w:val="0"/>
          <w:marRight w:val="0"/>
          <w:marTop w:val="0"/>
          <w:marBottom w:val="0"/>
          <w:divBdr>
            <w:top w:val="none" w:sz="0" w:space="0" w:color="auto"/>
            <w:left w:val="none" w:sz="0" w:space="0" w:color="auto"/>
            <w:bottom w:val="none" w:sz="0" w:space="0" w:color="auto"/>
            <w:right w:val="none" w:sz="0" w:space="0" w:color="auto"/>
          </w:divBdr>
          <w:divsChild>
            <w:div w:id="1723140939">
              <w:marLeft w:val="0"/>
              <w:marRight w:val="0"/>
              <w:marTop w:val="0"/>
              <w:marBottom w:val="0"/>
              <w:divBdr>
                <w:top w:val="none" w:sz="0" w:space="0" w:color="auto"/>
                <w:left w:val="none" w:sz="0" w:space="0" w:color="auto"/>
                <w:bottom w:val="none" w:sz="0" w:space="0" w:color="auto"/>
                <w:right w:val="none" w:sz="0" w:space="0" w:color="auto"/>
              </w:divBdr>
            </w:div>
          </w:divsChild>
        </w:div>
        <w:div w:id="944920707">
          <w:marLeft w:val="0"/>
          <w:marRight w:val="0"/>
          <w:marTop w:val="0"/>
          <w:marBottom w:val="0"/>
          <w:divBdr>
            <w:top w:val="none" w:sz="0" w:space="0" w:color="auto"/>
            <w:left w:val="none" w:sz="0" w:space="0" w:color="auto"/>
            <w:bottom w:val="none" w:sz="0" w:space="0" w:color="auto"/>
            <w:right w:val="none" w:sz="0" w:space="0" w:color="auto"/>
          </w:divBdr>
          <w:divsChild>
            <w:div w:id="868176216">
              <w:marLeft w:val="0"/>
              <w:marRight w:val="0"/>
              <w:marTop w:val="0"/>
              <w:marBottom w:val="0"/>
              <w:divBdr>
                <w:top w:val="none" w:sz="0" w:space="0" w:color="auto"/>
                <w:left w:val="none" w:sz="0" w:space="0" w:color="auto"/>
                <w:bottom w:val="none" w:sz="0" w:space="0" w:color="auto"/>
                <w:right w:val="none" w:sz="0" w:space="0" w:color="auto"/>
              </w:divBdr>
            </w:div>
          </w:divsChild>
        </w:div>
        <w:div w:id="954558386">
          <w:marLeft w:val="0"/>
          <w:marRight w:val="0"/>
          <w:marTop w:val="0"/>
          <w:marBottom w:val="0"/>
          <w:divBdr>
            <w:top w:val="none" w:sz="0" w:space="0" w:color="auto"/>
            <w:left w:val="none" w:sz="0" w:space="0" w:color="auto"/>
            <w:bottom w:val="none" w:sz="0" w:space="0" w:color="auto"/>
            <w:right w:val="none" w:sz="0" w:space="0" w:color="auto"/>
          </w:divBdr>
          <w:divsChild>
            <w:div w:id="685712878">
              <w:marLeft w:val="0"/>
              <w:marRight w:val="0"/>
              <w:marTop w:val="0"/>
              <w:marBottom w:val="0"/>
              <w:divBdr>
                <w:top w:val="none" w:sz="0" w:space="0" w:color="auto"/>
                <w:left w:val="none" w:sz="0" w:space="0" w:color="auto"/>
                <w:bottom w:val="none" w:sz="0" w:space="0" w:color="auto"/>
                <w:right w:val="none" w:sz="0" w:space="0" w:color="auto"/>
              </w:divBdr>
            </w:div>
          </w:divsChild>
        </w:div>
        <w:div w:id="967708722">
          <w:marLeft w:val="0"/>
          <w:marRight w:val="0"/>
          <w:marTop w:val="0"/>
          <w:marBottom w:val="0"/>
          <w:divBdr>
            <w:top w:val="none" w:sz="0" w:space="0" w:color="auto"/>
            <w:left w:val="none" w:sz="0" w:space="0" w:color="auto"/>
            <w:bottom w:val="none" w:sz="0" w:space="0" w:color="auto"/>
            <w:right w:val="none" w:sz="0" w:space="0" w:color="auto"/>
          </w:divBdr>
          <w:divsChild>
            <w:div w:id="583220297">
              <w:marLeft w:val="0"/>
              <w:marRight w:val="0"/>
              <w:marTop w:val="0"/>
              <w:marBottom w:val="0"/>
              <w:divBdr>
                <w:top w:val="none" w:sz="0" w:space="0" w:color="auto"/>
                <w:left w:val="none" w:sz="0" w:space="0" w:color="auto"/>
                <w:bottom w:val="none" w:sz="0" w:space="0" w:color="auto"/>
                <w:right w:val="none" w:sz="0" w:space="0" w:color="auto"/>
              </w:divBdr>
            </w:div>
            <w:div w:id="1587688229">
              <w:marLeft w:val="0"/>
              <w:marRight w:val="0"/>
              <w:marTop w:val="0"/>
              <w:marBottom w:val="0"/>
              <w:divBdr>
                <w:top w:val="none" w:sz="0" w:space="0" w:color="auto"/>
                <w:left w:val="none" w:sz="0" w:space="0" w:color="auto"/>
                <w:bottom w:val="none" w:sz="0" w:space="0" w:color="auto"/>
                <w:right w:val="none" w:sz="0" w:space="0" w:color="auto"/>
              </w:divBdr>
            </w:div>
          </w:divsChild>
        </w:div>
        <w:div w:id="995493094">
          <w:marLeft w:val="0"/>
          <w:marRight w:val="0"/>
          <w:marTop w:val="0"/>
          <w:marBottom w:val="0"/>
          <w:divBdr>
            <w:top w:val="none" w:sz="0" w:space="0" w:color="auto"/>
            <w:left w:val="none" w:sz="0" w:space="0" w:color="auto"/>
            <w:bottom w:val="none" w:sz="0" w:space="0" w:color="auto"/>
            <w:right w:val="none" w:sz="0" w:space="0" w:color="auto"/>
          </w:divBdr>
          <w:divsChild>
            <w:div w:id="39672942">
              <w:marLeft w:val="0"/>
              <w:marRight w:val="0"/>
              <w:marTop w:val="0"/>
              <w:marBottom w:val="0"/>
              <w:divBdr>
                <w:top w:val="none" w:sz="0" w:space="0" w:color="auto"/>
                <w:left w:val="none" w:sz="0" w:space="0" w:color="auto"/>
                <w:bottom w:val="none" w:sz="0" w:space="0" w:color="auto"/>
                <w:right w:val="none" w:sz="0" w:space="0" w:color="auto"/>
              </w:divBdr>
            </w:div>
            <w:div w:id="129715732">
              <w:marLeft w:val="0"/>
              <w:marRight w:val="0"/>
              <w:marTop w:val="0"/>
              <w:marBottom w:val="0"/>
              <w:divBdr>
                <w:top w:val="none" w:sz="0" w:space="0" w:color="auto"/>
                <w:left w:val="none" w:sz="0" w:space="0" w:color="auto"/>
                <w:bottom w:val="none" w:sz="0" w:space="0" w:color="auto"/>
                <w:right w:val="none" w:sz="0" w:space="0" w:color="auto"/>
              </w:divBdr>
            </w:div>
            <w:div w:id="343749484">
              <w:marLeft w:val="0"/>
              <w:marRight w:val="0"/>
              <w:marTop w:val="0"/>
              <w:marBottom w:val="0"/>
              <w:divBdr>
                <w:top w:val="none" w:sz="0" w:space="0" w:color="auto"/>
                <w:left w:val="none" w:sz="0" w:space="0" w:color="auto"/>
                <w:bottom w:val="none" w:sz="0" w:space="0" w:color="auto"/>
                <w:right w:val="none" w:sz="0" w:space="0" w:color="auto"/>
              </w:divBdr>
            </w:div>
            <w:div w:id="2071881032">
              <w:marLeft w:val="0"/>
              <w:marRight w:val="0"/>
              <w:marTop w:val="0"/>
              <w:marBottom w:val="0"/>
              <w:divBdr>
                <w:top w:val="none" w:sz="0" w:space="0" w:color="auto"/>
                <w:left w:val="none" w:sz="0" w:space="0" w:color="auto"/>
                <w:bottom w:val="none" w:sz="0" w:space="0" w:color="auto"/>
                <w:right w:val="none" w:sz="0" w:space="0" w:color="auto"/>
              </w:divBdr>
            </w:div>
          </w:divsChild>
        </w:div>
        <w:div w:id="1009334007">
          <w:marLeft w:val="0"/>
          <w:marRight w:val="0"/>
          <w:marTop w:val="0"/>
          <w:marBottom w:val="0"/>
          <w:divBdr>
            <w:top w:val="none" w:sz="0" w:space="0" w:color="auto"/>
            <w:left w:val="none" w:sz="0" w:space="0" w:color="auto"/>
            <w:bottom w:val="none" w:sz="0" w:space="0" w:color="auto"/>
            <w:right w:val="none" w:sz="0" w:space="0" w:color="auto"/>
          </w:divBdr>
          <w:divsChild>
            <w:div w:id="662242392">
              <w:marLeft w:val="0"/>
              <w:marRight w:val="0"/>
              <w:marTop w:val="0"/>
              <w:marBottom w:val="0"/>
              <w:divBdr>
                <w:top w:val="none" w:sz="0" w:space="0" w:color="auto"/>
                <w:left w:val="none" w:sz="0" w:space="0" w:color="auto"/>
                <w:bottom w:val="none" w:sz="0" w:space="0" w:color="auto"/>
                <w:right w:val="none" w:sz="0" w:space="0" w:color="auto"/>
              </w:divBdr>
            </w:div>
          </w:divsChild>
        </w:div>
        <w:div w:id="1030835363">
          <w:marLeft w:val="0"/>
          <w:marRight w:val="0"/>
          <w:marTop w:val="0"/>
          <w:marBottom w:val="0"/>
          <w:divBdr>
            <w:top w:val="none" w:sz="0" w:space="0" w:color="auto"/>
            <w:left w:val="none" w:sz="0" w:space="0" w:color="auto"/>
            <w:bottom w:val="none" w:sz="0" w:space="0" w:color="auto"/>
            <w:right w:val="none" w:sz="0" w:space="0" w:color="auto"/>
          </w:divBdr>
          <w:divsChild>
            <w:div w:id="1032919977">
              <w:marLeft w:val="0"/>
              <w:marRight w:val="0"/>
              <w:marTop w:val="0"/>
              <w:marBottom w:val="0"/>
              <w:divBdr>
                <w:top w:val="none" w:sz="0" w:space="0" w:color="auto"/>
                <w:left w:val="none" w:sz="0" w:space="0" w:color="auto"/>
                <w:bottom w:val="none" w:sz="0" w:space="0" w:color="auto"/>
                <w:right w:val="none" w:sz="0" w:space="0" w:color="auto"/>
              </w:divBdr>
            </w:div>
          </w:divsChild>
        </w:div>
        <w:div w:id="1094131981">
          <w:marLeft w:val="0"/>
          <w:marRight w:val="0"/>
          <w:marTop w:val="0"/>
          <w:marBottom w:val="0"/>
          <w:divBdr>
            <w:top w:val="none" w:sz="0" w:space="0" w:color="auto"/>
            <w:left w:val="none" w:sz="0" w:space="0" w:color="auto"/>
            <w:bottom w:val="none" w:sz="0" w:space="0" w:color="auto"/>
            <w:right w:val="none" w:sz="0" w:space="0" w:color="auto"/>
          </w:divBdr>
          <w:divsChild>
            <w:div w:id="1772386157">
              <w:marLeft w:val="0"/>
              <w:marRight w:val="0"/>
              <w:marTop w:val="0"/>
              <w:marBottom w:val="0"/>
              <w:divBdr>
                <w:top w:val="none" w:sz="0" w:space="0" w:color="auto"/>
                <w:left w:val="none" w:sz="0" w:space="0" w:color="auto"/>
                <w:bottom w:val="none" w:sz="0" w:space="0" w:color="auto"/>
                <w:right w:val="none" w:sz="0" w:space="0" w:color="auto"/>
              </w:divBdr>
            </w:div>
          </w:divsChild>
        </w:div>
        <w:div w:id="1123231813">
          <w:marLeft w:val="0"/>
          <w:marRight w:val="0"/>
          <w:marTop w:val="0"/>
          <w:marBottom w:val="0"/>
          <w:divBdr>
            <w:top w:val="none" w:sz="0" w:space="0" w:color="auto"/>
            <w:left w:val="none" w:sz="0" w:space="0" w:color="auto"/>
            <w:bottom w:val="none" w:sz="0" w:space="0" w:color="auto"/>
            <w:right w:val="none" w:sz="0" w:space="0" w:color="auto"/>
          </w:divBdr>
          <w:divsChild>
            <w:div w:id="851146312">
              <w:marLeft w:val="0"/>
              <w:marRight w:val="0"/>
              <w:marTop w:val="0"/>
              <w:marBottom w:val="0"/>
              <w:divBdr>
                <w:top w:val="none" w:sz="0" w:space="0" w:color="auto"/>
                <w:left w:val="none" w:sz="0" w:space="0" w:color="auto"/>
                <w:bottom w:val="none" w:sz="0" w:space="0" w:color="auto"/>
                <w:right w:val="none" w:sz="0" w:space="0" w:color="auto"/>
              </w:divBdr>
            </w:div>
          </w:divsChild>
        </w:div>
        <w:div w:id="1152333553">
          <w:marLeft w:val="0"/>
          <w:marRight w:val="0"/>
          <w:marTop w:val="0"/>
          <w:marBottom w:val="0"/>
          <w:divBdr>
            <w:top w:val="none" w:sz="0" w:space="0" w:color="auto"/>
            <w:left w:val="none" w:sz="0" w:space="0" w:color="auto"/>
            <w:bottom w:val="none" w:sz="0" w:space="0" w:color="auto"/>
            <w:right w:val="none" w:sz="0" w:space="0" w:color="auto"/>
          </w:divBdr>
          <w:divsChild>
            <w:div w:id="29455550">
              <w:marLeft w:val="0"/>
              <w:marRight w:val="0"/>
              <w:marTop w:val="0"/>
              <w:marBottom w:val="0"/>
              <w:divBdr>
                <w:top w:val="none" w:sz="0" w:space="0" w:color="auto"/>
                <w:left w:val="none" w:sz="0" w:space="0" w:color="auto"/>
                <w:bottom w:val="none" w:sz="0" w:space="0" w:color="auto"/>
                <w:right w:val="none" w:sz="0" w:space="0" w:color="auto"/>
              </w:divBdr>
            </w:div>
            <w:div w:id="1123964205">
              <w:marLeft w:val="0"/>
              <w:marRight w:val="0"/>
              <w:marTop w:val="0"/>
              <w:marBottom w:val="0"/>
              <w:divBdr>
                <w:top w:val="none" w:sz="0" w:space="0" w:color="auto"/>
                <w:left w:val="none" w:sz="0" w:space="0" w:color="auto"/>
                <w:bottom w:val="none" w:sz="0" w:space="0" w:color="auto"/>
                <w:right w:val="none" w:sz="0" w:space="0" w:color="auto"/>
              </w:divBdr>
            </w:div>
          </w:divsChild>
        </w:div>
        <w:div w:id="1172918212">
          <w:marLeft w:val="0"/>
          <w:marRight w:val="0"/>
          <w:marTop w:val="0"/>
          <w:marBottom w:val="0"/>
          <w:divBdr>
            <w:top w:val="none" w:sz="0" w:space="0" w:color="auto"/>
            <w:left w:val="none" w:sz="0" w:space="0" w:color="auto"/>
            <w:bottom w:val="none" w:sz="0" w:space="0" w:color="auto"/>
            <w:right w:val="none" w:sz="0" w:space="0" w:color="auto"/>
          </w:divBdr>
          <w:divsChild>
            <w:div w:id="498620427">
              <w:marLeft w:val="0"/>
              <w:marRight w:val="0"/>
              <w:marTop w:val="0"/>
              <w:marBottom w:val="0"/>
              <w:divBdr>
                <w:top w:val="none" w:sz="0" w:space="0" w:color="auto"/>
                <w:left w:val="none" w:sz="0" w:space="0" w:color="auto"/>
                <w:bottom w:val="none" w:sz="0" w:space="0" w:color="auto"/>
                <w:right w:val="none" w:sz="0" w:space="0" w:color="auto"/>
              </w:divBdr>
            </w:div>
          </w:divsChild>
        </w:div>
        <w:div w:id="1175194153">
          <w:marLeft w:val="0"/>
          <w:marRight w:val="0"/>
          <w:marTop w:val="0"/>
          <w:marBottom w:val="0"/>
          <w:divBdr>
            <w:top w:val="none" w:sz="0" w:space="0" w:color="auto"/>
            <w:left w:val="none" w:sz="0" w:space="0" w:color="auto"/>
            <w:bottom w:val="none" w:sz="0" w:space="0" w:color="auto"/>
            <w:right w:val="none" w:sz="0" w:space="0" w:color="auto"/>
          </w:divBdr>
          <w:divsChild>
            <w:div w:id="235172878">
              <w:marLeft w:val="0"/>
              <w:marRight w:val="0"/>
              <w:marTop w:val="0"/>
              <w:marBottom w:val="0"/>
              <w:divBdr>
                <w:top w:val="none" w:sz="0" w:space="0" w:color="auto"/>
                <w:left w:val="none" w:sz="0" w:space="0" w:color="auto"/>
                <w:bottom w:val="none" w:sz="0" w:space="0" w:color="auto"/>
                <w:right w:val="none" w:sz="0" w:space="0" w:color="auto"/>
              </w:divBdr>
            </w:div>
            <w:div w:id="1640381996">
              <w:marLeft w:val="0"/>
              <w:marRight w:val="0"/>
              <w:marTop w:val="0"/>
              <w:marBottom w:val="0"/>
              <w:divBdr>
                <w:top w:val="none" w:sz="0" w:space="0" w:color="auto"/>
                <w:left w:val="none" w:sz="0" w:space="0" w:color="auto"/>
                <w:bottom w:val="none" w:sz="0" w:space="0" w:color="auto"/>
                <w:right w:val="none" w:sz="0" w:space="0" w:color="auto"/>
              </w:divBdr>
            </w:div>
          </w:divsChild>
        </w:div>
        <w:div w:id="1177311915">
          <w:marLeft w:val="0"/>
          <w:marRight w:val="0"/>
          <w:marTop w:val="0"/>
          <w:marBottom w:val="0"/>
          <w:divBdr>
            <w:top w:val="none" w:sz="0" w:space="0" w:color="auto"/>
            <w:left w:val="none" w:sz="0" w:space="0" w:color="auto"/>
            <w:bottom w:val="none" w:sz="0" w:space="0" w:color="auto"/>
            <w:right w:val="none" w:sz="0" w:space="0" w:color="auto"/>
          </w:divBdr>
          <w:divsChild>
            <w:div w:id="108596527">
              <w:marLeft w:val="0"/>
              <w:marRight w:val="0"/>
              <w:marTop w:val="0"/>
              <w:marBottom w:val="0"/>
              <w:divBdr>
                <w:top w:val="none" w:sz="0" w:space="0" w:color="auto"/>
                <w:left w:val="none" w:sz="0" w:space="0" w:color="auto"/>
                <w:bottom w:val="none" w:sz="0" w:space="0" w:color="auto"/>
                <w:right w:val="none" w:sz="0" w:space="0" w:color="auto"/>
              </w:divBdr>
            </w:div>
          </w:divsChild>
        </w:div>
        <w:div w:id="1194806892">
          <w:marLeft w:val="0"/>
          <w:marRight w:val="0"/>
          <w:marTop w:val="0"/>
          <w:marBottom w:val="0"/>
          <w:divBdr>
            <w:top w:val="none" w:sz="0" w:space="0" w:color="auto"/>
            <w:left w:val="none" w:sz="0" w:space="0" w:color="auto"/>
            <w:bottom w:val="none" w:sz="0" w:space="0" w:color="auto"/>
            <w:right w:val="none" w:sz="0" w:space="0" w:color="auto"/>
          </w:divBdr>
          <w:divsChild>
            <w:div w:id="1369260168">
              <w:marLeft w:val="0"/>
              <w:marRight w:val="0"/>
              <w:marTop w:val="0"/>
              <w:marBottom w:val="0"/>
              <w:divBdr>
                <w:top w:val="none" w:sz="0" w:space="0" w:color="auto"/>
                <w:left w:val="none" w:sz="0" w:space="0" w:color="auto"/>
                <w:bottom w:val="none" w:sz="0" w:space="0" w:color="auto"/>
                <w:right w:val="none" w:sz="0" w:space="0" w:color="auto"/>
              </w:divBdr>
            </w:div>
            <w:div w:id="1400054395">
              <w:marLeft w:val="0"/>
              <w:marRight w:val="0"/>
              <w:marTop w:val="0"/>
              <w:marBottom w:val="0"/>
              <w:divBdr>
                <w:top w:val="none" w:sz="0" w:space="0" w:color="auto"/>
                <w:left w:val="none" w:sz="0" w:space="0" w:color="auto"/>
                <w:bottom w:val="none" w:sz="0" w:space="0" w:color="auto"/>
                <w:right w:val="none" w:sz="0" w:space="0" w:color="auto"/>
              </w:divBdr>
            </w:div>
          </w:divsChild>
        </w:div>
        <w:div w:id="1214149770">
          <w:marLeft w:val="0"/>
          <w:marRight w:val="0"/>
          <w:marTop w:val="0"/>
          <w:marBottom w:val="0"/>
          <w:divBdr>
            <w:top w:val="none" w:sz="0" w:space="0" w:color="auto"/>
            <w:left w:val="none" w:sz="0" w:space="0" w:color="auto"/>
            <w:bottom w:val="none" w:sz="0" w:space="0" w:color="auto"/>
            <w:right w:val="none" w:sz="0" w:space="0" w:color="auto"/>
          </w:divBdr>
          <w:divsChild>
            <w:div w:id="1081103264">
              <w:marLeft w:val="0"/>
              <w:marRight w:val="0"/>
              <w:marTop w:val="0"/>
              <w:marBottom w:val="0"/>
              <w:divBdr>
                <w:top w:val="none" w:sz="0" w:space="0" w:color="auto"/>
                <w:left w:val="none" w:sz="0" w:space="0" w:color="auto"/>
                <w:bottom w:val="none" w:sz="0" w:space="0" w:color="auto"/>
                <w:right w:val="none" w:sz="0" w:space="0" w:color="auto"/>
              </w:divBdr>
            </w:div>
          </w:divsChild>
        </w:div>
        <w:div w:id="1215971360">
          <w:marLeft w:val="0"/>
          <w:marRight w:val="0"/>
          <w:marTop w:val="0"/>
          <w:marBottom w:val="0"/>
          <w:divBdr>
            <w:top w:val="none" w:sz="0" w:space="0" w:color="auto"/>
            <w:left w:val="none" w:sz="0" w:space="0" w:color="auto"/>
            <w:bottom w:val="none" w:sz="0" w:space="0" w:color="auto"/>
            <w:right w:val="none" w:sz="0" w:space="0" w:color="auto"/>
          </w:divBdr>
          <w:divsChild>
            <w:div w:id="537281527">
              <w:marLeft w:val="0"/>
              <w:marRight w:val="0"/>
              <w:marTop w:val="0"/>
              <w:marBottom w:val="0"/>
              <w:divBdr>
                <w:top w:val="none" w:sz="0" w:space="0" w:color="auto"/>
                <w:left w:val="none" w:sz="0" w:space="0" w:color="auto"/>
                <w:bottom w:val="none" w:sz="0" w:space="0" w:color="auto"/>
                <w:right w:val="none" w:sz="0" w:space="0" w:color="auto"/>
              </w:divBdr>
            </w:div>
            <w:div w:id="1950745755">
              <w:marLeft w:val="0"/>
              <w:marRight w:val="0"/>
              <w:marTop w:val="0"/>
              <w:marBottom w:val="0"/>
              <w:divBdr>
                <w:top w:val="none" w:sz="0" w:space="0" w:color="auto"/>
                <w:left w:val="none" w:sz="0" w:space="0" w:color="auto"/>
                <w:bottom w:val="none" w:sz="0" w:space="0" w:color="auto"/>
                <w:right w:val="none" w:sz="0" w:space="0" w:color="auto"/>
              </w:divBdr>
            </w:div>
          </w:divsChild>
        </w:div>
        <w:div w:id="1230578358">
          <w:marLeft w:val="0"/>
          <w:marRight w:val="0"/>
          <w:marTop w:val="0"/>
          <w:marBottom w:val="0"/>
          <w:divBdr>
            <w:top w:val="none" w:sz="0" w:space="0" w:color="auto"/>
            <w:left w:val="none" w:sz="0" w:space="0" w:color="auto"/>
            <w:bottom w:val="none" w:sz="0" w:space="0" w:color="auto"/>
            <w:right w:val="none" w:sz="0" w:space="0" w:color="auto"/>
          </w:divBdr>
          <w:divsChild>
            <w:div w:id="949774088">
              <w:marLeft w:val="0"/>
              <w:marRight w:val="0"/>
              <w:marTop w:val="0"/>
              <w:marBottom w:val="0"/>
              <w:divBdr>
                <w:top w:val="none" w:sz="0" w:space="0" w:color="auto"/>
                <w:left w:val="none" w:sz="0" w:space="0" w:color="auto"/>
                <w:bottom w:val="none" w:sz="0" w:space="0" w:color="auto"/>
                <w:right w:val="none" w:sz="0" w:space="0" w:color="auto"/>
              </w:divBdr>
            </w:div>
          </w:divsChild>
        </w:div>
        <w:div w:id="1260022366">
          <w:marLeft w:val="0"/>
          <w:marRight w:val="0"/>
          <w:marTop w:val="0"/>
          <w:marBottom w:val="0"/>
          <w:divBdr>
            <w:top w:val="none" w:sz="0" w:space="0" w:color="auto"/>
            <w:left w:val="none" w:sz="0" w:space="0" w:color="auto"/>
            <w:bottom w:val="none" w:sz="0" w:space="0" w:color="auto"/>
            <w:right w:val="none" w:sz="0" w:space="0" w:color="auto"/>
          </w:divBdr>
          <w:divsChild>
            <w:div w:id="1953249009">
              <w:marLeft w:val="0"/>
              <w:marRight w:val="0"/>
              <w:marTop w:val="0"/>
              <w:marBottom w:val="0"/>
              <w:divBdr>
                <w:top w:val="none" w:sz="0" w:space="0" w:color="auto"/>
                <w:left w:val="none" w:sz="0" w:space="0" w:color="auto"/>
                <w:bottom w:val="none" w:sz="0" w:space="0" w:color="auto"/>
                <w:right w:val="none" w:sz="0" w:space="0" w:color="auto"/>
              </w:divBdr>
            </w:div>
          </w:divsChild>
        </w:div>
        <w:div w:id="1280264017">
          <w:marLeft w:val="0"/>
          <w:marRight w:val="0"/>
          <w:marTop w:val="0"/>
          <w:marBottom w:val="0"/>
          <w:divBdr>
            <w:top w:val="none" w:sz="0" w:space="0" w:color="auto"/>
            <w:left w:val="none" w:sz="0" w:space="0" w:color="auto"/>
            <w:bottom w:val="none" w:sz="0" w:space="0" w:color="auto"/>
            <w:right w:val="none" w:sz="0" w:space="0" w:color="auto"/>
          </w:divBdr>
          <w:divsChild>
            <w:div w:id="1483276927">
              <w:marLeft w:val="0"/>
              <w:marRight w:val="0"/>
              <w:marTop w:val="0"/>
              <w:marBottom w:val="0"/>
              <w:divBdr>
                <w:top w:val="none" w:sz="0" w:space="0" w:color="auto"/>
                <w:left w:val="none" w:sz="0" w:space="0" w:color="auto"/>
                <w:bottom w:val="none" w:sz="0" w:space="0" w:color="auto"/>
                <w:right w:val="none" w:sz="0" w:space="0" w:color="auto"/>
              </w:divBdr>
            </w:div>
          </w:divsChild>
        </w:div>
        <w:div w:id="1280649212">
          <w:marLeft w:val="0"/>
          <w:marRight w:val="0"/>
          <w:marTop w:val="0"/>
          <w:marBottom w:val="0"/>
          <w:divBdr>
            <w:top w:val="none" w:sz="0" w:space="0" w:color="auto"/>
            <w:left w:val="none" w:sz="0" w:space="0" w:color="auto"/>
            <w:bottom w:val="none" w:sz="0" w:space="0" w:color="auto"/>
            <w:right w:val="none" w:sz="0" w:space="0" w:color="auto"/>
          </w:divBdr>
          <w:divsChild>
            <w:div w:id="503323602">
              <w:marLeft w:val="0"/>
              <w:marRight w:val="0"/>
              <w:marTop w:val="0"/>
              <w:marBottom w:val="0"/>
              <w:divBdr>
                <w:top w:val="none" w:sz="0" w:space="0" w:color="auto"/>
                <w:left w:val="none" w:sz="0" w:space="0" w:color="auto"/>
                <w:bottom w:val="none" w:sz="0" w:space="0" w:color="auto"/>
                <w:right w:val="none" w:sz="0" w:space="0" w:color="auto"/>
              </w:divBdr>
            </w:div>
          </w:divsChild>
        </w:div>
        <w:div w:id="1292518729">
          <w:marLeft w:val="0"/>
          <w:marRight w:val="0"/>
          <w:marTop w:val="0"/>
          <w:marBottom w:val="0"/>
          <w:divBdr>
            <w:top w:val="none" w:sz="0" w:space="0" w:color="auto"/>
            <w:left w:val="none" w:sz="0" w:space="0" w:color="auto"/>
            <w:bottom w:val="none" w:sz="0" w:space="0" w:color="auto"/>
            <w:right w:val="none" w:sz="0" w:space="0" w:color="auto"/>
          </w:divBdr>
          <w:divsChild>
            <w:div w:id="569312955">
              <w:marLeft w:val="0"/>
              <w:marRight w:val="0"/>
              <w:marTop w:val="0"/>
              <w:marBottom w:val="0"/>
              <w:divBdr>
                <w:top w:val="none" w:sz="0" w:space="0" w:color="auto"/>
                <w:left w:val="none" w:sz="0" w:space="0" w:color="auto"/>
                <w:bottom w:val="none" w:sz="0" w:space="0" w:color="auto"/>
                <w:right w:val="none" w:sz="0" w:space="0" w:color="auto"/>
              </w:divBdr>
            </w:div>
          </w:divsChild>
        </w:div>
        <w:div w:id="1335573626">
          <w:marLeft w:val="0"/>
          <w:marRight w:val="0"/>
          <w:marTop w:val="0"/>
          <w:marBottom w:val="0"/>
          <w:divBdr>
            <w:top w:val="none" w:sz="0" w:space="0" w:color="auto"/>
            <w:left w:val="none" w:sz="0" w:space="0" w:color="auto"/>
            <w:bottom w:val="none" w:sz="0" w:space="0" w:color="auto"/>
            <w:right w:val="none" w:sz="0" w:space="0" w:color="auto"/>
          </w:divBdr>
          <w:divsChild>
            <w:div w:id="787044530">
              <w:marLeft w:val="0"/>
              <w:marRight w:val="0"/>
              <w:marTop w:val="0"/>
              <w:marBottom w:val="0"/>
              <w:divBdr>
                <w:top w:val="none" w:sz="0" w:space="0" w:color="auto"/>
                <w:left w:val="none" w:sz="0" w:space="0" w:color="auto"/>
                <w:bottom w:val="none" w:sz="0" w:space="0" w:color="auto"/>
                <w:right w:val="none" w:sz="0" w:space="0" w:color="auto"/>
              </w:divBdr>
            </w:div>
          </w:divsChild>
        </w:div>
        <w:div w:id="1338269274">
          <w:marLeft w:val="0"/>
          <w:marRight w:val="0"/>
          <w:marTop w:val="0"/>
          <w:marBottom w:val="0"/>
          <w:divBdr>
            <w:top w:val="none" w:sz="0" w:space="0" w:color="auto"/>
            <w:left w:val="none" w:sz="0" w:space="0" w:color="auto"/>
            <w:bottom w:val="none" w:sz="0" w:space="0" w:color="auto"/>
            <w:right w:val="none" w:sz="0" w:space="0" w:color="auto"/>
          </w:divBdr>
          <w:divsChild>
            <w:div w:id="551581673">
              <w:marLeft w:val="0"/>
              <w:marRight w:val="0"/>
              <w:marTop w:val="0"/>
              <w:marBottom w:val="0"/>
              <w:divBdr>
                <w:top w:val="none" w:sz="0" w:space="0" w:color="auto"/>
                <w:left w:val="none" w:sz="0" w:space="0" w:color="auto"/>
                <w:bottom w:val="none" w:sz="0" w:space="0" w:color="auto"/>
                <w:right w:val="none" w:sz="0" w:space="0" w:color="auto"/>
              </w:divBdr>
            </w:div>
            <w:div w:id="1434321978">
              <w:marLeft w:val="0"/>
              <w:marRight w:val="0"/>
              <w:marTop w:val="0"/>
              <w:marBottom w:val="0"/>
              <w:divBdr>
                <w:top w:val="none" w:sz="0" w:space="0" w:color="auto"/>
                <w:left w:val="none" w:sz="0" w:space="0" w:color="auto"/>
                <w:bottom w:val="none" w:sz="0" w:space="0" w:color="auto"/>
                <w:right w:val="none" w:sz="0" w:space="0" w:color="auto"/>
              </w:divBdr>
            </w:div>
          </w:divsChild>
        </w:div>
        <w:div w:id="1343511247">
          <w:marLeft w:val="0"/>
          <w:marRight w:val="0"/>
          <w:marTop w:val="0"/>
          <w:marBottom w:val="0"/>
          <w:divBdr>
            <w:top w:val="none" w:sz="0" w:space="0" w:color="auto"/>
            <w:left w:val="none" w:sz="0" w:space="0" w:color="auto"/>
            <w:bottom w:val="none" w:sz="0" w:space="0" w:color="auto"/>
            <w:right w:val="none" w:sz="0" w:space="0" w:color="auto"/>
          </w:divBdr>
          <w:divsChild>
            <w:div w:id="88278905">
              <w:marLeft w:val="0"/>
              <w:marRight w:val="0"/>
              <w:marTop w:val="0"/>
              <w:marBottom w:val="0"/>
              <w:divBdr>
                <w:top w:val="none" w:sz="0" w:space="0" w:color="auto"/>
                <w:left w:val="none" w:sz="0" w:space="0" w:color="auto"/>
                <w:bottom w:val="none" w:sz="0" w:space="0" w:color="auto"/>
                <w:right w:val="none" w:sz="0" w:space="0" w:color="auto"/>
              </w:divBdr>
            </w:div>
            <w:div w:id="751246236">
              <w:marLeft w:val="0"/>
              <w:marRight w:val="0"/>
              <w:marTop w:val="0"/>
              <w:marBottom w:val="0"/>
              <w:divBdr>
                <w:top w:val="none" w:sz="0" w:space="0" w:color="auto"/>
                <w:left w:val="none" w:sz="0" w:space="0" w:color="auto"/>
                <w:bottom w:val="none" w:sz="0" w:space="0" w:color="auto"/>
                <w:right w:val="none" w:sz="0" w:space="0" w:color="auto"/>
              </w:divBdr>
            </w:div>
          </w:divsChild>
        </w:div>
        <w:div w:id="1350915457">
          <w:marLeft w:val="0"/>
          <w:marRight w:val="0"/>
          <w:marTop w:val="0"/>
          <w:marBottom w:val="0"/>
          <w:divBdr>
            <w:top w:val="none" w:sz="0" w:space="0" w:color="auto"/>
            <w:left w:val="none" w:sz="0" w:space="0" w:color="auto"/>
            <w:bottom w:val="none" w:sz="0" w:space="0" w:color="auto"/>
            <w:right w:val="none" w:sz="0" w:space="0" w:color="auto"/>
          </w:divBdr>
          <w:divsChild>
            <w:div w:id="1799058759">
              <w:marLeft w:val="0"/>
              <w:marRight w:val="0"/>
              <w:marTop w:val="0"/>
              <w:marBottom w:val="0"/>
              <w:divBdr>
                <w:top w:val="none" w:sz="0" w:space="0" w:color="auto"/>
                <w:left w:val="none" w:sz="0" w:space="0" w:color="auto"/>
                <w:bottom w:val="none" w:sz="0" w:space="0" w:color="auto"/>
                <w:right w:val="none" w:sz="0" w:space="0" w:color="auto"/>
              </w:divBdr>
            </w:div>
          </w:divsChild>
        </w:div>
        <w:div w:id="1362321391">
          <w:marLeft w:val="0"/>
          <w:marRight w:val="0"/>
          <w:marTop w:val="0"/>
          <w:marBottom w:val="0"/>
          <w:divBdr>
            <w:top w:val="none" w:sz="0" w:space="0" w:color="auto"/>
            <w:left w:val="none" w:sz="0" w:space="0" w:color="auto"/>
            <w:bottom w:val="none" w:sz="0" w:space="0" w:color="auto"/>
            <w:right w:val="none" w:sz="0" w:space="0" w:color="auto"/>
          </w:divBdr>
          <w:divsChild>
            <w:div w:id="1008604590">
              <w:marLeft w:val="0"/>
              <w:marRight w:val="0"/>
              <w:marTop w:val="0"/>
              <w:marBottom w:val="0"/>
              <w:divBdr>
                <w:top w:val="none" w:sz="0" w:space="0" w:color="auto"/>
                <w:left w:val="none" w:sz="0" w:space="0" w:color="auto"/>
                <w:bottom w:val="none" w:sz="0" w:space="0" w:color="auto"/>
                <w:right w:val="none" w:sz="0" w:space="0" w:color="auto"/>
              </w:divBdr>
            </w:div>
          </w:divsChild>
        </w:div>
        <w:div w:id="1374774299">
          <w:marLeft w:val="0"/>
          <w:marRight w:val="0"/>
          <w:marTop w:val="0"/>
          <w:marBottom w:val="0"/>
          <w:divBdr>
            <w:top w:val="none" w:sz="0" w:space="0" w:color="auto"/>
            <w:left w:val="none" w:sz="0" w:space="0" w:color="auto"/>
            <w:bottom w:val="none" w:sz="0" w:space="0" w:color="auto"/>
            <w:right w:val="none" w:sz="0" w:space="0" w:color="auto"/>
          </w:divBdr>
          <w:divsChild>
            <w:div w:id="2016305104">
              <w:marLeft w:val="0"/>
              <w:marRight w:val="0"/>
              <w:marTop w:val="0"/>
              <w:marBottom w:val="0"/>
              <w:divBdr>
                <w:top w:val="none" w:sz="0" w:space="0" w:color="auto"/>
                <w:left w:val="none" w:sz="0" w:space="0" w:color="auto"/>
                <w:bottom w:val="none" w:sz="0" w:space="0" w:color="auto"/>
                <w:right w:val="none" w:sz="0" w:space="0" w:color="auto"/>
              </w:divBdr>
            </w:div>
          </w:divsChild>
        </w:div>
        <w:div w:id="1412578186">
          <w:marLeft w:val="0"/>
          <w:marRight w:val="0"/>
          <w:marTop w:val="0"/>
          <w:marBottom w:val="0"/>
          <w:divBdr>
            <w:top w:val="none" w:sz="0" w:space="0" w:color="auto"/>
            <w:left w:val="none" w:sz="0" w:space="0" w:color="auto"/>
            <w:bottom w:val="none" w:sz="0" w:space="0" w:color="auto"/>
            <w:right w:val="none" w:sz="0" w:space="0" w:color="auto"/>
          </w:divBdr>
          <w:divsChild>
            <w:div w:id="807019484">
              <w:marLeft w:val="0"/>
              <w:marRight w:val="0"/>
              <w:marTop w:val="0"/>
              <w:marBottom w:val="0"/>
              <w:divBdr>
                <w:top w:val="none" w:sz="0" w:space="0" w:color="auto"/>
                <w:left w:val="none" w:sz="0" w:space="0" w:color="auto"/>
                <w:bottom w:val="none" w:sz="0" w:space="0" w:color="auto"/>
                <w:right w:val="none" w:sz="0" w:space="0" w:color="auto"/>
              </w:divBdr>
            </w:div>
          </w:divsChild>
        </w:div>
        <w:div w:id="1432582645">
          <w:marLeft w:val="0"/>
          <w:marRight w:val="0"/>
          <w:marTop w:val="0"/>
          <w:marBottom w:val="0"/>
          <w:divBdr>
            <w:top w:val="none" w:sz="0" w:space="0" w:color="auto"/>
            <w:left w:val="none" w:sz="0" w:space="0" w:color="auto"/>
            <w:bottom w:val="none" w:sz="0" w:space="0" w:color="auto"/>
            <w:right w:val="none" w:sz="0" w:space="0" w:color="auto"/>
          </w:divBdr>
          <w:divsChild>
            <w:div w:id="1533415370">
              <w:marLeft w:val="0"/>
              <w:marRight w:val="0"/>
              <w:marTop w:val="0"/>
              <w:marBottom w:val="0"/>
              <w:divBdr>
                <w:top w:val="none" w:sz="0" w:space="0" w:color="auto"/>
                <w:left w:val="none" w:sz="0" w:space="0" w:color="auto"/>
                <w:bottom w:val="none" w:sz="0" w:space="0" w:color="auto"/>
                <w:right w:val="none" w:sz="0" w:space="0" w:color="auto"/>
              </w:divBdr>
            </w:div>
            <w:div w:id="2002809379">
              <w:marLeft w:val="0"/>
              <w:marRight w:val="0"/>
              <w:marTop w:val="0"/>
              <w:marBottom w:val="0"/>
              <w:divBdr>
                <w:top w:val="none" w:sz="0" w:space="0" w:color="auto"/>
                <w:left w:val="none" w:sz="0" w:space="0" w:color="auto"/>
                <w:bottom w:val="none" w:sz="0" w:space="0" w:color="auto"/>
                <w:right w:val="none" w:sz="0" w:space="0" w:color="auto"/>
              </w:divBdr>
            </w:div>
          </w:divsChild>
        </w:div>
        <w:div w:id="1444374366">
          <w:marLeft w:val="0"/>
          <w:marRight w:val="0"/>
          <w:marTop w:val="0"/>
          <w:marBottom w:val="0"/>
          <w:divBdr>
            <w:top w:val="none" w:sz="0" w:space="0" w:color="auto"/>
            <w:left w:val="none" w:sz="0" w:space="0" w:color="auto"/>
            <w:bottom w:val="none" w:sz="0" w:space="0" w:color="auto"/>
            <w:right w:val="none" w:sz="0" w:space="0" w:color="auto"/>
          </w:divBdr>
          <w:divsChild>
            <w:div w:id="1522627738">
              <w:marLeft w:val="0"/>
              <w:marRight w:val="0"/>
              <w:marTop w:val="0"/>
              <w:marBottom w:val="0"/>
              <w:divBdr>
                <w:top w:val="none" w:sz="0" w:space="0" w:color="auto"/>
                <w:left w:val="none" w:sz="0" w:space="0" w:color="auto"/>
                <w:bottom w:val="none" w:sz="0" w:space="0" w:color="auto"/>
                <w:right w:val="none" w:sz="0" w:space="0" w:color="auto"/>
              </w:divBdr>
            </w:div>
          </w:divsChild>
        </w:div>
        <w:div w:id="1448547144">
          <w:marLeft w:val="0"/>
          <w:marRight w:val="0"/>
          <w:marTop w:val="0"/>
          <w:marBottom w:val="0"/>
          <w:divBdr>
            <w:top w:val="none" w:sz="0" w:space="0" w:color="auto"/>
            <w:left w:val="none" w:sz="0" w:space="0" w:color="auto"/>
            <w:bottom w:val="none" w:sz="0" w:space="0" w:color="auto"/>
            <w:right w:val="none" w:sz="0" w:space="0" w:color="auto"/>
          </w:divBdr>
          <w:divsChild>
            <w:div w:id="212159359">
              <w:marLeft w:val="0"/>
              <w:marRight w:val="0"/>
              <w:marTop w:val="0"/>
              <w:marBottom w:val="0"/>
              <w:divBdr>
                <w:top w:val="none" w:sz="0" w:space="0" w:color="auto"/>
                <w:left w:val="none" w:sz="0" w:space="0" w:color="auto"/>
                <w:bottom w:val="none" w:sz="0" w:space="0" w:color="auto"/>
                <w:right w:val="none" w:sz="0" w:space="0" w:color="auto"/>
              </w:divBdr>
            </w:div>
          </w:divsChild>
        </w:div>
        <w:div w:id="1465394123">
          <w:marLeft w:val="0"/>
          <w:marRight w:val="0"/>
          <w:marTop w:val="0"/>
          <w:marBottom w:val="0"/>
          <w:divBdr>
            <w:top w:val="none" w:sz="0" w:space="0" w:color="auto"/>
            <w:left w:val="none" w:sz="0" w:space="0" w:color="auto"/>
            <w:bottom w:val="none" w:sz="0" w:space="0" w:color="auto"/>
            <w:right w:val="none" w:sz="0" w:space="0" w:color="auto"/>
          </w:divBdr>
          <w:divsChild>
            <w:div w:id="60325379">
              <w:marLeft w:val="0"/>
              <w:marRight w:val="0"/>
              <w:marTop w:val="0"/>
              <w:marBottom w:val="0"/>
              <w:divBdr>
                <w:top w:val="none" w:sz="0" w:space="0" w:color="auto"/>
                <w:left w:val="none" w:sz="0" w:space="0" w:color="auto"/>
                <w:bottom w:val="none" w:sz="0" w:space="0" w:color="auto"/>
                <w:right w:val="none" w:sz="0" w:space="0" w:color="auto"/>
              </w:divBdr>
            </w:div>
            <w:div w:id="811168793">
              <w:marLeft w:val="0"/>
              <w:marRight w:val="0"/>
              <w:marTop w:val="0"/>
              <w:marBottom w:val="0"/>
              <w:divBdr>
                <w:top w:val="none" w:sz="0" w:space="0" w:color="auto"/>
                <w:left w:val="none" w:sz="0" w:space="0" w:color="auto"/>
                <w:bottom w:val="none" w:sz="0" w:space="0" w:color="auto"/>
                <w:right w:val="none" w:sz="0" w:space="0" w:color="auto"/>
              </w:divBdr>
            </w:div>
          </w:divsChild>
        </w:div>
        <w:div w:id="1471552448">
          <w:marLeft w:val="0"/>
          <w:marRight w:val="0"/>
          <w:marTop w:val="0"/>
          <w:marBottom w:val="0"/>
          <w:divBdr>
            <w:top w:val="none" w:sz="0" w:space="0" w:color="auto"/>
            <w:left w:val="none" w:sz="0" w:space="0" w:color="auto"/>
            <w:bottom w:val="none" w:sz="0" w:space="0" w:color="auto"/>
            <w:right w:val="none" w:sz="0" w:space="0" w:color="auto"/>
          </w:divBdr>
          <w:divsChild>
            <w:div w:id="1403528770">
              <w:marLeft w:val="0"/>
              <w:marRight w:val="0"/>
              <w:marTop w:val="0"/>
              <w:marBottom w:val="0"/>
              <w:divBdr>
                <w:top w:val="none" w:sz="0" w:space="0" w:color="auto"/>
                <w:left w:val="none" w:sz="0" w:space="0" w:color="auto"/>
                <w:bottom w:val="none" w:sz="0" w:space="0" w:color="auto"/>
                <w:right w:val="none" w:sz="0" w:space="0" w:color="auto"/>
              </w:divBdr>
            </w:div>
            <w:div w:id="1415711984">
              <w:marLeft w:val="0"/>
              <w:marRight w:val="0"/>
              <w:marTop w:val="0"/>
              <w:marBottom w:val="0"/>
              <w:divBdr>
                <w:top w:val="none" w:sz="0" w:space="0" w:color="auto"/>
                <w:left w:val="none" w:sz="0" w:space="0" w:color="auto"/>
                <w:bottom w:val="none" w:sz="0" w:space="0" w:color="auto"/>
                <w:right w:val="none" w:sz="0" w:space="0" w:color="auto"/>
              </w:divBdr>
            </w:div>
          </w:divsChild>
        </w:div>
        <w:div w:id="1522471578">
          <w:marLeft w:val="0"/>
          <w:marRight w:val="0"/>
          <w:marTop w:val="0"/>
          <w:marBottom w:val="0"/>
          <w:divBdr>
            <w:top w:val="none" w:sz="0" w:space="0" w:color="auto"/>
            <w:left w:val="none" w:sz="0" w:space="0" w:color="auto"/>
            <w:bottom w:val="none" w:sz="0" w:space="0" w:color="auto"/>
            <w:right w:val="none" w:sz="0" w:space="0" w:color="auto"/>
          </w:divBdr>
          <w:divsChild>
            <w:div w:id="1774133983">
              <w:marLeft w:val="0"/>
              <w:marRight w:val="0"/>
              <w:marTop w:val="0"/>
              <w:marBottom w:val="0"/>
              <w:divBdr>
                <w:top w:val="none" w:sz="0" w:space="0" w:color="auto"/>
                <w:left w:val="none" w:sz="0" w:space="0" w:color="auto"/>
                <w:bottom w:val="none" w:sz="0" w:space="0" w:color="auto"/>
                <w:right w:val="none" w:sz="0" w:space="0" w:color="auto"/>
              </w:divBdr>
            </w:div>
          </w:divsChild>
        </w:div>
        <w:div w:id="1526215816">
          <w:marLeft w:val="0"/>
          <w:marRight w:val="0"/>
          <w:marTop w:val="0"/>
          <w:marBottom w:val="0"/>
          <w:divBdr>
            <w:top w:val="none" w:sz="0" w:space="0" w:color="auto"/>
            <w:left w:val="none" w:sz="0" w:space="0" w:color="auto"/>
            <w:bottom w:val="none" w:sz="0" w:space="0" w:color="auto"/>
            <w:right w:val="none" w:sz="0" w:space="0" w:color="auto"/>
          </w:divBdr>
          <w:divsChild>
            <w:div w:id="1679624438">
              <w:marLeft w:val="0"/>
              <w:marRight w:val="0"/>
              <w:marTop w:val="0"/>
              <w:marBottom w:val="0"/>
              <w:divBdr>
                <w:top w:val="none" w:sz="0" w:space="0" w:color="auto"/>
                <w:left w:val="none" w:sz="0" w:space="0" w:color="auto"/>
                <w:bottom w:val="none" w:sz="0" w:space="0" w:color="auto"/>
                <w:right w:val="none" w:sz="0" w:space="0" w:color="auto"/>
              </w:divBdr>
            </w:div>
          </w:divsChild>
        </w:div>
        <w:div w:id="1533683942">
          <w:marLeft w:val="0"/>
          <w:marRight w:val="0"/>
          <w:marTop w:val="0"/>
          <w:marBottom w:val="0"/>
          <w:divBdr>
            <w:top w:val="none" w:sz="0" w:space="0" w:color="auto"/>
            <w:left w:val="none" w:sz="0" w:space="0" w:color="auto"/>
            <w:bottom w:val="none" w:sz="0" w:space="0" w:color="auto"/>
            <w:right w:val="none" w:sz="0" w:space="0" w:color="auto"/>
          </w:divBdr>
          <w:divsChild>
            <w:div w:id="1197505680">
              <w:marLeft w:val="0"/>
              <w:marRight w:val="0"/>
              <w:marTop w:val="0"/>
              <w:marBottom w:val="0"/>
              <w:divBdr>
                <w:top w:val="none" w:sz="0" w:space="0" w:color="auto"/>
                <w:left w:val="none" w:sz="0" w:space="0" w:color="auto"/>
                <w:bottom w:val="none" w:sz="0" w:space="0" w:color="auto"/>
                <w:right w:val="none" w:sz="0" w:space="0" w:color="auto"/>
              </w:divBdr>
            </w:div>
          </w:divsChild>
        </w:div>
        <w:div w:id="1542790655">
          <w:marLeft w:val="0"/>
          <w:marRight w:val="0"/>
          <w:marTop w:val="0"/>
          <w:marBottom w:val="0"/>
          <w:divBdr>
            <w:top w:val="none" w:sz="0" w:space="0" w:color="auto"/>
            <w:left w:val="none" w:sz="0" w:space="0" w:color="auto"/>
            <w:bottom w:val="none" w:sz="0" w:space="0" w:color="auto"/>
            <w:right w:val="none" w:sz="0" w:space="0" w:color="auto"/>
          </w:divBdr>
          <w:divsChild>
            <w:div w:id="1242564180">
              <w:marLeft w:val="0"/>
              <w:marRight w:val="0"/>
              <w:marTop w:val="0"/>
              <w:marBottom w:val="0"/>
              <w:divBdr>
                <w:top w:val="none" w:sz="0" w:space="0" w:color="auto"/>
                <w:left w:val="none" w:sz="0" w:space="0" w:color="auto"/>
                <w:bottom w:val="none" w:sz="0" w:space="0" w:color="auto"/>
                <w:right w:val="none" w:sz="0" w:space="0" w:color="auto"/>
              </w:divBdr>
            </w:div>
          </w:divsChild>
        </w:div>
        <w:div w:id="1545288153">
          <w:marLeft w:val="0"/>
          <w:marRight w:val="0"/>
          <w:marTop w:val="0"/>
          <w:marBottom w:val="0"/>
          <w:divBdr>
            <w:top w:val="none" w:sz="0" w:space="0" w:color="auto"/>
            <w:left w:val="none" w:sz="0" w:space="0" w:color="auto"/>
            <w:bottom w:val="none" w:sz="0" w:space="0" w:color="auto"/>
            <w:right w:val="none" w:sz="0" w:space="0" w:color="auto"/>
          </w:divBdr>
          <w:divsChild>
            <w:div w:id="733284768">
              <w:marLeft w:val="0"/>
              <w:marRight w:val="0"/>
              <w:marTop w:val="0"/>
              <w:marBottom w:val="0"/>
              <w:divBdr>
                <w:top w:val="none" w:sz="0" w:space="0" w:color="auto"/>
                <w:left w:val="none" w:sz="0" w:space="0" w:color="auto"/>
                <w:bottom w:val="none" w:sz="0" w:space="0" w:color="auto"/>
                <w:right w:val="none" w:sz="0" w:space="0" w:color="auto"/>
              </w:divBdr>
            </w:div>
          </w:divsChild>
        </w:div>
        <w:div w:id="1580284466">
          <w:marLeft w:val="0"/>
          <w:marRight w:val="0"/>
          <w:marTop w:val="0"/>
          <w:marBottom w:val="0"/>
          <w:divBdr>
            <w:top w:val="none" w:sz="0" w:space="0" w:color="auto"/>
            <w:left w:val="none" w:sz="0" w:space="0" w:color="auto"/>
            <w:bottom w:val="none" w:sz="0" w:space="0" w:color="auto"/>
            <w:right w:val="none" w:sz="0" w:space="0" w:color="auto"/>
          </w:divBdr>
          <w:divsChild>
            <w:div w:id="675113463">
              <w:marLeft w:val="0"/>
              <w:marRight w:val="0"/>
              <w:marTop w:val="0"/>
              <w:marBottom w:val="0"/>
              <w:divBdr>
                <w:top w:val="none" w:sz="0" w:space="0" w:color="auto"/>
                <w:left w:val="none" w:sz="0" w:space="0" w:color="auto"/>
                <w:bottom w:val="none" w:sz="0" w:space="0" w:color="auto"/>
                <w:right w:val="none" w:sz="0" w:space="0" w:color="auto"/>
              </w:divBdr>
            </w:div>
          </w:divsChild>
        </w:div>
        <w:div w:id="1589658795">
          <w:marLeft w:val="0"/>
          <w:marRight w:val="0"/>
          <w:marTop w:val="0"/>
          <w:marBottom w:val="0"/>
          <w:divBdr>
            <w:top w:val="none" w:sz="0" w:space="0" w:color="auto"/>
            <w:left w:val="none" w:sz="0" w:space="0" w:color="auto"/>
            <w:bottom w:val="none" w:sz="0" w:space="0" w:color="auto"/>
            <w:right w:val="none" w:sz="0" w:space="0" w:color="auto"/>
          </w:divBdr>
          <w:divsChild>
            <w:div w:id="709493392">
              <w:marLeft w:val="0"/>
              <w:marRight w:val="0"/>
              <w:marTop w:val="0"/>
              <w:marBottom w:val="0"/>
              <w:divBdr>
                <w:top w:val="none" w:sz="0" w:space="0" w:color="auto"/>
                <w:left w:val="none" w:sz="0" w:space="0" w:color="auto"/>
                <w:bottom w:val="none" w:sz="0" w:space="0" w:color="auto"/>
                <w:right w:val="none" w:sz="0" w:space="0" w:color="auto"/>
              </w:divBdr>
            </w:div>
          </w:divsChild>
        </w:div>
        <w:div w:id="1655789965">
          <w:marLeft w:val="0"/>
          <w:marRight w:val="0"/>
          <w:marTop w:val="0"/>
          <w:marBottom w:val="0"/>
          <w:divBdr>
            <w:top w:val="none" w:sz="0" w:space="0" w:color="auto"/>
            <w:left w:val="none" w:sz="0" w:space="0" w:color="auto"/>
            <w:bottom w:val="none" w:sz="0" w:space="0" w:color="auto"/>
            <w:right w:val="none" w:sz="0" w:space="0" w:color="auto"/>
          </w:divBdr>
          <w:divsChild>
            <w:div w:id="221866177">
              <w:marLeft w:val="0"/>
              <w:marRight w:val="0"/>
              <w:marTop w:val="0"/>
              <w:marBottom w:val="0"/>
              <w:divBdr>
                <w:top w:val="none" w:sz="0" w:space="0" w:color="auto"/>
                <w:left w:val="none" w:sz="0" w:space="0" w:color="auto"/>
                <w:bottom w:val="none" w:sz="0" w:space="0" w:color="auto"/>
                <w:right w:val="none" w:sz="0" w:space="0" w:color="auto"/>
              </w:divBdr>
            </w:div>
          </w:divsChild>
        </w:div>
        <w:div w:id="1670866994">
          <w:marLeft w:val="0"/>
          <w:marRight w:val="0"/>
          <w:marTop w:val="0"/>
          <w:marBottom w:val="0"/>
          <w:divBdr>
            <w:top w:val="none" w:sz="0" w:space="0" w:color="auto"/>
            <w:left w:val="none" w:sz="0" w:space="0" w:color="auto"/>
            <w:bottom w:val="none" w:sz="0" w:space="0" w:color="auto"/>
            <w:right w:val="none" w:sz="0" w:space="0" w:color="auto"/>
          </w:divBdr>
          <w:divsChild>
            <w:div w:id="754018037">
              <w:marLeft w:val="0"/>
              <w:marRight w:val="0"/>
              <w:marTop w:val="0"/>
              <w:marBottom w:val="0"/>
              <w:divBdr>
                <w:top w:val="none" w:sz="0" w:space="0" w:color="auto"/>
                <w:left w:val="none" w:sz="0" w:space="0" w:color="auto"/>
                <w:bottom w:val="none" w:sz="0" w:space="0" w:color="auto"/>
                <w:right w:val="none" w:sz="0" w:space="0" w:color="auto"/>
              </w:divBdr>
            </w:div>
            <w:div w:id="1579972212">
              <w:marLeft w:val="0"/>
              <w:marRight w:val="0"/>
              <w:marTop w:val="0"/>
              <w:marBottom w:val="0"/>
              <w:divBdr>
                <w:top w:val="none" w:sz="0" w:space="0" w:color="auto"/>
                <w:left w:val="none" w:sz="0" w:space="0" w:color="auto"/>
                <w:bottom w:val="none" w:sz="0" w:space="0" w:color="auto"/>
                <w:right w:val="none" w:sz="0" w:space="0" w:color="auto"/>
              </w:divBdr>
            </w:div>
          </w:divsChild>
        </w:div>
        <w:div w:id="1687756902">
          <w:marLeft w:val="0"/>
          <w:marRight w:val="0"/>
          <w:marTop w:val="0"/>
          <w:marBottom w:val="0"/>
          <w:divBdr>
            <w:top w:val="none" w:sz="0" w:space="0" w:color="auto"/>
            <w:left w:val="none" w:sz="0" w:space="0" w:color="auto"/>
            <w:bottom w:val="none" w:sz="0" w:space="0" w:color="auto"/>
            <w:right w:val="none" w:sz="0" w:space="0" w:color="auto"/>
          </w:divBdr>
          <w:divsChild>
            <w:div w:id="1126776816">
              <w:marLeft w:val="0"/>
              <w:marRight w:val="0"/>
              <w:marTop w:val="0"/>
              <w:marBottom w:val="0"/>
              <w:divBdr>
                <w:top w:val="none" w:sz="0" w:space="0" w:color="auto"/>
                <w:left w:val="none" w:sz="0" w:space="0" w:color="auto"/>
                <w:bottom w:val="none" w:sz="0" w:space="0" w:color="auto"/>
                <w:right w:val="none" w:sz="0" w:space="0" w:color="auto"/>
              </w:divBdr>
            </w:div>
          </w:divsChild>
        </w:div>
        <w:div w:id="1690789573">
          <w:marLeft w:val="0"/>
          <w:marRight w:val="0"/>
          <w:marTop w:val="0"/>
          <w:marBottom w:val="0"/>
          <w:divBdr>
            <w:top w:val="none" w:sz="0" w:space="0" w:color="auto"/>
            <w:left w:val="none" w:sz="0" w:space="0" w:color="auto"/>
            <w:bottom w:val="none" w:sz="0" w:space="0" w:color="auto"/>
            <w:right w:val="none" w:sz="0" w:space="0" w:color="auto"/>
          </w:divBdr>
          <w:divsChild>
            <w:div w:id="1989967653">
              <w:marLeft w:val="0"/>
              <w:marRight w:val="0"/>
              <w:marTop w:val="0"/>
              <w:marBottom w:val="0"/>
              <w:divBdr>
                <w:top w:val="none" w:sz="0" w:space="0" w:color="auto"/>
                <w:left w:val="none" w:sz="0" w:space="0" w:color="auto"/>
                <w:bottom w:val="none" w:sz="0" w:space="0" w:color="auto"/>
                <w:right w:val="none" w:sz="0" w:space="0" w:color="auto"/>
              </w:divBdr>
            </w:div>
          </w:divsChild>
        </w:div>
        <w:div w:id="1703087322">
          <w:marLeft w:val="0"/>
          <w:marRight w:val="0"/>
          <w:marTop w:val="0"/>
          <w:marBottom w:val="0"/>
          <w:divBdr>
            <w:top w:val="none" w:sz="0" w:space="0" w:color="auto"/>
            <w:left w:val="none" w:sz="0" w:space="0" w:color="auto"/>
            <w:bottom w:val="none" w:sz="0" w:space="0" w:color="auto"/>
            <w:right w:val="none" w:sz="0" w:space="0" w:color="auto"/>
          </w:divBdr>
          <w:divsChild>
            <w:div w:id="499851392">
              <w:marLeft w:val="0"/>
              <w:marRight w:val="0"/>
              <w:marTop w:val="0"/>
              <w:marBottom w:val="0"/>
              <w:divBdr>
                <w:top w:val="none" w:sz="0" w:space="0" w:color="auto"/>
                <w:left w:val="none" w:sz="0" w:space="0" w:color="auto"/>
                <w:bottom w:val="none" w:sz="0" w:space="0" w:color="auto"/>
                <w:right w:val="none" w:sz="0" w:space="0" w:color="auto"/>
              </w:divBdr>
            </w:div>
          </w:divsChild>
        </w:div>
        <w:div w:id="1716781613">
          <w:marLeft w:val="0"/>
          <w:marRight w:val="0"/>
          <w:marTop w:val="0"/>
          <w:marBottom w:val="0"/>
          <w:divBdr>
            <w:top w:val="none" w:sz="0" w:space="0" w:color="auto"/>
            <w:left w:val="none" w:sz="0" w:space="0" w:color="auto"/>
            <w:bottom w:val="none" w:sz="0" w:space="0" w:color="auto"/>
            <w:right w:val="none" w:sz="0" w:space="0" w:color="auto"/>
          </w:divBdr>
          <w:divsChild>
            <w:div w:id="1354576368">
              <w:marLeft w:val="0"/>
              <w:marRight w:val="0"/>
              <w:marTop w:val="0"/>
              <w:marBottom w:val="0"/>
              <w:divBdr>
                <w:top w:val="none" w:sz="0" w:space="0" w:color="auto"/>
                <w:left w:val="none" w:sz="0" w:space="0" w:color="auto"/>
                <w:bottom w:val="none" w:sz="0" w:space="0" w:color="auto"/>
                <w:right w:val="none" w:sz="0" w:space="0" w:color="auto"/>
              </w:divBdr>
            </w:div>
          </w:divsChild>
        </w:div>
        <w:div w:id="1721711054">
          <w:marLeft w:val="0"/>
          <w:marRight w:val="0"/>
          <w:marTop w:val="0"/>
          <w:marBottom w:val="0"/>
          <w:divBdr>
            <w:top w:val="none" w:sz="0" w:space="0" w:color="auto"/>
            <w:left w:val="none" w:sz="0" w:space="0" w:color="auto"/>
            <w:bottom w:val="none" w:sz="0" w:space="0" w:color="auto"/>
            <w:right w:val="none" w:sz="0" w:space="0" w:color="auto"/>
          </w:divBdr>
          <w:divsChild>
            <w:div w:id="1704817761">
              <w:marLeft w:val="0"/>
              <w:marRight w:val="0"/>
              <w:marTop w:val="0"/>
              <w:marBottom w:val="0"/>
              <w:divBdr>
                <w:top w:val="none" w:sz="0" w:space="0" w:color="auto"/>
                <w:left w:val="none" w:sz="0" w:space="0" w:color="auto"/>
                <w:bottom w:val="none" w:sz="0" w:space="0" w:color="auto"/>
                <w:right w:val="none" w:sz="0" w:space="0" w:color="auto"/>
              </w:divBdr>
            </w:div>
          </w:divsChild>
        </w:div>
        <w:div w:id="1722898852">
          <w:marLeft w:val="0"/>
          <w:marRight w:val="0"/>
          <w:marTop w:val="0"/>
          <w:marBottom w:val="0"/>
          <w:divBdr>
            <w:top w:val="none" w:sz="0" w:space="0" w:color="auto"/>
            <w:left w:val="none" w:sz="0" w:space="0" w:color="auto"/>
            <w:bottom w:val="none" w:sz="0" w:space="0" w:color="auto"/>
            <w:right w:val="none" w:sz="0" w:space="0" w:color="auto"/>
          </w:divBdr>
          <w:divsChild>
            <w:div w:id="2008820838">
              <w:marLeft w:val="0"/>
              <w:marRight w:val="0"/>
              <w:marTop w:val="0"/>
              <w:marBottom w:val="0"/>
              <w:divBdr>
                <w:top w:val="none" w:sz="0" w:space="0" w:color="auto"/>
                <w:left w:val="none" w:sz="0" w:space="0" w:color="auto"/>
                <w:bottom w:val="none" w:sz="0" w:space="0" w:color="auto"/>
                <w:right w:val="none" w:sz="0" w:space="0" w:color="auto"/>
              </w:divBdr>
            </w:div>
          </w:divsChild>
        </w:div>
        <w:div w:id="1812869064">
          <w:marLeft w:val="0"/>
          <w:marRight w:val="0"/>
          <w:marTop w:val="0"/>
          <w:marBottom w:val="0"/>
          <w:divBdr>
            <w:top w:val="none" w:sz="0" w:space="0" w:color="auto"/>
            <w:left w:val="none" w:sz="0" w:space="0" w:color="auto"/>
            <w:bottom w:val="none" w:sz="0" w:space="0" w:color="auto"/>
            <w:right w:val="none" w:sz="0" w:space="0" w:color="auto"/>
          </w:divBdr>
          <w:divsChild>
            <w:div w:id="877164145">
              <w:marLeft w:val="0"/>
              <w:marRight w:val="0"/>
              <w:marTop w:val="0"/>
              <w:marBottom w:val="0"/>
              <w:divBdr>
                <w:top w:val="none" w:sz="0" w:space="0" w:color="auto"/>
                <w:left w:val="none" w:sz="0" w:space="0" w:color="auto"/>
                <w:bottom w:val="none" w:sz="0" w:space="0" w:color="auto"/>
                <w:right w:val="none" w:sz="0" w:space="0" w:color="auto"/>
              </w:divBdr>
            </w:div>
          </w:divsChild>
        </w:div>
        <w:div w:id="1830171957">
          <w:marLeft w:val="0"/>
          <w:marRight w:val="0"/>
          <w:marTop w:val="0"/>
          <w:marBottom w:val="0"/>
          <w:divBdr>
            <w:top w:val="none" w:sz="0" w:space="0" w:color="auto"/>
            <w:left w:val="none" w:sz="0" w:space="0" w:color="auto"/>
            <w:bottom w:val="none" w:sz="0" w:space="0" w:color="auto"/>
            <w:right w:val="none" w:sz="0" w:space="0" w:color="auto"/>
          </w:divBdr>
          <w:divsChild>
            <w:div w:id="2025741088">
              <w:marLeft w:val="0"/>
              <w:marRight w:val="0"/>
              <w:marTop w:val="0"/>
              <w:marBottom w:val="0"/>
              <w:divBdr>
                <w:top w:val="none" w:sz="0" w:space="0" w:color="auto"/>
                <w:left w:val="none" w:sz="0" w:space="0" w:color="auto"/>
                <w:bottom w:val="none" w:sz="0" w:space="0" w:color="auto"/>
                <w:right w:val="none" w:sz="0" w:space="0" w:color="auto"/>
              </w:divBdr>
            </w:div>
          </w:divsChild>
        </w:div>
        <w:div w:id="1837527253">
          <w:marLeft w:val="0"/>
          <w:marRight w:val="0"/>
          <w:marTop w:val="0"/>
          <w:marBottom w:val="0"/>
          <w:divBdr>
            <w:top w:val="none" w:sz="0" w:space="0" w:color="auto"/>
            <w:left w:val="none" w:sz="0" w:space="0" w:color="auto"/>
            <w:bottom w:val="none" w:sz="0" w:space="0" w:color="auto"/>
            <w:right w:val="none" w:sz="0" w:space="0" w:color="auto"/>
          </w:divBdr>
          <w:divsChild>
            <w:div w:id="745569308">
              <w:marLeft w:val="0"/>
              <w:marRight w:val="0"/>
              <w:marTop w:val="0"/>
              <w:marBottom w:val="0"/>
              <w:divBdr>
                <w:top w:val="none" w:sz="0" w:space="0" w:color="auto"/>
                <w:left w:val="none" w:sz="0" w:space="0" w:color="auto"/>
                <w:bottom w:val="none" w:sz="0" w:space="0" w:color="auto"/>
                <w:right w:val="none" w:sz="0" w:space="0" w:color="auto"/>
              </w:divBdr>
            </w:div>
          </w:divsChild>
        </w:div>
        <w:div w:id="1856533757">
          <w:marLeft w:val="0"/>
          <w:marRight w:val="0"/>
          <w:marTop w:val="0"/>
          <w:marBottom w:val="0"/>
          <w:divBdr>
            <w:top w:val="none" w:sz="0" w:space="0" w:color="auto"/>
            <w:left w:val="none" w:sz="0" w:space="0" w:color="auto"/>
            <w:bottom w:val="none" w:sz="0" w:space="0" w:color="auto"/>
            <w:right w:val="none" w:sz="0" w:space="0" w:color="auto"/>
          </w:divBdr>
          <w:divsChild>
            <w:div w:id="1892955509">
              <w:marLeft w:val="0"/>
              <w:marRight w:val="0"/>
              <w:marTop w:val="0"/>
              <w:marBottom w:val="0"/>
              <w:divBdr>
                <w:top w:val="none" w:sz="0" w:space="0" w:color="auto"/>
                <w:left w:val="none" w:sz="0" w:space="0" w:color="auto"/>
                <w:bottom w:val="none" w:sz="0" w:space="0" w:color="auto"/>
                <w:right w:val="none" w:sz="0" w:space="0" w:color="auto"/>
              </w:divBdr>
            </w:div>
          </w:divsChild>
        </w:div>
        <w:div w:id="1863937122">
          <w:marLeft w:val="0"/>
          <w:marRight w:val="0"/>
          <w:marTop w:val="0"/>
          <w:marBottom w:val="0"/>
          <w:divBdr>
            <w:top w:val="none" w:sz="0" w:space="0" w:color="auto"/>
            <w:left w:val="none" w:sz="0" w:space="0" w:color="auto"/>
            <w:bottom w:val="none" w:sz="0" w:space="0" w:color="auto"/>
            <w:right w:val="none" w:sz="0" w:space="0" w:color="auto"/>
          </w:divBdr>
          <w:divsChild>
            <w:div w:id="1690982075">
              <w:marLeft w:val="0"/>
              <w:marRight w:val="0"/>
              <w:marTop w:val="0"/>
              <w:marBottom w:val="0"/>
              <w:divBdr>
                <w:top w:val="none" w:sz="0" w:space="0" w:color="auto"/>
                <w:left w:val="none" w:sz="0" w:space="0" w:color="auto"/>
                <w:bottom w:val="none" w:sz="0" w:space="0" w:color="auto"/>
                <w:right w:val="none" w:sz="0" w:space="0" w:color="auto"/>
              </w:divBdr>
            </w:div>
          </w:divsChild>
        </w:div>
        <w:div w:id="1869373498">
          <w:marLeft w:val="0"/>
          <w:marRight w:val="0"/>
          <w:marTop w:val="0"/>
          <w:marBottom w:val="0"/>
          <w:divBdr>
            <w:top w:val="none" w:sz="0" w:space="0" w:color="auto"/>
            <w:left w:val="none" w:sz="0" w:space="0" w:color="auto"/>
            <w:bottom w:val="none" w:sz="0" w:space="0" w:color="auto"/>
            <w:right w:val="none" w:sz="0" w:space="0" w:color="auto"/>
          </w:divBdr>
          <w:divsChild>
            <w:div w:id="1443450004">
              <w:marLeft w:val="0"/>
              <w:marRight w:val="0"/>
              <w:marTop w:val="0"/>
              <w:marBottom w:val="0"/>
              <w:divBdr>
                <w:top w:val="none" w:sz="0" w:space="0" w:color="auto"/>
                <w:left w:val="none" w:sz="0" w:space="0" w:color="auto"/>
                <w:bottom w:val="none" w:sz="0" w:space="0" w:color="auto"/>
                <w:right w:val="none" w:sz="0" w:space="0" w:color="auto"/>
              </w:divBdr>
            </w:div>
          </w:divsChild>
        </w:div>
        <w:div w:id="1882470534">
          <w:marLeft w:val="0"/>
          <w:marRight w:val="0"/>
          <w:marTop w:val="0"/>
          <w:marBottom w:val="0"/>
          <w:divBdr>
            <w:top w:val="none" w:sz="0" w:space="0" w:color="auto"/>
            <w:left w:val="none" w:sz="0" w:space="0" w:color="auto"/>
            <w:bottom w:val="none" w:sz="0" w:space="0" w:color="auto"/>
            <w:right w:val="none" w:sz="0" w:space="0" w:color="auto"/>
          </w:divBdr>
          <w:divsChild>
            <w:div w:id="698354141">
              <w:marLeft w:val="0"/>
              <w:marRight w:val="0"/>
              <w:marTop w:val="0"/>
              <w:marBottom w:val="0"/>
              <w:divBdr>
                <w:top w:val="none" w:sz="0" w:space="0" w:color="auto"/>
                <w:left w:val="none" w:sz="0" w:space="0" w:color="auto"/>
                <w:bottom w:val="none" w:sz="0" w:space="0" w:color="auto"/>
                <w:right w:val="none" w:sz="0" w:space="0" w:color="auto"/>
              </w:divBdr>
            </w:div>
          </w:divsChild>
        </w:div>
        <w:div w:id="1888839303">
          <w:marLeft w:val="0"/>
          <w:marRight w:val="0"/>
          <w:marTop w:val="0"/>
          <w:marBottom w:val="0"/>
          <w:divBdr>
            <w:top w:val="none" w:sz="0" w:space="0" w:color="auto"/>
            <w:left w:val="none" w:sz="0" w:space="0" w:color="auto"/>
            <w:bottom w:val="none" w:sz="0" w:space="0" w:color="auto"/>
            <w:right w:val="none" w:sz="0" w:space="0" w:color="auto"/>
          </w:divBdr>
          <w:divsChild>
            <w:div w:id="102697787">
              <w:marLeft w:val="0"/>
              <w:marRight w:val="0"/>
              <w:marTop w:val="0"/>
              <w:marBottom w:val="0"/>
              <w:divBdr>
                <w:top w:val="none" w:sz="0" w:space="0" w:color="auto"/>
                <w:left w:val="none" w:sz="0" w:space="0" w:color="auto"/>
                <w:bottom w:val="none" w:sz="0" w:space="0" w:color="auto"/>
                <w:right w:val="none" w:sz="0" w:space="0" w:color="auto"/>
              </w:divBdr>
            </w:div>
          </w:divsChild>
        </w:div>
        <w:div w:id="1901360904">
          <w:marLeft w:val="0"/>
          <w:marRight w:val="0"/>
          <w:marTop w:val="0"/>
          <w:marBottom w:val="0"/>
          <w:divBdr>
            <w:top w:val="none" w:sz="0" w:space="0" w:color="auto"/>
            <w:left w:val="none" w:sz="0" w:space="0" w:color="auto"/>
            <w:bottom w:val="none" w:sz="0" w:space="0" w:color="auto"/>
            <w:right w:val="none" w:sz="0" w:space="0" w:color="auto"/>
          </w:divBdr>
          <w:divsChild>
            <w:div w:id="639723199">
              <w:marLeft w:val="0"/>
              <w:marRight w:val="0"/>
              <w:marTop w:val="0"/>
              <w:marBottom w:val="0"/>
              <w:divBdr>
                <w:top w:val="none" w:sz="0" w:space="0" w:color="auto"/>
                <w:left w:val="none" w:sz="0" w:space="0" w:color="auto"/>
                <w:bottom w:val="none" w:sz="0" w:space="0" w:color="auto"/>
                <w:right w:val="none" w:sz="0" w:space="0" w:color="auto"/>
              </w:divBdr>
            </w:div>
            <w:div w:id="1482427142">
              <w:marLeft w:val="0"/>
              <w:marRight w:val="0"/>
              <w:marTop w:val="0"/>
              <w:marBottom w:val="0"/>
              <w:divBdr>
                <w:top w:val="none" w:sz="0" w:space="0" w:color="auto"/>
                <w:left w:val="none" w:sz="0" w:space="0" w:color="auto"/>
                <w:bottom w:val="none" w:sz="0" w:space="0" w:color="auto"/>
                <w:right w:val="none" w:sz="0" w:space="0" w:color="auto"/>
              </w:divBdr>
            </w:div>
          </w:divsChild>
        </w:div>
        <w:div w:id="1905673930">
          <w:marLeft w:val="0"/>
          <w:marRight w:val="0"/>
          <w:marTop w:val="0"/>
          <w:marBottom w:val="0"/>
          <w:divBdr>
            <w:top w:val="none" w:sz="0" w:space="0" w:color="auto"/>
            <w:left w:val="none" w:sz="0" w:space="0" w:color="auto"/>
            <w:bottom w:val="none" w:sz="0" w:space="0" w:color="auto"/>
            <w:right w:val="none" w:sz="0" w:space="0" w:color="auto"/>
          </w:divBdr>
          <w:divsChild>
            <w:div w:id="862938876">
              <w:marLeft w:val="0"/>
              <w:marRight w:val="0"/>
              <w:marTop w:val="0"/>
              <w:marBottom w:val="0"/>
              <w:divBdr>
                <w:top w:val="none" w:sz="0" w:space="0" w:color="auto"/>
                <w:left w:val="none" w:sz="0" w:space="0" w:color="auto"/>
                <w:bottom w:val="none" w:sz="0" w:space="0" w:color="auto"/>
                <w:right w:val="none" w:sz="0" w:space="0" w:color="auto"/>
              </w:divBdr>
            </w:div>
          </w:divsChild>
        </w:div>
        <w:div w:id="1916087500">
          <w:marLeft w:val="0"/>
          <w:marRight w:val="0"/>
          <w:marTop w:val="0"/>
          <w:marBottom w:val="0"/>
          <w:divBdr>
            <w:top w:val="none" w:sz="0" w:space="0" w:color="auto"/>
            <w:left w:val="none" w:sz="0" w:space="0" w:color="auto"/>
            <w:bottom w:val="none" w:sz="0" w:space="0" w:color="auto"/>
            <w:right w:val="none" w:sz="0" w:space="0" w:color="auto"/>
          </w:divBdr>
          <w:divsChild>
            <w:div w:id="259798446">
              <w:marLeft w:val="0"/>
              <w:marRight w:val="0"/>
              <w:marTop w:val="0"/>
              <w:marBottom w:val="0"/>
              <w:divBdr>
                <w:top w:val="none" w:sz="0" w:space="0" w:color="auto"/>
                <w:left w:val="none" w:sz="0" w:space="0" w:color="auto"/>
                <w:bottom w:val="none" w:sz="0" w:space="0" w:color="auto"/>
                <w:right w:val="none" w:sz="0" w:space="0" w:color="auto"/>
              </w:divBdr>
            </w:div>
          </w:divsChild>
        </w:div>
        <w:div w:id="1965572088">
          <w:marLeft w:val="0"/>
          <w:marRight w:val="0"/>
          <w:marTop w:val="0"/>
          <w:marBottom w:val="0"/>
          <w:divBdr>
            <w:top w:val="none" w:sz="0" w:space="0" w:color="auto"/>
            <w:left w:val="none" w:sz="0" w:space="0" w:color="auto"/>
            <w:bottom w:val="none" w:sz="0" w:space="0" w:color="auto"/>
            <w:right w:val="none" w:sz="0" w:space="0" w:color="auto"/>
          </w:divBdr>
          <w:divsChild>
            <w:div w:id="292100544">
              <w:marLeft w:val="0"/>
              <w:marRight w:val="0"/>
              <w:marTop w:val="0"/>
              <w:marBottom w:val="0"/>
              <w:divBdr>
                <w:top w:val="none" w:sz="0" w:space="0" w:color="auto"/>
                <w:left w:val="none" w:sz="0" w:space="0" w:color="auto"/>
                <w:bottom w:val="none" w:sz="0" w:space="0" w:color="auto"/>
                <w:right w:val="none" w:sz="0" w:space="0" w:color="auto"/>
              </w:divBdr>
            </w:div>
          </w:divsChild>
        </w:div>
        <w:div w:id="1973249495">
          <w:marLeft w:val="0"/>
          <w:marRight w:val="0"/>
          <w:marTop w:val="0"/>
          <w:marBottom w:val="0"/>
          <w:divBdr>
            <w:top w:val="none" w:sz="0" w:space="0" w:color="auto"/>
            <w:left w:val="none" w:sz="0" w:space="0" w:color="auto"/>
            <w:bottom w:val="none" w:sz="0" w:space="0" w:color="auto"/>
            <w:right w:val="none" w:sz="0" w:space="0" w:color="auto"/>
          </w:divBdr>
          <w:divsChild>
            <w:div w:id="1856189253">
              <w:marLeft w:val="0"/>
              <w:marRight w:val="0"/>
              <w:marTop w:val="0"/>
              <w:marBottom w:val="0"/>
              <w:divBdr>
                <w:top w:val="none" w:sz="0" w:space="0" w:color="auto"/>
                <w:left w:val="none" w:sz="0" w:space="0" w:color="auto"/>
                <w:bottom w:val="none" w:sz="0" w:space="0" w:color="auto"/>
                <w:right w:val="none" w:sz="0" w:space="0" w:color="auto"/>
              </w:divBdr>
            </w:div>
          </w:divsChild>
        </w:div>
        <w:div w:id="1990137346">
          <w:marLeft w:val="0"/>
          <w:marRight w:val="0"/>
          <w:marTop w:val="0"/>
          <w:marBottom w:val="0"/>
          <w:divBdr>
            <w:top w:val="none" w:sz="0" w:space="0" w:color="auto"/>
            <w:left w:val="none" w:sz="0" w:space="0" w:color="auto"/>
            <w:bottom w:val="none" w:sz="0" w:space="0" w:color="auto"/>
            <w:right w:val="none" w:sz="0" w:space="0" w:color="auto"/>
          </w:divBdr>
          <w:divsChild>
            <w:div w:id="1332178338">
              <w:marLeft w:val="0"/>
              <w:marRight w:val="0"/>
              <w:marTop w:val="0"/>
              <w:marBottom w:val="0"/>
              <w:divBdr>
                <w:top w:val="none" w:sz="0" w:space="0" w:color="auto"/>
                <w:left w:val="none" w:sz="0" w:space="0" w:color="auto"/>
                <w:bottom w:val="none" w:sz="0" w:space="0" w:color="auto"/>
                <w:right w:val="none" w:sz="0" w:space="0" w:color="auto"/>
              </w:divBdr>
            </w:div>
          </w:divsChild>
        </w:div>
        <w:div w:id="1992976210">
          <w:marLeft w:val="0"/>
          <w:marRight w:val="0"/>
          <w:marTop w:val="0"/>
          <w:marBottom w:val="0"/>
          <w:divBdr>
            <w:top w:val="none" w:sz="0" w:space="0" w:color="auto"/>
            <w:left w:val="none" w:sz="0" w:space="0" w:color="auto"/>
            <w:bottom w:val="none" w:sz="0" w:space="0" w:color="auto"/>
            <w:right w:val="none" w:sz="0" w:space="0" w:color="auto"/>
          </w:divBdr>
          <w:divsChild>
            <w:div w:id="248008359">
              <w:marLeft w:val="0"/>
              <w:marRight w:val="0"/>
              <w:marTop w:val="0"/>
              <w:marBottom w:val="0"/>
              <w:divBdr>
                <w:top w:val="none" w:sz="0" w:space="0" w:color="auto"/>
                <w:left w:val="none" w:sz="0" w:space="0" w:color="auto"/>
                <w:bottom w:val="none" w:sz="0" w:space="0" w:color="auto"/>
                <w:right w:val="none" w:sz="0" w:space="0" w:color="auto"/>
              </w:divBdr>
            </w:div>
          </w:divsChild>
        </w:div>
        <w:div w:id="1997561935">
          <w:marLeft w:val="0"/>
          <w:marRight w:val="0"/>
          <w:marTop w:val="0"/>
          <w:marBottom w:val="0"/>
          <w:divBdr>
            <w:top w:val="none" w:sz="0" w:space="0" w:color="auto"/>
            <w:left w:val="none" w:sz="0" w:space="0" w:color="auto"/>
            <w:bottom w:val="none" w:sz="0" w:space="0" w:color="auto"/>
            <w:right w:val="none" w:sz="0" w:space="0" w:color="auto"/>
          </w:divBdr>
          <w:divsChild>
            <w:div w:id="2059671276">
              <w:marLeft w:val="0"/>
              <w:marRight w:val="0"/>
              <w:marTop w:val="0"/>
              <w:marBottom w:val="0"/>
              <w:divBdr>
                <w:top w:val="none" w:sz="0" w:space="0" w:color="auto"/>
                <w:left w:val="none" w:sz="0" w:space="0" w:color="auto"/>
                <w:bottom w:val="none" w:sz="0" w:space="0" w:color="auto"/>
                <w:right w:val="none" w:sz="0" w:space="0" w:color="auto"/>
              </w:divBdr>
            </w:div>
          </w:divsChild>
        </w:div>
        <w:div w:id="1999116149">
          <w:marLeft w:val="0"/>
          <w:marRight w:val="0"/>
          <w:marTop w:val="0"/>
          <w:marBottom w:val="0"/>
          <w:divBdr>
            <w:top w:val="none" w:sz="0" w:space="0" w:color="auto"/>
            <w:left w:val="none" w:sz="0" w:space="0" w:color="auto"/>
            <w:bottom w:val="none" w:sz="0" w:space="0" w:color="auto"/>
            <w:right w:val="none" w:sz="0" w:space="0" w:color="auto"/>
          </w:divBdr>
          <w:divsChild>
            <w:div w:id="348413047">
              <w:marLeft w:val="0"/>
              <w:marRight w:val="0"/>
              <w:marTop w:val="0"/>
              <w:marBottom w:val="0"/>
              <w:divBdr>
                <w:top w:val="none" w:sz="0" w:space="0" w:color="auto"/>
                <w:left w:val="none" w:sz="0" w:space="0" w:color="auto"/>
                <w:bottom w:val="none" w:sz="0" w:space="0" w:color="auto"/>
                <w:right w:val="none" w:sz="0" w:space="0" w:color="auto"/>
              </w:divBdr>
            </w:div>
          </w:divsChild>
        </w:div>
        <w:div w:id="2001107253">
          <w:marLeft w:val="0"/>
          <w:marRight w:val="0"/>
          <w:marTop w:val="0"/>
          <w:marBottom w:val="0"/>
          <w:divBdr>
            <w:top w:val="none" w:sz="0" w:space="0" w:color="auto"/>
            <w:left w:val="none" w:sz="0" w:space="0" w:color="auto"/>
            <w:bottom w:val="none" w:sz="0" w:space="0" w:color="auto"/>
            <w:right w:val="none" w:sz="0" w:space="0" w:color="auto"/>
          </w:divBdr>
          <w:divsChild>
            <w:div w:id="1568147750">
              <w:marLeft w:val="0"/>
              <w:marRight w:val="0"/>
              <w:marTop w:val="0"/>
              <w:marBottom w:val="0"/>
              <w:divBdr>
                <w:top w:val="none" w:sz="0" w:space="0" w:color="auto"/>
                <w:left w:val="none" w:sz="0" w:space="0" w:color="auto"/>
                <w:bottom w:val="none" w:sz="0" w:space="0" w:color="auto"/>
                <w:right w:val="none" w:sz="0" w:space="0" w:color="auto"/>
              </w:divBdr>
            </w:div>
          </w:divsChild>
        </w:div>
        <w:div w:id="2008361856">
          <w:marLeft w:val="0"/>
          <w:marRight w:val="0"/>
          <w:marTop w:val="0"/>
          <w:marBottom w:val="0"/>
          <w:divBdr>
            <w:top w:val="none" w:sz="0" w:space="0" w:color="auto"/>
            <w:left w:val="none" w:sz="0" w:space="0" w:color="auto"/>
            <w:bottom w:val="none" w:sz="0" w:space="0" w:color="auto"/>
            <w:right w:val="none" w:sz="0" w:space="0" w:color="auto"/>
          </w:divBdr>
          <w:divsChild>
            <w:div w:id="699551736">
              <w:marLeft w:val="0"/>
              <w:marRight w:val="0"/>
              <w:marTop w:val="0"/>
              <w:marBottom w:val="0"/>
              <w:divBdr>
                <w:top w:val="none" w:sz="0" w:space="0" w:color="auto"/>
                <w:left w:val="none" w:sz="0" w:space="0" w:color="auto"/>
                <w:bottom w:val="none" w:sz="0" w:space="0" w:color="auto"/>
                <w:right w:val="none" w:sz="0" w:space="0" w:color="auto"/>
              </w:divBdr>
            </w:div>
            <w:div w:id="1591230610">
              <w:marLeft w:val="0"/>
              <w:marRight w:val="0"/>
              <w:marTop w:val="0"/>
              <w:marBottom w:val="0"/>
              <w:divBdr>
                <w:top w:val="none" w:sz="0" w:space="0" w:color="auto"/>
                <w:left w:val="none" w:sz="0" w:space="0" w:color="auto"/>
                <w:bottom w:val="none" w:sz="0" w:space="0" w:color="auto"/>
                <w:right w:val="none" w:sz="0" w:space="0" w:color="auto"/>
              </w:divBdr>
            </w:div>
          </w:divsChild>
        </w:div>
        <w:div w:id="2030982855">
          <w:marLeft w:val="0"/>
          <w:marRight w:val="0"/>
          <w:marTop w:val="0"/>
          <w:marBottom w:val="0"/>
          <w:divBdr>
            <w:top w:val="none" w:sz="0" w:space="0" w:color="auto"/>
            <w:left w:val="none" w:sz="0" w:space="0" w:color="auto"/>
            <w:bottom w:val="none" w:sz="0" w:space="0" w:color="auto"/>
            <w:right w:val="none" w:sz="0" w:space="0" w:color="auto"/>
          </w:divBdr>
          <w:divsChild>
            <w:div w:id="83646006">
              <w:marLeft w:val="0"/>
              <w:marRight w:val="0"/>
              <w:marTop w:val="0"/>
              <w:marBottom w:val="0"/>
              <w:divBdr>
                <w:top w:val="none" w:sz="0" w:space="0" w:color="auto"/>
                <w:left w:val="none" w:sz="0" w:space="0" w:color="auto"/>
                <w:bottom w:val="none" w:sz="0" w:space="0" w:color="auto"/>
                <w:right w:val="none" w:sz="0" w:space="0" w:color="auto"/>
              </w:divBdr>
            </w:div>
            <w:div w:id="1147477718">
              <w:marLeft w:val="0"/>
              <w:marRight w:val="0"/>
              <w:marTop w:val="0"/>
              <w:marBottom w:val="0"/>
              <w:divBdr>
                <w:top w:val="none" w:sz="0" w:space="0" w:color="auto"/>
                <w:left w:val="none" w:sz="0" w:space="0" w:color="auto"/>
                <w:bottom w:val="none" w:sz="0" w:space="0" w:color="auto"/>
                <w:right w:val="none" w:sz="0" w:space="0" w:color="auto"/>
              </w:divBdr>
            </w:div>
          </w:divsChild>
        </w:div>
        <w:div w:id="2038701210">
          <w:marLeft w:val="0"/>
          <w:marRight w:val="0"/>
          <w:marTop w:val="0"/>
          <w:marBottom w:val="0"/>
          <w:divBdr>
            <w:top w:val="none" w:sz="0" w:space="0" w:color="auto"/>
            <w:left w:val="none" w:sz="0" w:space="0" w:color="auto"/>
            <w:bottom w:val="none" w:sz="0" w:space="0" w:color="auto"/>
            <w:right w:val="none" w:sz="0" w:space="0" w:color="auto"/>
          </w:divBdr>
          <w:divsChild>
            <w:div w:id="1035690384">
              <w:marLeft w:val="0"/>
              <w:marRight w:val="0"/>
              <w:marTop w:val="0"/>
              <w:marBottom w:val="0"/>
              <w:divBdr>
                <w:top w:val="none" w:sz="0" w:space="0" w:color="auto"/>
                <w:left w:val="none" w:sz="0" w:space="0" w:color="auto"/>
                <w:bottom w:val="none" w:sz="0" w:space="0" w:color="auto"/>
                <w:right w:val="none" w:sz="0" w:space="0" w:color="auto"/>
              </w:divBdr>
            </w:div>
          </w:divsChild>
        </w:div>
        <w:div w:id="2040619103">
          <w:marLeft w:val="0"/>
          <w:marRight w:val="0"/>
          <w:marTop w:val="0"/>
          <w:marBottom w:val="0"/>
          <w:divBdr>
            <w:top w:val="none" w:sz="0" w:space="0" w:color="auto"/>
            <w:left w:val="none" w:sz="0" w:space="0" w:color="auto"/>
            <w:bottom w:val="none" w:sz="0" w:space="0" w:color="auto"/>
            <w:right w:val="none" w:sz="0" w:space="0" w:color="auto"/>
          </w:divBdr>
          <w:divsChild>
            <w:div w:id="223688861">
              <w:marLeft w:val="0"/>
              <w:marRight w:val="0"/>
              <w:marTop w:val="0"/>
              <w:marBottom w:val="0"/>
              <w:divBdr>
                <w:top w:val="none" w:sz="0" w:space="0" w:color="auto"/>
                <w:left w:val="none" w:sz="0" w:space="0" w:color="auto"/>
                <w:bottom w:val="none" w:sz="0" w:space="0" w:color="auto"/>
                <w:right w:val="none" w:sz="0" w:space="0" w:color="auto"/>
              </w:divBdr>
            </w:div>
          </w:divsChild>
        </w:div>
        <w:div w:id="2051178126">
          <w:marLeft w:val="0"/>
          <w:marRight w:val="0"/>
          <w:marTop w:val="0"/>
          <w:marBottom w:val="0"/>
          <w:divBdr>
            <w:top w:val="none" w:sz="0" w:space="0" w:color="auto"/>
            <w:left w:val="none" w:sz="0" w:space="0" w:color="auto"/>
            <w:bottom w:val="none" w:sz="0" w:space="0" w:color="auto"/>
            <w:right w:val="none" w:sz="0" w:space="0" w:color="auto"/>
          </w:divBdr>
          <w:divsChild>
            <w:div w:id="596064216">
              <w:marLeft w:val="0"/>
              <w:marRight w:val="0"/>
              <w:marTop w:val="0"/>
              <w:marBottom w:val="0"/>
              <w:divBdr>
                <w:top w:val="none" w:sz="0" w:space="0" w:color="auto"/>
                <w:left w:val="none" w:sz="0" w:space="0" w:color="auto"/>
                <w:bottom w:val="none" w:sz="0" w:space="0" w:color="auto"/>
                <w:right w:val="none" w:sz="0" w:space="0" w:color="auto"/>
              </w:divBdr>
            </w:div>
          </w:divsChild>
        </w:div>
        <w:div w:id="2052029705">
          <w:marLeft w:val="0"/>
          <w:marRight w:val="0"/>
          <w:marTop w:val="0"/>
          <w:marBottom w:val="0"/>
          <w:divBdr>
            <w:top w:val="none" w:sz="0" w:space="0" w:color="auto"/>
            <w:left w:val="none" w:sz="0" w:space="0" w:color="auto"/>
            <w:bottom w:val="none" w:sz="0" w:space="0" w:color="auto"/>
            <w:right w:val="none" w:sz="0" w:space="0" w:color="auto"/>
          </w:divBdr>
          <w:divsChild>
            <w:div w:id="892496736">
              <w:marLeft w:val="0"/>
              <w:marRight w:val="0"/>
              <w:marTop w:val="0"/>
              <w:marBottom w:val="0"/>
              <w:divBdr>
                <w:top w:val="none" w:sz="0" w:space="0" w:color="auto"/>
                <w:left w:val="none" w:sz="0" w:space="0" w:color="auto"/>
                <w:bottom w:val="none" w:sz="0" w:space="0" w:color="auto"/>
                <w:right w:val="none" w:sz="0" w:space="0" w:color="auto"/>
              </w:divBdr>
            </w:div>
          </w:divsChild>
        </w:div>
        <w:div w:id="2080784970">
          <w:marLeft w:val="0"/>
          <w:marRight w:val="0"/>
          <w:marTop w:val="0"/>
          <w:marBottom w:val="0"/>
          <w:divBdr>
            <w:top w:val="none" w:sz="0" w:space="0" w:color="auto"/>
            <w:left w:val="none" w:sz="0" w:space="0" w:color="auto"/>
            <w:bottom w:val="none" w:sz="0" w:space="0" w:color="auto"/>
            <w:right w:val="none" w:sz="0" w:space="0" w:color="auto"/>
          </w:divBdr>
          <w:divsChild>
            <w:div w:id="734205313">
              <w:marLeft w:val="0"/>
              <w:marRight w:val="0"/>
              <w:marTop w:val="0"/>
              <w:marBottom w:val="0"/>
              <w:divBdr>
                <w:top w:val="none" w:sz="0" w:space="0" w:color="auto"/>
                <w:left w:val="none" w:sz="0" w:space="0" w:color="auto"/>
                <w:bottom w:val="none" w:sz="0" w:space="0" w:color="auto"/>
                <w:right w:val="none" w:sz="0" w:space="0" w:color="auto"/>
              </w:divBdr>
            </w:div>
          </w:divsChild>
        </w:div>
        <w:div w:id="2088795458">
          <w:marLeft w:val="0"/>
          <w:marRight w:val="0"/>
          <w:marTop w:val="0"/>
          <w:marBottom w:val="0"/>
          <w:divBdr>
            <w:top w:val="none" w:sz="0" w:space="0" w:color="auto"/>
            <w:left w:val="none" w:sz="0" w:space="0" w:color="auto"/>
            <w:bottom w:val="none" w:sz="0" w:space="0" w:color="auto"/>
            <w:right w:val="none" w:sz="0" w:space="0" w:color="auto"/>
          </w:divBdr>
          <w:divsChild>
            <w:div w:id="138428581">
              <w:marLeft w:val="0"/>
              <w:marRight w:val="0"/>
              <w:marTop w:val="0"/>
              <w:marBottom w:val="0"/>
              <w:divBdr>
                <w:top w:val="none" w:sz="0" w:space="0" w:color="auto"/>
                <w:left w:val="none" w:sz="0" w:space="0" w:color="auto"/>
                <w:bottom w:val="none" w:sz="0" w:space="0" w:color="auto"/>
                <w:right w:val="none" w:sz="0" w:space="0" w:color="auto"/>
              </w:divBdr>
            </w:div>
            <w:div w:id="163326231">
              <w:marLeft w:val="0"/>
              <w:marRight w:val="0"/>
              <w:marTop w:val="0"/>
              <w:marBottom w:val="0"/>
              <w:divBdr>
                <w:top w:val="none" w:sz="0" w:space="0" w:color="auto"/>
                <w:left w:val="none" w:sz="0" w:space="0" w:color="auto"/>
                <w:bottom w:val="none" w:sz="0" w:space="0" w:color="auto"/>
                <w:right w:val="none" w:sz="0" w:space="0" w:color="auto"/>
              </w:divBdr>
            </w:div>
          </w:divsChild>
        </w:div>
        <w:div w:id="2097558781">
          <w:marLeft w:val="0"/>
          <w:marRight w:val="0"/>
          <w:marTop w:val="0"/>
          <w:marBottom w:val="0"/>
          <w:divBdr>
            <w:top w:val="none" w:sz="0" w:space="0" w:color="auto"/>
            <w:left w:val="none" w:sz="0" w:space="0" w:color="auto"/>
            <w:bottom w:val="none" w:sz="0" w:space="0" w:color="auto"/>
            <w:right w:val="none" w:sz="0" w:space="0" w:color="auto"/>
          </w:divBdr>
          <w:divsChild>
            <w:div w:id="180625350">
              <w:marLeft w:val="0"/>
              <w:marRight w:val="0"/>
              <w:marTop w:val="0"/>
              <w:marBottom w:val="0"/>
              <w:divBdr>
                <w:top w:val="none" w:sz="0" w:space="0" w:color="auto"/>
                <w:left w:val="none" w:sz="0" w:space="0" w:color="auto"/>
                <w:bottom w:val="none" w:sz="0" w:space="0" w:color="auto"/>
                <w:right w:val="none" w:sz="0" w:space="0" w:color="auto"/>
              </w:divBdr>
            </w:div>
          </w:divsChild>
        </w:div>
        <w:div w:id="2111389276">
          <w:marLeft w:val="0"/>
          <w:marRight w:val="0"/>
          <w:marTop w:val="0"/>
          <w:marBottom w:val="0"/>
          <w:divBdr>
            <w:top w:val="none" w:sz="0" w:space="0" w:color="auto"/>
            <w:left w:val="none" w:sz="0" w:space="0" w:color="auto"/>
            <w:bottom w:val="none" w:sz="0" w:space="0" w:color="auto"/>
            <w:right w:val="none" w:sz="0" w:space="0" w:color="auto"/>
          </w:divBdr>
          <w:divsChild>
            <w:div w:id="1437754462">
              <w:marLeft w:val="0"/>
              <w:marRight w:val="0"/>
              <w:marTop w:val="0"/>
              <w:marBottom w:val="0"/>
              <w:divBdr>
                <w:top w:val="none" w:sz="0" w:space="0" w:color="auto"/>
                <w:left w:val="none" w:sz="0" w:space="0" w:color="auto"/>
                <w:bottom w:val="none" w:sz="0" w:space="0" w:color="auto"/>
                <w:right w:val="none" w:sz="0" w:space="0" w:color="auto"/>
              </w:divBdr>
            </w:div>
          </w:divsChild>
        </w:div>
        <w:div w:id="2119911783">
          <w:marLeft w:val="0"/>
          <w:marRight w:val="0"/>
          <w:marTop w:val="0"/>
          <w:marBottom w:val="0"/>
          <w:divBdr>
            <w:top w:val="none" w:sz="0" w:space="0" w:color="auto"/>
            <w:left w:val="none" w:sz="0" w:space="0" w:color="auto"/>
            <w:bottom w:val="none" w:sz="0" w:space="0" w:color="auto"/>
            <w:right w:val="none" w:sz="0" w:space="0" w:color="auto"/>
          </w:divBdr>
          <w:divsChild>
            <w:div w:id="401147074">
              <w:marLeft w:val="0"/>
              <w:marRight w:val="0"/>
              <w:marTop w:val="0"/>
              <w:marBottom w:val="0"/>
              <w:divBdr>
                <w:top w:val="none" w:sz="0" w:space="0" w:color="auto"/>
                <w:left w:val="none" w:sz="0" w:space="0" w:color="auto"/>
                <w:bottom w:val="none" w:sz="0" w:space="0" w:color="auto"/>
                <w:right w:val="none" w:sz="0" w:space="0" w:color="auto"/>
              </w:divBdr>
            </w:div>
          </w:divsChild>
        </w:div>
        <w:div w:id="2128544105">
          <w:marLeft w:val="0"/>
          <w:marRight w:val="0"/>
          <w:marTop w:val="0"/>
          <w:marBottom w:val="0"/>
          <w:divBdr>
            <w:top w:val="none" w:sz="0" w:space="0" w:color="auto"/>
            <w:left w:val="none" w:sz="0" w:space="0" w:color="auto"/>
            <w:bottom w:val="none" w:sz="0" w:space="0" w:color="auto"/>
            <w:right w:val="none" w:sz="0" w:space="0" w:color="auto"/>
          </w:divBdr>
          <w:divsChild>
            <w:div w:id="699091336">
              <w:marLeft w:val="0"/>
              <w:marRight w:val="0"/>
              <w:marTop w:val="0"/>
              <w:marBottom w:val="0"/>
              <w:divBdr>
                <w:top w:val="none" w:sz="0" w:space="0" w:color="auto"/>
                <w:left w:val="none" w:sz="0" w:space="0" w:color="auto"/>
                <w:bottom w:val="none" w:sz="0" w:space="0" w:color="auto"/>
                <w:right w:val="none" w:sz="0" w:space="0" w:color="auto"/>
              </w:divBdr>
            </w:div>
          </w:divsChild>
        </w:div>
        <w:div w:id="2130469871">
          <w:marLeft w:val="0"/>
          <w:marRight w:val="0"/>
          <w:marTop w:val="0"/>
          <w:marBottom w:val="0"/>
          <w:divBdr>
            <w:top w:val="none" w:sz="0" w:space="0" w:color="auto"/>
            <w:left w:val="none" w:sz="0" w:space="0" w:color="auto"/>
            <w:bottom w:val="none" w:sz="0" w:space="0" w:color="auto"/>
            <w:right w:val="none" w:sz="0" w:space="0" w:color="auto"/>
          </w:divBdr>
          <w:divsChild>
            <w:div w:id="1553618800">
              <w:marLeft w:val="0"/>
              <w:marRight w:val="0"/>
              <w:marTop w:val="0"/>
              <w:marBottom w:val="0"/>
              <w:divBdr>
                <w:top w:val="none" w:sz="0" w:space="0" w:color="auto"/>
                <w:left w:val="none" w:sz="0" w:space="0" w:color="auto"/>
                <w:bottom w:val="none" w:sz="0" w:space="0" w:color="auto"/>
                <w:right w:val="none" w:sz="0" w:space="0" w:color="auto"/>
              </w:divBdr>
            </w:div>
          </w:divsChild>
        </w:div>
        <w:div w:id="2137213267">
          <w:marLeft w:val="0"/>
          <w:marRight w:val="0"/>
          <w:marTop w:val="0"/>
          <w:marBottom w:val="0"/>
          <w:divBdr>
            <w:top w:val="none" w:sz="0" w:space="0" w:color="auto"/>
            <w:left w:val="none" w:sz="0" w:space="0" w:color="auto"/>
            <w:bottom w:val="none" w:sz="0" w:space="0" w:color="auto"/>
            <w:right w:val="none" w:sz="0" w:space="0" w:color="auto"/>
          </w:divBdr>
          <w:divsChild>
            <w:div w:id="723531179">
              <w:marLeft w:val="0"/>
              <w:marRight w:val="0"/>
              <w:marTop w:val="0"/>
              <w:marBottom w:val="0"/>
              <w:divBdr>
                <w:top w:val="none" w:sz="0" w:space="0" w:color="auto"/>
                <w:left w:val="none" w:sz="0" w:space="0" w:color="auto"/>
                <w:bottom w:val="none" w:sz="0" w:space="0" w:color="auto"/>
                <w:right w:val="none" w:sz="0" w:space="0" w:color="auto"/>
              </w:divBdr>
            </w:div>
            <w:div w:id="8614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76806724">
      <w:bodyDiv w:val="1"/>
      <w:marLeft w:val="0"/>
      <w:marRight w:val="0"/>
      <w:marTop w:val="0"/>
      <w:marBottom w:val="0"/>
      <w:divBdr>
        <w:top w:val="none" w:sz="0" w:space="0" w:color="auto"/>
        <w:left w:val="none" w:sz="0" w:space="0" w:color="auto"/>
        <w:bottom w:val="none" w:sz="0" w:space="0" w:color="auto"/>
        <w:right w:val="none" w:sz="0" w:space="0" w:color="auto"/>
      </w:divBdr>
    </w:div>
    <w:div w:id="483620567">
      <w:bodyDiv w:val="1"/>
      <w:marLeft w:val="0"/>
      <w:marRight w:val="0"/>
      <w:marTop w:val="0"/>
      <w:marBottom w:val="0"/>
      <w:divBdr>
        <w:top w:val="none" w:sz="0" w:space="0" w:color="auto"/>
        <w:left w:val="none" w:sz="0" w:space="0" w:color="auto"/>
        <w:bottom w:val="none" w:sz="0" w:space="0" w:color="auto"/>
        <w:right w:val="none" w:sz="0" w:space="0" w:color="auto"/>
      </w:divBdr>
      <w:divsChild>
        <w:div w:id="1738359243">
          <w:marLeft w:val="0"/>
          <w:marRight w:val="0"/>
          <w:marTop w:val="0"/>
          <w:marBottom w:val="0"/>
          <w:divBdr>
            <w:top w:val="none" w:sz="0" w:space="0" w:color="auto"/>
            <w:left w:val="none" w:sz="0" w:space="0" w:color="auto"/>
            <w:bottom w:val="none" w:sz="0" w:space="0" w:color="auto"/>
            <w:right w:val="none" w:sz="0" w:space="0" w:color="auto"/>
          </w:divBdr>
          <w:divsChild>
            <w:div w:id="6754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20824225">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59832566">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02310511">
      <w:bodyDiv w:val="1"/>
      <w:marLeft w:val="0"/>
      <w:marRight w:val="0"/>
      <w:marTop w:val="0"/>
      <w:marBottom w:val="0"/>
      <w:divBdr>
        <w:top w:val="none" w:sz="0" w:space="0" w:color="auto"/>
        <w:left w:val="none" w:sz="0" w:space="0" w:color="auto"/>
        <w:bottom w:val="none" w:sz="0" w:space="0" w:color="auto"/>
        <w:right w:val="none" w:sz="0" w:space="0" w:color="auto"/>
      </w:divBdr>
      <w:divsChild>
        <w:div w:id="165824758">
          <w:marLeft w:val="0"/>
          <w:marRight w:val="0"/>
          <w:marTop w:val="0"/>
          <w:marBottom w:val="0"/>
          <w:divBdr>
            <w:top w:val="none" w:sz="0" w:space="0" w:color="auto"/>
            <w:left w:val="none" w:sz="0" w:space="0" w:color="auto"/>
            <w:bottom w:val="none" w:sz="0" w:space="0" w:color="auto"/>
            <w:right w:val="none" w:sz="0" w:space="0" w:color="auto"/>
          </w:divBdr>
        </w:div>
        <w:div w:id="180314606">
          <w:marLeft w:val="0"/>
          <w:marRight w:val="0"/>
          <w:marTop w:val="0"/>
          <w:marBottom w:val="0"/>
          <w:divBdr>
            <w:top w:val="none" w:sz="0" w:space="0" w:color="auto"/>
            <w:left w:val="none" w:sz="0" w:space="0" w:color="auto"/>
            <w:bottom w:val="none" w:sz="0" w:space="0" w:color="auto"/>
            <w:right w:val="none" w:sz="0" w:space="0" w:color="auto"/>
          </w:divBdr>
          <w:divsChild>
            <w:div w:id="1363557527">
              <w:marLeft w:val="-75"/>
              <w:marRight w:val="0"/>
              <w:marTop w:val="30"/>
              <w:marBottom w:val="30"/>
              <w:divBdr>
                <w:top w:val="none" w:sz="0" w:space="0" w:color="auto"/>
                <w:left w:val="none" w:sz="0" w:space="0" w:color="auto"/>
                <w:bottom w:val="none" w:sz="0" w:space="0" w:color="auto"/>
                <w:right w:val="none" w:sz="0" w:space="0" w:color="auto"/>
              </w:divBdr>
              <w:divsChild>
                <w:div w:id="3410112">
                  <w:marLeft w:val="0"/>
                  <w:marRight w:val="0"/>
                  <w:marTop w:val="0"/>
                  <w:marBottom w:val="0"/>
                  <w:divBdr>
                    <w:top w:val="none" w:sz="0" w:space="0" w:color="auto"/>
                    <w:left w:val="none" w:sz="0" w:space="0" w:color="auto"/>
                    <w:bottom w:val="none" w:sz="0" w:space="0" w:color="auto"/>
                    <w:right w:val="none" w:sz="0" w:space="0" w:color="auto"/>
                  </w:divBdr>
                  <w:divsChild>
                    <w:div w:id="289014964">
                      <w:marLeft w:val="0"/>
                      <w:marRight w:val="0"/>
                      <w:marTop w:val="0"/>
                      <w:marBottom w:val="0"/>
                      <w:divBdr>
                        <w:top w:val="none" w:sz="0" w:space="0" w:color="auto"/>
                        <w:left w:val="none" w:sz="0" w:space="0" w:color="auto"/>
                        <w:bottom w:val="none" w:sz="0" w:space="0" w:color="auto"/>
                        <w:right w:val="none" w:sz="0" w:space="0" w:color="auto"/>
                      </w:divBdr>
                    </w:div>
                  </w:divsChild>
                </w:div>
                <w:div w:id="96680254">
                  <w:marLeft w:val="0"/>
                  <w:marRight w:val="0"/>
                  <w:marTop w:val="0"/>
                  <w:marBottom w:val="0"/>
                  <w:divBdr>
                    <w:top w:val="none" w:sz="0" w:space="0" w:color="auto"/>
                    <w:left w:val="none" w:sz="0" w:space="0" w:color="auto"/>
                    <w:bottom w:val="none" w:sz="0" w:space="0" w:color="auto"/>
                    <w:right w:val="none" w:sz="0" w:space="0" w:color="auto"/>
                  </w:divBdr>
                  <w:divsChild>
                    <w:div w:id="854685361">
                      <w:marLeft w:val="0"/>
                      <w:marRight w:val="0"/>
                      <w:marTop w:val="0"/>
                      <w:marBottom w:val="0"/>
                      <w:divBdr>
                        <w:top w:val="none" w:sz="0" w:space="0" w:color="auto"/>
                        <w:left w:val="none" w:sz="0" w:space="0" w:color="auto"/>
                        <w:bottom w:val="none" w:sz="0" w:space="0" w:color="auto"/>
                        <w:right w:val="none" w:sz="0" w:space="0" w:color="auto"/>
                      </w:divBdr>
                    </w:div>
                  </w:divsChild>
                </w:div>
                <w:div w:id="176358873">
                  <w:marLeft w:val="0"/>
                  <w:marRight w:val="0"/>
                  <w:marTop w:val="0"/>
                  <w:marBottom w:val="0"/>
                  <w:divBdr>
                    <w:top w:val="none" w:sz="0" w:space="0" w:color="auto"/>
                    <w:left w:val="none" w:sz="0" w:space="0" w:color="auto"/>
                    <w:bottom w:val="none" w:sz="0" w:space="0" w:color="auto"/>
                    <w:right w:val="none" w:sz="0" w:space="0" w:color="auto"/>
                  </w:divBdr>
                  <w:divsChild>
                    <w:div w:id="524249119">
                      <w:marLeft w:val="0"/>
                      <w:marRight w:val="0"/>
                      <w:marTop w:val="0"/>
                      <w:marBottom w:val="0"/>
                      <w:divBdr>
                        <w:top w:val="none" w:sz="0" w:space="0" w:color="auto"/>
                        <w:left w:val="none" w:sz="0" w:space="0" w:color="auto"/>
                        <w:bottom w:val="none" w:sz="0" w:space="0" w:color="auto"/>
                        <w:right w:val="none" w:sz="0" w:space="0" w:color="auto"/>
                      </w:divBdr>
                    </w:div>
                  </w:divsChild>
                </w:div>
                <w:div w:id="200748202">
                  <w:marLeft w:val="0"/>
                  <w:marRight w:val="0"/>
                  <w:marTop w:val="0"/>
                  <w:marBottom w:val="0"/>
                  <w:divBdr>
                    <w:top w:val="none" w:sz="0" w:space="0" w:color="auto"/>
                    <w:left w:val="none" w:sz="0" w:space="0" w:color="auto"/>
                    <w:bottom w:val="none" w:sz="0" w:space="0" w:color="auto"/>
                    <w:right w:val="none" w:sz="0" w:space="0" w:color="auto"/>
                  </w:divBdr>
                  <w:divsChild>
                    <w:div w:id="307825154">
                      <w:marLeft w:val="0"/>
                      <w:marRight w:val="0"/>
                      <w:marTop w:val="0"/>
                      <w:marBottom w:val="0"/>
                      <w:divBdr>
                        <w:top w:val="none" w:sz="0" w:space="0" w:color="auto"/>
                        <w:left w:val="none" w:sz="0" w:space="0" w:color="auto"/>
                        <w:bottom w:val="none" w:sz="0" w:space="0" w:color="auto"/>
                        <w:right w:val="none" w:sz="0" w:space="0" w:color="auto"/>
                      </w:divBdr>
                    </w:div>
                  </w:divsChild>
                </w:div>
                <w:div w:id="201022238">
                  <w:marLeft w:val="0"/>
                  <w:marRight w:val="0"/>
                  <w:marTop w:val="0"/>
                  <w:marBottom w:val="0"/>
                  <w:divBdr>
                    <w:top w:val="none" w:sz="0" w:space="0" w:color="auto"/>
                    <w:left w:val="none" w:sz="0" w:space="0" w:color="auto"/>
                    <w:bottom w:val="none" w:sz="0" w:space="0" w:color="auto"/>
                    <w:right w:val="none" w:sz="0" w:space="0" w:color="auto"/>
                  </w:divBdr>
                  <w:divsChild>
                    <w:div w:id="1837188251">
                      <w:marLeft w:val="0"/>
                      <w:marRight w:val="0"/>
                      <w:marTop w:val="0"/>
                      <w:marBottom w:val="0"/>
                      <w:divBdr>
                        <w:top w:val="none" w:sz="0" w:space="0" w:color="auto"/>
                        <w:left w:val="none" w:sz="0" w:space="0" w:color="auto"/>
                        <w:bottom w:val="none" w:sz="0" w:space="0" w:color="auto"/>
                        <w:right w:val="none" w:sz="0" w:space="0" w:color="auto"/>
                      </w:divBdr>
                    </w:div>
                  </w:divsChild>
                </w:div>
                <w:div w:id="442650078">
                  <w:marLeft w:val="0"/>
                  <w:marRight w:val="0"/>
                  <w:marTop w:val="0"/>
                  <w:marBottom w:val="0"/>
                  <w:divBdr>
                    <w:top w:val="none" w:sz="0" w:space="0" w:color="auto"/>
                    <w:left w:val="none" w:sz="0" w:space="0" w:color="auto"/>
                    <w:bottom w:val="none" w:sz="0" w:space="0" w:color="auto"/>
                    <w:right w:val="none" w:sz="0" w:space="0" w:color="auto"/>
                  </w:divBdr>
                  <w:divsChild>
                    <w:div w:id="95492689">
                      <w:marLeft w:val="0"/>
                      <w:marRight w:val="0"/>
                      <w:marTop w:val="0"/>
                      <w:marBottom w:val="0"/>
                      <w:divBdr>
                        <w:top w:val="none" w:sz="0" w:space="0" w:color="auto"/>
                        <w:left w:val="none" w:sz="0" w:space="0" w:color="auto"/>
                        <w:bottom w:val="none" w:sz="0" w:space="0" w:color="auto"/>
                        <w:right w:val="none" w:sz="0" w:space="0" w:color="auto"/>
                      </w:divBdr>
                    </w:div>
                  </w:divsChild>
                </w:div>
                <w:div w:id="488834336">
                  <w:marLeft w:val="0"/>
                  <w:marRight w:val="0"/>
                  <w:marTop w:val="0"/>
                  <w:marBottom w:val="0"/>
                  <w:divBdr>
                    <w:top w:val="none" w:sz="0" w:space="0" w:color="auto"/>
                    <w:left w:val="none" w:sz="0" w:space="0" w:color="auto"/>
                    <w:bottom w:val="none" w:sz="0" w:space="0" w:color="auto"/>
                    <w:right w:val="none" w:sz="0" w:space="0" w:color="auto"/>
                  </w:divBdr>
                  <w:divsChild>
                    <w:div w:id="140854801">
                      <w:marLeft w:val="0"/>
                      <w:marRight w:val="0"/>
                      <w:marTop w:val="0"/>
                      <w:marBottom w:val="0"/>
                      <w:divBdr>
                        <w:top w:val="none" w:sz="0" w:space="0" w:color="auto"/>
                        <w:left w:val="none" w:sz="0" w:space="0" w:color="auto"/>
                        <w:bottom w:val="none" w:sz="0" w:space="0" w:color="auto"/>
                        <w:right w:val="none" w:sz="0" w:space="0" w:color="auto"/>
                      </w:divBdr>
                    </w:div>
                  </w:divsChild>
                </w:div>
                <w:div w:id="604002549">
                  <w:marLeft w:val="0"/>
                  <w:marRight w:val="0"/>
                  <w:marTop w:val="0"/>
                  <w:marBottom w:val="0"/>
                  <w:divBdr>
                    <w:top w:val="none" w:sz="0" w:space="0" w:color="auto"/>
                    <w:left w:val="none" w:sz="0" w:space="0" w:color="auto"/>
                    <w:bottom w:val="none" w:sz="0" w:space="0" w:color="auto"/>
                    <w:right w:val="none" w:sz="0" w:space="0" w:color="auto"/>
                  </w:divBdr>
                  <w:divsChild>
                    <w:div w:id="1966080718">
                      <w:marLeft w:val="0"/>
                      <w:marRight w:val="0"/>
                      <w:marTop w:val="0"/>
                      <w:marBottom w:val="0"/>
                      <w:divBdr>
                        <w:top w:val="none" w:sz="0" w:space="0" w:color="auto"/>
                        <w:left w:val="none" w:sz="0" w:space="0" w:color="auto"/>
                        <w:bottom w:val="none" w:sz="0" w:space="0" w:color="auto"/>
                        <w:right w:val="none" w:sz="0" w:space="0" w:color="auto"/>
                      </w:divBdr>
                    </w:div>
                  </w:divsChild>
                </w:div>
                <w:div w:id="704255671">
                  <w:marLeft w:val="0"/>
                  <w:marRight w:val="0"/>
                  <w:marTop w:val="0"/>
                  <w:marBottom w:val="0"/>
                  <w:divBdr>
                    <w:top w:val="none" w:sz="0" w:space="0" w:color="auto"/>
                    <w:left w:val="none" w:sz="0" w:space="0" w:color="auto"/>
                    <w:bottom w:val="none" w:sz="0" w:space="0" w:color="auto"/>
                    <w:right w:val="none" w:sz="0" w:space="0" w:color="auto"/>
                  </w:divBdr>
                  <w:divsChild>
                    <w:div w:id="810562294">
                      <w:marLeft w:val="0"/>
                      <w:marRight w:val="0"/>
                      <w:marTop w:val="0"/>
                      <w:marBottom w:val="0"/>
                      <w:divBdr>
                        <w:top w:val="none" w:sz="0" w:space="0" w:color="auto"/>
                        <w:left w:val="none" w:sz="0" w:space="0" w:color="auto"/>
                        <w:bottom w:val="none" w:sz="0" w:space="0" w:color="auto"/>
                        <w:right w:val="none" w:sz="0" w:space="0" w:color="auto"/>
                      </w:divBdr>
                    </w:div>
                  </w:divsChild>
                </w:div>
                <w:div w:id="711809908">
                  <w:marLeft w:val="0"/>
                  <w:marRight w:val="0"/>
                  <w:marTop w:val="0"/>
                  <w:marBottom w:val="0"/>
                  <w:divBdr>
                    <w:top w:val="none" w:sz="0" w:space="0" w:color="auto"/>
                    <w:left w:val="none" w:sz="0" w:space="0" w:color="auto"/>
                    <w:bottom w:val="none" w:sz="0" w:space="0" w:color="auto"/>
                    <w:right w:val="none" w:sz="0" w:space="0" w:color="auto"/>
                  </w:divBdr>
                  <w:divsChild>
                    <w:div w:id="1201240317">
                      <w:marLeft w:val="0"/>
                      <w:marRight w:val="0"/>
                      <w:marTop w:val="0"/>
                      <w:marBottom w:val="0"/>
                      <w:divBdr>
                        <w:top w:val="none" w:sz="0" w:space="0" w:color="auto"/>
                        <w:left w:val="none" w:sz="0" w:space="0" w:color="auto"/>
                        <w:bottom w:val="none" w:sz="0" w:space="0" w:color="auto"/>
                        <w:right w:val="none" w:sz="0" w:space="0" w:color="auto"/>
                      </w:divBdr>
                    </w:div>
                  </w:divsChild>
                </w:div>
                <w:div w:id="734624924">
                  <w:marLeft w:val="0"/>
                  <w:marRight w:val="0"/>
                  <w:marTop w:val="0"/>
                  <w:marBottom w:val="0"/>
                  <w:divBdr>
                    <w:top w:val="none" w:sz="0" w:space="0" w:color="auto"/>
                    <w:left w:val="none" w:sz="0" w:space="0" w:color="auto"/>
                    <w:bottom w:val="none" w:sz="0" w:space="0" w:color="auto"/>
                    <w:right w:val="none" w:sz="0" w:space="0" w:color="auto"/>
                  </w:divBdr>
                  <w:divsChild>
                    <w:div w:id="1384258530">
                      <w:marLeft w:val="0"/>
                      <w:marRight w:val="0"/>
                      <w:marTop w:val="0"/>
                      <w:marBottom w:val="0"/>
                      <w:divBdr>
                        <w:top w:val="none" w:sz="0" w:space="0" w:color="auto"/>
                        <w:left w:val="none" w:sz="0" w:space="0" w:color="auto"/>
                        <w:bottom w:val="none" w:sz="0" w:space="0" w:color="auto"/>
                        <w:right w:val="none" w:sz="0" w:space="0" w:color="auto"/>
                      </w:divBdr>
                    </w:div>
                  </w:divsChild>
                </w:div>
                <w:div w:id="836115478">
                  <w:marLeft w:val="0"/>
                  <w:marRight w:val="0"/>
                  <w:marTop w:val="0"/>
                  <w:marBottom w:val="0"/>
                  <w:divBdr>
                    <w:top w:val="none" w:sz="0" w:space="0" w:color="auto"/>
                    <w:left w:val="none" w:sz="0" w:space="0" w:color="auto"/>
                    <w:bottom w:val="none" w:sz="0" w:space="0" w:color="auto"/>
                    <w:right w:val="none" w:sz="0" w:space="0" w:color="auto"/>
                  </w:divBdr>
                  <w:divsChild>
                    <w:div w:id="432482194">
                      <w:marLeft w:val="0"/>
                      <w:marRight w:val="0"/>
                      <w:marTop w:val="0"/>
                      <w:marBottom w:val="0"/>
                      <w:divBdr>
                        <w:top w:val="none" w:sz="0" w:space="0" w:color="auto"/>
                        <w:left w:val="none" w:sz="0" w:space="0" w:color="auto"/>
                        <w:bottom w:val="none" w:sz="0" w:space="0" w:color="auto"/>
                        <w:right w:val="none" w:sz="0" w:space="0" w:color="auto"/>
                      </w:divBdr>
                    </w:div>
                  </w:divsChild>
                </w:div>
                <w:div w:id="844782549">
                  <w:marLeft w:val="0"/>
                  <w:marRight w:val="0"/>
                  <w:marTop w:val="0"/>
                  <w:marBottom w:val="0"/>
                  <w:divBdr>
                    <w:top w:val="none" w:sz="0" w:space="0" w:color="auto"/>
                    <w:left w:val="none" w:sz="0" w:space="0" w:color="auto"/>
                    <w:bottom w:val="none" w:sz="0" w:space="0" w:color="auto"/>
                    <w:right w:val="none" w:sz="0" w:space="0" w:color="auto"/>
                  </w:divBdr>
                  <w:divsChild>
                    <w:div w:id="702829478">
                      <w:marLeft w:val="0"/>
                      <w:marRight w:val="0"/>
                      <w:marTop w:val="0"/>
                      <w:marBottom w:val="0"/>
                      <w:divBdr>
                        <w:top w:val="none" w:sz="0" w:space="0" w:color="auto"/>
                        <w:left w:val="none" w:sz="0" w:space="0" w:color="auto"/>
                        <w:bottom w:val="none" w:sz="0" w:space="0" w:color="auto"/>
                        <w:right w:val="none" w:sz="0" w:space="0" w:color="auto"/>
                      </w:divBdr>
                    </w:div>
                  </w:divsChild>
                </w:div>
                <w:div w:id="885292776">
                  <w:marLeft w:val="0"/>
                  <w:marRight w:val="0"/>
                  <w:marTop w:val="0"/>
                  <w:marBottom w:val="0"/>
                  <w:divBdr>
                    <w:top w:val="none" w:sz="0" w:space="0" w:color="auto"/>
                    <w:left w:val="none" w:sz="0" w:space="0" w:color="auto"/>
                    <w:bottom w:val="none" w:sz="0" w:space="0" w:color="auto"/>
                    <w:right w:val="none" w:sz="0" w:space="0" w:color="auto"/>
                  </w:divBdr>
                  <w:divsChild>
                    <w:div w:id="239028434">
                      <w:marLeft w:val="0"/>
                      <w:marRight w:val="0"/>
                      <w:marTop w:val="0"/>
                      <w:marBottom w:val="0"/>
                      <w:divBdr>
                        <w:top w:val="none" w:sz="0" w:space="0" w:color="auto"/>
                        <w:left w:val="none" w:sz="0" w:space="0" w:color="auto"/>
                        <w:bottom w:val="none" w:sz="0" w:space="0" w:color="auto"/>
                        <w:right w:val="none" w:sz="0" w:space="0" w:color="auto"/>
                      </w:divBdr>
                    </w:div>
                  </w:divsChild>
                </w:div>
                <w:div w:id="885684708">
                  <w:marLeft w:val="0"/>
                  <w:marRight w:val="0"/>
                  <w:marTop w:val="0"/>
                  <w:marBottom w:val="0"/>
                  <w:divBdr>
                    <w:top w:val="none" w:sz="0" w:space="0" w:color="auto"/>
                    <w:left w:val="none" w:sz="0" w:space="0" w:color="auto"/>
                    <w:bottom w:val="none" w:sz="0" w:space="0" w:color="auto"/>
                    <w:right w:val="none" w:sz="0" w:space="0" w:color="auto"/>
                  </w:divBdr>
                  <w:divsChild>
                    <w:div w:id="353194538">
                      <w:marLeft w:val="0"/>
                      <w:marRight w:val="0"/>
                      <w:marTop w:val="0"/>
                      <w:marBottom w:val="0"/>
                      <w:divBdr>
                        <w:top w:val="none" w:sz="0" w:space="0" w:color="auto"/>
                        <w:left w:val="none" w:sz="0" w:space="0" w:color="auto"/>
                        <w:bottom w:val="none" w:sz="0" w:space="0" w:color="auto"/>
                        <w:right w:val="none" w:sz="0" w:space="0" w:color="auto"/>
                      </w:divBdr>
                    </w:div>
                  </w:divsChild>
                </w:div>
                <w:div w:id="997227926">
                  <w:marLeft w:val="0"/>
                  <w:marRight w:val="0"/>
                  <w:marTop w:val="0"/>
                  <w:marBottom w:val="0"/>
                  <w:divBdr>
                    <w:top w:val="none" w:sz="0" w:space="0" w:color="auto"/>
                    <w:left w:val="none" w:sz="0" w:space="0" w:color="auto"/>
                    <w:bottom w:val="none" w:sz="0" w:space="0" w:color="auto"/>
                    <w:right w:val="none" w:sz="0" w:space="0" w:color="auto"/>
                  </w:divBdr>
                  <w:divsChild>
                    <w:div w:id="96173293">
                      <w:marLeft w:val="0"/>
                      <w:marRight w:val="0"/>
                      <w:marTop w:val="0"/>
                      <w:marBottom w:val="0"/>
                      <w:divBdr>
                        <w:top w:val="none" w:sz="0" w:space="0" w:color="auto"/>
                        <w:left w:val="none" w:sz="0" w:space="0" w:color="auto"/>
                        <w:bottom w:val="none" w:sz="0" w:space="0" w:color="auto"/>
                        <w:right w:val="none" w:sz="0" w:space="0" w:color="auto"/>
                      </w:divBdr>
                    </w:div>
                  </w:divsChild>
                </w:div>
                <w:div w:id="1005403586">
                  <w:marLeft w:val="0"/>
                  <w:marRight w:val="0"/>
                  <w:marTop w:val="0"/>
                  <w:marBottom w:val="0"/>
                  <w:divBdr>
                    <w:top w:val="none" w:sz="0" w:space="0" w:color="auto"/>
                    <w:left w:val="none" w:sz="0" w:space="0" w:color="auto"/>
                    <w:bottom w:val="none" w:sz="0" w:space="0" w:color="auto"/>
                    <w:right w:val="none" w:sz="0" w:space="0" w:color="auto"/>
                  </w:divBdr>
                  <w:divsChild>
                    <w:div w:id="1542592408">
                      <w:marLeft w:val="0"/>
                      <w:marRight w:val="0"/>
                      <w:marTop w:val="0"/>
                      <w:marBottom w:val="0"/>
                      <w:divBdr>
                        <w:top w:val="none" w:sz="0" w:space="0" w:color="auto"/>
                        <w:left w:val="none" w:sz="0" w:space="0" w:color="auto"/>
                        <w:bottom w:val="none" w:sz="0" w:space="0" w:color="auto"/>
                        <w:right w:val="none" w:sz="0" w:space="0" w:color="auto"/>
                      </w:divBdr>
                    </w:div>
                  </w:divsChild>
                </w:div>
                <w:div w:id="1026371699">
                  <w:marLeft w:val="0"/>
                  <w:marRight w:val="0"/>
                  <w:marTop w:val="0"/>
                  <w:marBottom w:val="0"/>
                  <w:divBdr>
                    <w:top w:val="none" w:sz="0" w:space="0" w:color="auto"/>
                    <w:left w:val="none" w:sz="0" w:space="0" w:color="auto"/>
                    <w:bottom w:val="none" w:sz="0" w:space="0" w:color="auto"/>
                    <w:right w:val="none" w:sz="0" w:space="0" w:color="auto"/>
                  </w:divBdr>
                  <w:divsChild>
                    <w:div w:id="1467893656">
                      <w:marLeft w:val="0"/>
                      <w:marRight w:val="0"/>
                      <w:marTop w:val="0"/>
                      <w:marBottom w:val="0"/>
                      <w:divBdr>
                        <w:top w:val="none" w:sz="0" w:space="0" w:color="auto"/>
                        <w:left w:val="none" w:sz="0" w:space="0" w:color="auto"/>
                        <w:bottom w:val="none" w:sz="0" w:space="0" w:color="auto"/>
                        <w:right w:val="none" w:sz="0" w:space="0" w:color="auto"/>
                      </w:divBdr>
                    </w:div>
                  </w:divsChild>
                </w:div>
                <w:div w:id="1102997995">
                  <w:marLeft w:val="0"/>
                  <w:marRight w:val="0"/>
                  <w:marTop w:val="0"/>
                  <w:marBottom w:val="0"/>
                  <w:divBdr>
                    <w:top w:val="none" w:sz="0" w:space="0" w:color="auto"/>
                    <w:left w:val="none" w:sz="0" w:space="0" w:color="auto"/>
                    <w:bottom w:val="none" w:sz="0" w:space="0" w:color="auto"/>
                    <w:right w:val="none" w:sz="0" w:space="0" w:color="auto"/>
                  </w:divBdr>
                  <w:divsChild>
                    <w:div w:id="436566783">
                      <w:marLeft w:val="0"/>
                      <w:marRight w:val="0"/>
                      <w:marTop w:val="0"/>
                      <w:marBottom w:val="0"/>
                      <w:divBdr>
                        <w:top w:val="none" w:sz="0" w:space="0" w:color="auto"/>
                        <w:left w:val="none" w:sz="0" w:space="0" w:color="auto"/>
                        <w:bottom w:val="none" w:sz="0" w:space="0" w:color="auto"/>
                        <w:right w:val="none" w:sz="0" w:space="0" w:color="auto"/>
                      </w:divBdr>
                    </w:div>
                  </w:divsChild>
                </w:div>
                <w:div w:id="1240090747">
                  <w:marLeft w:val="0"/>
                  <w:marRight w:val="0"/>
                  <w:marTop w:val="0"/>
                  <w:marBottom w:val="0"/>
                  <w:divBdr>
                    <w:top w:val="none" w:sz="0" w:space="0" w:color="auto"/>
                    <w:left w:val="none" w:sz="0" w:space="0" w:color="auto"/>
                    <w:bottom w:val="none" w:sz="0" w:space="0" w:color="auto"/>
                    <w:right w:val="none" w:sz="0" w:space="0" w:color="auto"/>
                  </w:divBdr>
                  <w:divsChild>
                    <w:div w:id="915824368">
                      <w:marLeft w:val="0"/>
                      <w:marRight w:val="0"/>
                      <w:marTop w:val="0"/>
                      <w:marBottom w:val="0"/>
                      <w:divBdr>
                        <w:top w:val="none" w:sz="0" w:space="0" w:color="auto"/>
                        <w:left w:val="none" w:sz="0" w:space="0" w:color="auto"/>
                        <w:bottom w:val="none" w:sz="0" w:space="0" w:color="auto"/>
                        <w:right w:val="none" w:sz="0" w:space="0" w:color="auto"/>
                      </w:divBdr>
                    </w:div>
                  </w:divsChild>
                </w:div>
                <w:div w:id="1244102341">
                  <w:marLeft w:val="0"/>
                  <w:marRight w:val="0"/>
                  <w:marTop w:val="0"/>
                  <w:marBottom w:val="0"/>
                  <w:divBdr>
                    <w:top w:val="none" w:sz="0" w:space="0" w:color="auto"/>
                    <w:left w:val="none" w:sz="0" w:space="0" w:color="auto"/>
                    <w:bottom w:val="none" w:sz="0" w:space="0" w:color="auto"/>
                    <w:right w:val="none" w:sz="0" w:space="0" w:color="auto"/>
                  </w:divBdr>
                  <w:divsChild>
                    <w:div w:id="1669357847">
                      <w:marLeft w:val="0"/>
                      <w:marRight w:val="0"/>
                      <w:marTop w:val="0"/>
                      <w:marBottom w:val="0"/>
                      <w:divBdr>
                        <w:top w:val="none" w:sz="0" w:space="0" w:color="auto"/>
                        <w:left w:val="none" w:sz="0" w:space="0" w:color="auto"/>
                        <w:bottom w:val="none" w:sz="0" w:space="0" w:color="auto"/>
                        <w:right w:val="none" w:sz="0" w:space="0" w:color="auto"/>
                      </w:divBdr>
                    </w:div>
                  </w:divsChild>
                </w:div>
                <w:div w:id="1393768035">
                  <w:marLeft w:val="0"/>
                  <w:marRight w:val="0"/>
                  <w:marTop w:val="0"/>
                  <w:marBottom w:val="0"/>
                  <w:divBdr>
                    <w:top w:val="none" w:sz="0" w:space="0" w:color="auto"/>
                    <w:left w:val="none" w:sz="0" w:space="0" w:color="auto"/>
                    <w:bottom w:val="none" w:sz="0" w:space="0" w:color="auto"/>
                    <w:right w:val="none" w:sz="0" w:space="0" w:color="auto"/>
                  </w:divBdr>
                  <w:divsChild>
                    <w:div w:id="1612201156">
                      <w:marLeft w:val="0"/>
                      <w:marRight w:val="0"/>
                      <w:marTop w:val="0"/>
                      <w:marBottom w:val="0"/>
                      <w:divBdr>
                        <w:top w:val="none" w:sz="0" w:space="0" w:color="auto"/>
                        <w:left w:val="none" w:sz="0" w:space="0" w:color="auto"/>
                        <w:bottom w:val="none" w:sz="0" w:space="0" w:color="auto"/>
                        <w:right w:val="none" w:sz="0" w:space="0" w:color="auto"/>
                      </w:divBdr>
                    </w:div>
                  </w:divsChild>
                </w:div>
                <w:div w:id="1440099375">
                  <w:marLeft w:val="0"/>
                  <w:marRight w:val="0"/>
                  <w:marTop w:val="0"/>
                  <w:marBottom w:val="0"/>
                  <w:divBdr>
                    <w:top w:val="none" w:sz="0" w:space="0" w:color="auto"/>
                    <w:left w:val="none" w:sz="0" w:space="0" w:color="auto"/>
                    <w:bottom w:val="none" w:sz="0" w:space="0" w:color="auto"/>
                    <w:right w:val="none" w:sz="0" w:space="0" w:color="auto"/>
                  </w:divBdr>
                  <w:divsChild>
                    <w:div w:id="400058604">
                      <w:marLeft w:val="0"/>
                      <w:marRight w:val="0"/>
                      <w:marTop w:val="0"/>
                      <w:marBottom w:val="0"/>
                      <w:divBdr>
                        <w:top w:val="none" w:sz="0" w:space="0" w:color="auto"/>
                        <w:left w:val="none" w:sz="0" w:space="0" w:color="auto"/>
                        <w:bottom w:val="none" w:sz="0" w:space="0" w:color="auto"/>
                        <w:right w:val="none" w:sz="0" w:space="0" w:color="auto"/>
                      </w:divBdr>
                    </w:div>
                  </w:divsChild>
                </w:div>
                <w:div w:id="1491217963">
                  <w:marLeft w:val="0"/>
                  <w:marRight w:val="0"/>
                  <w:marTop w:val="0"/>
                  <w:marBottom w:val="0"/>
                  <w:divBdr>
                    <w:top w:val="none" w:sz="0" w:space="0" w:color="auto"/>
                    <w:left w:val="none" w:sz="0" w:space="0" w:color="auto"/>
                    <w:bottom w:val="none" w:sz="0" w:space="0" w:color="auto"/>
                    <w:right w:val="none" w:sz="0" w:space="0" w:color="auto"/>
                  </w:divBdr>
                  <w:divsChild>
                    <w:div w:id="338510865">
                      <w:marLeft w:val="0"/>
                      <w:marRight w:val="0"/>
                      <w:marTop w:val="0"/>
                      <w:marBottom w:val="0"/>
                      <w:divBdr>
                        <w:top w:val="none" w:sz="0" w:space="0" w:color="auto"/>
                        <w:left w:val="none" w:sz="0" w:space="0" w:color="auto"/>
                        <w:bottom w:val="none" w:sz="0" w:space="0" w:color="auto"/>
                        <w:right w:val="none" w:sz="0" w:space="0" w:color="auto"/>
                      </w:divBdr>
                    </w:div>
                  </w:divsChild>
                </w:div>
                <w:div w:id="1498963059">
                  <w:marLeft w:val="0"/>
                  <w:marRight w:val="0"/>
                  <w:marTop w:val="0"/>
                  <w:marBottom w:val="0"/>
                  <w:divBdr>
                    <w:top w:val="none" w:sz="0" w:space="0" w:color="auto"/>
                    <w:left w:val="none" w:sz="0" w:space="0" w:color="auto"/>
                    <w:bottom w:val="none" w:sz="0" w:space="0" w:color="auto"/>
                    <w:right w:val="none" w:sz="0" w:space="0" w:color="auto"/>
                  </w:divBdr>
                  <w:divsChild>
                    <w:div w:id="989286515">
                      <w:marLeft w:val="0"/>
                      <w:marRight w:val="0"/>
                      <w:marTop w:val="0"/>
                      <w:marBottom w:val="0"/>
                      <w:divBdr>
                        <w:top w:val="none" w:sz="0" w:space="0" w:color="auto"/>
                        <w:left w:val="none" w:sz="0" w:space="0" w:color="auto"/>
                        <w:bottom w:val="none" w:sz="0" w:space="0" w:color="auto"/>
                        <w:right w:val="none" w:sz="0" w:space="0" w:color="auto"/>
                      </w:divBdr>
                    </w:div>
                  </w:divsChild>
                </w:div>
                <w:div w:id="1588689987">
                  <w:marLeft w:val="0"/>
                  <w:marRight w:val="0"/>
                  <w:marTop w:val="0"/>
                  <w:marBottom w:val="0"/>
                  <w:divBdr>
                    <w:top w:val="none" w:sz="0" w:space="0" w:color="auto"/>
                    <w:left w:val="none" w:sz="0" w:space="0" w:color="auto"/>
                    <w:bottom w:val="none" w:sz="0" w:space="0" w:color="auto"/>
                    <w:right w:val="none" w:sz="0" w:space="0" w:color="auto"/>
                  </w:divBdr>
                  <w:divsChild>
                    <w:div w:id="386295054">
                      <w:marLeft w:val="0"/>
                      <w:marRight w:val="0"/>
                      <w:marTop w:val="0"/>
                      <w:marBottom w:val="0"/>
                      <w:divBdr>
                        <w:top w:val="none" w:sz="0" w:space="0" w:color="auto"/>
                        <w:left w:val="none" w:sz="0" w:space="0" w:color="auto"/>
                        <w:bottom w:val="none" w:sz="0" w:space="0" w:color="auto"/>
                        <w:right w:val="none" w:sz="0" w:space="0" w:color="auto"/>
                      </w:divBdr>
                    </w:div>
                  </w:divsChild>
                </w:div>
                <w:div w:id="1615474712">
                  <w:marLeft w:val="0"/>
                  <w:marRight w:val="0"/>
                  <w:marTop w:val="0"/>
                  <w:marBottom w:val="0"/>
                  <w:divBdr>
                    <w:top w:val="none" w:sz="0" w:space="0" w:color="auto"/>
                    <w:left w:val="none" w:sz="0" w:space="0" w:color="auto"/>
                    <w:bottom w:val="none" w:sz="0" w:space="0" w:color="auto"/>
                    <w:right w:val="none" w:sz="0" w:space="0" w:color="auto"/>
                  </w:divBdr>
                  <w:divsChild>
                    <w:div w:id="768310256">
                      <w:marLeft w:val="0"/>
                      <w:marRight w:val="0"/>
                      <w:marTop w:val="0"/>
                      <w:marBottom w:val="0"/>
                      <w:divBdr>
                        <w:top w:val="none" w:sz="0" w:space="0" w:color="auto"/>
                        <w:left w:val="none" w:sz="0" w:space="0" w:color="auto"/>
                        <w:bottom w:val="none" w:sz="0" w:space="0" w:color="auto"/>
                        <w:right w:val="none" w:sz="0" w:space="0" w:color="auto"/>
                      </w:divBdr>
                    </w:div>
                  </w:divsChild>
                </w:div>
                <w:div w:id="1653874840">
                  <w:marLeft w:val="0"/>
                  <w:marRight w:val="0"/>
                  <w:marTop w:val="0"/>
                  <w:marBottom w:val="0"/>
                  <w:divBdr>
                    <w:top w:val="none" w:sz="0" w:space="0" w:color="auto"/>
                    <w:left w:val="none" w:sz="0" w:space="0" w:color="auto"/>
                    <w:bottom w:val="none" w:sz="0" w:space="0" w:color="auto"/>
                    <w:right w:val="none" w:sz="0" w:space="0" w:color="auto"/>
                  </w:divBdr>
                  <w:divsChild>
                    <w:div w:id="1468473949">
                      <w:marLeft w:val="0"/>
                      <w:marRight w:val="0"/>
                      <w:marTop w:val="0"/>
                      <w:marBottom w:val="0"/>
                      <w:divBdr>
                        <w:top w:val="none" w:sz="0" w:space="0" w:color="auto"/>
                        <w:left w:val="none" w:sz="0" w:space="0" w:color="auto"/>
                        <w:bottom w:val="none" w:sz="0" w:space="0" w:color="auto"/>
                        <w:right w:val="none" w:sz="0" w:space="0" w:color="auto"/>
                      </w:divBdr>
                    </w:div>
                  </w:divsChild>
                </w:div>
                <w:div w:id="1682320775">
                  <w:marLeft w:val="0"/>
                  <w:marRight w:val="0"/>
                  <w:marTop w:val="0"/>
                  <w:marBottom w:val="0"/>
                  <w:divBdr>
                    <w:top w:val="none" w:sz="0" w:space="0" w:color="auto"/>
                    <w:left w:val="none" w:sz="0" w:space="0" w:color="auto"/>
                    <w:bottom w:val="none" w:sz="0" w:space="0" w:color="auto"/>
                    <w:right w:val="none" w:sz="0" w:space="0" w:color="auto"/>
                  </w:divBdr>
                  <w:divsChild>
                    <w:div w:id="620310397">
                      <w:marLeft w:val="0"/>
                      <w:marRight w:val="0"/>
                      <w:marTop w:val="0"/>
                      <w:marBottom w:val="0"/>
                      <w:divBdr>
                        <w:top w:val="none" w:sz="0" w:space="0" w:color="auto"/>
                        <w:left w:val="none" w:sz="0" w:space="0" w:color="auto"/>
                        <w:bottom w:val="none" w:sz="0" w:space="0" w:color="auto"/>
                        <w:right w:val="none" w:sz="0" w:space="0" w:color="auto"/>
                      </w:divBdr>
                    </w:div>
                  </w:divsChild>
                </w:div>
                <w:div w:id="1705790252">
                  <w:marLeft w:val="0"/>
                  <w:marRight w:val="0"/>
                  <w:marTop w:val="0"/>
                  <w:marBottom w:val="0"/>
                  <w:divBdr>
                    <w:top w:val="none" w:sz="0" w:space="0" w:color="auto"/>
                    <w:left w:val="none" w:sz="0" w:space="0" w:color="auto"/>
                    <w:bottom w:val="none" w:sz="0" w:space="0" w:color="auto"/>
                    <w:right w:val="none" w:sz="0" w:space="0" w:color="auto"/>
                  </w:divBdr>
                  <w:divsChild>
                    <w:div w:id="1111247259">
                      <w:marLeft w:val="0"/>
                      <w:marRight w:val="0"/>
                      <w:marTop w:val="0"/>
                      <w:marBottom w:val="0"/>
                      <w:divBdr>
                        <w:top w:val="none" w:sz="0" w:space="0" w:color="auto"/>
                        <w:left w:val="none" w:sz="0" w:space="0" w:color="auto"/>
                        <w:bottom w:val="none" w:sz="0" w:space="0" w:color="auto"/>
                        <w:right w:val="none" w:sz="0" w:space="0" w:color="auto"/>
                      </w:divBdr>
                    </w:div>
                  </w:divsChild>
                </w:div>
                <w:div w:id="1708796225">
                  <w:marLeft w:val="0"/>
                  <w:marRight w:val="0"/>
                  <w:marTop w:val="0"/>
                  <w:marBottom w:val="0"/>
                  <w:divBdr>
                    <w:top w:val="none" w:sz="0" w:space="0" w:color="auto"/>
                    <w:left w:val="none" w:sz="0" w:space="0" w:color="auto"/>
                    <w:bottom w:val="none" w:sz="0" w:space="0" w:color="auto"/>
                    <w:right w:val="none" w:sz="0" w:space="0" w:color="auto"/>
                  </w:divBdr>
                  <w:divsChild>
                    <w:div w:id="1725594258">
                      <w:marLeft w:val="0"/>
                      <w:marRight w:val="0"/>
                      <w:marTop w:val="0"/>
                      <w:marBottom w:val="0"/>
                      <w:divBdr>
                        <w:top w:val="none" w:sz="0" w:space="0" w:color="auto"/>
                        <w:left w:val="none" w:sz="0" w:space="0" w:color="auto"/>
                        <w:bottom w:val="none" w:sz="0" w:space="0" w:color="auto"/>
                        <w:right w:val="none" w:sz="0" w:space="0" w:color="auto"/>
                      </w:divBdr>
                    </w:div>
                  </w:divsChild>
                </w:div>
                <w:div w:id="1757245275">
                  <w:marLeft w:val="0"/>
                  <w:marRight w:val="0"/>
                  <w:marTop w:val="0"/>
                  <w:marBottom w:val="0"/>
                  <w:divBdr>
                    <w:top w:val="none" w:sz="0" w:space="0" w:color="auto"/>
                    <w:left w:val="none" w:sz="0" w:space="0" w:color="auto"/>
                    <w:bottom w:val="none" w:sz="0" w:space="0" w:color="auto"/>
                    <w:right w:val="none" w:sz="0" w:space="0" w:color="auto"/>
                  </w:divBdr>
                  <w:divsChild>
                    <w:div w:id="422994944">
                      <w:marLeft w:val="0"/>
                      <w:marRight w:val="0"/>
                      <w:marTop w:val="0"/>
                      <w:marBottom w:val="0"/>
                      <w:divBdr>
                        <w:top w:val="none" w:sz="0" w:space="0" w:color="auto"/>
                        <w:left w:val="none" w:sz="0" w:space="0" w:color="auto"/>
                        <w:bottom w:val="none" w:sz="0" w:space="0" w:color="auto"/>
                        <w:right w:val="none" w:sz="0" w:space="0" w:color="auto"/>
                      </w:divBdr>
                    </w:div>
                  </w:divsChild>
                </w:div>
                <w:div w:id="1867020103">
                  <w:marLeft w:val="0"/>
                  <w:marRight w:val="0"/>
                  <w:marTop w:val="0"/>
                  <w:marBottom w:val="0"/>
                  <w:divBdr>
                    <w:top w:val="none" w:sz="0" w:space="0" w:color="auto"/>
                    <w:left w:val="none" w:sz="0" w:space="0" w:color="auto"/>
                    <w:bottom w:val="none" w:sz="0" w:space="0" w:color="auto"/>
                    <w:right w:val="none" w:sz="0" w:space="0" w:color="auto"/>
                  </w:divBdr>
                  <w:divsChild>
                    <w:div w:id="586157623">
                      <w:marLeft w:val="0"/>
                      <w:marRight w:val="0"/>
                      <w:marTop w:val="0"/>
                      <w:marBottom w:val="0"/>
                      <w:divBdr>
                        <w:top w:val="none" w:sz="0" w:space="0" w:color="auto"/>
                        <w:left w:val="none" w:sz="0" w:space="0" w:color="auto"/>
                        <w:bottom w:val="none" w:sz="0" w:space="0" w:color="auto"/>
                        <w:right w:val="none" w:sz="0" w:space="0" w:color="auto"/>
                      </w:divBdr>
                    </w:div>
                  </w:divsChild>
                </w:div>
                <w:div w:id="1946619141">
                  <w:marLeft w:val="0"/>
                  <w:marRight w:val="0"/>
                  <w:marTop w:val="0"/>
                  <w:marBottom w:val="0"/>
                  <w:divBdr>
                    <w:top w:val="none" w:sz="0" w:space="0" w:color="auto"/>
                    <w:left w:val="none" w:sz="0" w:space="0" w:color="auto"/>
                    <w:bottom w:val="none" w:sz="0" w:space="0" w:color="auto"/>
                    <w:right w:val="none" w:sz="0" w:space="0" w:color="auto"/>
                  </w:divBdr>
                  <w:divsChild>
                    <w:div w:id="2080781085">
                      <w:marLeft w:val="0"/>
                      <w:marRight w:val="0"/>
                      <w:marTop w:val="0"/>
                      <w:marBottom w:val="0"/>
                      <w:divBdr>
                        <w:top w:val="none" w:sz="0" w:space="0" w:color="auto"/>
                        <w:left w:val="none" w:sz="0" w:space="0" w:color="auto"/>
                        <w:bottom w:val="none" w:sz="0" w:space="0" w:color="auto"/>
                        <w:right w:val="none" w:sz="0" w:space="0" w:color="auto"/>
                      </w:divBdr>
                    </w:div>
                  </w:divsChild>
                </w:div>
                <w:div w:id="1953897670">
                  <w:marLeft w:val="0"/>
                  <w:marRight w:val="0"/>
                  <w:marTop w:val="0"/>
                  <w:marBottom w:val="0"/>
                  <w:divBdr>
                    <w:top w:val="none" w:sz="0" w:space="0" w:color="auto"/>
                    <w:left w:val="none" w:sz="0" w:space="0" w:color="auto"/>
                    <w:bottom w:val="none" w:sz="0" w:space="0" w:color="auto"/>
                    <w:right w:val="none" w:sz="0" w:space="0" w:color="auto"/>
                  </w:divBdr>
                  <w:divsChild>
                    <w:div w:id="85881567">
                      <w:marLeft w:val="0"/>
                      <w:marRight w:val="0"/>
                      <w:marTop w:val="0"/>
                      <w:marBottom w:val="0"/>
                      <w:divBdr>
                        <w:top w:val="none" w:sz="0" w:space="0" w:color="auto"/>
                        <w:left w:val="none" w:sz="0" w:space="0" w:color="auto"/>
                        <w:bottom w:val="none" w:sz="0" w:space="0" w:color="auto"/>
                        <w:right w:val="none" w:sz="0" w:space="0" w:color="auto"/>
                      </w:divBdr>
                    </w:div>
                  </w:divsChild>
                </w:div>
                <w:div w:id="2000039218">
                  <w:marLeft w:val="0"/>
                  <w:marRight w:val="0"/>
                  <w:marTop w:val="0"/>
                  <w:marBottom w:val="0"/>
                  <w:divBdr>
                    <w:top w:val="none" w:sz="0" w:space="0" w:color="auto"/>
                    <w:left w:val="none" w:sz="0" w:space="0" w:color="auto"/>
                    <w:bottom w:val="none" w:sz="0" w:space="0" w:color="auto"/>
                    <w:right w:val="none" w:sz="0" w:space="0" w:color="auto"/>
                  </w:divBdr>
                  <w:divsChild>
                    <w:div w:id="655261608">
                      <w:marLeft w:val="0"/>
                      <w:marRight w:val="0"/>
                      <w:marTop w:val="0"/>
                      <w:marBottom w:val="0"/>
                      <w:divBdr>
                        <w:top w:val="none" w:sz="0" w:space="0" w:color="auto"/>
                        <w:left w:val="none" w:sz="0" w:space="0" w:color="auto"/>
                        <w:bottom w:val="none" w:sz="0" w:space="0" w:color="auto"/>
                        <w:right w:val="none" w:sz="0" w:space="0" w:color="auto"/>
                      </w:divBdr>
                    </w:div>
                  </w:divsChild>
                </w:div>
                <w:div w:id="2036298764">
                  <w:marLeft w:val="0"/>
                  <w:marRight w:val="0"/>
                  <w:marTop w:val="0"/>
                  <w:marBottom w:val="0"/>
                  <w:divBdr>
                    <w:top w:val="none" w:sz="0" w:space="0" w:color="auto"/>
                    <w:left w:val="none" w:sz="0" w:space="0" w:color="auto"/>
                    <w:bottom w:val="none" w:sz="0" w:space="0" w:color="auto"/>
                    <w:right w:val="none" w:sz="0" w:space="0" w:color="auto"/>
                  </w:divBdr>
                  <w:divsChild>
                    <w:div w:id="8063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500">
          <w:marLeft w:val="0"/>
          <w:marRight w:val="0"/>
          <w:marTop w:val="0"/>
          <w:marBottom w:val="0"/>
          <w:divBdr>
            <w:top w:val="none" w:sz="0" w:space="0" w:color="auto"/>
            <w:left w:val="none" w:sz="0" w:space="0" w:color="auto"/>
            <w:bottom w:val="none" w:sz="0" w:space="0" w:color="auto"/>
            <w:right w:val="none" w:sz="0" w:space="0" w:color="auto"/>
          </w:divBdr>
        </w:div>
        <w:div w:id="694960641">
          <w:marLeft w:val="0"/>
          <w:marRight w:val="0"/>
          <w:marTop w:val="0"/>
          <w:marBottom w:val="0"/>
          <w:divBdr>
            <w:top w:val="none" w:sz="0" w:space="0" w:color="auto"/>
            <w:left w:val="none" w:sz="0" w:space="0" w:color="auto"/>
            <w:bottom w:val="none" w:sz="0" w:space="0" w:color="auto"/>
            <w:right w:val="none" w:sz="0" w:space="0" w:color="auto"/>
          </w:divBdr>
        </w:div>
        <w:div w:id="896748323">
          <w:marLeft w:val="0"/>
          <w:marRight w:val="0"/>
          <w:marTop w:val="0"/>
          <w:marBottom w:val="0"/>
          <w:divBdr>
            <w:top w:val="none" w:sz="0" w:space="0" w:color="auto"/>
            <w:left w:val="none" w:sz="0" w:space="0" w:color="auto"/>
            <w:bottom w:val="none" w:sz="0" w:space="0" w:color="auto"/>
            <w:right w:val="none" w:sz="0" w:space="0" w:color="auto"/>
          </w:divBdr>
        </w:div>
        <w:div w:id="1070079168">
          <w:marLeft w:val="0"/>
          <w:marRight w:val="0"/>
          <w:marTop w:val="0"/>
          <w:marBottom w:val="0"/>
          <w:divBdr>
            <w:top w:val="none" w:sz="0" w:space="0" w:color="auto"/>
            <w:left w:val="none" w:sz="0" w:space="0" w:color="auto"/>
            <w:bottom w:val="none" w:sz="0" w:space="0" w:color="auto"/>
            <w:right w:val="none" w:sz="0" w:space="0" w:color="auto"/>
          </w:divBdr>
        </w:div>
        <w:div w:id="1300383687">
          <w:marLeft w:val="0"/>
          <w:marRight w:val="0"/>
          <w:marTop w:val="0"/>
          <w:marBottom w:val="0"/>
          <w:divBdr>
            <w:top w:val="none" w:sz="0" w:space="0" w:color="auto"/>
            <w:left w:val="none" w:sz="0" w:space="0" w:color="auto"/>
            <w:bottom w:val="none" w:sz="0" w:space="0" w:color="auto"/>
            <w:right w:val="none" w:sz="0" w:space="0" w:color="auto"/>
          </w:divBdr>
        </w:div>
        <w:div w:id="1576354656">
          <w:marLeft w:val="0"/>
          <w:marRight w:val="0"/>
          <w:marTop w:val="0"/>
          <w:marBottom w:val="0"/>
          <w:divBdr>
            <w:top w:val="none" w:sz="0" w:space="0" w:color="auto"/>
            <w:left w:val="none" w:sz="0" w:space="0" w:color="auto"/>
            <w:bottom w:val="none" w:sz="0" w:space="0" w:color="auto"/>
            <w:right w:val="none" w:sz="0" w:space="0" w:color="auto"/>
          </w:divBdr>
          <w:divsChild>
            <w:div w:id="1218126152">
              <w:marLeft w:val="-75"/>
              <w:marRight w:val="0"/>
              <w:marTop w:val="30"/>
              <w:marBottom w:val="30"/>
              <w:divBdr>
                <w:top w:val="none" w:sz="0" w:space="0" w:color="auto"/>
                <w:left w:val="none" w:sz="0" w:space="0" w:color="auto"/>
                <w:bottom w:val="none" w:sz="0" w:space="0" w:color="auto"/>
                <w:right w:val="none" w:sz="0" w:space="0" w:color="auto"/>
              </w:divBdr>
              <w:divsChild>
                <w:div w:id="7486233">
                  <w:marLeft w:val="0"/>
                  <w:marRight w:val="0"/>
                  <w:marTop w:val="0"/>
                  <w:marBottom w:val="0"/>
                  <w:divBdr>
                    <w:top w:val="none" w:sz="0" w:space="0" w:color="auto"/>
                    <w:left w:val="none" w:sz="0" w:space="0" w:color="auto"/>
                    <w:bottom w:val="none" w:sz="0" w:space="0" w:color="auto"/>
                    <w:right w:val="none" w:sz="0" w:space="0" w:color="auto"/>
                  </w:divBdr>
                  <w:divsChild>
                    <w:div w:id="338581046">
                      <w:marLeft w:val="0"/>
                      <w:marRight w:val="0"/>
                      <w:marTop w:val="0"/>
                      <w:marBottom w:val="0"/>
                      <w:divBdr>
                        <w:top w:val="none" w:sz="0" w:space="0" w:color="auto"/>
                        <w:left w:val="none" w:sz="0" w:space="0" w:color="auto"/>
                        <w:bottom w:val="none" w:sz="0" w:space="0" w:color="auto"/>
                        <w:right w:val="none" w:sz="0" w:space="0" w:color="auto"/>
                      </w:divBdr>
                    </w:div>
                  </w:divsChild>
                </w:div>
                <w:div w:id="163980642">
                  <w:marLeft w:val="0"/>
                  <w:marRight w:val="0"/>
                  <w:marTop w:val="0"/>
                  <w:marBottom w:val="0"/>
                  <w:divBdr>
                    <w:top w:val="none" w:sz="0" w:space="0" w:color="auto"/>
                    <w:left w:val="none" w:sz="0" w:space="0" w:color="auto"/>
                    <w:bottom w:val="none" w:sz="0" w:space="0" w:color="auto"/>
                    <w:right w:val="none" w:sz="0" w:space="0" w:color="auto"/>
                  </w:divBdr>
                  <w:divsChild>
                    <w:div w:id="1511989314">
                      <w:marLeft w:val="0"/>
                      <w:marRight w:val="0"/>
                      <w:marTop w:val="0"/>
                      <w:marBottom w:val="0"/>
                      <w:divBdr>
                        <w:top w:val="none" w:sz="0" w:space="0" w:color="auto"/>
                        <w:left w:val="none" w:sz="0" w:space="0" w:color="auto"/>
                        <w:bottom w:val="none" w:sz="0" w:space="0" w:color="auto"/>
                        <w:right w:val="none" w:sz="0" w:space="0" w:color="auto"/>
                      </w:divBdr>
                    </w:div>
                  </w:divsChild>
                </w:div>
                <w:div w:id="319162876">
                  <w:marLeft w:val="0"/>
                  <w:marRight w:val="0"/>
                  <w:marTop w:val="0"/>
                  <w:marBottom w:val="0"/>
                  <w:divBdr>
                    <w:top w:val="none" w:sz="0" w:space="0" w:color="auto"/>
                    <w:left w:val="none" w:sz="0" w:space="0" w:color="auto"/>
                    <w:bottom w:val="none" w:sz="0" w:space="0" w:color="auto"/>
                    <w:right w:val="none" w:sz="0" w:space="0" w:color="auto"/>
                  </w:divBdr>
                  <w:divsChild>
                    <w:div w:id="1669406753">
                      <w:marLeft w:val="0"/>
                      <w:marRight w:val="0"/>
                      <w:marTop w:val="0"/>
                      <w:marBottom w:val="0"/>
                      <w:divBdr>
                        <w:top w:val="none" w:sz="0" w:space="0" w:color="auto"/>
                        <w:left w:val="none" w:sz="0" w:space="0" w:color="auto"/>
                        <w:bottom w:val="none" w:sz="0" w:space="0" w:color="auto"/>
                        <w:right w:val="none" w:sz="0" w:space="0" w:color="auto"/>
                      </w:divBdr>
                    </w:div>
                  </w:divsChild>
                </w:div>
                <w:div w:id="390806263">
                  <w:marLeft w:val="0"/>
                  <w:marRight w:val="0"/>
                  <w:marTop w:val="0"/>
                  <w:marBottom w:val="0"/>
                  <w:divBdr>
                    <w:top w:val="none" w:sz="0" w:space="0" w:color="auto"/>
                    <w:left w:val="none" w:sz="0" w:space="0" w:color="auto"/>
                    <w:bottom w:val="none" w:sz="0" w:space="0" w:color="auto"/>
                    <w:right w:val="none" w:sz="0" w:space="0" w:color="auto"/>
                  </w:divBdr>
                  <w:divsChild>
                    <w:div w:id="189296718">
                      <w:marLeft w:val="0"/>
                      <w:marRight w:val="0"/>
                      <w:marTop w:val="0"/>
                      <w:marBottom w:val="0"/>
                      <w:divBdr>
                        <w:top w:val="none" w:sz="0" w:space="0" w:color="auto"/>
                        <w:left w:val="none" w:sz="0" w:space="0" w:color="auto"/>
                        <w:bottom w:val="none" w:sz="0" w:space="0" w:color="auto"/>
                        <w:right w:val="none" w:sz="0" w:space="0" w:color="auto"/>
                      </w:divBdr>
                    </w:div>
                  </w:divsChild>
                </w:div>
                <w:div w:id="682704055">
                  <w:marLeft w:val="0"/>
                  <w:marRight w:val="0"/>
                  <w:marTop w:val="0"/>
                  <w:marBottom w:val="0"/>
                  <w:divBdr>
                    <w:top w:val="none" w:sz="0" w:space="0" w:color="auto"/>
                    <w:left w:val="none" w:sz="0" w:space="0" w:color="auto"/>
                    <w:bottom w:val="none" w:sz="0" w:space="0" w:color="auto"/>
                    <w:right w:val="none" w:sz="0" w:space="0" w:color="auto"/>
                  </w:divBdr>
                  <w:divsChild>
                    <w:div w:id="2095007129">
                      <w:marLeft w:val="0"/>
                      <w:marRight w:val="0"/>
                      <w:marTop w:val="0"/>
                      <w:marBottom w:val="0"/>
                      <w:divBdr>
                        <w:top w:val="none" w:sz="0" w:space="0" w:color="auto"/>
                        <w:left w:val="none" w:sz="0" w:space="0" w:color="auto"/>
                        <w:bottom w:val="none" w:sz="0" w:space="0" w:color="auto"/>
                        <w:right w:val="none" w:sz="0" w:space="0" w:color="auto"/>
                      </w:divBdr>
                    </w:div>
                  </w:divsChild>
                </w:div>
                <w:div w:id="833109090">
                  <w:marLeft w:val="0"/>
                  <w:marRight w:val="0"/>
                  <w:marTop w:val="0"/>
                  <w:marBottom w:val="0"/>
                  <w:divBdr>
                    <w:top w:val="none" w:sz="0" w:space="0" w:color="auto"/>
                    <w:left w:val="none" w:sz="0" w:space="0" w:color="auto"/>
                    <w:bottom w:val="none" w:sz="0" w:space="0" w:color="auto"/>
                    <w:right w:val="none" w:sz="0" w:space="0" w:color="auto"/>
                  </w:divBdr>
                  <w:divsChild>
                    <w:div w:id="718629880">
                      <w:marLeft w:val="0"/>
                      <w:marRight w:val="0"/>
                      <w:marTop w:val="0"/>
                      <w:marBottom w:val="0"/>
                      <w:divBdr>
                        <w:top w:val="none" w:sz="0" w:space="0" w:color="auto"/>
                        <w:left w:val="none" w:sz="0" w:space="0" w:color="auto"/>
                        <w:bottom w:val="none" w:sz="0" w:space="0" w:color="auto"/>
                        <w:right w:val="none" w:sz="0" w:space="0" w:color="auto"/>
                      </w:divBdr>
                    </w:div>
                  </w:divsChild>
                </w:div>
                <w:div w:id="927542269">
                  <w:marLeft w:val="0"/>
                  <w:marRight w:val="0"/>
                  <w:marTop w:val="0"/>
                  <w:marBottom w:val="0"/>
                  <w:divBdr>
                    <w:top w:val="none" w:sz="0" w:space="0" w:color="auto"/>
                    <w:left w:val="none" w:sz="0" w:space="0" w:color="auto"/>
                    <w:bottom w:val="none" w:sz="0" w:space="0" w:color="auto"/>
                    <w:right w:val="none" w:sz="0" w:space="0" w:color="auto"/>
                  </w:divBdr>
                  <w:divsChild>
                    <w:div w:id="1672445138">
                      <w:marLeft w:val="0"/>
                      <w:marRight w:val="0"/>
                      <w:marTop w:val="0"/>
                      <w:marBottom w:val="0"/>
                      <w:divBdr>
                        <w:top w:val="none" w:sz="0" w:space="0" w:color="auto"/>
                        <w:left w:val="none" w:sz="0" w:space="0" w:color="auto"/>
                        <w:bottom w:val="none" w:sz="0" w:space="0" w:color="auto"/>
                        <w:right w:val="none" w:sz="0" w:space="0" w:color="auto"/>
                      </w:divBdr>
                    </w:div>
                  </w:divsChild>
                </w:div>
                <w:div w:id="938878816">
                  <w:marLeft w:val="0"/>
                  <w:marRight w:val="0"/>
                  <w:marTop w:val="0"/>
                  <w:marBottom w:val="0"/>
                  <w:divBdr>
                    <w:top w:val="none" w:sz="0" w:space="0" w:color="auto"/>
                    <w:left w:val="none" w:sz="0" w:space="0" w:color="auto"/>
                    <w:bottom w:val="none" w:sz="0" w:space="0" w:color="auto"/>
                    <w:right w:val="none" w:sz="0" w:space="0" w:color="auto"/>
                  </w:divBdr>
                  <w:divsChild>
                    <w:div w:id="1989553884">
                      <w:marLeft w:val="0"/>
                      <w:marRight w:val="0"/>
                      <w:marTop w:val="0"/>
                      <w:marBottom w:val="0"/>
                      <w:divBdr>
                        <w:top w:val="none" w:sz="0" w:space="0" w:color="auto"/>
                        <w:left w:val="none" w:sz="0" w:space="0" w:color="auto"/>
                        <w:bottom w:val="none" w:sz="0" w:space="0" w:color="auto"/>
                        <w:right w:val="none" w:sz="0" w:space="0" w:color="auto"/>
                      </w:divBdr>
                    </w:div>
                  </w:divsChild>
                </w:div>
                <w:div w:id="992491416">
                  <w:marLeft w:val="0"/>
                  <w:marRight w:val="0"/>
                  <w:marTop w:val="0"/>
                  <w:marBottom w:val="0"/>
                  <w:divBdr>
                    <w:top w:val="none" w:sz="0" w:space="0" w:color="auto"/>
                    <w:left w:val="none" w:sz="0" w:space="0" w:color="auto"/>
                    <w:bottom w:val="none" w:sz="0" w:space="0" w:color="auto"/>
                    <w:right w:val="none" w:sz="0" w:space="0" w:color="auto"/>
                  </w:divBdr>
                  <w:divsChild>
                    <w:div w:id="1308244667">
                      <w:marLeft w:val="0"/>
                      <w:marRight w:val="0"/>
                      <w:marTop w:val="0"/>
                      <w:marBottom w:val="0"/>
                      <w:divBdr>
                        <w:top w:val="none" w:sz="0" w:space="0" w:color="auto"/>
                        <w:left w:val="none" w:sz="0" w:space="0" w:color="auto"/>
                        <w:bottom w:val="none" w:sz="0" w:space="0" w:color="auto"/>
                        <w:right w:val="none" w:sz="0" w:space="0" w:color="auto"/>
                      </w:divBdr>
                    </w:div>
                  </w:divsChild>
                </w:div>
                <w:div w:id="1040781661">
                  <w:marLeft w:val="0"/>
                  <w:marRight w:val="0"/>
                  <w:marTop w:val="0"/>
                  <w:marBottom w:val="0"/>
                  <w:divBdr>
                    <w:top w:val="none" w:sz="0" w:space="0" w:color="auto"/>
                    <w:left w:val="none" w:sz="0" w:space="0" w:color="auto"/>
                    <w:bottom w:val="none" w:sz="0" w:space="0" w:color="auto"/>
                    <w:right w:val="none" w:sz="0" w:space="0" w:color="auto"/>
                  </w:divBdr>
                  <w:divsChild>
                    <w:div w:id="829635403">
                      <w:marLeft w:val="0"/>
                      <w:marRight w:val="0"/>
                      <w:marTop w:val="0"/>
                      <w:marBottom w:val="0"/>
                      <w:divBdr>
                        <w:top w:val="none" w:sz="0" w:space="0" w:color="auto"/>
                        <w:left w:val="none" w:sz="0" w:space="0" w:color="auto"/>
                        <w:bottom w:val="none" w:sz="0" w:space="0" w:color="auto"/>
                        <w:right w:val="none" w:sz="0" w:space="0" w:color="auto"/>
                      </w:divBdr>
                    </w:div>
                  </w:divsChild>
                </w:div>
                <w:div w:id="1054698120">
                  <w:marLeft w:val="0"/>
                  <w:marRight w:val="0"/>
                  <w:marTop w:val="0"/>
                  <w:marBottom w:val="0"/>
                  <w:divBdr>
                    <w:top w:val="none" w:sz="0" w:space="0" w:color="auto"/>
                    <w:left w:val="none" w:sz="0" w:space="0" w:color="auto"/>
                    <w:bottom w:val="none" w:sz="0" w:space="0" w:color="auto"/>
                    <w:right w:val="none" w:sz="0" w:space="0" w:color="auto"/>
                  </w:divBdr>
                  <w:divsChild>
                    <w:div w:id="301036157">
                      <w:marLeft w:val="0"/>
                      <w:marRight w:val="0"/>
                      <w:marTop w:val="0"/>
                      <w:marBottom w:val="0"/>
                      <w:divBdr>
                        <w:top w:val="none" w:sz="0" w:space="0" w:color="auto"/>
                        <w:left w:val="none" w:sz="0" w:space="0" w:color="auto"/>
                        <w:bottom w:val="none" w:sz="0" w:space="0" w:color="auto"/>
                        <w:right w:val="none" w:sz="0" w:space="0" w:color="auto"/>
                      </w:divBdr>
                    </w:div>
                  </w:divsChild>
                </w:div>
                <w:div w:id="1283999352">
                  <w:marLeft w:val="0"/>
                  <w:marRight w:val="0"/>
                  <w:marTop w:val="0"/>
                  <w:marBottom w:val="0"/>
                  <w:divBdr>
                    <w:top w:val="none" w:sz="0" w:space="0" w:color="auto"/>
                    <w:left w:val="none" w:sz="0" w:space="0" w:color="auto"/>
                    <w:bottom w:val="none" w:sz="0" w:space="0" w:color="auto"/>
                    <w:right w:val="none" w:sz="0" w:space="0" w:color="auto"/>
                  </w:divBdr>
                  <w:divsChild>
                    <w:div w:id="515969747">
                      <w:marLeft w:val="0"/>
                      <w:marRight w:val="0"/>
                      <w:marTop w:val="0"/>
                      <w:marBottom w:val="0"/>
                      <w:divBdr>
                        <w:top w:val="none" w:sz="0" w:space="0" w:color="auto"/>
                        <w:left w:val="none" w:sz="0" w:space="0" w:color="auto"/>
                        <w:bottom w:val="none" w:sz="0" w:space="0" w:color="auto"/>
                        <w:right w:val="none" w:sz="0" w:space="0" w:color="auto"/>
                      </w:divBdr>
                    </w:div>
                    <w:div w:id="1078164307">
                      <w:marLeft w:val="0"/>
                      <w:marRight w:val="0"/>
                      <w:marTop w:val="0"/>
                      <w:marBottom w:val="0"/>
                      <w:divBdr>
                        <w:top w:val="none" w:sz="0" w:space="0" w:color="auto"/>
                        <w:left w:val="none" w:sz="0" w:space="0" w:color="auto"/>
                        <w:bottom w:val="none" w:sz="0" w:space="0" w:color="auto"/>
                        <w:right w:val="none" w:sz="0" w:space="0" w:color="auto"/>
                      </w:divBdr>
                    </w:div>
                  </w:divsChild>
                </w:div>
                <w:div w:id="1292588896">
                  <w:marLeft w:val="0"/>
                  <w:marRight w:val="0"/>
                  <w:marTop w:val="0"/>
                  <w:marBottom w:val="0"/>
                  <w:divBdr>
                    <w:top w:val="none" w:sz="0" w:space="0" w:color="auto"/>
                    <w:left w:val="none" w:sz="0" w:space="0" w:color="auto"/>
                    <w:bottom w:val="none" w:sz="0" w:space="0" w:color="auto"/>
                    <w:right w:val="none" w:sz="0" w:space="0" w:color="auto"/>
                  </w:divBdr>
                  <w:divsChild>
                    <w:div w:id="134568024">
                      <w:marLeft w:val="0"/>
                      <w:marRight w:val="0"/>
                      <w:marTop w:val="0"/>
                      <w:marBottom w:val="0"/>
                      <w:divBdr>
                        <w:top w:val="none" w:sz="0" w:space="0" w:color="auto"/>
                        <w:left w:val="none" w:sz="0" w:space="0" w:color="auto"/>
                        <w:bottom w:val="none" w:sz="0" w:space="0" w:color="auto"/>
                        <w:right w:val="none" w:sz="0" w:space="0" w:color="auto"/>
                      </w:divBdr>
                    </w:div>
                  </w:divsChild>
                </w:div>
                <w:div w:id="1407534544">
                  <w:marLeft w:val="0"/>
                  <w:marRight w:val="0"/>
                  <w:marTop w:val="0"/>
                  <w:marBottom w:val="0"/>
                  <w:divBdr>
                    <w:top w:val="none" w:sz="0" w:space="0" w:color="auto"/>
                    <w:left w:val="none" w:sz="0" w:space="0" w:color="auto"/>
                    <w:bottom w:val="none" w:sz="0" w:space="0" w:color="auto"/>
                    <w:right w:val="none" w:sz="0" w:space="0" w:color="auto"/>
                  </w:divBdr>
                  <w:divsChild>
                    <w:div w:id="520433079">
                      <w:marLeft w:val="0"/>
                      <w:marRight w:val="0"/>
                      <w:marTop w:val="0"/>
                      <w:marBottom w:val="0"/>
                      <w:divBdr>
                        <w:top w:val="none" w:sz="0" w:space="0" w:color="auto"/>
                        <w:left w:val="none" w:sz="0" w:space="0" w:color="auto"/>
                        <w:bottom w:val="none" w:sz="0" w:space="0" w:color="auto"/>
                        <w:right w:val="none" w:sz="0" w:space="0" w:color="auto"/>
                      </w:divBdr>
                    </w:div>
                  </w:divsChild>
                </w:div>
                <w:div w:id="1414857267">
                  <w:marLeft w:val="0"/>
                  <w:marRight w:val="0"/>
                  <w:marTop w:val="0"/>
                  <w:marBottom w:val="0"/>
                  <w:divBdr>
                    <w:top w:val="none" w:sz="0" w:space="0" w:color="auto"/>
                    <w:left w:val="none" w:sz="0" w:space="0" w:color="auto"/>
                    <w:bottom w:val="none" w:sz="0" w:space="0" w:color="auto"/>
                    <w:right w:val="none" w:sz="0" w:space="0" w:color="auto"/>
                  </w:divBdr>
                  <w:divsChild>
                    <w:div w:id="1043137462">
                      <w:marLeft w:val="0"/>
                      <w:marRight w:val="0"/>
                      <w:marTop w:val="0"/>
                      <w:marBottom w:val="0"/>
                      <w:divBdr>
                        <w:top w:val="none" w:sz="0" w:space="0" w:color="auto"/>
                        <w:left w:val="none" w:sz="0" w:space="0" w:color="auto"/>
                        <w:bottom w:val="none" w:sz="0" w:space="0" w:color="auto"/>
                        <w:right w:val="none" w:sz="0" w:space="0" w:color="auto"/>
                      </w:divBdr>
                    </w:div>
                  </w:divsChild>
                </w:div>
                <w:div w:id="1436632670">
                  <w:marLeft w:val="0"/>
                  <w:marRight w:val="0"/>
                  <w:marTop w:val="0"/>
                  <w:marBottom w:val="0"/>
                  <w:divBdr>
                    <w:top w:val="none" w:sz="0" w:space="0" w:color="auto"/>
                    <w:left w:val="none" w:sz="0" w:space="0" w:color="auto"/>
                    <w:bottom w:val="none" w:sz="0" w:space="0" w:color="auto"/>
                    <w:right w:val="none" w:sz="0" w:space="0" w:color="auto"/>
                  </w:divBdr>
                  <w:divsChild>
                    <w:div w:id="1506894373">
                      <w:marLeft w:val="0"/>
                      <w:marRight w:val="0"/>
                      <w:marTop w:val="0"/>
                      <w:marBottom w:val="0"/>
                      <w:divBdr>
                        <w:top w:val="none" w:sz="0" w:space="0" w:color="auto"/>
                        <w:left w:val="none" w:sz="0" w:space="0" w:color="auto"/>
                        <w:bottom w:val="none" w:sz="0" w:space="0" w:color="auto"/>
                        <w:right w:val="none" w:sz="0" w:space="0" w:color="auto"/>
                      </w:divBdr>
                    </w:div>
                  </w:divsChild>
                </w:div>
                <w:div w:id="1461192571">
                  <w:marLeft w:val="0"/>
                  <w:marRight w:val="0"/>
                  <w:marTop w:val="0"/>
                  <w:marBottom w:val="0"/>
                  <w:divBdr>
                    <w:top w:val="none" w:sz="0" w:space="0" w:color="auto"/>
                    <w:left w:val="none" w:sz="0" w:space="0" w:color="auto"/>
                    <w:bottom w:val="none" w:sz="0" w:space="0" w:color="auto"/>
                    <w:right w:val="none" w:sz="0" w:space="0" w:color="auto"/>
                  </w:divBdr>
                  <w:divsChild>
                    <w:div w:id="885333930">
                      <w:marLeft w:val="0"/>
                      <w:marRight w:val="0"/>
                      <w:marTop w:val="0"/>
                      <w:marBottom w:val="0"/>
                      <w:divBdr>
                        <w:top w:val="none" w:sz="0" w:space="0" w:color="auto"/>
                        <w:left w:val="none" w:sz="0" w:space="0" w:color="auto"/>
                        <w:bottom w:val="none" w:sz="0" w:space="0" w:color="auto"/>
                        <w:right w:val="none" w:sz="0" w:space="0" w:color="auto"/>
                      </w:divBdr>
                    </w:div>
                  </w:divsChild>
                </w:div>
                <w:div w:id="1749497425">
                  <w:marLeft w:val="0"/>
                  <w:marRight w:val="0"/>
                  <w:marTop w:val="0"/>
                  <w:marBottom w:val="0"/>
                  <w:divBdr>
                    <w:top w:val="none" w:sz="0" w:space="0" w:color="auto"/>
                    <w:left w:val="none" w:sz="0" w:space="0" w:color="auto"/>
                    <w:bottom w:val="none" w:sz="0" w:space="0" w:color="auto"/>
                    <w:right w:val="none" w:sz="0" w:space="0" w:color="auto"/>
                  </w:divBdr>
                  <w:divsChild>
                    <w:div w:id="814643328">
                      <w:marLeft w:val="0"/>
                      <w:marRight w:val="0"/>
                      <w:marTop w:val="0"/>
                      <w:marBottom w:val="0"/>
                      <w:divBdr>
                        <w:top w:val="none" w:sz="0" w:space="0" w:color="auto"/>
                        <w:left w:val="none" w:sz="0" w:space="0" w:color="auto"/>
                        <w:bottom w:val="none" w:sz="0" w:space="0" w:color="auto"/>
                        <w:right w:val="none" w:sz="0" w:space="0" w:color="auto"/>
                      </w:divBdr>
                    </w:div>
                  </w:divsChild>
                </w:div>
                <w:div w:id="1790513675">
                  <w:marLeft w:val="0"/>
                  <w:marRight w:val="0"/>
                  <w:marTop w:val="0"/>
                  <w:marBottom w:val="0"/>
                  <w:divBdr>
                    <w:top w:val="none" w:sz="0" w:space="0" w:color="auto"/>
                    <w:left w:val="none" w:sz="0" w:space="0" w:color="auto"/>
                    <w:bottom w:val="none" w:sz="0" w:space="0" w:color="auto"/>
                    <w:right w:val="none" w:sz="0" w:space="0" w:color="auto"/>
                  </w:divBdr>
                  <w:divsChild>
                    <w:div w:id="1975864248">
                      <w:marLeft w:val="0"/>
                      <w:marRight w:val="0"/>
                      <w:marTop w:val="0"/>
                      <w:marBottom w:val="0"/>
                      <w:divBdr>
                        <w:top w:val="none" w:sz="0" w:space="0" w:color="auto"/>
                        <w:left w:val="none" w:sz="0" w:space="0" w:color="auto"/>
                        <w:bottom w:val="none" w:sz="0" w:space="0" w:color="auto"/>
                        <w:right w:val="none" w:sz="0" w:space="0" w:color="auto"/>
                      </w:divBdr>
                    </w:div>
                  </w:divsChild>
                </w:div>
                <w:div w:id="1863934889">
                  <w:marLeft w:val="0"/>
                  <w:marRight w:val="0"/>
                  <w:marTop w:val="0"/>
                  <w:marBottom w:val="0"/>
                  <w:divBdr>
                    <w:top w:val="none" w:sz="0" w:space="0" w:color="auto"/>
                    <w:left w:val="none" w:sz="0" w:space="0" w:color="auto"/>
                    <w:bottom w:val="none" w:sz="0" w:space="0" w:color="auto"/>
                    <w:right w:val="none" w:sz="0" w:space="0" w:color="auto"/>
                  </w:divBdr>
                  <w:divsChild>
                    <w:div w:id="1381711068">
                      <w:marLeft w:val="0"/>
                      <w:marRight w:val="0"/>
                      <w:marTop w:val="0"/>
                      <w:marBottom w:val="0"/>
                      <w:divBdr>
                        <w:top w:val="none" w:sz="0" w:space="0" w:color="auto"/>
                        <w:left w:val="none" w:sz="0" w:space="0" w:color="auto"/>
                        <w:bottom w:val="none" w:sz="0" w:space="0" w:color="auto"/>
                        <w:right w:val="none" w:sz="0" w:space="0" w:color="auto"/>
                      </w:divBdr>
                    </w:div>
                  </w:divsChild>
                </w:div>
                <w:div w:id="1893298923">
                  <w:marLeft w:val="0"/>
                  <w:marRight w:val="0"/>
                  <w:marTop w:val="0"/>
                  <w:marBottom w:val="0"/>
                  <w:divBdr>
                    <w:top w:val="none" w:sz="0" w:space="0" w:color="auto"/>
                    <w:left w:val="none" w:sz="0" w:space="0" w:color="auto"/>
                    <w:bottom w:val="none" w:sz="0" w:space="0" w:color="auto"/>
                    <w:right w:val="none" w:sz="0" w:space="0" w:color="auto"/>
                  </w:divBdr>
                  <w:divsChild>
                    <w:div w:id="37779150">
                      <w:marLeft w:val="0"/>
                      <w:marRight w:val="0"/>
                      <w:marTop w:val="0"/>
                      <w:marBottom w:val="0"/>
                      <w:divBdr>
                        <w:top w:val="none" w:sz="0" w:space="0" w:color="auto"/>
                        <w:left w:val="none" w:sz="0" w:space="0" w:color="auto"/>
                        <w:bottom w:val="none" w:sz="0" w:space="0" w:color="auto"/>
                        <w:right w:val="none" w:sz="0" w:space="0" w:color="auto"/>
                      </w:divBdr>
                    </w:div>
                  </w:divsChild>
                </w:div>
                <w:div w:id="1923487765">
                  <w:marLeft w:val="0"/>
                  <w:marRight w:val="0"/>
                  <w:marTop w:val="0"/>
                  <w:marBottom w:val="0"/>
                  <w:divBdr>
                    <w:top w:val="none" w:sz="0" w:space="0" w:color="auto"/>
                    <w:left w:val="none" w:sz="0" w:space="0" w:color="auto"/>
                    <w:bottom w:val="none" w:sz="0" w:space="0" w:color="auto"/>
                    <w:right w:val="none" w:sz="0" w:space="0" w:color="auto"/>
                  </w:divBdr>
                  <w:divsChild>
                    <w:div w:id="442068726">
                      <w:marLeft w:val="0"/>
                      <w:marRight w:val="0"/>
                      <w:marTop w:val="0"/>
                      <w:marBottom w:val="0"/>
                      <w:divBdr>
                        <w:top w:val="none" w:sz="0" w:space="0" w:color="auto"/>
                        <w:left w:val="none" w:sz="0" w:space="0" w:color="auto"/>
                        <w:bottom w:val="none" w:sz="0" w:space="0" w:color="auto"/>
                        <w:right w:val="none" w:sz="0" w:space="0" w:color="auto"/>
                      </w:divBdr>
                    </w:div>
                  </w:divsChild>
                </w:div>
                <w:div w:id="1959986149">
                  <w:marLeft w:val="0"/>
                  <w:marRight w:val="0"/>
                  <w:marTop w:val="0"/>
                  <w:marBottom w:val="0"/>
                  <w:divBdr>
                    <w:top w:val="none" w:sz="0" w:space="0" w:color="auto"/>
                    <w:left w:val="none" w:sz="0" w:space="0" w:color="auto"/>
                    <w:bottom w:val="none" w:sz="0" w:space="0" w:color="auto"/>
                    <w:right w:val="none" w:sz="0" w:space="0" w:color="auto"/>
                  </w:divBdr>
                  <w:divsChild>
                    <w:div w:id="669715193">
                      <w:marLeft w:val="0"/>
                      <w:marRight w:val="0"/>
                      <w:marTop w:val="0"/>
                      <w:marBottom w:val="0"/>
                      <w:divBdr>
                        <w:top w:val="none" w:sz="0" w:space="0" w:color="auto"/>
                        <w:left w:val="none" w:sz="0" w:space="0" w:color="auto"/>
                        <w:bottom w:val="none" w:sz="0" w:space="0" w:color="auto"/>
                        <w:right w:val="none" w:sz="0" w:space="0" w:color="auto"/>
                      </w:divBdr>
                    </w:div>
                  </w:divsChild>
                </w:div>
                <w:div w:id="1963876056">
                  <w:marLeft w:val="0"/>
                  <w:marRight w:val="0"/>
                  <w:marTop w:val="0"/>
                  <w:marBottom w:val="0"/>
                  <w:divBdr>
                    <w:top w:val="none" w:sz="0" w:space="0" w:color="auto"/>
                    <w:left w:val="none" w:sz="0" w:space="0" w:color="auto"/>
                    <w:bottom w:val="none" w:sz="0" w:space="0" w:color="auto"/>
                    <w:right w:val="none" w:sz="0" w:space="0" w:color="auto"/>
                  </w:divBdr>
                  <w:divsChild>
                    <w:div w:id="583298275">
                      <w:marLeft w:val="0"/>
                      <w:marRight w:val="0"/>
                      <w:marTop w:val="0"/>
                      <w:marBottom w:val="0"/>
                      <w:divBdr>
                        <w:top w:val="none" w:sz="0" w:space="0" w:color="auto"/>
                        <w:left w:val="none" w:sz="0" w:space="0" w:color="auto"/>
                        <w:bottom w:val="none" w:sz="0" w:space="0" w:color="auto"/>
                        <w:right w:val="none" w:sz="0" w:space="0" w:color="auto"/>
                      </w:divBdr>
                    </w:div>
                  </w:divsChild>
                </w:div>
                <w:div w:id="2004968738">
                  <w:marLeft w:val="0"/>
                  <w:marRight w:val="0"/>
                  <w:marTop w:val="0"/>
                  <w:marBottom w:val="0"/>
                  <w:divBdr>
                    <w:top w:val="none" w:sz="0" w:space="0" w:color="auto"/>
                    <w:left w:val="none" w:sz="0" w:space="0" w:color="auto"/>
                    <w:bottom w:val="none" w:sz="0" w:space="0" w:color="auto"/>
                    <w:right w:val="none" w:sz="0" w:space="0" w:color="auto"/>
                  </w:divBdr>
                  <w:divsChild>
                    <w:div w:id="581766351">
                      <w:marLeft w:val="0"/>
                      <w:marRight w:val="0"/>
                      <w:marTop w:val="0"/>
                      <w:marBottom w:val="0"/>
                      <w:divBdr>
                        <w:top w:val="none" w:sz="0" w:space="0" w:color="auto"/>
                        <w:left w:val="none" w:sz="0" w:space="0" w:color="auto"/>
                        <w:bottom w:val="none" w:sz="0" w:space="0" w:color="auto"/>
                        <w:right w:val="none" w:sz="0" w:space="0" w:color="auto"/>
                      </w:divBdr>
                    </w:div>
                  </w:divsChild>
                </w:div>
                <w:div w:id="2029091312">
                  <w:marLeft w:val="0"/>
                  <w:marRight w:val="0"/>
                  <w:marTop w:val="0"/>
                  <w:marBottom w:val="0"/>
                  <w:divBdr>
                    <w:top w:val="none" w:sz="0" w:space="0" w:color="auto"/>
                    <w:left w:val="none" w:sz="0" w:space="0" w:color="auto"/>
                    <w:bottom w:val="none" w:sz="0" w:space="0" w:color="auto"/>
                    <w:right w:val="none" w:sz="0" w:space="0" w:color="auto"/>
                  </w:divBdr>
                  <w:divsChild>
                    <w:div w:id="1506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21508443">
      <w:bodyDiv w:val="1"/>
      <w:marLeft w:val="0"/>
      <w:marRight w:val="0"/>
      <w:marTop w:val="0"/>
      <w:marBottom w:val="0"/>
      <w:divBdr>
        <w:top w:val="none" w:sz="0" w:space="0" w:color="auto"/>
        <w:left w:val="none" w:sz="0" w:space="0" w:color="auto"/>
        <w:bottom w:val="none" w:sz="0" w:space="0" w:color="auto"/>
        <w:right w:val="none" w:sz="0" w:space="0" w:color="auto"/>
      </w:divBdr>
      <w:divsChild>
        <w:div w:id="109975565">
          <w:marLeft w:val="0"/>
          <w:marRight w:val="0"/>
          <w:marTop w:val="0"/>
          <w:marBottom w:val="0"/>
          <w:divBdr>
            <w:top w:val="none" w:sz="0" w:space="0" w:color="auto"/>
            <w:left w:val="none" w:sz="0" w:space="0" w:color="auto"/>
            <w:bottom w:val="none" w:sz="0" w:space="0" w:color="auto"/>
            <w:right w:val="none" w:sz="0" w:space="0" w:color="auto"/>
          </w:divBdr>
        </w:div>
      </w:divsChild>
    </w:div>
    <w:div w:id="849754801">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8">
          <w:marLeft w:val="720"/>
          <w:marRight w:val="0"/>
          <w:marTop w:val="0"/>
          <w:marBottom w:val="0"/>
          <w:divBdr>
            <w:top w:val="none" w:sz="0" w:space="0" w:color="auto"/>
            <w:left w:val="none" w:sz="0" w:space="0" w:color="auto"/>
            <w:bottom w:val="none" w:sz="0" w:space="0" w:color="auto"/>
            <w:right w:val="none" w:sz="0" w:space="0" w:color="auto"/>
          </w:divBdr>
        </w:div>
      </w:divsChild>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sChild>
        <w:div w:id="1784424664">
          <w:marLeft w:val="0"/>
          <w:marRight w:val="0"/>
          <w:marTop w:val="0"/>
          <w:marBottom w:val="0"/>
          <w:divBdr>
            <w:top w:val="none" w:sz="0" w:space="0" w:color="auto"/>
            <w:left w:val="none" w:sz="0" w:space="0" w:color="auto"/>
            <w:bottom w:val="none" w:sz="0" w:space="0" w:color="auto"/>
            <w:right w:val="none" w:sz="0" w:space="0" w:color="auto"/>
          </w:divBdr>
        </w:div>
        <w:div w:id="2070571153">
          <w:marLeft w:val="0"/>
          <w:marRight w:val="0"/>
          <w:marTop w:val="0"/>
          <w:marBottom w:val="0"/>
          <w:divBdr>
            <w:top w:val="none" w:sz="0" w:space="0" w:color="auto"/>
            <w:left w:val="none" w:sz="0" w:space="0" w:color="auto"/>
            <w:bottom w:val="none" w:sz="0" w:space="0" w:color="auto"/>
            <w:right w:val="none" w:sz="0" w:space="0" w:color="auto"/>
          </w:divBdr>
        </w:div>
        <w:div w:id="2143423989">
          <w:marLeft w:val="0"/>
          <w:marRight w:val="0"/>
          <w:marTop w:val="0"/>
          <w:marBottom w:val="0"/>
          <w:divBdr>
            <w:top w:val="none" w:sz="0" w:space="0" w:color="auto"/>
            <w:left w:val="none" w:sz="0" w:space="0" w:color="auto"/>
            <w:bottom w:val="none" w:sz="0" w:space="0" w:color="auto"/>
            <w:right w:val="none" w:sz="0" w:space="0" w:color="auto"/>
          </w:divBdr>
          <w:divsChild>
            <w:div w:id="1526089566">
              <w:marLeft w:val="-75"/>
              <w:marRight w:val="0"/>
              <w:marTop w:val="30"/>
              <w:marBottom w:val="30"/>
              <w:divBdr>
                <w:top w:val="none" w:sz="0" w:space="0" w:color="auto"/>
                <w:left w:val="none" w:sz="0" w:space="0" w:color="auto"/>
                <w:bottom w:val="none" w:sz="0" w:space="0" w:color="auto"/>
                <w:right w:val="none" w:sz="0" w:space="0" w:color="auto"/>
              </w:divBdr>
              <w:divsChild>
                <w:div w:id="9719659">
                  <w:marLeft w:val="0"/>
                  <w:marRight w:val="0"/>
                  <w:marTop w:val="0"/>
                  <w:marBottom w:val="0"/>
                  <w:divBdr>
                    <w:top w:val="none" w:sz="0" w:space="0" w:color="auto"/>
                    <w:left w:val="none" w:sz="0" w:space="0" w:color="auto"/>
                    <w:bottom w:val="none" w:sz="0" w:space="0" w:color="auto"/>
                    <w:right w:val="none" w:sz="0" w:space="0" w:color="auto"/>
                  </w:divBdr>
                  <w:divsChild>
                    <w:div w:id="81799418">
                      <w:marLeft w:val="0"/>
                      <w:marRight w:val="0"/>
                      <w:marTop w:val="0"/>
                      <w:marBottom w:val="0"/>
                      <w:divBdr>
                        <w:top w:val="none" w:sz="0" w:space="0" w:color="auto"/>
                        <w:left w:val="none" w:sz="0" w:space="0" w:color="auto"/>
                        <w:bottom w:val="none" w:sz="0" w:space="0" w:color="auto"/>
                        <w:right w:val="none" w:sz="0" w:space="0" w:color="auto"/>
                      </w:divBdr>
                    </w:div>
                  </w:divsChild>
                </w:div>
                <w:div w:id="89736850">
                  <w:marLeft w:val="0"/>
                  <w:marRight w:val="0"/>
                  <w:marTop w:val="0"/>
                  <w:marBottom w:val="0"/>
                  <w:divBdr>
                    <w:top w:val="none" w:sz="0" w:space="0" w:color="auto"/>
                    <w:left w:val="none" w:sz="0" w:space="0" w:color="auto"/>
                    <w:bottom w:val="none" w:sz="0" w:space="0" w:color="auto"/>
                    <w:right w:val="none" w:sz="0" w:space="0" w:color="auto"/>
                  </w:divBdr>
                  <w:divsChild>
                    <w:div w:id="555969267">
                      <w:marLeft w:val="0"/>
                      <w:marRight w:val="0"/>
                      <w:marTop w:val="0"/>
                      <w:marBottom w:val="0"/>
                      <w:divBdr>
                        <w:top w:val="none" w:sz="0" w:space="0" w:color="auto"/>
                        <w:left w:val="none" w:sz="0" w:space="0" w:color="auto"/>
                        <w:bottom w:val="none" w:sz="0" w:space="0" w:color="auto"/>
                        <w:right w:val="none" w:sz="0" w:space="0" w:color="auto"/>
                      </w:divBdr>
                    </w:div>
                  </w:divsChild>
                </w:div>
                <w:div w:id="92437546">
                  <w:marLeft w:val="0"/>
                  <w:marRight w:val="0"/>
                  <w:marTop w:val="0"/>
                  <w:marBottom w:val="0"/>
                  <w:divBdr>
                    <w:top w:val="none" w:sz="0" w:space="0" w:color="auto"/>
                    <w:left w:val="none" w:sz="0" w:space="0" w:color="auto"/>
                    <w:bottom w:val="none" w:sz="0" w:space="0" w:color="auto"/>
                    <w:right w:val="none" w:sz="0" w:space="0" w:color="auto"/>
                  </w:divBdr>
                  <w:divsChild>
                    <w:div w:id="86466633">
                      <w:marLeft w:val="0"/>
                      <w:marRight w:val="0"/>
                      <w:marTop w:val="0"/>
                      <w:marBottom w:val="0"/>
                      <w:divBdr>
                        <w:top w:val="none" w:sz="0" w:space="0" w:color="auto"/>
                        <w:left w:val="none" w:sz="0" w:space="0" w:color="auto"/>
                        <w:bottom w:val="none" w:sz="0" w:space="0" w:color="auto"/>
                        <w:right w:val="none" w:sz="0" w:space="0" w:color="auto"/>
                      </w:divBdr>
                    </w:div>
                  </w:divsChild>
                </w:div>
                <w:div w:id="304509858">
                  <w:marLeft w:val="0"/>
                  <w:marRight w:val="0"/>
                  <w:marTop w:val="0"/>
                  <w:marBottom w:val="0"/>
                  <w:divBdr>
                    <w:top w:val="none" w:sz="0" w:space="0" w:color="auto"/>
                    <w:left w:val="none" w:sz="0" w:space="0" w:color="auto"/>
                    <w:bottom w:val="none" w:sz="0" w:space="0" w:color="auto"/>
                    <w:right w:val="none" w:sz="0" w:space="0" w:color="auto"/>
                  </w:divBdr>
                  <w:divsChild>
                    <w:div w:id="85658025">
                      <w:marLeft w:val="0"/>
                      <w:marRight w:val="0"/>
                      <w:marTop w:val="0"/>
                      <w:marBottom w:val="0"/>
                      <w:divBdr>
                        <w:top w:val="none" w:sz="0" w:space="0" w:color="auto"/>
                        <w:left w:val="none" w:sz="0" w:space="0" w:color="auto"/>
                        <w:bottom w:val="none" w:sz="0" w:space="0" w:color="auto"/>
                        <w:right w:val="none" w:sz="0" w:space="0" w:color="auto"/>
                      </w:divBdr>
                    </w:div>
                  </w:divsChild>
                </w:div>
                <w:div w:id="382680452">
                  <w:marLeft w:val="0"/>
                  <w:marRight w:val="0"/>
                  <w:marTop w:val="0"/>
                  <w:marBottom w:val="0"/>
                  <w:divBdr>
                    <w:top w:val="none" w:sz="0" w:space="0" w:color="auto"/>
                    <w:left w:val="none" w:sz="0" w:space="0" w:color="auto"/>
                    <w:bottom w:val="none" w:sz="0" w:space="0" w:color="auto"/>
                    <w:right w:val="none" w:sz="0" w:space="0" w:color="auto"/>
                  </w:divBdr>
                  <w:divsChild>
                    <w:div w:id="898322902">
                      <w:marLeft w:val="0"/>
                      <w:marRight w:val="0"/>
                      <w:marTop w:val="0"/>
                      <w:marBottom w:val="0"/>
                      <w:divBdr>
                        <w:top w:val="none" w:sz="0" w:space="0" w:color="auto"/>
                        <w:left w:val="none" w:sz="0" w:space="0" w:color="auto"/>
                        <w:bottom w:val="none" w:sz="0" w:space="0" w:color="auto"/>
                        <w:right w:val="none" w:sz="0" w:space="0" w:color="auto"/>
                      </w:divBdr>
                    </w:div>
                  </w:divsChild>
                </w:div>
                <w:div w:id="495996311">
                  <w:marLeft w:val="0"/>
                  <w:marRight w:val="0"/>
                  <w:marTop w:val="0"/>
                  <w:marBottom w:val="0"/>
                  <w:divBdr>
                    <w:top w:val="none" w:sz="0" w:space="0" w:color="auto"/>
                    <w:left w:val="none" w:sz="0" w:space="0" w:color="auto"/>
                    <w:bottom w:val="none" w:sz="0" w:space="0" w:color="auto"/>
                    <w:right w:val="none" w:sz="0" w:space="0" w:color="auto"/>
                  </w:divBdr>
                  <w:divsChild>
                    <w:div w:id="2021660224">
                      <w:marLeft w:val="0"/>
                      <w:marRight w:val="0"/>
                      <w:marTop w:val="0"/>
                      <w:marBottom w:val="0"/>
                      <w:divBdr>
                        <w:top w:val="none" w:sz="0" w:space="0" w:color="auto"/>
                        <w:left w:val="none" w:sz="0" w:space="0" w:color="auto"/>
                        <w:bottom w:val="none" w:sz="0" w:space="0" w:color="auto"/>
                        <w:right w:val="none" w:sz="0" w:space="0" w:color="auto"/>
                      </w:divBdr>
                    </w:div>
                  </w:divsChild>
                </w:div>
                <w:div w:id="705642556">
                  <w:marLeft w:val="0"/>
                  <w:marRight w:val="0"/>
                  <w:marTop w:val="0"/>
                  <w:marBottom w:val="0"/>
                  <w:divBdr>
                    <w:top w:val="none" w:sz="0" w:space="0" w:color="auto"/>
                    <w:left w:val="none" w:sz="0" w:space="0" w:color="auto"/>
                    <w:bottom w:val="none" w:sz="0" w:space="0" w:color="auto"/>
                    <w:right w:val="none" w:sz="0" w:space="0" w:color="auto"/>
                  </w:divBdr>
                  <w:divsChild>
                    <w:div w:id="1645937215">
                      <w:marLeft w:val="0"/>
                      <w:marRight w:val="0"/>
                      <w:marTop w:val="0"/>
                      <w:marBottom w:val="0"/>
                      <w:divBdr>
                        <w:top w:val="none" w:sz="0" w:space="0" w:color="auto"/>
                        <w:left w:val="none" w:sz="0" w:space="0" w:color="auto"/>
                        <w:bottom w:val="none" w:sz="0" w:space="0" w:color="auto"/>
                        <w:right w:val="none" w:sz="0" w:space="0" w:color="auto"/>
                      </w:divBdr>
                    </w:div>
                  </w:divsChild>
                </w:div>
                <w:div w:id="993023637">
                  <w:marLeft w:val="0"/>
                  <w:marRight w:val="0"/>
                  <w:marTop w:val="0"/>
                  <w:marBottom w:val="0"/>
                  <w:divBdr>
                    <w:top w:val="none" w:sz="0" w:space="0" w:color="auto"/>
                    <w:left w:val="none" w:sz="0" w:space="0" w:color="auto"/>
                    <w:bottom w:val="none" w:sz="0" w:space="0" w:color="auto"/>
                    <w:right w:val="none" w:sz="0" w:space="0" w:color="auto"/>
                  </w:divBdr>
                  <w:divsChild>
                    <w:div w:id="1893030890">
                      <w:marLeft w:val="0"/>
                      <w:marRight w:val="0"/>
                      <w:marTop w:val="0"/>
                      <w:marBottom w:val="0"/>
                      <w:divBdr>
                        <w:top w:val="none" w:sz="0" w:space="0" w:color="auto"/>
                        <w:left w:val="none" w:sz="0" w:space="0" w:color="auto"/>
                        <w:bottom w:val="none" w:sz="0" w:space="0" w:color="auto"/>
                        <w:right w:val="none" w:sz="0" w:space="0" w:color="auto"/>
                      </w:divBdr>
                    </w:div>
                  </w:divsChild>
                </w:div>
                <w:div w:id="1019818824">
                  <w:marLeft w:val="0"/>
                  <w:marRight w:val="0"/>
                  <w:marTop w:val="0"/>
                  <w:marBottom w:val="0"/>
                  <w:divBdr>
                    <w:top w:val="none" w:sz="0" w:space="0" w:color="auto"/>
                    <w:left w:val="none" w:sz="0" w:space="0" w:color="auto"/>
                    <w:bottom w:val="none" w:sz="0" w:space="0" w:color="auto"/>
                    <w:right w:val="none" w:sz="0" w:space="0" w:color="auto"/>
                  </w:divBdr>
                  <w:divsChild>
                    <w:div w:id="133378456">
                      <w:marLeft w:val="0"/>
                      <w:marRight w:val="0"/>
                      <w:marTop w:val="0"/>
                      <w:marBottom w:val="0"/>
                      <w:divBdr>
                        <w:top w:val="none" w:sz="0" w:space="0" w:color="auto"/>
                        <w:left w:val="none" w:sz="0" w:space="0" w:color="auto"/>
                        <w:bottom w:val="none" w:sz="0" w:space="0" w:color="auto"/>
                        <w:right w:val="none" w:sz="0" w:space="0" w:color="auto"/>
                      </w:divBdr>
                    </w:div>
                  </w:divsChild>
                </w:div>
                <w:div w:id="1125345672">
                  <w:marLeft w:val="0"/>
                  <w:marRight w:val="0"/>
                  <w:marTop w:val="0"/>
                  <w:marBottom w:val="0"/>
                  <w:divBdr>
                    <w:top w:val="none" w:sz="0" w:space="0" w:color="auto"/>
                    <w:left w:val="none" w:sz="0" w:space="0" w:color="auto"/>
                    <w:bottom w:val="none" w:sz="0" w:space="0" w:color="auto"/>
                    <w:right w:val="none" w:sz="0" w:space="0" w:color="auto"/>
                  </w:divBdr>
                  <w:divsChild>
                    <w:div w:id="1550148720">
                      <w:marLeft w:val="0"/>
                      <w:marRight w:val="0"/>
                      <w:marTop w:val="0"/>
                      <w:marBottom w:val="0"/>
                      <w:divBdr>
                        <w:top w:val="none" w:sz="0" w:space="0" w:color="auto"/>
                        <w:left w:val="none" w:sz="0" w:space="0" w:color="auto"/>
                        <w:bottom w:val="none" w:sz="0" w:space="0" w:color="auto"/>
                        <w:right w:val="none" w:sz="0" w:space="0" w:color="auto"/>
                      </w:divBdr>
                    </w:div>
                  </w:divsChild>
                </w:div>
                <w:div w:id="1208373147">
                  <w:marLeft w:val="0"/>
                  <w:marRight w:val="0"/>
                  <w:marTop w:val="0"/>
                  <w:marBottom w:val="0"/>
                  <w:divBdr>
                    <w:top w:val="none" w:sz="0" w:space="0" w:color="auto"/>
                    <w:left w:val="none" w:sz="0" w:space="0" w:color="auto"/>
                    <w:bottom w:val="none" w:sz="0" w:space="0" w:color="auto"/>
                    <w:right w:val="none" w:sz="0" w:space="0" w:color="auto"/>
                  </w:divBdr>
                  <w:divsChild>
                    <w:div w:id="1821771838">
                      <w:marLeft w:val="0"/>
                      <w:marRight w:val="0"/>
                      <w:marTop w:val="0"/>
                      <w:marBottom w:val="0"/>
                      <w:divBdr>
                        <w:top w:val="none" w:sz="0" w:space="0" w:color="auto"/>
                        <w:left w:val="none" w:sz="0" w:space="0" w:color="auto"/>
                        <w:bottom w:val="none" w:sz="0" w:space="0" w:color="auto"/>
                        <w:right w:val="none" w:sz="0" w:space="0" w:color="auto"/>
                      </w:divBdr>
                    </w:div>
                  </w:divsChild>
                </w:div>
                <w:div w:id="1231649300">
                  <w:marLeft w:val="0"/>
                  <w:marRight w:val="0"/>
                  <w:marTop w:val="0"/>
                  <w:marBottom w:val="0"/>
                  <w:divBdr>
                    <w:top w:val="none" w:sz="0" w:space="0" w:color="auto"/>
                    <w:left w:val="none" w:sz="0" w:space="0" w:color="auto"/>
                    <w:bottom w:val="none" w:sz="0" w:space="0" w:color="auto"/>
                    <w:right w:val="none" w:sz="0" w:space="0" w:color="auto"/>
                  </w:divBdr>
                  <w:divsChild>
                    <w:div w:id="1183011544">
                      <w:marLeft w:val="0"/>
                      <w:marRight w:val="0"/>
                      <w:marTop w:val="0"/>
                      <w:marBottom w:val="0"/>
                      <w:divBdr>
                        <w:top w:val="none" w:sz="0" w:space="0" w:color="auto"/>
                        <w:left w:val="none" w:sz="0" w:space="0" w:color="auto"/>
                        <w:bottom w:val="none" w:sz="0" w:space="0" w:color="auto"/>
                        <w:right w:val="none" w:sz="0" w:space="0" w:color="auto"/>
                      </w:divBdr>
                    </w:div>
                  </w:divsChild>
                </w:div>
                <w:div w:id="1371612672">
                  <w:marLeft w:val="0"/>
                  <w:marRight w:val="0"/>
                  <w:marTop w:val="0"/>
                  <w:marBottom w:val="0"/>
                  <w:divBdr>
                    <w:top w:val="none" w:sz="0" w:space="0" w:color="auto"/>
                    <w:left w:val="none" w:sz="0" w:space="0" w:color="auto"/>
                    <w:bottom w:val="none" w:sz="0" w:space="0" w:color="auto"/>
                    <w:right w:val="none" w:sz="0" w:space="0" w:color="auto"/>
                  </w:divBdr>
                  <w:divsChild>
                    <w:div w:id="1889796495">
                      <w:marLeft w:val="0"/>
                      <w:marRight w:val="0"/>
                      <w:marTop w:val="0"/>
                      <w:marBottom w:val="0"/>
                      <w:divBdr>
                        <w:top w:val="none" w:sz="0" w:space="0" w:color="auto"/>
                        <w:left w:val="none" w:sz="0" w:space="0" w:color="auto"/>
                        <w:bottom w:val="none" w:sz="0" w:space="0" w:color="auto"/>
                        <w:right w:val="none" w:sz="0" w:space="0" w:color="auto"/>
                      </w:divBdr>
                    </w:div>
                  </w:divsChild>
                </w:div>
                <w:div w:id="1600403599">
                  <w:marLeft w:val="0"/>
                  <w:marRight w:val="0"/>
                  <w:marTop w:val="0"/>
                  <w:marBottom w:val="0"/>
                  <w:divBdr>
                    <w:top w:val="none" w:sz="0" w:space="0" w:color="auto"/>
                    <w:left w:val="none" w:sz="0" w:space="0" w:color="auto"/>
                    <w:bottom w:val="none" w:sz="0" w:space="0" w:color="auto"/>
                    <w:right w:val="none" w:sz="0" w:space="0" w:color="auto"/>
                  </w:divBdr>
                  <w:divsChild>
                    <w:div w:id="1384599597">
                      <w:marLeft w:val="0"/>
                      <w:marRight w:val="0"/>
                      <w:marTop w:val="0"/>
                      <w:marBottom w:val="0"/>
                      <w:divBdr>
                        <w:top w:val="none" w:sz="0" w:space="0" w:color="auto"/>
                        <w:left w:val="none" w:sz="0" w:space="0" w:color="auto"/>
                        <w:bottom w:val="none" w:sz="0" w:space="0" w:color="auto"/>
                        <w:right w:val="none" w:sz="0" w:space="0" w:color="auto"/>
                      </w:divBdr>
                    </w:div>
                  </w:divsChild>
                </w:div>
                <w:div w:id="1704359910">
                  <w:marLeft w:val="0"/>
                  <w:marRight w:val="0"/>
                  <w:marTop w:val="0"/>
                  <w:marBottom w:val="0"/>
                  <w:divBdr>
                    <w:top w:val="none" w:sz="0" w:space="0" w:color="auto"/>
                    <w:left w:val="none" w:sz="0" w:space="0" w:color="auto"/>
                    <w:bottom w:val="none" w:sz="0" w:space="0" w:color="auto"/>
                    <w:right w:val="none" w:sz="0" w:space="0" w:color="auto"/>
                  </w:divBdr>
                  <w:divsChild>
                    <w:div w:id="317653682">
                      <w:marLeft w:val="0"/>
                      <w:marRight w:val="0"/>
                      <w:marTop w:val="0"/>
                      <w:marBottom w:val="0"/>
                      <w:divBdr>
                        <w:top w:val="none" w:sz="0" w:space="0" w:color="auto"/>
                        <w:left w:val="none" w:sz="0" w:space="0" w:color="auto"/>
                        <w:bottom w:val="none" w:sz="0" w:space="0" w:color="auto"/>
                        <w:right w:val="none" w:sz="0" w:space="0" w:color="auto"/>
                      </w:divBdr>
                    </w:div>
                  </w:divsChild>
                </w:div>
                <w:div w:id="1734233660">
                  <w:marLeft w:val="0"/>
                  <w:marRight w:val="0"/>
                  <w:marTop w:val="0"/>
                  <w:marBottom w:val="0"/>
                  <w:divBdr>
                    <w:top w:val="none" w:sz="0" w:space="0" w:color="auto"/>
                    <w:left w:val="none" w:sz="0" w:space="0" w:color="auto"/>
                    <w:bottom w:val="none" w:sz="0" w:space="0" w:color="auto"/>
                    <w:right w:val="none" w:sz="0" w:space="0" w:color="auto"/>
                  </w:divBdr>
                  <w:divsChild>
                    <w:div w:id="1796286950">
                      <w:marLeft w:val="0"/>
                      <w:marRight w:val="0"/>
                      <w:marTop w:val="0"/>
                      <w:marBottom w:val="0"/>
                      <w:divBdr>
                        <w:top w:val="none" w:sz="0" w:space="0" w:color="auto"/>
                        <w:left w:val="none" w:sz="0" w:space="0" w:color="auto"/>
                        <w:bottom w:val="none" w:sz="0" w:space="0" w:color="auto"/>
                        <w:right w:val="none" w:sz="0" w:space="0" w:color="auto"/>
                      </w:divBdr>
                    </w:div>
                  </w:divsChild>
                </w:div>
                <w:div w:id="1756900303">
                  <w:marLeft w:val="0"/>
                  <w:marRight w:val="0"/>
                  <w:marTop w:val="0"/>
                  <w:marBottom w:val="0"/>
                  <w:divBdr>
                    <w:top w:val="none" w:sz="0" w:space="0" w:color="auto"/>
                    <w:left w:val="none" w:sz="0" w:space="0" w:color="auto"/>
                    <w:bottom w:val="none" w:sz="0" w:space="0" w:color="auto"/>
                    <w:right w:val="none" w:sz="0" w:space="0" w:color="auto"/>
                  </w:divBdr>
                  <w:divsChild>
                    <w:div w:id="1943563494">
                      <w:marLeft w:val="0"/>
                      <w:marRight w:val="0"/>
                      <w:marTop w:val="0"/>
                      <w:marBottom w:val="0"/>
                      <w:divBdr>
                        <w:top w:val="none" w:sz="0" w:space="0" w:color="auto"/>
                        <w:left w:val="none" w:sz="0" w:space="0" w:color="auto"/>
                        <w:bottom w:val="none" w:sz="0" w:space="0" w:color="auto"/>
                        <w:right w:val="none" w:sz="0" w:space="0" w:color="auto"/>
                      </w:divBdr>
                    </w:div>
                  </w:divsChild>
                </w:div>
                <w:div w:id="1826891865">
                  <w:marLeft w:val="0"/>
                  <w:marRight w:val="0"/>
                  <w:marTop w:val="0"/>
                  <w:marBottom w:val="0"/>
                  <w:divBdr>
                    <w:top w:val="none" w:sz="0" w:space="0" w:color="auto"/>
                    <w:left w:val="none" w:sz="0" w:space="0" w:color="auto"/>
                    <w:bottom w:val="none" w:sz="0" w:space="0" w:color="auto"/>
                    <w:right w:val="none" w:sz="0" w:space="0" w:color="auto"/>
                  </w:divBdr>
                  <w:divsChild>
                    <w:div w:id="896748846">
                      <w:marLeft w:val="0"/>
                      <w:marRight w:val="0"/>
                      <w:marTop w:val="0"/>
                      <w:marBottom w:val="0"/>
                      <w:divBdr>
                        <w:top w:val="none" w:sz="0" w:space="0" w:color="auto"/>
                        <w:left w:val="none" w:sz="0" w:space="0" w:color="auto"/>
                        <w:bottom w:val="none" w:sz="0" w:space="0" w:color="auto"/>
                        <w:right w:val="none" w:sz="0" w:space="0" w:color="auto"/>
                      </w:divBdr>
                    </w:div>
                  </w:divsChild>
                </w:div>
                <w:div w:id="1841970761">
                  <w:marLeft w:val="0"/>
                  <w:marRight w:val="0"/>
                  <w:marTop w:val="0"/>
                  <w:marBottom w:val="0"/>
                  <w:divBdr>
                    <w:top w:val="none" w:sz="0" w:space="0" w:color="auto"/>
                    <w:left w:val="none" w:sz="0" w:space="0" w:color="auto"/>
                    <w:bottom w:val="none" w:sz="0" w:space="0" w:color="auto"/>
                    <w:right w:val="none" w:sz="0" w:space="0" w:color="auto"/>
                  </w:divBdr>
                  <w:divsChild>
                    <w:div w:id="1206603684">
                      <w:marLeft w:val="0"/>
                      <w:marRight w:val="0"/>
                      <w:marTop w:val="0"/>
                      <w:marBottom w:val="0"/>
                      <w:divBdr>
                        <w:top w:val="none" w:sz="0" w:space="0" w:color="auto"/>
                        <w:left w:val="none" w:sz="0" w:space="0" w:color="auto"/>
                        <w:bottom w:val="none" w:sz="0" w:space="0" w:color="auto"/>
                        <w:right w:val="none" w:sz="0" w:space="0" w:color="auto"/>
                      </w:divBdr>
                    </w:div>
                  </w:divsChild>
                </w:div>
                <w:div w:id="1977637337">
                  <w:marLeft w:val="0"/>
                  <w:marRight w:val="0"/>
                  <w:marTop w:val="0"/>
                  <w:marBottom w:val="0"/>
                  <w:divBdr>
                    <w:top w:val="none" w:sz="0" w:space="0" w:color="auto"/>
                    <w:left w:val="none" w:sz="0" w:space="0" w:color="auto"/>
                    <w:bottom w:val="none" w:sz="0" w:space="0" w:color="auto"/>
                    <w:right w:val="none" w:sz="0" w:space="0" w:color="auto"/>
                  </w:divBdr>
                  <w:divsChild>
                    <w:div w:id="1053233036">
                      <w:marLeft w:val="0"/>
                      <w:marRight w:val="0"/>
                      <w:marTop w:val="0"/>
                      <w:marBottom w:val="0"/>
                      <w:divBdr>
                        <w:top w:val="none" w:sz="0" w:space="0" w:color="auto"/>
                        <w:left w:val="none" w:sz="0" w:space="0" w:color="auto"/>
                        <w:bottom w:val="none" w:sz="0" w:space="0" w:color="auto"/>
                        <w:right w:val="none" w:sz="0" w:space="0" w:color="auto"/>
                      </w:divBdr>
                    </w:div>
                  </w:divsChild>
                </w:div>
                <w:div w:id="1979874826">
                  <w:marLeft w:val="0"/>
                  <w:marRight w:val="0"/>
                  <w:marTop w:val="0"/>
                  <w:marBottom w:val="0"/>
                  <w:divBdr>
                    <w:top w:val="none" w:sz="0" w:space="0" w:color="auto"/>
                    <w:left w:val="none" w:sz="0" w:space="0" w:color="auto"/>
                    <w:bottom w:val="none" w:sz="0" w:space="0" w:color="auto"/>
                    <w:right w:val="none" w:sz="0" w:space="0" w:color="auto"/>
                  </w:divBdr>
                  <w:divsChild>
                    <w:div w:id="1572229692">
                      <w:marLeft w:val="0"/>
                      <w:marRight w:val="0"/>
                      <w:marTop w:val="0"/>
                      <w:marBottom w:val="0"/>
                      <w:divBdr>
                        <w:top w:val="none" w:sz="0" w:space="0" w:color="auto"/>
                        <w:left w:val="none" w:sz="0" w:space="0" w:color="auto"/>
                        <w:bottom w:val="none" w:sz="0" w:space="0" w:color="auto"/>
                        <w:right w:val="none" w:sz="0" w:space="0" w:color="auto"/>
                      </w:divBdr>
                    </w:div>
                  </w:divsChild>
                </w:div>
                <w:div w:id="2050690511">
                  <w:marLeft w:val="0"/>
                  <w:marRight w:val="0"/>
                  <w:marTop w:val="0"/>
                  <w:marBottom w:val="0"/>
                  <w:divBdr>
                    <w:top w:val="none" w:sz="0" w:space="0" w:color="auto"/>
                    <w:left w:val="none" w:sz="0" w:space="0" w:color="auto"/>
                    <w:bottom w:val="none" w:sz="0" w:space="0" w:color="auto"/>
                    <w:right w:val="none" w:sz="0" w:space="0" w:color="auto"/>
                  </w:divBdr>
                  <w:divsChild>
                    <w:div w:id="643241295">
                      <w:marLeft w:val="0"/>
                      <w:marRight w:val="0"/>
                      <w:marTop w:val="0"/>
                      <w:marBottom w:val="0"/>
                      <w:divBdr>
                        <w:top w:val="none" w:sz="0" w:space="0" w:color="auto"/>
                        <w:left w:val="none" w:sz="0" w:space="0" w:color="auto"/>
                        <w:bottom w:val="none" w:sz="0" w:space="0" w:color="auto"/>
                        <w:right w:val="none" w:sz="0" w:space="0" w:color="auto"/>
                      </w:divBdr>
                    </w:div>
                    <w:div w:id="680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9219511">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47995445">
      <w:bodyDiv w:val="1"/>
      <w:marLeft w:val="0"/>
      <w:marRight w:val="0"/>
      <w:marTop w:val="0"/>
      <w:marBottom w:val="0"/>
      <w:divBdr>
        <w:top w:val="none" w:sz="0" w:space="0" w:color="auto"/>
        <w:left w:val="none" w:sz="0" w:space="0" w:color="auto"/>
        <w:bottom w:val="none" w:sz="0" w:space="0" w:color="auto"/>
        <w:right w:val="none" w:sz="0" w:space="0" w:color="auto"/>
      </w:divBdr>
    </w:div>
    <w:div w:id="1052774295">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47361143">
      <w:bodyDiv w:val="1"/>
      <w:marLeft w:val="0"/>
      <w:marRight w:val="0"/>
      <w:marTop w:val="0"/>
      <w:marBottom w:val="0"/>
      <w:divBdr>
        <w:top w:val="none" w:sz="0" w:space="0" w:color="auto"/>
        <w:left w:val="none" w:sz="0" w:space="0" w:color="auto"/>
        <w:bottom w:val="none" w:sz="0" w:space="0" w:color="auto"/>
        <w:right w:val="none" w:sz="0" w:space="0" w:color="auto"/>
      </w:divBdr>
      <w:divsChild>
        <w:div w:id="659040214">
          <w:marLeft w:val="0"/>
          <w:marRight w:val="0"/>
          <w:marTop w:val="0"/>
          <w:marBottom w:val="0"/>
          <w:divBdr>
            <w:top w:val="none" w:sz="0" w:space="0" w:color="auto"/>
            <w:left w:val="none" w:sz="0" w:space="0" w:color="auto"/>
            <w:bottom w:val="none" w:sz="0" w:space="0" w:color="auto"/>
            <w:right w:val="none" w:sz="0" w:space="0" w:color="auto"/>
          </w:divBdr>
        </w:div>
      </w:divsChild>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6528">
      <w:bodyDiv w:val="1"/>
      <w:marLeft w:val="0"/>
      <w:marRight w:val="0"/>
      <w:marTop w:val="0"/>
      <w:marBottom w:val="0"/>
      <w:divBdr>
        <w:top w:val="none" w:sz="0" w:space="0" w:color="auto"/>
        <w:left w:val="none" w:sz="0" w:space="0" w:color="auto"/>
        <w:bottom w:val="none" w:sz="0" w:space="0" w:color="auto"/>
        <w:right w:val="none" w:sz="0" w:space="0" w:color="auto"/>
      </w:divBdr>
      <w:divsChild>
        <w:div w:id="1071611668">
          <w:marLeft w:val="0"/>
          <w:marRight w:val="0"/>
          <w:marTop w:val="0"/>
          <w:marBottom w:val="0"/>
          <w:divBdr>
            <w:top w:val="none" w:sz="0" w:space="0" w:color="auto"/>
            <w:left w:val="none" w:sz="0" w:space="0" w:color="auto"/>
            <w:bottom w:val="none" w:sz="0" w:space="0" w:color="auto"/>
            <w:right w:val="none" w:sz="0" w:space="0" w:color="auto"/>
          </w:divBdr>
        </w:div>
      </w:divsChild>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5089577">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1766255">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298797767">
      <w:bodyDiv w:val="1"/>
      <w:marLeft w:val="0"/>
      <w:marRight w:val="0"/>
      <w:marTop w:val="0"/>
      <w:marBottom w:val="0"/>
      <w:divBdr>
        <w:top w:val="none" w:sz="0" w:space="0" w:color="auto"/>
        <w:left w:val="none" w:sz="0" w:space="0" w:color="auto"/>
        <w:bottom w:val="none" w:sz="0" w:space="0" w:color="auto"/>
        <w:right w:val="none" w:sz="0" w:space="0" w:color="auto"/>
      </w:divBdr>
    </w:div>
    <w:div w:id="1307196597">
      <w:bodyDiv w:val="1"/>
      <w:marLeft w:val="0"/>
      <w:marRight w:val="0"/>
      <w:marTop w:val="0"/>
      <w:marBottom w:val="0"/>
      <w:divBdr>
        <w:top w:val="none" w:sz="0" w:space="0" w:color="auto"/>
        <w:left w:val="none" w:sz="0" w:space="0" w:color="auto"/>
        <w:bottom w:val="none" w:sz="0" w:space="0" w:color="auto"/>
        <w:right w:val="none" w:sz="0" w:space="0" w:color="auto"/>
      </w:divBdr>
      <w:divsChild>
        <w:div w:id="171264581">
          <w:marLeft w:val="0"/>
          <w:marRight w:val="0"/>
          <w:marTop w:val="0"/>
          <w:marBottom w:val="0"/>
          <w:divBdr>
            <w:top w:val="none" w:sz="0" w:space="0" w:color="auto"/>
            <w:left w:val="none" w:sz="0" w:space="0" w:color="auto"/>
            <w:bottom w:val="none" w:sz="0" w:space="0" w:color="auto"/>
            <w:right w:val="none" w:sz="0" w:space="0" w:color="auto"/>
          </w:divBdr>
        </w:div>
      </w:divsChild>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69840666">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58073353">
      <w:bodyDiv w:val="1"/>
      <w:marLeft w:val="0"/>
      <w:marRight w:val="0"/>
      <w:marTop w:val="0"/>
      <w:marBottom w:val="0"/>
      <w:divBdr>
        <w:top w:val="none" w:sz="0" w:space="0" w:color="auto"/>
        <w:left w:val="none" w:sz="0" w:space="0" w:color="auto"/>
        <w:bottom w:val="none" w:sz="0" w:space="0" w:color="auto"/>
        <w:right w:val="none" w:sz="0" w:space="0" w:color="auto"/>
      </w:divBdr>
      <w:divsChild>
        <w:div w:id="277303134">
          <w:marLeft w:val="0"/>
          <w:marRight w:val="0"/>
          <w:marTop w:val="0"/>
          <w:marBottom w:val="0"/>
          <w:divBdr>
            <w:top w:val="none" w:sz="0" w:space="0" w:color="auto"/>
            <w:left w:val="none" w:sz="0" w:space="0" w:color="auto"/>
            <w:bottom w:val="none" w:sz="0" w:space="0" w:color="auto"/>
            <w:right w:val="none" w:sz="0" w:space="0" w:color="auto"/>
          </w:divBdr>
        </w:div>
        <w:div w:id="633213439">
          <w:marLeft w:val="0"/>
          <w:marRight w:val="0"/>
          <w:marTop w:val="0"/>
          <w:marBottom w:val="0"/>
          <w:divBdr>
            <w:top w:val="none" w:sz="0" w:space="0" w:color="auto"/>
            <w:left w:val="none" w:sz="0" w:space="0" w:color="auto"/>
            <w:bottom w:val="none" w:sz="0" w:space="0" w:color="auto"/>
            <w:right w:val="none" w:sz="0" w:space="0" w:color="auto"/>
          </w:divBdr>
        </w:div>
        <w:div w:id="1297101661">
          <w:marLeft w:val="0"/>
          <w:marRight w:val="0"/>
          <w:marTop w:val="0"/>
          <w:marBottom w:val="0"/>
          <w:divBdr>
            <w:top w:val="none" w:sz="0" w:space="0" w:color="auto"/>
            <w:left w:val="none" w:sz="0" w:space="0" w:color="auto"/>
            <w:bottom w:val="none" w:sz="0" w:space="0" w:color="auto"/>
            <w:right w:val="none" w:sz="0" w:space="0" w:color="auto"/>
          </w:divBdr>
        </w:div>
        <w:div w:id="1782841386">
          <w:marLeft w:val="0"/>
          <w:marRight w:val="0"/>
          <w:marTop w:val="0"/>
          <w:marBottom w:val="0"/>
          <w:divBdr>
            <w:top w:val="none" w:sz="0" w:space="0" w:color="auto"/>
            <w:left w:val="none" w:sz="0" w:space="0" w:color="auto"/>
            <w:bottom w:val="none" w:sz="0" w:space="0" w:color="auto"/>
            <w:right w:val="none" w:sz="0" w:space="0" w:color="auto"/>
          </w:divBdr>
        </w:div>
      </w:divsChild>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54613544">
      <w:bodyDiv w:val="1"/>
      <w:marLeft w:val="0"/>
      <w:marRight w:val="0"/>
      <w:marTop w:val="0"/>
      <w:marBottom w:val="0"/>
      <w:divBdr>
        <w:top w:val="none" w:sz="0" w:space="0" w:color="auto"/>
        <w:left w:val="none" w:sz="0" w:space="0" w:color="auto"/>
        <w:bottom w:val="none" w:sz="0" w:space="0" w:color="auto"/>
        <w:right w:val="none" w:sz="0" w:space="0" w:color="auto"/>
      </w:divBdr>
      <w:divsChild>
        <w:div w:id="157354938">
          <w:marLeft w:val="0"/>
          <w:marRight w:val="0"/>
          <w:marTop w:val="0"/>
          <w:marBottom w:val="0"/>
          <w:divBdr>
            <w:top w:val="none" w:sz="0" w:space="0" w:color="auto"/>
            <w:left w:val="none" w:sz="0" w:space="0" w:color="auto"/>
            <w:bottom w:val="none" w:sz="0" w:space="0" w:color="auto"/>
            <w:right w:val="none" w:sz="0" w:space="0" w:color="auto"/>
          </w:divBdr>
        </w:div>
        <w:div w:id="1279608746">
          <w:marLeft w:val="0"/>
          <w:marRight w:val="0"/>
          <w:marTop w:val="0"/>
          <w:marBottom w:val="0"/>
          <w:divBdr>
            <w:top w:val="none" w:sz="0" w:space="0" w:color="auto"/>
            <w:left w:val="none" w:sz="0" w:space="0" w:color="auto"/>
            <w:bottom w:val="none" w:sz="0" w:space="0" w:color="auto"/>
            <w:right w:val="none" w:sz="0" w:space="0" w:color="auto"/>
          </w:divBdr>
        </w:div>
        <w:div w:id="1447850185">
          <w:marLeft w:val="0"/>
          <w:marRight w:val="0"/>
          <w:marTop w:val="0"/>
          <w:marBottom w:val="0"/>
          <w:divBdr>
            <w:top w:val="none" w:sz="0" w:space="0" w:color="auto"/>
            <w:left w:val="none" w:sz="0" w:space="0" w:color="auto"/>
            <w:bottom w:val="none" w:sz="0" w:space="0" w:color="auto"/>
            <w:right w:val="none" w:sz="0" w:space="0" w:color="auto"/>
          </w:divBdr>
        </w:div>
        <w:div w:id="1928611614">
          <w:marLeft w:val="0"/>
          <w:marRight w:val="0"/>
          <w:marTop w:val="0"/>
          <w:marBottom w:val="0"/>
          <w:divBdr>
            <w:top w:val="none" w:sz="0" w:space="0" w:color="auto"/>
            <w:left w:val="none" w:sz="0" w:space="0" w:color="auto"/>
            <w:bottom w:val="none" w:sz="0" w:space="0" w:color="auto"/>
            <w:right w:val="none" w:sz="0" w:space="0" w:color="auto"/>
          </w:divBdr>
        </w:div>
        <w:div w:id="2057895968">
          <w:marLeft w:val="0"/>
          <w:marRight w:val="0"/>
          <w:marTop w:val="0"/>
          <w:marBottom w:val="0"/>
          <w:divBdr>
            <w:top w:val="none" w:sz="0" w:space="0" w:color="auto"/>
            <w:left w:val="none" w:sz="0" w:space="0" w:color="auto"/>
            <w:bottom w:val="none" w:sz="0" w:space="0" w:color="auto"/>
            <w:right w:val="none" w:sz="0" w:space="0" w:color="auto"/>
          </w:divBdr>
          <w:divsChild>
            <w:div w:id="1760515498">
              <w:marLeft w:val="-75"/>
              <w:marRight w:val="0"/>
              <w:marTop w:val="30"/>
              <w:marBottom w:val="30"/>
              <w:divBdr>
                <w:top w:val="none" w:sz="0" w:space="0" w:color="auto"/>
                <w:left w:val="none" w:sz="0" w:space="0" w:color="auto"/>
                <w:bottom w:val="none" w:sz="0" w:space="0" w:color="auto"/>
                <w:right w:val="none" w:sz="0" w:space="0" w:color="auto"/>
              </w:divBdr>
              <w:divsChild>
                <w:div w:id="2828597">
                  <w:marLeft w:val="0"/>
                  <w:marRight w:val="0"/>
                  <w:marTop w:val="0"/>
                  <w:marBottom w:val="0"/>
                  <w:divBdr>
                    <w:top w:val="none" w:sz="0" w:space="0" w:color="auto"/>
                    <w:left w:val="none" w:sz="0" w:space="0" w:color="auto"/>
                    <w:bottom w:val="none" w:sz="0" w:space="0" w:color="auto"/>
                    <w:right w:val="none" w:sz="0" w:space="0" w:color="auto"/>
                  </w:divBdr>
                  <w:divsChild>
                    <w:div w:id="693652255">
                      <w:marLeft w:val="0"/>
                      <w:marRight w:val="0"/>
                      <w:marTop w:val="0"/>
                      <w:marBottom w:val="0"/>
                      <w:divBdr>
                        <w:top w:val="none" w:sz="0" w:space="0" w:color="auto"/>
                        <w:left w:val="none" w:sz="0" w:space="0" w:color="auto"/>
                        <w:bottom w:val="none" w:sz="0" w:space="0" w:color="auto"/>
                        <w:right w:val="none" w:sz="0" w:space="0" w:color="auto"/>
                      </w:divBdr>
                    </w:div>
                  </w:divsChild>
                </w:div>
                <w:div w:id="137499299">
                  <w:marLeft w:val="0"/>
                  <w:marRight w:val="0"/>
                  <w:marTop w:val="0"/>
                  <w:marBottom w:val="0"/>
                  <w:divBdr>
                    <w:top w:val="none" w:sz="0" w:space="0" w:color="auto"/>
                    <w:left w:val="none" w:sz="0" w:space="0" w:color="auto"/>
                    <w:bottom w:val="none" w:sz="0" w:space="0" w:color="auto"/>
                    <w:right w:val="none" w:sz="0" w:space="0" w:color="auto"/>
                  </w:divBdr>
                  <w:divsChild>
                    <w:div w:id="574899752">
                      <w:marLeft w:val="0"/>
                      <w:marRight w:val="0"/>
                      <w:marTop w:val="0"/>
                      <w:marBottom w:val="0"/>
                      <w:divBdr>
                        <w:top w:val="none" w:sz="0" w:space="0" w:color="auto"/>
                        <w:left w:val="none" w:sz="0" w:space="0" w:color="auto"/>
                        <w:bottom w:val="none" w:sz="0" w:space="0" w:color="auto"/>
                        <w:right w:val="none" w:sz="0" w:space="0" w:color="auto"/>
                      </w:divBdr>
                    </w:div>
                  </w:divsChild>
                </w:div>
                <w:div w:id="142237767">
                  <w:marLeft w:val="0"/>
                  <w:marRight w:val="0"/>
                  <w:marTop w:val="0"/>
                  <w:marBottom w:val="0"/>
                  <w:divBdr>
                    <w:top w:val="none" w:sz="0" w:space="0" w:color="auto"/>
                    <w:left w:val="none" w:sz="0" w:space="0" w:color="auto"/>
                    <w:bottom w:val="none" w:sz="0" w:space="0" w:color="auto"/>
                    <w:right w:val="none" w:sz="0" w:space="0" w:color="auto"/>
                  </w:divBdr>
                  <w:divsChild>
                    <w:div w:id="224605366">
                      <w:marLeft w:val="0"/>
                      <w:marRight w:val="0"/>
                      <w:marTop w:val="0"/>
                      <w:marBottom w:val="0"/>
                      <w:divBdr>
                        <w:top w:val="none" w:sz="0" w:space="0" w:color="auto"/>
                        <w:left w:val="none" w:sz="0" w:space="0" w:color="auto"/>
                        <w:bottom w:val="none" w:sz="0" w:space="0" w:color="auto"/>
                        <w:right w:val="none" w:sz="0" w:space="0" w:color="auto"/>
                      </w:divBdr>
                    </w:div>
                    <w:div w:id="1121605118">
                      <w:marLeft w:val="0"/>
                      <w:marRight w:val="0"/>
                      <w:marTop w:val="0"/>
                      <w:marBottom w:val="0"/>
                      <w:divBdr>
                        <w:top w:val="none" w:sz="0" w:space="0" w:color="auto"/>
                        <w:left w:val="none" w:sz="0" w:space="0" w:color="auto"/>
                        <w:bottom w:val="none" w:sz="0" w:space="0" w:color="auto"/>
                        <w:right w:val="none" w:sz="0" w:space="0" w:color="auto"/>
                      </w:divBdr>
                    </w:div>
                    <w:div w:id="1809349494">
                      <w:marLeft w:val="0"/>
                      <w:marRight w:val="0"/>
                      <w:marTop w:val="0"/>
                      <w:marBottom w:val="0"/>
                      <w:divBdr>
                        <w:top w:val="none" w:sz="0" w:space="0" w:color="auto"/>
                        <w:left w:val="none" w:sz="0" w:space="0" w:color="auto"/>
                        <w:bottom w:val="none" w:sz="0" w:space="0" w:color="auto"/>
                        <w:right w:val="none" w:sz="0" w:space="0" w:color="auto"/>
                      </w:divBdr>
                    </w:div>
                    <w:div w:id="2018918635">
                      <w:marLeft w:val="0"/>
                      <w:marRight w:val="0"/>
                      <w:marTop w:val="0"/>
                      <w:marBottom w:val="0"/>
                      <w:divBdr>
                        <w:top w:val="none" w:sz="0" w:space="0" w:color="auto"/>
                        <w:left w:val="none" w:sz="0" w:space="0" w:color="auto"/>
                        <w:bottom w:val="none" w:sz="0" w:space="0" w:color="auto"/>
                        <w:right w:val="none" w:sz="0" w:space="0" w:color="auto"/>
                      </w:divBdr>
                    </w:div>
                  </w:divsChild>
                </w:div>
                <w:div w:id="237836464">
                  <w:marLeft w:val="0"/>
                  <w:marRight w:val="0"/>
                  <w:marTop w:val="0"/>
                  <w:marBottom w:val="0"/>
                  <w:divBdr>
                    <w:top w:val="none" w:sz="0" w:space="0" w:color="auto"/>
                    <w:left w:val="none" w:sz="0" w:space="0" w:color="auto"/>
                    <w:bottom w:val="none" w:sz="0" w:space="0" w:color="auto"/>
                    <w:right w:val="none" w:sz="0" w:space="0" w:color="auto"/>
                  </w:divBdr>
                  <w:divsChild>
                    <w:div w:id="916749835">
                      <w:marLeft w:val="0"/>
                      <w:marRight w:val="0"/>
                      <w:marTop w:val="0"/>
                      <w:marBottom w:val="0"/>
                      <w:divBdr>
                        <w:top w:val="none" w:sz="0" w:space="0" w:color="auto"/>
                        <w:left w:val="none" w:sz="0" w:space="0" w:color="auto"/>
                        <w:bottom w:val="none" w:sz="0" w:space="0" w:color="auto"/>
                        <w:right w:val="none" w:sz="0" w:space="0" w:color="auto"/>
                      </w:divBdr>
                    </w:div>
                  </w:divsChild>
                </w:div>
                <w:div w:id="476067255">
                  <w:marLeft w:val="0"/>
                  <w:marRight w:val="0"/>
                  <w:marTop w:val="0"/>
                  <w:marBottom w:val="0"/>
                  <w:divBdr>
                    <w:top w:val="none" w:sz="0" w:space="0" w:color="auto"/>
                    <w:left w:val="none" w:sz="0" w:space="0" w:color="auto"/>
                    <w:bottom w:val="none" w:sz="0" w:space="0" w:color="auto"/>
                    <w:right w:val="none" w:sz="0" w:space="0" w:color="auto"/>
                  </w:divBdr>
                  <w:divsChild>
                    <w:div w:id="1634552981">
                      <w:marLeft w:val="0"/>
                      <w:marRight w:val="0"/>
                      <w:marTop w:val="0"/>
                      <w:marBottom w:val="0"/>
                      <w:divBdr>
                        <w:top w:val="none" w:sz="0" w:space="0" w:color="auto"/>
                        <w:left w:val="none" w:sz="0" w:space="0" w:color="auto"/>
                        <w:bottom w:val="none" w:sz="0" w:space="0" w:color="auto"/>
                        <w:right w:val="none" w:sz="0" w:space="0" w:color="auto"/>
                      </w:divBdr>
                    </w:div>
                  </w:divsChild>
                </w:div>
                <w:div w:id="575632538">
                  <w:marLeft w:val="0"/>
                  <w:marRight w:val="0"/>
                  <w:marTop w:val="0"/>
                  <w:marBottom w:val="0"/>
                  <w:divBdr>
                    <w:top w:val="none" w:sz="0" w:space="0" w:color="auto"/>
                    <w:left w:val="none" w:sz="0" w:space="0" w:color="auto"/>
                    <w:bottom w:val="none" w:sz="0" w:space="0" w:color="auto"/>
                    <w:right w:val="none" w:sz="0" w:space="0" w:color="auto"/>
                  </w:divBdr>
                  <w:divsChild>
                    <w:div w:id="1035741349">
                      <w:marLeft w:val="0"/>
                      <w:marRight w:val="0"/>
                      <w:marTop w:val="0"/>
                      <w:marBottom w:val="0"/>
                      <w:divBdr>
                        <w:top w:val="none" w:sz="0" w:space="0" w:color="auto"/>
                        <w:left w:val="none" w:sz="0" w:space="0" w:color="auto"/>
                        <w:bottom w:val="none" w:sz="0" w:space="0" w:color="auto"/>
                        <w:right w:val="none" w:sz="0" w:space="0" w:color="auto"/>
                      </w:divBdr>
                    </w:div>
                    <w:div w:id="1077629323">
                      <w:marLeft w:val="0"/>
                      <w:marRight w:val="0"/>
                      <w:marTop w:val="0"/>
                      <w:marBottom w:val="0"/>
                      <w:divBdr>
                        <w:top w:val="none" w:sz="0" w:space="0" w:color="auto"/>
                        <w:left w:val="none" w:sz="0" w:space="0" w:color="auto"/>
                        <w:bottom w:val="none" w:sz="0" w:space="0" w:color="auto"/>
                        <w:right w:val="none" w:sz="0" w:space="0" w:color="auto"/>
                      </w:divBdr>
                    </w:div>
                    <w:div w:id="1263874876">
                      <w:marLeft w:val="0"/>
                      <w:marRight w:val="0"/>
                      <w:marTop w:val="0"/>
                      <w:marBottom w:val="0"/>
                      <w:divBdr>
                        <w:top w:val="none" w:sz="0" w:space="0" w:color="auto"/>
                        <w:left w:val="none" w:sz="0" w:space="0" w:color="auto"/>
                        <w:bottom w:val="none" w:sz="0" w:space="0" w:color="auto"/>
                        <w:right w:val="none" w:sz="0" w:space="0" w:color="auto"/>
                      </w:divBdr>
                    </w:div>
                    <w:div w:id="1499539690">
                      <w:marLeft w:val="0"/>
                      <w:marRight w:val="0"/>
                      <w:marTop w:val="0"/>
                      <w:marBottom w:val="0"/>
                      <w:divBdr>
                        <w:top w:val="none" w:sz="0" w:space="0" w:color="auto"/>
                        <w:left w:val="none" w:sz="0" w:space="0" w:color="auto"/>
                        <w:bottom w:val="none" w:sz="0" w:space="0" w:color="auto"/>
                        <w:right w:val="none" w:sz="0" w:space="0" w:color="auto"/>
                      </w:divBdr>
                    </w:div>
                  </w:divsChild>
                </w:div>
                <w:div w:id="629285572">
                  <w:marLeft w:val="0"/>
                  <w:marRight w:val="0"/>
                  <w:marTop w:val="0"/>
                  <w:marBottom w:val="0"/>
                  <w:divBdr>
                    <w:top w:val="none" w:sz="0" w:space="0" w:color="auto"/>
                    <w:left w:val="none" w:sz="0" w:space="0" w:color="auto"/>
                    <w:bottom w:val="none" w:sz="0" w:space="0" w:color="auto"/>
                    <w:right w:val="none" w:sz="0" w:space="0" w:color="auto"/>
                  </w:divBdr>
                  <w:divsChild>
                    <w:div w:id="1490948805">
                      <w:marLeft w:val="0"/>
                      <w:marRight w:val="0"/>
                      <w:marTop w:val="0"/>
                      <w:marBottom w:val="0"/>
                      <w:divBdr>
                        <w:top w:val="none" w:sz="0" w:space="0" w:color="auto"/>
                        <w:left w:val="none" w:sz="0" w:space="0" w:color="auto"/>
                        <w:bottom w:val="none" w:sz="0" w:space="0" w:color="auto"/>
                        <w:right w:val="none" w:sz="0" w:space="0" w:color="auto"/>
                      </w:divBdr>
                    </w:div>
                    <w:div w:id="1548445812">
                      <w:marLeft w:val="0"/>
                      <w:marRight w:val="0"/>
                      <w:marTop w:val="0"/>
                      <w:marBottom w:val="0"/>
                      <w:divBdr>
                        <w:top w:val="none" w:sz="0" w:space="0" w:color="auto"/>
                        <w:left w:val="none" w:sz="0" w:space="0" w:color="auto"/>
                        <w:bottom w:val="none" w:sz="0" w:space="0" w:color="auto"/>
                        <w:right w:val="none" w:sz="0" w:space="0" w:color="auto"/>
                      </w:divBdr>
                    </w:div>
                    <w:div w:id="2114589656">
                      <w:marLeft w:val="0"/>
                      <w:marRight w:val="0"/>
                      <w:marTop w:val="0"/>
                      <w:marBottom w:val="0"/>
                      <w:divBdr>
                        <w:top w:val="none" w:sz="0" w:space="0" w:color="auto"/>
                        <w:left w:val="none" w:sz="0" w:space="0" w:color="auto"/>
                        <w:bottom w:val="none" w:sz="0" w:space="0" w:color="auto"/>
                        <w:right w:val="none" w:sz="0" w:space="0" w:color="auto"/>
                      </w:divBdr>
                    </w:div>
                  </w:divsChild>
                </w:div>
                <w:div w:id="731541008">
                  <w:marLeft w:val="0"/>
                  <w:marRight w:val="0"/>
                  <w:marTop w:val="0"/>
                  <w:marBottom w:val="0"/>
                  <w:divBdr>
                    <w:top w:val="none" w:sz="0" w:space="0" w:color="auto"/>
                    <w:left w:val="none" w:sz="0" w:space="0" w:color="auto"/>
                    <w:bottom w:val="none" w:sz="0" w:space="0" w:color="auto"/>
                    <w:right w:val="none" w:sz="0" w:space="0" w:color="auto"/>
                  </w:divBdr>
                  <w:divsChild>
                    <w:div w:id="288170428">
                      <w:marLeft w:val="0"/>
                      <w:marRight w:val="0"/>
                      <w:marTop w:val="0"/>
                      <w:marBottom w:val="0"/>
                      <w:divBdr>
                        <w:top w:val="none" w:sz="0" w:space="0" w:color="auto"/>
                        <w:left w:val="none" w:sz="0" w:space="0" w:color="auto"/>
                        <w:bottom w:val="none" w:sz="0" w:space="0" w:color="auto"/>
                        <w:right w:val="none" w:sz="0" w:space="0" w:color="auto"/>
                      </w:divBdr>
                    </w:div>
                  </w:divsChild>
                </w:div>
                <w:div w:id="952444377">
                  <w:marLeft w:val="0"/>
                  <w:marRight w:val="0"/>
                  <w:marTop w:val="0"/>
                  <w:marBottom w:val="0"/>
                  <w:divBdr>
                    <w:top w:val="none" w:sz="0" w:space="0" w:color="auto"/>
                    <w:left w:val="none" w:sz="0" w:space="0" w:color="auto"/>
                    <w:bottom w:val="none" w:sz="0" w:space="0" w:color="auto"/>
                    <w:right w:val="none" w:sz="0" w:space="0" w:color="auto"/>
                  </w:divBdr>
                  <w:divsChild>
                    <w:div w:id="359210685">
                      <w:marLeft w:val="0"/>
                      <w:marRight w:val="0"/>
                      <w:marTop w:val="0"/>
                      <w:marBottom w:val="0"/>
                      <w:divBdr>
                        <w:top w:val="none" w:sz="0" w:space="0" w:color="auto"/>
                        <w:left w:val="none" w:sz="0" w:space="0" w:color="auto"/>
                        <w:bottom w:val="none" w:sz="0" w:space="0" w:color="auto"/>
                        <w:right w:val="none" w:sz="0" w:space="0" w:color="auto"/>
                      </w:divBdr>
                    </w:div>
                    <w:div w:id="874736835">
                      <w:marLeft w:val="0"/>
                      <w:marRight w:val="0"/>
                      <w:marTop w:val="0"/>
                      <w:marBottom w:val="0"/>
                      <w:divBdr>
                        <w:top w:val="none" w:sz="0" w:space="0" w:color="auto"/>
                        <w:left w:val="none" w:sz="0" w:space="0" w:color="auto"/>
                        <w:bottom w:val="none" w:sz="0" w:space="0" w:color="auto"/>
                        <w:right w:val="none" w:sz="0" w:space="0" w:color="auto"/>
                      </w:divBdr>
                    </w:div>
                    <w:div w:id="1087654128">
                      <w:marLeft w:val="0"/>
                      <w:marRight w:val="0"/>
                      <w:marTop w:val="0"/>
                      <w:marBottom w:val="0"/>
                      <w:divBdr>
                        <w:top w:val="none" w:sz="0" w:space="0" w:color="auto"/>
                        <w:left w:val="none" w:sz="0" w:space="0" w:color="auto"/>
                        <w:bottom w:val="none" w:sz="0" w:space="0" w:color="auto"/>
                        <w:right w:val="none" w:sz="0" w:space="0" w:color="auto"/>
                      </w:divBdr>
                    </w:div>
                    <w:div w:id="1327825331">
                      <w:marLeft w:val="0"/>
                      <w:marRight w:val="0"/>
                      <w:marTop w:val="0"/>
                      <w:marBottom w:val="0"/>
                      <w:divBdr>
                        <w:top w:val="none" w:sz="0" w:space="0" w:color="auto"/>
                        <w:left w:val="none" w:sz="0" w:space="0" w:color="auto"/>
                        <w:bottom w:val="none" w:sz="0" w:space="0" w:color="auto"/>
                        <w:right w:val="none" w:sz="0" w:space="0" w:color="auto"/>
                      </w:divBdr>
                    </w:div>
                  </w:divsChild>
                </w:div>
                <w:div w:id="1167675513">
                  <w:marLeft w:val="0"/>
                  <w:marRight w:val="0"/>
                  <w:marTop w:val="0"/>
                  <w:marBottom w:val="0"/>
                  <w:divBdr>
                    <w:top w:val="none" w:sz="0" w:space="0" w:color="auto"/>
                    <w:left w:val="none" w:sz="0" w:space="0" w:color="auto"/>
                    <w:bottom w:val="none" w:sz="0" w:space="0" w:color="auto"/>
                    <w:right w:val="none" w:sz="0" w:space="0" w:color="auto"/>
                  </w:divBdr>
                  <w:divsChild>
                    <w:div w:id="375008128">
                      <w:marLeft w:val="0"/>
                      <w:marRight w:val="0"/>
                      <w:marTop w:val="0"/>
                      <w:marBottom w:val="0"/>
                      <w:divBdr>
                        <w:top w:val="none" w:sz="0" w:space="0" w:color="auto"/>
                        <w:left w:val="none" w:sz="0" w:space="0" w:color="auto"/>
                        <w:bottom w:val="none" w:sz="0" w:space="0" w:color="auto"/>
                        <w:right w:val="none" w:sz="0" w:space="0" w:color="auto"/>
                      </w:divBdr>
                    </w:div>
                    <w:div w:id="708261130">
                      <w:marLeft w:val="0"/>
                      <w:marRight w:val="0"/>
                      <w:marTop w:val="0"/>
                      <w:marBottom w:val="0"/>
                      <w:divBdr>
                        <w:top w:val="none" w:sz="0" w:space="0" w:color="auto"/>
                        <w:left w:val="none" w:sz="0" w:space="0" w:color="auto"/>
                        <w:bottom w:val="none" w:sz="0" w:space="0" w:color="auto"/>
                        <w:right w:val="none" w:sz="0" w:space="0" w:color="auto"/>
                      </w:divBdr>
                    </w:div>
                    <w:div w:id="1345859973">
                      <w:marLeft w:val="0"/>
                      <w:marRight w:val="0"/>
                      <w:marTop w:val="0"/>
                      <w:marBottom w:val="0"/>
                      <w:divBdr>
                        <w:top w:val="none" w:sz="0" w:space="0" w:color="auto"/>
                        <w:left w:val="none" w:sz="0" w:space="0" w:color="auto"/>
                        <w:bottom w:val="none" w:sz="0" w:space="0" w:color="auto"/>
                        <w:right w:val="none" w:sz="0" w:space="0" w:color="auto"/>
                      </w:divBdr>
                    </w:div>
                    <w:div w:id="1563131003">
                      <w:marLeft w:val="0"/>
                      <w:marRight w:val="0"/>
                      <w:marTop w:val="0"/>
                      <w:marBottom w:val="0"/>
                      <w:divBdr>
                        <w:top w:val="none" w:sz="0" w:space="0" w:color="auto"/>
                        <w:left w:val="none" w:sz="0" w:space="0" w:color="auto"/>
                        <w:bottom w:val="none" w:sz="0" w:space="0" w:color="auto"/>
                        <w:right w:val="none" w:sz="0" w:space="0" w:color="auto"/>
                      </w:divBdr>
                    </w:div>
                  </w:divsChild>
                </w:div>
                <w:div w:id="1591935685">
                  <w:marLeft w:val="0"/>
                  <w:marRight w:val="0"/>
                  <w:marTop w:val="0"/>
                  <w:marBottom w:val="0"/>
                  <w:divBdr>
                    <w:top w:val="none" w:sz="0" w:space="0" w:color="auto"/>
                    <w:left w:val="none" w:sz="0" w:space="0" w:color="auto"/>
                    <w:bottom w:val="none" w:sz="0" w:space="0" w:color="auto"/>
                    <w:right w:val="none" w:sz="0" w:space="0" w:color="auto"/>
                  </w:divBdr>
                  <w:divsChild>
                    <w:div w:id="98985847">
                      <w:marLeft w:val="0"/>
                      <w:marRight w:val="0"/>
                      <w:marTop w:val="0"/>
                      <w:marBottom w:val="0"/>
                      <w:divBdr>
                        <w:top w:val="none" w:sz="0" w:space="0" w:color="auto"/>
                        <w:left w:val="none" w:sz="0" w:space="0" w:color="auto"/>
                        <w:bottom w:val="none" w:sz="0" w:space="0" w:color="auto"/>
                        <w:right w:val="none" w:sz="0" w:space="0" w:color="auto"/>
                      </w:divBdr>
                    </w:div>
                    <w:div w:id="1192647765">
                      <w:marLeft w:val="0"/>
                      <w:marRight w:val="0"/>
                      <w:marTop w:val="0"/>
                      <w:marBottom w:val="0"/>
                      <w:divBdr>
                        <w:top w:val="none" w:sz="0" w:space="0" w:color="auto"/>
                        <w:left w:val="none" w:sz="0" w:space="0" w:color="auto"/>
                        <w:bottom w:val="none" w:sz="0" w:space="0" w:color="auto"/>
                        <w:right w:val="none" w:sz="0" w:space="0" w:color="auto"/>
                      </w:divBdr>
                    </w:div>
                    <w:div w:id="1229726995">
                      <w:marLeft w:val="0"/>
                      <w:marRight w:val="0"/>
                      <w:marTop w:val="0"/>
                      <w:marBottom w:val="0"/>
                      <w:divBdr>
                        <w:top w:val="none" w:sz="0" w:space="0" w:color="auto"/>
                        <w:left w:val="none" w:sz="0" w:space="0" w:color="auto"/>
                        <w:bottom w:val="none" w:sz="0" w:space="0" w:color="auto"/>
                        <w:right w:val="none" w:sz="0" w:space="0" w:color="auto"/>
                      </w:divBdr>
                    </w:div>
                    <w:div w:id="2040085156">
                      <w:marLeft w:val="0"/>
                      <w:marRight w:val="0"/>
                      <w:marTop w:val="0"/>
                      <w:marBottom w:val="0"/>
                      <w:divBdr>
                        <w:top w:val="none" w:sz="0" w:space="0" w:color="auto"/>
                        <w:left w:val="none" w:sz="0" w:space="0" w:color="auto"/>
                        <w:bottom w:val="none" w:sz="0" w:space="0" w:color="auto"/>
                        <w:right w:val="none" w:sz="0" w:space="0" w:color="auto"/>
                      </w:divBdr>
                    </w:div>
                  </w:divsChild>
                </w:div>
                <w:div w:id="1950238015">
                  <w:marLeft w:val="0"/>
                  <w:marRight w:val="0"/>
                  <w:marTop w:val="0"/>
                  <w:marBottom w:val="0"/>
                  <w:divBdr>
                    <w:top w:val="none" w:sz="0" w:space="0" w:color="auto"/>
                    <w:left w:val="none" w:sz="0" w:space="0" w:color="auto"/>
                    <w:bottom w:val="none" w:sz="0" w:space="0" w:color="auto"/>
                    <w:right w:val="none" w:sz="0" w:space="0" w:color="auto"/>
                  </w:divBdr>
                  <w:divsChild>
                    <w:div w:id="1217546201">
                      <w:marLeft w:val="0"/>
                      <w:marRight w:val="0"/>
                      <w:marTop w:val="0"/>
                      <w:marBottom w:val="0"/>
                      <w:divBdr>
                        <w:top w:val="none" w:sz="0" w:space="0" w:color="auto"/>
                        <w:left w:val="none" w:sz="0" w:space="0" w:color="auto"/>
                        <w:bottom w:val="none" w:sz="0" w:space="0" w:color="auto"/>
                        <w:right w:val="none" w:sz="0" w:space="0" w:color="auto"/>
                      </w:divBdr>
                    </w:div>
                  </w:divsChild>
                </w:div>
                <w:div w:id="1961571816">
                  <w:marLeft w:val="0"/>
                  <w:marRight w:val="0"/>
                  <w:marTop w:val="0"/>
                  <w:marBottom w:val="0"/>
                  <w:divBdr>
                    <w:top w:val="none" w:sz="0" w:space="0" w:color="auto"/>
                    <w:left w:val="none" w:sz="0" w:space="0" w:color="auto"/>
                    <w:bottom w:val="none" w:sz="0" w:space="0" w:color="auto"/>
                    <w:right w:val="none" w:sz="0" w:space="0" w:color="auto"/>
                  </w:divBdr>
                  <w:divsChild>
                    <w:div w:id="884870665">
                      <w:marLeft w:val="0"/>
                      <w:marRight w:val="0"/>
                      <w:marTop w:val="0"/>
                      <w:marBottom w:val="0"/>
                      <w:divBdr>
                        <w:top w:val="none" w:sz="0" w:space="0" w:color="auto"/>
                        <w:left w:val="none" w:sz="0" w:space="0" w:color="auto"/>
                        <w:bottom w:val="none" w:sz="0" w:space="0" w:color="auto"/>
                        <w:right w:val="none" w:sz="0" w:space="0" w:color="auto"/>
                      </w:divBdr>
                    </w:div>
                  </w:divsChild>
                </w:div>
                <w:div w:id="1970164766">
                  <w:marLeft w:val="0"/>
                  <w:marRight w:val="0"/>
                  <w:marTop w:val="0"/>
                  <w:marBottom w:val="0"/>
                  <w:divBdr>
                    <w:top w:val="none" w:sz="0" w:space="0" w:color="auto"/>
                    <w:left w:val="none" w:sz="0" w:space="0" w:color="auto"/>
                    <w:bottom w:val="none" w:sz="0" w:space="0" w:color="auto"/>
                    <w:right w:val="none" w:sz="0" w:space="0" w:color="auto"/>
                  </w:divBdr>
                  <w:divsChild>
                    <w:div w:id="1540511556">
                      <w:marLeft w:val="0"/>
                      <w:marRight w:val="0"/>
                      <w:marTop w:val="0"/>
                      <w:marBottom w:val="0"/>
                      <w:divBdr>
                        <w:top w:val="none" w:sz="0" w:space="0" w:color="auto"/>
                        <w:left w:val="none" w:sz="0" w:space="0" w:color="auto"/>
                        <w:bottom w:val="none" w:sz="0" w:space="0" w:color="auto"/>
                        <w:right w:val="none" w:sz="0" w:space="0" w:color="auto"/>
                      </w:divBdr>
                    </w:div>
                  </w:divsChild>
                </w:div>
                <w:div w:id="2087529999">
                  <w:marLeft w:val="0"/>
                  <w:marRight w:val="0"/>
                  <w:marTop w:val="0"/>
                  <w:marBottom w:val="0"/>
                  <w:divBdr>
                    <w:top w:val="none" w:sz="0" w:space="0" w:color="auto"/>
                    <w:left w:val="none" w:sz="0" w:space="0" w:color="auto"/>
                    <w:bottom w:val="none" w:sz="0" w:space="0" w:color="auto"/>
                    <w:right w:val="none" w:sz="0" w:space="0" w:color="auto"/>
                  </w:divBdr>
                  <w:divsChild>
                    <w:div w:id="342247315">
                      <w:marLeft w:val="0"/>
                      <w:marRight w:val="0"/>
                      <w:marTop w:val="0"/>
                      <w:marBottom w:val="0"/>
                      <w:divBdr>
                        <w:top w:val="none" w:sz="0" w:space="0" w:color="auto"/>
                        <w:left w:val="none" w:sz="0" w:space="0" w:color="auto"/>
                        <w:bottom w:val="none" w:sz="0" w:space="0" w:color="auto"/>
                        <w:right w:val="none" w:sz="0" w:space="0" w:color="auto"/>
                      </w:divBdr>
                    </w:div>
                    <w:div w:id="696155621">
                      <w:marLeft w:val="0"/>
                      <w:marRight w:val="0"/>
                      <w:marTop w:val="0"/>
                      <w:marBottom w:val="0"/>
                      <w:divBdr>
                        <w:top w:val="none" w:sz="0" w:space="0" w:color="auto"/>
                        <w:left w:val="none" w:sz="0" w:space="0" w:color="auto"/>
                        <w:bottom w:val="none" w:sz="0" w:space="0" w:color="auto"/>
                        <w:right w:val="none" w:sz="0" w:space="0" w:color="auto"/>
                      </w:divBdr>
                    </w:div>
                    <w:div w:id="1775442566">
                      <w:marLeft w:val="0"/>
                      <w:marRight w:val="0"/>
                      <w:marTop w:val="0"/>
                      <w:marBottom w:val="0"/>
                      <w:divBdr>
                        <w:top w:val="none" w:sz="0" w:space="0" w:color="auto"/>
                        <w:left w:val="none" w:sz="0" w:space="0" w:color="auto"/>
                        <w:bottom w:val="none" w:sz="0" w:space="0" w:color="auto"/>
                        <w:right w:val="none" w:sz="0" w:space="0" w:color="auto"/>
                      </w:divBdr>
                    </w:div>
                    <w:div w:id="1928995348">
                      <w:marLeft w:val="0"/>
                      <w:marRight w:val="0"/>
                      <w:marTop w:val="0"/>
                      <w:marBottom w:val="0"/>
                      <w:divBdr>
                        <w:top w:val="none" w:sz="0" w:space="0" w:color="auto"/>
                        <w:left w:val="none" w:sz="0" w:space="0" w:color="auto"/>
                        <w:bottom w:val="none" w:sz="0" w:space="0" w:color="auto"/>
                        <w:right w:val="none" w:sz="0" w:space="0" w:color="auto"/>
                      </w:divBdr>
                    </w:div>
                  </w:divsChild>
                </w:div>
                <w:div w:id="2124616250">
                  <w:marLeft w:val="0"/>
                  <w:marRight w:val="0"/>
                  <w:marTop w:val="0"/>
                  <w:marBottom w:val="0"/>
                  <w:divBdr>
                    <w:top w:val="none" w:sz="0" w:space="0" w:color="auto"/>
                    <w:left w:val="none" w:sz="0" w:space="0" w:color="auto"/>
                    <w:bottom w:val="none" w:sz="0" w:space="0" w:color="auto"/>
                    <w:right w:val="none" w:sz="0" w:space="0" w:color="auto"/>
                  </w:divBdr>
                  <w:divsChild>
                    <w:div w:id="2058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56345793">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23568487">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412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msac.gov.au/internet/msac/publishing.nsf/Content/1519-publi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BE2E1EB50ED57442CA2581F4000C1723/$File/1519-Final%20PSD-April%202019_redacted.pdf" TargetMode="External"/><Relationship Id="rId24" Type="http://schemas.openxmlformats.org/officeDocument/2006/relationships/header" Target="header5.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http://www.msac.gov.au/internet/msac/publishing.nsf/Content/1519-public" TargetMode="External"/><Relationship Id="rId19" Type="http://schemas.openxmlformats.org/officeDocument/2006/relationships/image" Target="media/image2.png"/><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sac.gov.au/internet/msac/publishing.nsf/Content/1519-public"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bs.gov.au/medicine/item/11850q" TargetMode="External"/><Relationship Id="rId2" Type="http://schemas.openxmlformats.org/officeDocument/2006/relationships/hyperlink" Target="http://www.msac.gov.au/internet/msac/publishing.nsf/Content/90DA10AED1EE7684CA25879B007F3E1E/$File/1703%20Final%20PSD%20(redacted)%20-%20Mar%202023.pdf" TargetMode="External"/><Relationship Id="rId1" Type="http://schemas.openxmlformats.org/officeDocument/2006/relationships/hyperlink" Target="http://www.msac.gov.au/internet/msac/publishing.nsf/Content/67D026849586C408CA25879B008371EC/$File/1707%20Final%20PSD-Nov2022_redacted.pdf" TargetMode="External"/><Relationship Id="rId4" Type="http://schemas.openxmlformats.org/officeDocument/2006/relationships/hyperlink" Target="https://www.eviq.org.au/haematology-and-bmt/leukaemias/acute-lymphoblastic-leukaemia/3404-acute-lymphoblastic-leukaemia-blinatumomab.%20Accessed%202%20May%2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1E83-0D95-4536-A44C-16A7AC6F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23977</Words>
  <Characters>136671</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160328</CharactersWithSpaces>
  <SharedDoc>false</SharedDoc>
  <HyperlinkBase/>
  <HLinks>
    <vt:vector size="66" baseType="variant">
      <vt:variant>
        <vt:i4>6684716</vt:i4>
      </vt:variant>
      <vt:variant>
        <vt:i4>243</vt:i4>
      </vt:variant>
      <vt:variant>
        <vt:i4>0</vt:i4>
      </vt:variant>
      <vt:variant>
        <vt:i4>5</vt:i4>
      </vt:variant>
      <vt:variant>
        <vt:lpwstr>http://msac.gov.au/internet/msac/publishing.nsf/Content/Home-1</vt:lpwstr>
      </vt:variant>
      <vt:variant>
        <vt:lpwstr/>
      </vt:variant>
      <vt:variant>
        <vt:i4>2752617</vt:i4>
      </vt:variant>
      <vt:variant>
        <vt:i4>240</vt:i4>
      </vt:variant>
      <vt:variant>
        <vt:i4>0</vt:i4>
      </vt:variant>
      <vt:variant>
        <vt:i4>5</vt:i4>
      </vt:variant>
      <vt:variant>
        <vt:lpwstr>http://www.msac.gov.au/internet/msac/publishing.nsf/Content/1519-public</vt:lpwstr>
      </vt:variant>
      <vt:variant>
        <vt:lpwstr/>
      </vt:variant>
      <vt:variant>
        <vt:i4>5701685</vt:i4>
      </vt:variant>
      <vt:variant>
        <vt:i4>21</vt:i4>
      </vt:variant>
      <vt:variant>
        <vt:i4>0</vt:i4>
      </vt:variant>
      <vt:variant>
        <vt:i4>5</vt:i4>
      </vt:variant>
      <vt:variant>
        <vt:lpwstr/>
      </vt:variant>
      <vt:variant>
        <vt:lpwstr>_14._Committee-in-confidence_informa</vt:lpwstr>
      </vt:variant>
      <vt:variant>
        <vt:i4>4456500</vt:i4>
      </vt:variant>
      <vt:variant>
        <vt:i4>15</vt:i4>
      </vt:variant>
      <vt:variant>
        <vt:i4>0</vt:i4>
      </vt:variant>
      <vt:variant>
        <vt:i4>5</vt:i4>
      </vt:variant>
      <vt:variant>
        <vt:lpwstr>http://www.msac.gov.au/internet/msac/publishing.nsf/Content/BE2E1EB50ED57442CA2581F4000C1723/$File/1519-Final PSD-April 2019_redacted.pdf</vt:lpwstr>
      </vt:variant>
      <vt:variant>
        <vt:lpwstr/>
      </vt:variant>
      <vt:variant>
        <vt:i4>2752617</vt:i4>
      </vt:variant>
      <vt:variant>
        <vt:i4>12</vt:i4>
      </vt:variant>
      <vt:variant>
        <vt:i4>0</vt:i4>
      </vt:variant>
      <vt:variant>
        <vt:i4>5</vt:i4>
      </vt:variant>
      <vt:variant>
        <vt:lpwstr>http://www.msac.gov.au/internet/msac/publishing.nsf/Content/1519-public</vt:lpwstr>
      </vt:variant>
      <vt:variant>
        <vt:lpwstr/>
      </vt:variant>
      <vt:variant>
        <vt:i4>2752617</vt:i4>
      </vt:variant>
      <vt:variant>
        <vt:i4>3</vt:i4>
      </vt:variant>
      <vt:variant>
        <vt:i4>0</vt:i4>
      </vt:variant>
      <vt:variant>
        <vt:i4>5</vt:i4>
      </vt:variant>
      <vt:variant>
        <vt:lpwstr>http://www.msac.gov.au/internet/msac/publishing.nsf/Content/1519-public</vt:lpwstr>
      </vt:variant>
      <vt:variant>
        <vt:lpwstr/>
      </vt:variant>
      <vt:variant>
        <vt:i4>3997744</vt:i4>
      </vt:variant>
      <vt:variant>
        <vt:i4>0</vt:i4>
      </vt:variant>
      <vt:variant>
        <vt:i4>0</vt:i4>
      </vt:variant>
      <vt:variant>
        <vt:i4>5</vt:i4>
      </vt:variant>
      <vt:variant>
        <vt:lpwstr>http://www.msac.gov.au/</vt:lpwstr>
      </vt:variant>
      <vt:variant>
        <vt:lpwstr/>
      </vt:variant>
      <vt:variant>
        <vt:i4>5898270</vt:i4>
      </vt:variant>
      <vt:variant>
        <vt:i4>9</vt:i4>
      </vt:variant>
      <vt:variant>
        <vt:i4>0</vt:i4>
      </vt:variant>
      <vt:variant>
        <vt:i4>5</vt:i4>
      </vt:variant>
      <vt:variant>
        <vt:lpwstr>https://www.eviq.org.au/haematology-and-bmt/leukaemias/acute-lymphoblastic-leukaemia/3404-acute-lymphoblastic-leukaemia-blinatumomab. Accessed 2 May 2023</vt:lpwstr>
      </vt:variant>
      <vt:variant>
        <vt:lpwstr/>
      </vt:variant>
      <vt:variant>
        <vt:i4>3866683</vt:i4>
      </vt:variant>
      <vt:variant>
        <vt:i4>6</vt:i4>
      </vt:variant>
      <vt:variant>
        <vt:i4>0</vt:i4>
      </vt:variant>
      <vt:variant>
        <vt:i4>5</vt:i4>
      </vt:variant>
      <vt:variant>
        <vt:lpwstr>https://www.pbs.gov.au/medicine/item/11850q</vt:lpwstr>
      </vt:variant>
      <vt:variant>
        <vt:lpwstr/>
      </vt:variant>
      <vt:variant>
        <vt:i4>7012475</vt:i4>
      </vt:variant>
      <vt:variant>
        <vt:i4>3</vt:i4>
      </vt:variant>
      <vt:variant>
        <vt:i4>0</vt:i4>
      </vt:variant>
      <vt:variant>
        <vt:i4>5</vt:i4>
      </vt:variant>
      <vt:variant>
        <vt:lpwstr>http://www.msac.gov.au/internet/msac/publishing.nsf/Content/90DA10AED1EE7684CA25879B007F3E1E/$File/1703 Final PSD (redacted) - Mar 2023.pdf</vt:lpwstr>
      </vt:variant>
      <vt:variant>
        <vt:lpwstr/>
      </vt:variant>
      <vt:variant>
        <vt:i4>4849767</vt:i4>
      </vt:variant>
      <vt:variant>
        <vt:i4>0</vt:i4>
      </vt:variant>
      <vt:variant>
        <vt:i4>0</vt:i4>
      </vt:variant>
      <vt:variant>
        <vt:i4>5</vt:i4>
      </vt:variant>
      <vt:variant>
        <vt:lpwstr>http://www.msac.gov.au/internet/msac/publishing.nsf/Content/67D026849586C408CA25879B008371EC/$File/1707 Final PSD-Nov2022_redacted.pdf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2023-10-31T00:30:00Z</dcterms:created>
  <dcterms:modified xsi:type="dcterms:W3CDTF">2023-10-31T21:32:00Z</dcterms:modified>
  <cp:category/>
</cp:coreProperties>
</file>