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786914" w:rsidRPr="00CA28B9" w:rsidTr="00CA28B9">
        <w:trPr>
          <w:cantSplit/>
          <w:trHeight w:val="3120"/>
        </w:trPr>
        <w:tc>
          <w:tcPr>
            <w:tcW w:w="4253" w:type="dxa"/>
            <w:shd w:val="clear" w:color="auto" w:fill="auto"/>
            <w:vAlign w:val="bottom"/>
          </w:tcPr>
          <w:p w:rsidR="00786914" w:rsidRPr="00267DB6" w:rsidRDefault="00786914" w:rsidP="0006743B">
            <w:pPr>
              <w:pStyle w:val="TOC9"/>
              <w:rPr>
                <w:lang w:val="ga-IE"/>
              </w:rPr>
            </w:pPr>
          </w:p>
        </w:tc>
        <w:tc>
          <w:tcPr>
            <w:tcW w:w="4678" w:type="dxa"/>
            <w:shd w:val="clear" w:color="auto" w:fill="auto"/>
            <w:vAlign w:val="bottom"/>
          </w:tcPr>
          <w:p w:rsidR="00786914" w:rsidRPr="00CA28B9" w:rsidRDefault="00786914" w:rsidP="0006743B">
            <w:pPr>
              <w:pStyle w:val="PublicationTitle"/>
              <w:rPr>
                <w:szCs w:val="44"/>
              </w:rPr>
            </w:pPr>
            <w:r w:rsidRPr="00CA28B9">
              <w:rPr>
                <w:szCs w:val="44"/>
              </w:rPr>
              <w:t>Holmium:YAG laser enucleation of the prostate (HoLEP) for the treatment of benign prostatic hyperplasia</w:t>
            </w:r>
          </w:p>
        </w:tc>
      </w:tr>
      <w:tr w:rsidR="00786914" w:rsidRPr="004C6B15" w:rsidTr="00CA28B9">
        <w:trPr>
          <w:cantSplit/>
          <w:trHeight w:val="3120"/>
        </w:trPr>
        <w:tc>
          <w:tcPr>
            <w:tcW w:w="4253" w:type="dxa"/>
            <w:shd w:val="clear" w:color="auto" w:fill="auto"/>
            <w:vAlign w:val="center"/>
          </w:tcPr>
          <w:p w:rsidR="00786914" w:rsidRPr="004C6B15" w:rsidRDefault="00786914">
            <w:pPr>
              <w:pStyle w:val="Date"/>
            </w:pPr>
          </w:p>
        </w:tc>
        <w:tc>
          <w:tcPr>
            <w:tcW w:w="4678" w:type="dxa"/>
            <w:shd w:val="clear" w:color="auto" w:fill="auto"/>
            <w:vAlign w:val="center"/>
          </w:tcPr>
          <w:p w:rsidR="00786914" w:rsidRPr="00CB20DE" w:rsidRDefault="00CA28B9">
            <w:pPr>
              <w:pStyle w:val="Date"/>
              <w:rPr>
                <w:rFonts w:cs="Arial"/>
              </w:rPr>
            </w:pPr>
            <w:r>
              <w:rPr>
                <w:rFonts w:cs="Arial"/>
              </w:rPr>
              <w:t>November 2012</w:t>
            </w:r>
          </w:p>
        </w:tc>
      </w:tr>
      <w:tr w:rsidR="00786914" w:rsidRPr="004C6B15" w:rsidTr="00CA28B9">
        <w:trPr>
          <w:cantSplit/>
          <w:trHeight w:val="3120"/>
        </w:trPr>
        <w:tc>
          <w:tcPr>
            <w:tcW w:w="4253" w:type="dxa"/>
            <w:shd w:val="clear" w:color="auto" w:fill="auto"/>
          </w:tcPr>
          <w:p w:rsidR="00786914" w:rsidRPr="004C6B15" w:rsidRDefault="00786914"/>
        </w:tc>
        <w:tc>
          <w:tcPr>
            <w:tcW w:w="4678" w:type="dxa"/>
            <w:shd w:val="clear" w:color="auto" w:fill="auto"/>
          </w:tcPr>
          <w:p w:rsidR="00786914" w:rsidRDefault="00786914" w:rsidP="00CA28B9">
            <w:pPr>
              <w:pStyle w:val="Sub-title"/>
              <w:jc w:val="left"/>
              <w:rPr>
                <w:b w:val="0"/>
              </w:rPr>
            </w:pPr>
            <w:r w:rsidRPr="004C6B15">
              <w:rPr>
                <w:b w:val="0"/>
              </w:rPr>
              <w:t xml:space="preserve">MSAC application </w:t>
            </w:r>
            <w:r>
              <w:rPr>
                <w:b w:val="0"/>
              </w:rPr>
              <w:t>no.1149</w:t>
            </w:r>
          </w:p>
          <w:p w:rsidR="00786914" w:rsidRPr="004C6B15" w:rsidRDefault="00786914" w:rsidP="0006743B">
            <w:pPr>
              <w:pStyle w:val="Sub-title"/>
              <w:rPr>
                <w:b w:val="0"/>
              </w:rPr>
            </w:pPr>
          </w:p>
          <w:p w:rsidR="00786914" w:rsidRPr="00DB0C5A" w:rsidRDefault="00786914" w:rsidP="0006743B">
            <w:pPr>
              <w:pStyle w:val="Sub-title"/>
              <w:rPr>
                <w:i/>
              </w:rPr>
            </w:pPr>
            <w:r w:rsidRPr="00DB0C5A">
              <w:t>Assessment report</w:t>
            </w:r>
          </w:p>
        </w:tc>
      </w:tr>
    </w:tbl>
    <w:p w:rsidR="00786914" w:rsidRPr="004C6B15" w:rsidRDefault="00786914" w:rsidP="00CA28B9">
      <w:pPr>
        <w:ind w:left="0"/>
      </w:pPr>
    </w:p>
    <w:p w:rsidR="00786914" w:rsidRPr="004D57B3" w:rsidRDefault="00786914" w:rsidP="0006743B">
      <w:pPr>
        <w:autoSpaceDE w:val="0"/>
        <w:autoSpaceDN w:val="0"/>
        <w:adjustRightInd w:val="0"/>
        <w:spacing w:after="0"/>
        <w:ind w:left="0"/>
        <w:rPr>
          <w:b/>
          <w:bCs/>
          <w:color w:val="000000"/>
          <w:sz w:val="20"/>
          <w:lang w:eastAsia="zh-TW"/>
        </w:rPr>
      </w:pPr>
      <w:r w:rsidRPr="004C6B15">
        <w:br w:type="page"/>
      </w:r>
      <w:r w:rsidRPr="004D57B3">
        <w:rPr>
          <w:b/>
          <w:bCs/>
          <w:color w:val="000000"/>
          <w:sz w:val="20"/>
          <w:lang w:eastAsia="zh-TW"/>
        </w:rPr>
        <w:lastRenderedPageBreak/>
        <w:t>© Commonwealth of Australia 201</w:t>
      </w:r>
      <w:r>
        <w:rPr>
          <w:b/>
          <w:bCs/>
          <w:color w:val="000000"/>
          <w:sz w:val="20"/>
          <w:lang w:eastAsia="zh-TW"/>
        </w:rPr>
        <w:t>2</w:t>
      </w:r>
    </w:p>
    <w:p w:rsidR="00786914" w:rsidRPr="004D57B3" w:rsidRDefault="00786914" w:rsidP="0006743B">
      <w:pPr>
        <w:autoSpaceDE w:val="0"/>
        <w:autoSpaceDN w:val="0"/>
        <w:adjustRightInd w:val="0"/>
        <w:spacing w:after="0"/>
        <w:ind w:left="0"/>
        <w:rPr>
          <w:b/>
          <w:bCs/>
          <w:color w:val="000000"/>
          <w:sz w:val="20"/>
          <w:lang w:eastAsia="zh-TW"/>
        </w:rPr>
      </w:pPr>
    </w:p>
    <w:p w:rsidR="00786914" w:rsidRPr="004D57B3" w:rsidRDefault="00786914" w:rsidP="0006743B">
      <w:pPr>
        <w:autoSpaceDE w:val="0"/>
        <w:autoSpaceDN w:val="0"/>
        <w:adjustRightInd w:val="0"/>
        <w:spacing w:after="0"/>
        <w:ind w:left="0"/>
        <w:rPr>
          <w:b/>
          <w:bCs/>
          <w:color w:val="000000"/>
          <w:sz w:val="20"/>
          <w:lang w:eastAsia="zh-TW"/>
        </w:rPr>
      </w:pPr>
      <w:r w:rsidRPr="004D57B3">
        <w:rPr>
          <w:b/>
          <w:bCs/>
          <w:color w:val="000000"/>
          <w:sz w:val="20"/>
          <w:lang w:eastAsia="zh-TW"/>
        </w:rPr>
        <w:t xml:space="preserve">ISBN (Online) </w:t>
      </w:r>
      <w:r w:rsidR="00386514" w:rsidRPr="00386514">
        <w:rPr>
          <w:b/>
          <w:bCs/>
          <w:color w:val="000000"/>
          <w:sz w:val="20"/>
          <w:lang w:eastAsia="zh-TW"/>
        </w:rPr>
        <w:t>978-1-74241-786-8</w:t>
      </w:r>
    </w:p>
    <w:p w:rsidR="00786914" w:rsidRPr="004D57B3" w:rsidRDefault="00786914" w:rsidP="0006743B">
      <w:pPr>
        <w:autoSpaceDE w:val="0"/>
        <w:autoSpaceDN w:val="0"/>
        <w:adjustRightInd w:val="0"/>
        <w:spacing w:after="0"/>
        <w:ind w:left="0"/>
        <w:rPr>
          <w:b/>
          <w:bCs/>
          <w:color w:val="000000"/>
          <w:sz w:val="20"/>
          <w:lang w:eastAsia="zh-TW"/>
        </w:rPr>
      </w:pPr>
    </w:p>
    <w:p w:rsidR="00786914" w:rsidRPr="004D57B3" w:rsidRDefault="00786914" w:rsidP="0006743B">
      <w:pPr>
        <w:autoSpaceDE w:val="0"/>
        <w:autoSpaceDN w:val="0"/>
        <w:adjustRightInd w:val="0"/>
        <w:spacing w:after="0"/>
        <w:ind w:left="0"/>
        <w:rPr>
          <w:b/>
          <w:bCs/>
          <w:color w:val="000000"/>
          <w:sz w:val="20"/>
          <w:lang w:eastAsia="zh-TW"/>
        </w:rPr>
      </w:pPr>
      <w:r w:rsidRPr="004D57B3">
        <w:rPr>
          <w:b/>
          <w:bCs/>
          <w:color w:val="000000"/>
          <w:sz w:val="20"/>
          <w:lang w:eastAsia="zh-TW"/>
        </w:rPr>
        <w:t xml:space="preserve">ISSN (Online) </w:t>
      </w:r>
      <w:r w:rsidR="00386514" w:rsidRPr="00386514">
        <w:rPr>
          <w:b/>
          <w:bCs/>
          <w:color w:val="000000"/>
          <w:sz w:val="20"/>
          <w:lang w:eastAsia="zh-TW"/>
        </w:rPr>
        <w:t>1443-7139</w:t>
      </w:r>
    </w:p>
    <w:p w:rsidR="00786914" w:rsidRPr="004D57B3" w:rsidRDefault="00786914" w:rsidP="0006743B">
      <w:pPr>
        <w:autoSpaceDE w:val="0"/>
        <w:autoSpaceDN w:val="0"/>
        <w:adjustRightInd w:val="0"/>
        <w:spacing w:after="0"/>
        <w:ind w:left="0"/>
        <w:rPr>
          <w:b/>
          <w:bCs/>
          <w:color w:val="000000"/>
          <w:sz w:val="20"/>
          <w:lang w:eastAsia="zh-TW"/>
        </w:rPr>
      </w:pPr>
    </w:p>
    <w:p w:rsidR="00786914" w:rsidRDefault="00786914" w:rsidP="0006743B">
      <w:pPr>
        <w:autoSpaceDE w:val="0"/>
        <w:autoSpaceDN w:val="0"/>
        <w:adjustRightInd w:val="0"/>
        <w:spacing w:after="0"/>
        <w:ind w:left="0"/>
        <w:rPr>
          <w:rStyle w:val="Hyperlink"/>
          <w:rFonts w:cs="Garamond"/>
          <w:sz w:val="20"/>
          <w:lang w:eastAsia="zh-TW"/>
        </w:rPr>
      </w:pPr>
      <w:r w:rsidRPr="004D57B3">
        <w:rPr>
          <w:b/>
          <w:bCs/>
          <w:color w:val="000000"/>
          <w:sz w:val="20"/>
          <w:lang w:eastAsia="zh-TW"/>
        </w:rPr>
        <w:t>Internet sites</w:t>
      </w:r>
      <w:r w:rsidR="00DA3254">
        <w:rPr>
          <w:b/>
          <w:bCs/>
          <w:color w:val="000000"/>
          <w:sz w:val="20"/>
          <w:lang w:eastAsia="zh-TW"/>
        </w:rPr>
        <w:t xml:space="preserve"> </w:t>
      </w:r>
      <w:r w:rsidR="00DA3254">
        <w:rPr>
          <w:rFonts w:cs="Garamond"/>
          <w:color w:val="000000"/>
          <w:sz w:val="20"/>
          <w:lang w:eastAsia="zh-TW"/>
        </w:rPr>
        <w:t>http://</w:t>
      </w:r>
      <w:hyperlink r:id="rId9" w:tooltip="This link is to the Medical Services Advisory Website" w:history="1">
        <w:r w:rsidR="00DA3254" w:rsidRPr="00E6166D">
          <w:rPr>
            <w:rStyle w:val="Hyperlink"/>
            <w:rFonts w:cs="Garamond"/>
            <w:sz w:val="20"/>
            <w:lang w:eastAsia="zh-TW"/>
          </w:rPr>
          <w:t>www.msac.gov.au</w:t>
        </w:r>
      </w:hyperlink>
    </w:p>
    <w:p w:rsidR="00FE236E" w:rsidRPr="004D57B3" w:rsidRDefault="00FE236E" w:rsidP="0006743B">
      <w:pPr>
        <w:autoSpaceDE w:val="0"/>
        <w:autoSpaceDN w:val="0"/>
        <w:adjustRightInd w:val="0"/>
        <w:spacing w:after="0"/>
        <w:ind w:left="0"/>
        <w:rPr>
          <w:b/>
          <w:bCs/>
          <w:color w:val="000000"/>
          <w:sz w:val="20"/>
          <w:lang w:eastAsia="zh-TW"/>
        </w:rPr>
      </w:pPr>
    </w:p>
    <w:p w:rsidR="00786914" w:rsidRDefault="00786914" w:rsidP="0006743B">
      <w:pPr>
        <w:autoSpaceDE w:val="0"/>
        <w:autoSpaceDN w:val="0"/>
        <w:adjustRightInd w:val="0"/>
        <w:spacing w:after="0"/>
        <w:ind w:left="0"/>
        <w:rPr>
          <w:rFonts w:cs="Garamond"/>
          <w:color w:val="000000"/>
          <w:sz w:val="20"/>
          <w:lang w:eastAsia="zh-TW"/>
        </w:rPr>
      </w:pPr>
      <w:r w:rsidRPr="006E23E7">
        <w:rPr>
          <w:rFonts w:cs="Garamond"/>
          <w:color w:val="000000"/>
          <w:sz w:val="20"/>
          <w:lang w:eastAsia="zh-TW"/>
        </w:rPr>
        <w:t>©</w:t>
      </w:r>
      <w:r>
        <w:rPr>
          <w:rFonts w:cs="Garamond"/>
          <w:color w:val="000000"/>
          <w:sz w:val="20"/>
          <w:lang w:eastAsia="zh-TW"/>
        </w:rPr>
        <w:t xml:space="preserve"> Commonwealth of Australia 2012</w:t>
      </w:r>
    </w:p>
    <w:p w:rsidR="00FE236E" w:rsidRPr="004D57B3" w:rsidRDefault="00FE236E" w:rsidP="0006743B">
      <w:pPr>
        <w:autoSpaceDE w:val="0"/>
        <w:autoSpaceDN w:val="0"/>
        <w:adjustRightInd w:val="0"/>
        <w:spacing w:after="0"/>
        <w:ind w:left="0"/>
        <w:rPr>
          <w:rFonts w:cs="Garamond"/>
          <w:color w:val="000000"/>
          <w:sz w:val="20"/>
          <w:lang w:eastAsia="zh-TW"/>
        </w:rPr>
      </w:pPr>
    </w:p>
    <w:p w:rsidR="007378F3" w:rsidRPr="00C3790B" w:rsidRDefault="007378F3" w:rsidP="007378F3">
      <w:pPr>
        <w:autoSpaceDE w:val="0"/>
        <w:autoSpaceDN w:val="0"/>
        <w:adjustRightInd w:val="0"/>
        <w:spacing w:after="0"/>
        <w:ind w:left="0"/>
        <w:rPr>
          <w:b/>
          <w:bCs/>
          <w:color w:val="000000"/>
          <w:sz w:val="20"/>
          <w:lang w:eastAsia="zh-TW"/>
        </w:rPr>
      </w:pPr>
      <w:r w:rsidRPr="00C3790B">
        <w:rPr>
          <w:b/>
          <w:bCs/>
          <w:color w:val="000000"/>
          <w:sz w:val="20"/>
          <w:lang w:eastAsia="zh-TW"/>
        </w:rPr>
        <w:t>Internet sites</w:t>
      </w:r>
    </w:p>
    <w:p w:rsidR="007378F3" w:rsidRPr="00C3790B" w:rsidRDefault="007378F3" w:rsidP="007378F3">
      <w:pPr>
        <w:autoSpaceDE w:val="0"/>
        <w:autoSpaceDN w:val="0"/>
        <w:adjustRightInd w:val="0"/>
        <w:spacing w:after="0"/>
        <w:ind w:left="0"/>
        <w:rPr>
          <w:b/>
          <w:bCs/>
          <w:color w:val="000000"/>
          <w:sz w:val="20"/>
          <w:lang w:eastAsia="zh-TW"/>
        </w:rPr>
      </w:pPr>
    </w:p>
    <w:p w:rsidR="007378F3" w:rsidRDefault="007378F3" w:rsidP="007378F3">
      <w:pPr>
        <w:autoSpaceDE w:val="0"/>
        <w:autoSpaceDN w:val="0"/>
        <w:adjustRightInd w:val="0"/>
        <w:spacing w:after="0"/>
        <w:ind w:left="0"/>
        <w:rPr>
          <w:rFonts w:cs="Garamond"/>
          <w:color w:val="000000"/>
          <w:sz w:val="20"/>
          <w:lang w:eastAsia="zh-TW"/>
        </w:rPr>
      </w:pPr>
      <w:r w:rsidRPr="00954246">
        <w:rPr>
          <w:rFonts w:cs="Garamond"/>
          <w:color w:val="000000"/>
          <w:sz w:val="20"/>
          <w:lang w:eastAsia="zh-TW"/>
        </w:rPr>
        <w:t>(c) Commonwealth of Australia 2</w:t>
      </w:r>
      <w:r>
        <w:rPr>
          <w:rFonts w:cs="Garamond"/>
          <w:color w:val="000000"/>
          <w:sz w:val="20"/>
          <w:lang w:eastAsia="zh-TW"/>
        </w:rPr>
        <w:t>0</w:t>
      </w:r>
      <w:r w:rsidR="00C44A5F">
        <w:rPr>
          <w:rFonts w:cs="Garamond"/>
          <w:color w:val="000000"/>
          <w:sz w:val="20"/>
          <w:lang w:eastAsia="zh-TW"/>
        </w:rPr>
        <w:t>12</w:t>
      </w:r>
      <w:r w:rsidRPr="00954246">
        <w:rPr>
          <w:rFonts w:cs="Garamond"/>
          <w:color w:val="000000"/>
          <w:sz w:val="20"/>
          <w:lang w:eastAsia="zh-TW"/>
        </w:rPr>
        <w:t xml:space="preserve"> </w:t>
      </w:r>
    </w:p>
    <w:p w:rsidR="007378F3" w:rsidRPr="00C3790B" w:rsidRDefault="007378F3" w:rsidP="007378F3">
      <w:pPr>
        <w:autoSpaceDE w:val="0"/>
        <w:autoSpaceDN w:val="0"/>
        <w:adjustRightInd w:val="0"/>
        <w:spacing w:after="0"/>
        <w:ind w:left="0"/>
        <w:rPr>
          <w:rFonts w:cs="Garamond"/>
          <w:color w:val="1B1B1B"/>
          <w:sz w:val="20"/>
          <w:lang w:eastAsia="zh-TW"/>
        </w:rPr>
      </w:pPr>
      <w:r w:rsidRPr="00954246">
        <w:rPr>
          <w:rFonts w:cs="Garamond"/>
          <w:color w:val="000000"/>
          <w:sz w:val="20"/>
          <w:lang w:eastAsia="zh-TW"/>
        </w:rPr>
        <w:t xml:space="preserve">This work is copyright. You may download, display, print and reproduce this </w:t>
      </w:r>
      <w:r>
        <w:rPr>
          <w:rFonts w:cs="Garamond"/>
          <w:color w:val="000000"/>
          <w:sz w:val="20"/>
          <w:lang w:eastAsia="zh-TW"/>
        </w:rPr>
        <w:t xml:space="preserve">material in unaltered form only </w:t>
      </w:r>
      <w:r w:rsidRPr="00954246">
        <w:rPr>
          <w:rFonts w:cs="Garamond"/>
          <w:color w:val="000000"/>
          <w:sz w:val="20"/>
          <w:lang w:eastAsia="zh-TW"/>
        </w:rPr>
        <w:t xml:space="preserve">(retaining this notice) for your personal, non-commercial use or use within your organisation. Apart from any use as permitted under the </w:t>
      </w:r>
      <w:r w:rsidRPr="00954246">
        <w:rPr>
          <w:rFonts w:cs="Garamond"/>
          <w:i/>
          <w:iCs/>
          <w:color w:val="000000"/>
          <w:sz w:val="20"/>
          <w:lang w:eastAsia="zh-TW"/>
        </w:rPr>
        <w:t>Copyright Act 1968</w:t>
      </w:r>
      <w:r w:rsidRPr="00954246">
        <w:rPr>
          <w:rFonts w:cs="Garamond"/>
          <w:color w:val="000000"/>
          <w:sz w:val="20"/>
          <w:lang w:eastAsia="zh-TW"/>
        </w:rPr>
        <w:t>, all other rights are reserved. Requests and in</w:t>
      </w:r>
      <w:r>
        <w:rPr>
          <w:rFonts w:cs="Garamond"/>
          <w:color w:val="000000"/>
          <w:sz w:val="20"/>
          <w:lang w:eastAsia="zh-TW"/>
        </w:rPr>
        <w:t xml:space="preserve">quiries concerning reproduction </w:t>
      </w:r>
      <w:r w:rsidRPr="00954246">
        <w:rPr>
          <w:rFonts w:cs="Garamond"/>
          <w:color w:val="000000"/>
          <w:sz w:val="20"/>
          <w:lang w:eastAsia="zh-TW"/>
        </w:rPr>
        <w:t xml:space="preserve">and rights should be addressed to Commonwealth Copyright Administration, Attorney-General's </w:t>
      </w:r>
      <w:r>
        <w:rPr>
          <w:rFonts w:cs="Garamond"/>
          <w:color w:val="000000"/>
          <w:sz w:val="20"/>
          <w:lang w:eastAsia="zh-TW"/>
        </w:rPr>
        <w:t xml:space="preserve">Department, </w:t>
      </w:r>
      <w:r w:rsidRPr="00954246">
        <w:rPr>
          <w:rFonts w:cs="Garamond"/>
          <w:color w:val="000000"/>
          <w:sz w:val="20"/>
          <w:lang w:eastAsia="zh-TW"/>
        </w:rPr>
        <w:t xml:space="preserve">Robert Garran Offices, National Circuit, Barton ACT 2600 or posted at </w:t>
      </w:r>
      <w:hyperlink r:id="rId10" w:tooltip="web link to Attorney-General's Department" w:history="1">
        <w:r w:rsidRPr="007378F3">
          <w:rPr>
            <w:rStyle w:val="Hyperlink"/>
            <w:rFonts w:cs="Garamond"/>
            <w:sz w:val="20"/>
            <w:lang w:eastAsia="zh-TW"/>
          </w:rPr>
          <w:t>http://www.ag.gov.au/cca</w:t>
        </w:r>
      </w:hyperlink>
    </w:p>
    <w:p w:rsidR="00386514" w:rsidRDefault="00386514" w:rsidP="0006743B">
      <w:pPr>
        <w:autoSpaceDE w:val="0"/>
        <w:autoSpaceDN w:val="0"/>
        <w:adjustRightInd w:val="0"/>
        <w:spacing w:after="0"/>
        <w:ind w:left="0"/>
        <w:rPr>
          <w:rFonts w:cs="Garamond"/>
          <w:color w:val="000000"/>
          <w:sz w:val="20"/>
          <w:lang w:eastAsia="zh-TW"/>
        </w:rPr>
      </w:pPr>
    </w:p>
    <w:p w:rsidR="00786914" w:rsidRPr="00386514" w:rsidRDefault="00386514" w:rsidP="0006743B">
      <w:pPr>
        <w:autoSpaceDE w:val="0"/>
        <w:autoSpaceDN w:val="0"/>
        <w:adjustRightInd w:val="0"/>
        <w:spacing w:after="0"/>
        <w:ind w:left="0"/>
        <w:rPr>
          <w:rFonts w:cs="Garamond"/>
          <w:color w:val="000000"/>
          <w:sz w:val="20"/>
          <w:lang w:eastAsia="zh-TW"/>
        </w:rPr>
      </w:pPr>
      <w:r>
        <w:rPr>
          <w:rFonts w:cs="Garamond"/>
          <w:color w:val="000000"/>
          <w:sz w:val="20"/>
          <w:lang w:eastAsia="zh-TW"/>
        </w:rPr>
        <w:t>Electro</w:t>
      </w:r>
      <w:r w:rsidR="00786914" w:rsidRPr="004D57B3">
        <w:rPr>
          <w:rFonts w:cs="Garamond"/>
          <w:color w:val="000000"/>
          <w:sz w:val="20"/>
          <w:lang w:eastAsia="zh-TW"/>
        </w:rPr>
        <w:t>nic copies of the report can be obtained from the Medical Service Advisory Committee’s Internet site at</w:t>
      </w:r>
      <w:r>
        <w:rPr>
          <w:rFonts w:cs="Garamond"/>
          <w:color w:val="000000"/>
          <w:sz w:val="20"/>
          <w:lang w:eastAsia="zh-TW"/>
        </w:rPr>
        <w:t xml:space="preserve"> </w:t>
      </w:r>
      <w:hyperlink r:id="rId11" w:tooltip="This link is to the Medical Services Advisory Website" w:history="1">
        <w:r w:rsidRPr="00FE236E">
          <w:rPr>
            <w:rStyle w:val="Hyperlink"/>
            <w:rFonts w:cs="Garamond"/>
            <w:sz w:val="20"/>
            <w:lang w:eastAsia="zh-TW"/>
          </w:rPr>
          <w:t>http://www.msac.gov.au</w:t>
        </w:r>
      </w:hyperlink>
      <w:r>
        <w:rPr>
          <w:rFonts w:cs="Garamond"/>
          <w:color w:val="000000"/>
          <w:sz w:val="20"/>
          <w:lang w:eastAsia="zh-TW"/>
        </w:rPr>
        <w:t xml:space="preserve"> </w:t>
      </w:r>
    </w:p>
    <w:p w:rsidR="00786914" w:rsidRDefault="00786914" w:rsidP="0006743B">
      <w:pPr>
        <w:autoSpaceDE w:val="0"/>
        <w:autoSpaceDN w:val="0"/>
        <w:adjustRightInd w:val="0"/>
        <w:spacing w:after="0"/>
        <w:ind w:left="0"/>
        <w:rPr>
          <w:rFonts w:cs="Garamond"/>
          <w:color w:val="000000"/>
          <w:sz w:val="20"/>
          <w:lang w:eastAsia="zh-TW"/>
        </w:rPr>
      </w:pPr>
    </w:p>
    <w:p w:rsidR="00786914" w:rsidRPr="004D57B3" w:rsidRDefault="00786914" w:rsidP="0006743B">
      <w:pPr>
        <w:autoSpaceDE w:val="0"/>
        <w:autoSpaceDN w:val="0"/>
        <w:adjustRightInd w:val="0"/>
        <w:spacing w:after="0"/>
        <w:ind w:left="0"/>
        <w:rPr>
          <w:rFonts w:cs="Garamond"/>
          <w:color w:val="000000"/>
          <w:sz w:val="20"/>
          <w:lang w:eastAsia="zh-TW"/>
        </w:rPr>
      </w:pPr>
      <w:r w:rsidRPr="004D57B3">
        <w:rPr>
          <w:rFonts w:cs="Garamond"/>
          <w:color w:val="000000"/>
          <w:sz w:val="20"/>
          <w:lang w:eastAsia="zh-TW"/>
        </w:rPr>
        <w:t>Enquiries about the content of the report should be directed to the above address.</w:t>
      </w:r>
    </w:p>
    <w:p w:rsidR="00786914" w:rsidRPr="004D57B3" w:rsidRDefault="00786914" w:rsidP="0006743B">
      <w:pPr>
        <w:autoSpaceDE w:val="0"/>
        <w:autoSpaceDN w:val="0"/>
        <w:adjustRightInd w:val="0"/>
        <w:spacing w:after="0"/>
        <w:ind w:left="0"/>
        <w:rPr>
          <w:rFonts w:cs="Garamond"/>
          <w:color w:val="000000"/>
          <w:sz w:val="20"/>
          <w:lang w:eastAsia="zh-TW"/>
        </w:rPr>
      </w:pPr>
    </w:p>
    <w:p w:rsidR="00786914" w:rsidRPr="004D57B3" w:rsidRDefault="007C5D64" w:rsidP="0006743B">
      <w:pPr>
        <w:autoSpaceDE w:val="0"/>
        <w:autoSpaceDN w:val="0"/>
        <w:adjustRightInd w:val="0"/>
        <w:spacing w:after="0"/>
        <w:ind w:left="0"/>
        <w:rPr>
          <w:rFonts w:cs="Garamond"/>
          <w:color w:val="000000"/>
          <w:sz w:val="20"/>
          <w:lang w:eastAsia="zh-TW"/>
        </w:rPr>
      </w:pPr>
      <w:r>
        <w:rPr>
          <w:rFonts w:cs="Garamond"/>
          <w:color w:val="000000"/>
          <w:sz w:val="20"/>
          <w:lang w:eastAsia="zh-TW"/>
        </w:rPr>
        <w:t xml:space="preserve">This report is a </w:t>
      </w:r>
      <w:r w:rsidR="00B66ED0">
        <w:rPr>
          <w:rFonts w:cs="Garamond"/>
          <w:color w:val="000000"/>
          <w:sz w:val="20"/>
          <w:lang w:eastAsia="zh-TW"/>
        </w:rPr>
        <w:t xml:space="preserve">contracted </w:t>
      </w:r>
      <w:r>
        <w:rPr>
          <w:rFonts w:cs="Garamond"/>
          <w:color w:val="000000"/>
          <w:sz w:val="20"/>
          <w:lang w:eastAsia="zh-TW"/>
        </w:rPr>
        <w:t>technical report for use by t</w:t>
      </w:r>
      <w:r w:rsidRPr="004D57B3">
        <w:rPr>
          <w:rFonts w:cs="Garamond"/>
          <w:color w:val="000000"/>
          <w:sz w:val="20"/>
          <w:lang w:eastAsia="zh-TW"/>
        </w:rPr>
        <w:t xml:space="preserve">he </w:t>
      </w:r>
      <w:r w:rsidR="00786914" w:rsidRPr="004D57B3">
        <w:rPr>
          <w:rFonts w:cs="Garamond"/>
          <w:color w:val="000000"/>
          <w:sz w:val="20"/>
          <w:lang w:eastAsia="zh-TW"/>
        </w:rPr>
        <w:t>Medical Services Advisory Committee (MSAC)</w:t>
      </w:r>
      <w:r w:rsidR="00D014D9">
        <w:rPr>
          <w:rFonts w:cs="Garamond"/>
          <w:color w:val="000000"/>
          <w:sz w:val="20"/>
          <w:lang w:eastAsia="zh-TW"/>
        </w:rPr>
        <w:t xml:space="preserve"> </w:t>
      </w:r>
      <w:r w:rsidR="00B66ED0">
        <w:rPr>
          <w:rFonts w:cs="Garamond"/>
          <w:color w:val="000000"/>
          <w:sz w:val="20"/>
          <w:lang w:eastAsia="zh-TW"/>
        </w:rPr>
        <w:t>to inform</w:t>
      </w:r>
      <w:r w:rsidR="00D014D9">
        <w:rPr>
          <w:rFonts w:cs="Garamond"/>
          <w:color w:val="000000"/>
          <w:sz w:val="20"/>
          <w:lang w:eastAsia="zh-TW"/>
        </w:rPr>
        <w:t xml:space="preserve"> its deliberations</w:t>
      </w:r>
      <w:r>
        <w:rPr>
          <w:rFonts w:cs="Garamond"/>
          <w:color w:val="000000"/>
          <w:sz w:val="20"/>
          <w:lang w:eastAsia="zh-TW"/>
        </w:rPr>
        <w:t>.  MSAC</w:t>
      </w:r>
      <w:r w:rsidR="00786914" w:rsidRPr="004D57B3">
        <w:rPr>
          <w:rFonts w:cs="Garamond"/>
          <w:color w:val="000000"/>
          <w:sz w:val="20"/>
          <w:lang w:eastAsia="zh-TW"/>
        </w:rPr>
        <w:t xml:space="preserve"> is an independent committee which has been established to provide advice to the Minister for Health and Ageing on the strength of evidence available on new and existing medical technologies and procedures in terms of their safety, effectiveness and cost-effectiveness. This advice will help to inform government decisions about which medical services should attract funding under Medicare.</w:t>
      </w:r>
    </w:p>
    <w:p w:rsidR="00786914" w:rsidRPr="004D57B3" w:rsidRDefault="00786914" w:rsidP="0006743B">
      <w:pPr>
        <w:autoSpaceDE w:val="0"/>
        <w:autoSpaceDN w:val="0"/>
        <w:adjustRightInd w:val="0"/>
        <w:spacing w:after="0"/>
        <w:ind w:left="0"/>
        <w:rPr>
          <w:rFonts w:cs="Garamond"/>
          <w:color w:val="000000"/>
          <w:sz w:val="20"/>
          <w:lang w:eastAsia="zh-TW"/>
        </w:rPr>
      </w:pPr>
    </w:p>
    <w:p w:rsidR="00786914" w:rsidRPr="00F77211" w:rsidRDefault="00786914" w:rsidP="0006743B">
      <w:pPr>
        <w:autoSpaceDE w:val="0"/>
        <w:autoSpaceDN w:val="0"/>
        <w:adjustRightInd w:val="0"/>
        <w:spacing w:after="0"/>
        <w:ind w:left="0"/>
        <w:rPr>
          <w:rFonts w:cs="Garamond-Bold"/>
          <w:b/>
          <w:bCs/>
          <w:color w:val="000000"/>
          <w:sz w:val="20"/>
          <w:u w:val="single"/>
          <w:lang w:eastAsia="zh-TW"/>
        </w:rPr>
      </w:pPr>
      <w:r w:rsidRPr="00F77211">
        <w:rPr>
          <w:rFonts w:cs="Garamond-Bold"/>
          <w:b/>
          <w:bCs/>
          <w:color w:val="000000"/>
          <w:sz w:val="20"/>
          <w:u w:val="single"/>
          <w:lang w:eastAsia="zh-TW"/>
        </w:rPr>
        <w:t>MSAC’s advice does not necessarily reflect the views of all individuals who participated in the MSAC evaluation.</w:t>
      </w:r>
    </w:p>
    <w:p w:rsidR="00786914" w:rsidRPr="004D57B3" w:rsidRDefault="00786914" w:rsidP="0006743B">
      <w:pPr>
        <w:autoSpaceDE w:val="0"/>
        <w:autoSpaceDN w:val="0"/>
        <w:adjustRightInd w:val="0"/>
        <w:spacing w:after="0"/>
        <w:ind w:left="0"/>
        <w:rPr>
          <w:rFonts w:cs="Garamond-Bold"/>
          <w:b/>
          <w:bCs/>
          <w:color w:val="000000"/>
          <w:sz w:val="20"/>
          <w:lang w:eastAsia="zh-TW"/>
        </w:rPr>
      </w:pPr>
    </w:p>
    <w:p w:rsidR="00786914" w:rsidRDefault="00786914" w:rsidP="0006743B">
      <w:pPr>
        <w:spacing w:after="0"/>
        <w:ind w:left="0"/>
        <w:rPr>
          <w:rFonts w:ascii="Times New Roman" w:hAnsi="Times New Roman"/>
          <w:noProof/>
          <w:color w:val="1F497D"/>
          <w:sz w:val="20"/>
        </w:rPr>
      </w:pPr>
      <w:r w:rsidRPr="004D57B3">
        <w:rPr>
          <w:sz w:val="20"/>
        </w:rPr>
        <w:t>This</w:t>
      </w:r>
      <w:r w:rsidR="00D014D9">
        <w:rPr>
          <w:sz w:val="20"/>
        </w:rPr>
        <w:t xml:space="preserve"> </w:t>
      </w:r>
      <w:r w:rsidRPr="004D57B3">
        <w:rPr>
          <w:sz w:val="20"/>
        </w:rPr>
        <w:t xml:space="preserve">report was prepared </w:t>
      </w:r>
      <w:r w:rsidR="00766F46">
        <w:rPr>
          <w:sz w:val="20"/>
        </w:rPr>
        <w:t xml:space="preserve">for MSAC </w:t>
      </w:r>
      <w:r w:rsidRPr="004D57B3">
        <w:rPr>
          <w:sz w:val="20"/>
        </w:rPr>
        <w:t xml:space="preserve">by </w:t>
      </w:r>
      <w:r>
        <w:rPr>
          <w:sz w:val="20"/>
        </w:rPr>
        <w:t>Anna Stoklosa, Sally Wortley, Toby Gould, Martin Flattery and Samara Lewis</w:t>
      </w:r>
      <w:r w:rsidRPr="004D57B3">
        <w:rPr>
          <w:sz w:val="20"/>
        </w:rPr>
        <w:t xml:space="preserve"> from the NHMRC Clinical Trials Centre with the assistance of </w:t>
      </w:r>
      <w:r w:rsidR="0060232D">
        <w:rPr>
          <w:sz w:val="20"/>
        </w:rPr>
        <w:t xml:space="preserve">the </w:t>
      </w:r>
      <w:r w:rsidR="00532456">
        <w:rPr>
          <w:sz w:val="20"/>
        </w:rPr>
        <w:t xml:space="preserve">Health </w:t>
      </w:r>
      <w:r w:rsidR="00A07985">
        <w:rPr>
          <w:sz w:val="20"/>
        </w:rPr>
        <w:t xml:space="preserve">Expert Standing Panel. </w:t>
      </w:r>
      <w:r w:rsidRPr="004D57B3">
        <w:rPr>
          <w:sz w:val="20"/>
        </w:rPr>
        <w:t xml:space="preserve"> The report was commissioned by the Department of Health and Ageing on behalf of MSAC. It was edited by </w:t>
      </w:r>
      <w:r w:rsidRPr="004D57B3">
        <w:rPr>
          <w:noProof/>
          <w:color w:val="000000"/>
          <w:sz w:val="20"/>
        </w:rPr>
        <w:t>Louise Scahill of WordFix</w:t>
      </w:r>
      <w:r w:rsidRPr="004D57B3">
        <w:rPr>
          <w:noProof/>
          <w:color w:val="000080"/>
          <w:sz w:val="20"/>
        </w:rPr>
        <w:t>.</w:t>
      </w:r>
    </w:p>
    <w:p w:rsidR="00786914" w:rsidRDefault="00786914" w:rsidP="0006743B">
      <w:pPr>
        <w:spacing w:after="0"/>
        <w:ind w:left="0"/>
        <w:rPr>
          <w:rFonts w:cs="Humanist521BT-Roman"/>
          <w:color w:val="231F20"/>
          <w:sz w:val="20"/>
        </w:rPr>
      </w:pPr>
    </w:p>
    <w:p w:rsidR="00786914" w:rsidRPr="00652A93" w:rsidRDefault="00786914" w:rsidP="0006743B">
      <w:pPr>
        <w:spacing w:after="0"/>
        <w:ind w:left="0"/>
        <w:rPr>
          <w:rFonts w:ascii="Times New Roman" w:hAnsi="Times New Roman"/>
          <w:noProof/>
          <w:color w:val="1F497D"/>
          <w:sz w:val="20"/>
        </w:rPr>
      </w:pPr>
      <w:r w:rsidRPr="004D57B3">
        <w:rPr>
          <w:rFonts w:cs="Humanist521BT-Roman"/>
          <w:color w:val="231F20"/>
          <w:sz w:val="20"/>
        </w:rPr>
        <w:t>This report should be referenced as follows:</w:t>
      </w:r>
    </w:p>
    <w:p w:rsidR="00786914" w:rsidRPr="004D57B3" w:rsidRDefault="00D40A83" w:rsidP="0006743B">
      <w:pPr>
        <w:autoSpaceDE w:val="0"/>
        <w:autoSpaceDN w:val="0"/>
        <w:adjustRightInd w:val="0"/>
        <w:spacing w:after="0"/>
        <w:ind w:left="0"/>
        <w:rPr>
          <w:rFonts w:cs="Humanist521BT-Roman"/>
          <w:color w:val="231F20"/>
          <w:sz w:val="20"/>
        </w:rPr>
      </w:pPr>
      <w:r>
        <w:rPr>
          <w:rFonts w:cs="Humanist521BT-Roman"/>
          <w:color w:val="231F20"/>
          <w:sz w:val="20"/>
        </w:rPr>
        <w:t>Stoklosa</w:t>
      </w:r>
      <w:r w:rsidR="0060232D">
        <w:rPr>
          <w:rFonts w:cs="Humanist521BT-Roman"/>
          <w:color w:val="231F20"/>
          <w:sz w:val="20"/>
        </w:rPr>
        <w:t xml:space="preserve"> </w:t>
      </w:r>
      <w:r>
        <w:rPr>
          <w:rFonts w:cs="Humanist521BT-Roman"/>
          <w:color w:val="231F20"/>
          <w:sz w:val="20"/>
        </w:rPr>
        <w:t>A</w:t>
      </w:r>
      <w:r w:rsidR="0060232D">
        <w:rPr>
          <w:rFonts w:cs="Humanist521BT-Roman"/>
          <w:color w:val="231F20"/>
          <w:sz w:val="20"/>
        </w:rPr>
        <w:t xml:space="preserve">, </w:t>
      </w:r>
      <w:r>
        <w:rPr>
          <w:rFonts w:cs="Humanist521BT-Roman"/>
          <w:color w:val="231F20"/>
          <w:sz w:val="20"/>
        </w:rPr>
        <w:t>Wortley S</w:t>
      </w:r>
      <w:r w:rsidR="0060232D">
        <w:rPr>
          <w:rFonts w:cs="Humanist521BT-Roman"/>
          <w:color w:val="231F20"/>
          <w:sz w:val="20"/>
        </w:rPr>
        <w:t xml:space="preserve">, </w:t>
      </w:r>
      <w:r w:rsidR="0060232D" w:rsidRPr="004D57B3">
        <w:rPr>
          <w:rFonts w:cs="Humanist521BT-Roman"/>
          <w:color w:val="231F20"/>
          <w:sz w:val="20"/>
        </w:rPr>
        <w:t>Lewis S</w:t>
      </w:r>
      <w:r w:rsidR="0060232D">
        <w:rPr>
          <w:rFonts w:cs="Humanist521BT-Roman"/>
          <w:color w:val="231F20"/>
          <w:sz w:val="20"/>
        </w:rPr>
        <w:t>,2</w:t>
      </w:r>
      <w:r w:rsidR="0060232D" w:rsidRPr="004D57B3">
        <w:rPr>
          <w:rFonts w:cs="Humanist521BT-Roman"/>
          <w:color w:val="231F20"/>
          <w:sz w:val="20"/>
        </w:rPr>
        <w:t>01</w:t>
      </w:r>
      <w:r w:rsidR="0060232D">
        <w:rPr>
          <w:rFonts w:cs="Humanist521BT-Roman"/>
          <w:color w:val="231F20"/>
          <w:sz w:val="20"/>
        </w:rPr>
        <w:t xml:space="preserve">2, </w:t>
      </w:r>
      <w:r>
        <w:rPr>
          <w:rFonts w:cs="Humanist521BT-Roman"/>
          <w:color w:val="231F20"/>
          <w:sz w:val="20"/>
        </w:rPr>
        <w:t xml:space="preserve">Gould T, Flattery M </w:t>
      </w:r>
      <w:r w:rsidR="00786914">
        <w:rPr>
          <w:rFonts w:cs="Humanist521BT-Roman"/>
          <w:color w:val="231F20"/>
          <w:sz w:val="20"/>
        </w:rPr>
        <w:t>,</w:t>
      </w:r>
      <w:r w:rsidR="0060232D">
        <w:rPr>
          <w:rFonts w:cs="Humanist521BT-Roman"/>
          <w:color w:val="231F20"/>
          <w:sz w:val="20"/>
        </w:rPr>
        <w:t xml:space="preserve"> </w:t>
      </w:r>
      <w:r w:rsidR="00786914" w:rsidRPr="00E46319">
        <w:rPr>
          <w:i/>
          <w:sz w:val="20"/>
        </w:rPr>
        <w:t>Holmium:YAG Laser Enucleation of the Prostate (HoLEP) for the treatment of Benign Prostatic Hyperplasia</w:t>
      </w:r>
      <w:r w:rsidR="00786914" w:rsidRPr="006F775C">
        <w:rPr>
          <w:sz w:val="20"/>
        </w:rPr>
        <w:t>.</w:t>
      </w:r>
      <w:r w:rsidR="00786914">
        <w:rPr>
          <w:sz w:val="20"/>
        </w:rPr>
        <w:t xml:space="preserve"> </w:t>
      </w:r>
      <w:r w:rsidR="00786914" w:rsidRPr="004D57B3">
        <w:rPr>
          <w:rFonts w:cs="Humanist521BT-Roman"/>
          <w:color w:val="231F20"/>
          <w:sz w:val="20"/>
        </w:rPr>
        <w:t>MSAC</w:t>
      </w:r>
      <w:r w:rsidR="00786914">
        <w:rPr>
          <w:rFonts w:cs="Humanist521BT-Roman"/>
          <w:color w:val="231F20"/>
          <w:sz w:val="20"/>
        </w:rPr>
        <w:t xml:space="preserve"> </w:t>
      </w:r>
      <w:r w:rsidR="00786914" w:rsidRPr="004D57B3">
        <w:rPr>
          <w:rFonts w:cs="Humanist521BT-Roman"/>
          <w:color w:val="231F20"/>
          <w:sz w:val="20"/>
        </w:rPr>
        <w:t>Application 114</w:t>
      </w:r>
      <w:r w:rsidR="00786914">
        <w:rPr>
          <w:rFonts w:cs="Humanist521BT-Roman"/>
          <w:color w:val="231F20"/>
          <w:sz w:val="20"/>
        </w:rPr>
        <w:t>9</w:t>
      </w:r>
      <w:r w:rsidR="00786914">
        <w:rPr>
          <w:rFonts w:cs="Humanist521BT-Italic"/>
          <w:iCs/>
          <w:color w:val="231F20"/>
          <w:sz w:val="20"/>
        </w:rPr>
        <w:t>,</w:t>
      </w:r>
      <w:r w:rsidR="00786914" w:rsidRPr="004D57B3">
        <w:rPr>
          <w:rFonts w:cs="Humanist521BT-Italic"/>
          <w:iCs/>
          <w:color w:val="231F20"/>
          <w:sz w:val="20"/>
        </w:rPr>
        <w:t xml:space="preserve"> Assessment Report</w:t>
      </w:r>
      <w:r w:rsidR="00786914" w:rsidRPr="004D57B3">
        <w:rPr>
          <w:rFonts w:cs="Humanist521BT-Roman"/>
          <w:color w:val="231F20"/>
          <w:sz w:val="20"/>
        </w:rPr>
        <w:t>. Commonwealth of Australia, Canberra, ACT.</w:t>
      </w:r>
    </w:p>
    <w:p w:rsidR="00786914" w:rsidRPr="004D57B3" w:rsidRDefault="00786914" w:rsidP="0006743B">
      <w:pPr>
        <w:autoSpaceDE w:val="0"/>
        <w:autoSpaceDN w:val="0"/>
        <w:adjustRightInd w:val="0"/>
        <w:spacing w:after="0"/>
        <w:ind w:left="0"/>
        <w:rPr>
          <w:rFonts w:cs="Humanist521BT-Roman"/>
          <w:color w:val="231F20"/>
          <w:sz w:val="20"/>
        </w:rPr>
      </w:pPr>
    </w:p>
    <w:p w:rsidR="00786914" w:rsidRDefault="00786914" w:rsidP="0006743B">
      <w:pPr>
        <w:ind w:left="0"/>
        <w:rPr>
          <w:i/>
          <w:sz w:val="20"/>
        </w:rPr>
      </w:pPr>
      <w:r w:rsidRPr="006E23E7">
        <w:rPr>
          <w:rFonts w:cs="Garamond"/>
          <w:b/>
          <w:color w:val="000000"/>
          <w:sz w:val="20"/>
          <w:lang w:eastAsia="zh-TW"/>
        </w:rPr>
        <w:t>Publication approval number</w:t>
      </w:r>
      <w:r w:rsidRPr="004C6B15">
        <w:rPr>
          <w:sz w:val="20"/>
        </w:rPr>
        <w:t xml:space="preserve">: </w:t>
      </w:r>
      <w:r w:rsidR="00386514" w:rsidRPr="00386514">
        <w:rPr>
          <w:rFonts w:cs="Garamond"/>
          <w:color w:val="000000"/>
          <w:sz w:val="20"/>
          <w:lang w:eastAsia="zh-TW"/>
        </w:rPr>
        <w:t>D0898</w:t>
      </w:r>
    </w:p>
    <w:p w:rsidR="00786914" w:rsidRDefault="00786914">
      <w:pPr>
        <w:rPr>
          <w:i/>
          <w:sz w:val="12"/>
        </w:rPr>
      </w:pPr>
    </w:p>
    <w:p w:rsidR="00786914" w:rsidRDefault="00786914">
      <w:pPr>
        <w:rPr>
          <w:i/>
          <w:sz w:val="12"/>
        </w:rPr>
      </w:pPr>
    </w:p>
    <w:p w:rsidR="00786914" w:rsidRPr="00776777" w:rsidRDefault="00786914" w:rsidP="0006743B">
      <w:pPr>
        <w:pStyle w:val="Heading1"/>
      </w:pPr>
      <w:bookmarkStart w:id="0" w:name="_Toc192054741"/>
      <w:bookmarkStart w:id="1" w:name="_Toc206489930"/>
      <w:bookmarkStart w:id="2" w:name="_Toc206494639"/>
      <w:bookmarkStart w:id="3" w:name="_Toc323642261"/>
      <w:bookmarkStart w:id="4" w:name="_Toc327877769"/>
      <w:bookmarkStart w:id="5" w:name="_Toc327880196"/>
      <w:bookmarkStart w:id="6" w:name="_Toc365900553"/>
      <w:r w:rsidRPr="00776777">
        <w:lastRenderedPageBreak/>
        <w:t>Contents</w:t>
      </w:r>
      <w:bookmarkEnd w:id="0"/>
      <w:bookmarkEnd w:id="1"/>
      <w:bookmarkEnd w:id="2"/>
      <w:bookmarkEnd w:id="3"/>
      <w:bookmarkEnd w:id="4"/>
      <w:bookmarkEnd w:id="5"/>
      <w:bookmarkEnd w:id="6"/>
    </w:p>
    <w:sdt>
      <w:sdtPr>
        <w:rPr>
          <w:b w:val="0"/>
          <w:bCs/>
          <w:noProof w:val="0"/>
        </w:rPr>
        <w:id w:val="90496924"/>
        <w:docPartObj>
          <w:docPartGallery w:val="Table of Contents"/>
          <w:docPartUnique/>
        </w:docPartObj>
      </w:sdtPr>
      <w:sdtEndPr>
        <w:rPr>
          <w:bCs w:val="0"/>
        </w:rPr>
      </w:sdtEndPr>
      <w:sdtContent>
        <w:p w:rsidR="00AE6E57" w:rsidRDefault="00F0137E">
          <w:pPr>
            <w:pStyle w:val="TOC1"/>
            <w:rPr>
              <w:rFonts w:asciiTheme="minorHAnsi" w:eastAsiaTheme="minorEastAsia" w:hAnsiTheme="minorHAnsi" w:cstheme="minorBidi"/>
              <w:b w:val="0"/>
              <w:sz w:val="22"/>
              <w:szCs w:val="22"/>
            </w:rPr>
          </w:pPr>
          <w:r>
            <w:rPr>
              <w:rFonts w:asciiTheme="majorHAnsi" w:eastAsiaTheme="majorEastAsia" w:hAnsiTheme="majorHAnsi" w:cstheme="majorBidi"/>
              <w:bCs/>
              <w:color w:val="365F91" w:themeColor="accent1" w:themeShade="BF"/>
              <w:sz w:val="28"/>
              <w:szCs w:val="28"/>
              <w:lang w:val="en-US" w:eastAsia="en-US"/>
            </w:rPr>
            <w:fldChar w:fldCharType="begin"/>
          </w:r>
          <w:r w:rsidR="00786914">
            <w:instrText xml:space="preserve"> TOC \o "1-3" \h \z \u </w:instrText>
          </w:r>
          <w:r>
            <w:rPr>
              <w:rFonts w:asciiTheme="majorHAnsi" w:eastAsiaTheme="majorEastAsia" w:hAnsiTheme="majorHAnsi" w:cstheme="majorBidi"/>
              <w:bCs/>
              <w:color w:val="365F91" w:themeColor="accent1" w:themeShade="BF"/>
              <w:sz w:val="28"/>
              <w:szCs w:val="28"/>
              <w:lang w:val="en-US" w:eastAsia="en-US"/>
            </w:rPr>
            <w:fldChar w:fldCharType="separate"/>
          </w:r>
          <w:hyperlink w:anchor="_Toc365900553" w:history="1">
            <w:r w:rsidR="00AE6E57" w:rsidRPr="004F6E7D">
              <w:rPr>
                <w:rStyle w:val="Hyperlink"/>
              </w:rPr>
              <w:t>Contents</w:t>
            </w:r>
            <w:r w:rsidR="00AE6E57">
              <w:rPr>
                <w:webHidden/>
              </w:rPr>
              <w:tab/>
            </w:r>
            <w:r w:rsidR="00AE6E57">
              <w:rPr>
                <w:webHidden/>
              </w:rPr>
              <w:fldChar w:fldCharType="begin"/>
            </w:r>
            <w:r w:rsidR="00AE6E57">
              <w:rPr>
                <w:webHidden/>
              </w:rPr>
              <w:instrText xml:space="preserve"> PAGEREF _Toc365900553 \h </w:instrText>
            </w:r>
            <w:r w:rsidR="00AE6E57">
              <w:rPr>
                <w:webHidden/>
              </w:rPr>
            </w:r>
            <w:r w:rsidR="00AE6E57">
              <w:rPr>
                <w:webHidden/>
              </w:rPr>
              <w:fldChar w:fldCharType="separate"/>
            </w:r>
            <w:r w:rsidR="00AE6E57">
              <w:rPr>
                <w:webHidden/>
              </w:rPr>
              <w:t>iii</w:t>
            </w:r>
            <w:r w:rsidR="00AE6E57">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54" w:history="1">
            <w:r w:rsidRPr="004F6E7D">
              <w:rPr>
                <w:rStyle w:val="Hyperlink"/>
              </w:rPr>
              <w:t>Executive summary</w:t>
            </w:r>
            <w:r>
              <w:rPr>
                <w:webHidden/>
              </w:rPr>
              <w:tab/>
            </w:r>
            <w:r>
              <w:rPr>
                <w:webHidden/>
              </w:rPr>
              <w:fldChar w:fldCharType="begin"/>
            </w:r>
            <w:r>
              <w:rPr>
                <w:webHidden/>
              </w:rPr>
              <w:instrText xml:space="preserve"> PAGEREF _Toc365900554 \h </w:instrText>
            </w:r>
            <w:r>
              <w:rPr>
                <w:webHidden/>
              </w:rPr>
            </w:r>
            <w:r>
              <w:rPr>
                <w:webHidden/>
              </w:rPr>
              <w:fldChar w:fldCharType="separate"/>
            </w:r>
            <w:r>
              <w:rPr>
                <w:webHidden/>
              </w:rPr>
              <w:t>viii</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55" w:history="1">
            <w:r w:rsidRPr="004F6E7D">
              <w:rPr>
                <w:rStyle w:val="Hyperlink"/>
              </w:rPr>
              <w:t>Assessment of holmium:YAG laser enucleation of the prostate</w:t>
            </w:r>
            <w:r>
              <w:rPr>
                <w:webHidden/>
              </w:rPr>
              <w:tab/>
            </w:r>
            <w:r>
              <w:rPr>
                <w:webHidden/>
              </w:rPr>
              <w:fldChar w:fldCharType="begin"/>
            </w:r>
            <w:r>
              <w:rPr>
                <w:webHidden/>
              </w:rPr>
              <w:instrText xml:space="preserve"> PAGEREF _Toc365900555 \h </w:instrText>
            </w:r>
            <w:r>
              <w:rPr>
                <w:webHidden/>
              </w:rPr>
            </w:r>
            <w:r>
              <w:rPr>
                <w:webHidden/>
              </w:rPr>
              <w:fldChar w:fldCharType="separate"/>
            </w:r>
            <w:r>
              <w:rPr>
                <w:webHidden/>
              </w:rPr>
              <w:t>viii</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56" w:history="1">
            <w:r w:rsidRPr="004F6E7D">
              <w:rPr>
                <w:rStyle w:val="Hyperlink"/>
              </w:rPr>
              <w:t>Comparative safety</w:t>
            </w:r>
            <w:r>
              <w:rPr>
                <w:webHidden/>
              </w:rPr>
              <w:tab/>
            </w:r>
            <w:r>
              <w:rPr>
                <w:webHidden/>
              </w:rPr>
              <w:fldChar w:fldCharType="begin"/>
            </w:r>
            <w:r>
              <w:rPr>
                <w:webHidden/>
              </w:rPr>
              <w:instrText xml:space="preserve"> PAGEREF _Toc365900556 \h </w:instrText>
            </w:r>
            <w:r>
              <w:rPr>
                <w:webHidden/>
              </w:rPr>
            </w:r>
            <w:r>
              <w:rPr>
                <w:webHidden/>
              </w:rPr>
              <w:fldChar w:fldCharType="separate"/>
            </w:r>
            <w:r>
              <w:rPr>
                <w:webHidden/>
              </w:rPr>
              <w:t>xv</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57" w:history="1">
            <w:r w:rsidRPr="004F6E7D">
              <w:rPr>
                <w:rStyle w:val="Hyperlink"/>
              </w:rPr>
              <w:t>Introduction</w:t>
            </w:r>
            <w:r>
              <w:rPr>
                <w:webHidden/>
              </w:rPr>
              <w:tab/>
            </w:r>
            <w:r>
              <w:rPr>
                <w:webHidden/>
              </w:rPr>
              <w:fldChar w:fldCharType="begin"/>
            </w:r>
            <w:r>
              <w:rPr>
                <w:webHidden/>
              </w:rPr>
              <w:instrText xml:space="preserve"> PAGEREF _Toc365900557 \h </w:instrText>
            </w:r>
            <w:r>
              <w:rPr>
                <w:webHidden/>
              </w:rPr>
            </w:r>
            <w:r>
              <w:rPr>
                <w:webHidden/>
              </w:rPr>
              <w:fldChar w:fldCharType="separate"/>
            </w:r>
            <w:r>
              <w:rPr>
                <w:webHidden/>
              </w:rPr>
              <w:t>1</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58" w:history="1">
            <w:r w:rsidRPr="004F6E7D">
              <w:rPr>
                <w:rStyle w:val="Hyperlink"/>
              </w:rPr>
              <w:t>Background</w:t>
            </w:r>
            <w:r>
              <w:rPr>
                <w:webHidden/>
              </w:rPr>
              <w:tab/>
            </w:r>
            <w:r>
              <w:rPr>
                <w:webHidden/>
              </w:rPr>
              <w:fldChar w:fldCharType="begin"/>
            </w:r>
            <w:r>
              <w:rPr>
                <w:webHidden/>
              </w:rPr>
              <w:instrText xml:space="preserve"> PAGEREF _Toc365900558 \h </w:instrText>
            </w:r>
            <w:r>
              <w:rPr>
                <w:webHidden/>
              </w:rPr>
            </w:r>
            <w:r>
              <w:rPr>
                <w:webHidden/>
              </w:rPr>
              <w:fldChar w:fldCharType="separate"/>
            </w:r>
            <w:r>
              <w:rPr>
                <w:webHidden/>
              </w:rPr>
              <w:t>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59" w:history="1">
            <w:r w:rsidRPr="004F6E7D">
              <w:rPr>
                <w:rStyle w:val="Hyperlink"/>
                <w:bCs/>
              </w:rPr>
              <w:t>Holmium: YAG laser enucleation of the prostate</w:t>
            </w:r>
            <w:r>
              <w:rPr>
                <w:webHidden/>
              </w:rPr>
              <w:tab/>
            </w:r>
            <w:r>
              <w:rPr>
                <w:webHidden/>
              </w:rPr>
              <w:fldChar w:fldCharType="begin"/>
            </w:r>
            <w:r>
              <w:rPr>
                <w:webHidden/>
              </w:rPr>
              <w:instrText xml:space="preserve"> PAGEREF _Toc365900559 \h </w:instrText>
            </w:r>
            <w:r>
              <w:rPr>
                <w:webHidden/>
              </w:rPr>
            </w:r>
            <w:r>
              <w:rPr>
                <w:webHidden/>
              </w:rPr>
              <w:fldChar w:fldCharType="separate"/>
            </w:r>
            <w:r>
              <w:rPr>
                <w:webHidden/>
              </w:rPr>
              <w:t>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0" w:history="1">
            <w:r w:rsidRPr="004F6E7D">
              <w:rPr>
                <w:rStyle w:val="Hyperlink"/>
                <w:bCs/>
              </w:rPr>
              <w:t>Existing procedures</w:t>
            </w:r>
            <w:r>
              <w:rPr>
                <w:webHidden/>
              </w:rPr>
              <w:tab/>
            </w:r>
            <w:r>
              <w:rPr>
                <w:webHidden/>
              </w:rPr>
              <w:fldChar w:fldCharType="begin"/>
            </w:r>
            <w:r>
              <w:rPr>
                <w:webHidden/>
              </w:rPr>
              <w:instrText xml:space="preserve"> PAGEREF _Toc365900560 \h </w:instrText>
            </w:r>
            <w:r>
              <w:rPr>
                <w:webHidden/>
              </w:rPr>
            </w:r>
            <w:r>
              <w:rPr>
                <w:webHidden/>
              </w:rPr>
              <w:fldChar w:fldCharType="separate"/>
            </w:r>
            <w:r>
              <w:rPr>
                <w:webHidden/>
              </w:rPr>
              <w:t>5</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1" w:history="1">
            <w:r w:rsidRPr="004F6E7D">
              <w:rPr>
                <w:rStyle w:val="Hyperlink"/>
                <w:bCs/>
              </w:rPr>
              <w:t>Marketing status of device</w:t>
            </w:r>
            <w:r>
              <w:rPr>
                <w:webHidden/>
              </w:rPr>
              <w:tab/>
            </w:r>
            <w:r>
              <w:rPr>
                <w:webHidden/>
              </w:rPr>
              <w:fldChar w:fldCharType="begin"/>
            </w:r>
            <w:r>
              <w:rPr>
                <w:webHidden/>
              </w:rPr>
              <w:instrText xml:space="preserve"> PAGEREF _Toc365900561 \h </w:instrText>
            </w:r>
            <w:r>
              <w:rPr>
                <w:webHidden/>
              </w:rPr>
            </w:r>
            <w:r>
              <w:rPr>
                <w:webHidden/>
              </w:rPr>
              <w:fldChar w:fldCharType="separate"/>
            </w:r>
            <w:r>
              <w:rPr>
                <w:webHidden/>
              </w:rPr>
              <w:t>7</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2" w:history="1">
            <w:r w:rsidRPr="004F6E7D">
              <w:rPr>
                <w:rStyle w:val="Hyperlink"/>
                <w:bCs/>
              </w:rPr>
              <w:t>Current reimbursement arrangements</w:t>
            </w:r>
            <w:r>
              <w:rPr>
                <w:webHidden/>
              </w:rPr>
              <w:tab/>
            </w:r>
            <w:r>
              <w:rPr>
                <w:webHidden/>
              </w:rPr>
              <w:fldChar w:fldCharType="begin"/>
            </w:r>
            <w:r>
              <w:rPr>
                <w:webHidden/>
              </w:rPr>
              <w:instrText xml:space="preserve"> PAGEREF _Toc365900562 \h </w:instrText>
            </w:r>
            <w:r>
              <w:rPr>
                <w:webHidden/>
              </w:rPr>
            </w:r>
            <w:r>
              <w:rPr>
                <w:webHidden/>
              </w:rPr>
              <w:fldChar w:fldCharType="separate"/>
            </w:r>
            <w:r>
              <w:rPr>
                <w:webHidden/>
              </w:rPr>
              <w:t>8</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63" w:history="1">
            <w:r w:rsidRPr="004F6E7D">
              <w:rPr>
                <w:rStyle w:val="Hyperlink"/>
              </w:rPr>
              <w:t>Approach to assessment</w:t>
            </w:r>
            <w:r>
              <w:rPr>
                <w:webHidden/>
              </w:rPr>
              <w:tab/>
            </w:r>
            <w:r>
              <w:rPr>
                <w:webHidden/>
              </w:rPr>
              <w:fldChar w:fldCharType="begin"/>
            </w:r>
            <w:r>
              <w:rPr>
                <w:webHidden/>
              </w:rPr>
              <w:instrText xml:space="preserve"> PAGEREF _Toc365900563 \h </w:instrText>
            </w:r>
            <w:r>
              <w:rPr>
                <w:webHidden/>
              </w:rPr>
            </w:r>
            <w:r>
              <w:rPr>
                <w:webHidden/>
              </w:rPr>
              <w:fldChar w:fldCharType="separate"/>
            </w:r>
            <w:r>
              <w:rPr>
                <w:webHidden/>
              </w:rPr>
              <w:t>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4" w:history="1">
            <w:r w:rsidRPr="004F6E7D">
              <w:rPr>
                <w:rStyle w:val="Hyperlink"/>
              </w:rPr>
              <w:t>Objective</w:t>
            </w:r>
            <w:r>
              <w:rPr>
                <w:webHidden/>
              </w:rPr>
              <w:tab/>
            </w:r>
            <w:r>
              <w:rPr>
                <w:webHidden/>
              </w:rPr>
              <w:fldChar w:fldCharType="begin"/>
            </w:r>
            <w:r>
              <w:rPr>
                <w:webHidden/>
              </w:rPr>
              <w:instrText xml:space="preserve"> PAGEREF _Toc365900564 \h </w:instrText>
            </w:r>
            <w:r>
              <w:rPr>
                <w:webHidden/>
              </w:rPr>
            </w:r>
            <w:r>
              <w:rPr>
                <w:webHidden/>
              </w:rPr>
              <w:fldChar w:fldCharType="separate"/>
            </w:r>
            <w:r>
              <w:rPr>
                <w:webHidden/>
              </w:rPr>
              <w:t>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5" w:history="1">
            <w:r w:rsidRPr="004F6E7D">
              <w:rPr>
                <w:rStyle w:val="Hyperlink"/>
              </w:rPr>
              <w:t>Clinical decision pathway</w:t>
            </w:r>
            <w:r>
              <w:rPr>
                <w:webHidden/>
              </w:rPr>
              <w:tab/>
            </w:r>
            <w:r>
              <w:rPr>
                <w:webHidden/>
              </w:rPr>
              <w:fldChar w:fldCharType="begin"/>
            </w:r>
            <w:r>
              <w:rPr>
                <w:webHidden/>
              </w:rPr>
              <w:instrText xml:space="preserve"> PAGEREF _Toc365900565 \h </w:instrText>
            </w:r>
            <w:r>
              <w:rPr>
                <w:webHidden/>
              </w:rPr>
            </w:r>
            <w:r>
              <w:rPr>
                <w:webHidden/>
              </w:rPr>
              <w:fldChar w:fldCharType="separate"/>
            </w:r>
            <w:r>
              <w:rPr>
                <w:webHidden/>
              </w:rPr>
              <w:t>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6" w:history="1">
            <w:r w:rsidRPr="004F6E7D">
              <w:rPr>
                <w:rStyle w:val="Hyperlink"/>
                <w:bCs/>
              </w:rPr>
              <w:t>Comparator</w:t>
            </w:r>
            <w:r>
              <w:rPr>
                <w:webHidden/>
              </w:rPr>
              <w:tab/>
            </w:r>
            <w:r>
              <w:rPr>
                <w:webHidden/>
              </w:rPr>
              <w:fldChar w:fldCharType="begin"/>
            </w:r>
            <w:r>
              <w:rPr>
                <w:webHidden/>
              </w:rPr>
              <w:instrText xml:space="preserve"> PAGEREF _Toc365900566 \h </w:instrText>
            </w:r>
            <w:r>
              <w:rPr>
                <w:webHidden/>
              </w:rPr>
            </w:r>
            <w:r>
              <w:rPr>
                <w:webHidden/>
              </w:rPr>
              <w:fldChar w:fldCharType="separate"/>
            </w:r>
            <w:r>
              <w:rPr>
                <w:webHidden/>
              </w:rPr>
              <w:t>10</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7" w:history="1">
            <w:r w:rsidRPr="004F6E7D">
              <w:rPr>
                <w:rStyle w:val="Hyperlink"/>
                <w:bCs/>
              </w:rPr>
              <w:t>Research questions (decision options)</w:t>
            </w:r>
            <w:r>
              <w:rPr>
                <w:webHidden/>
              </w:rPr>
              <w:tab/>
            </w:r>
            <w:r>
              <w:rPr>
                <w:webHidden/>
              </w:rPr>
              <w:fldChar w:fldCharType="begin"/>
            </w:r>
            <w:r>
              <w:rPr>
                <w:webHidden/>
              </w:rPr>
              <w:instrText xml:space="preserve"> PAGEREF _Toc365900567 \h </w:instrText>
            </w:r>
            <w:r>
              <w:rPr>
                <w:webHidden/>
              </w:rPr>
            </w:r>
            <w:r>
              <w:rPr>
                <w:webHidden/>
              </w:rPr>
              <w:fldChar w:fldCharType="separate"/>
            </w:r>
            <w:r>
              <w:rPr>
                <w:webHidden/>
              </w:rPr>
              <w:t>12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8" w:history="1">
            <w:r w:rsidRPr="004F6E7D">
              <w:rPr>
                <w:rStyle w:val="Hyperlink"/>
              </w:rPr>
              <w:t>Review of literature</w:t>
            </w:r>
            <w:r>
              <w:rPr>
                <w:webHidden/>
              </w:rPr>
              <w:tab/>
            </w:r>
            <w:r>
              <w:rPr>
                <w:webHidden/>
              </w:rPr>
              <w:fldChar w:fldCharType="begin"/>
            </w:r>
            <w:r>
              <w:rPr>
                <w:webHidden/>
              </w:rPr>
              <w:instrText xml:space="preserve"> PAGEREF _Toc365900568 \h </w:instrText>
            </w:r>
            <w:r>
              <w:rPr>
                <w:webHidden/>
              </w:rPr>
            </w:r>
            <w:r>
              <w:rPr>
                <w:webHidden/>
              </w:rPr>
              <w:fldChar w:fldCharType="separate"/>
            </w:r>
            <w:r>
              <w:rPr>
                <w:webHidden/>
              </w:rPr>
              <w:t>12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69" w:history="1">
            <w:r w:rsidRPr="004F6E7D">
              <w:rPr>
                <w:rStyle w:val="Hyperlink"/>
              </w:rPr>
              <w:t>Appraisal of the evidence</w:t>
            </w:r>
            <w:r>
              <w:rPr>
                <w:webHidden/>
              </w:rPr>
              <w:tab/>
            </w:r>
            <w:r>
              <w:rPr>
                <w:webHidden/>
              </w:rPr>
              <w:fldChar w:fldCharType="begin"/>
            </w:r>
            <w:r>
              <w:rPr>
                <w:webHidden/>
              </w:rPr>
              <w:instrText xml:space="preserve"> PAGEREF _Toc365900569 \h </w:instrText>
            </w:r>
            <w:r>
              <w:rPr>
                <w:webHidden/>
              </w:rPr>
            </w:r>
            <w:r>
              <w:rPr>
                <w:webHidden/>
              </w:rPr>
              <w:fldChar w:fldCharType="separate"/>
            </w:r>
            <w:r>
              <w:rPr>
                <w:webHidden/>
              </w:rPr>
              <w:t>15</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0" w:history="1">
            <w:r w:rsidRPr="004F6E7D">
              <w:rPr>
                <w:rStyle w:val="Hyperlink"/>
                <w:lang w:val="en-US"/>
              </w:rPr>
              <w:t>Assessment of the body of evidence</w:t>
            </w:r>
            <w:r>
              <w:rPr>
                <w:webHidden/>
              </w:rPr>
              <w:tab/>
            </w:r>
            <w:r>
              <w:rPr>
                <w:webHidden/>
              </w:rPr>
              <w:fldChar w:fldCharType="begin"/>
            </w:r>
            <w:r>
              <w:rPr>
                <w:webHidden/>
              </w:rPr>
              <w:instrText xml:space="preserve"> PAGEREF _Toc365900570 \h </w:instrText>
            </w:r>
            <w:r>
              <w:rPr>
                <w:webHidden/>
              </w:rPr>
            </w:r>
            <w:r>
              <w:rPr>
                <w:webHidden/>
              </w:rPr>
              <w:fldChar w:fldCharType="separate"/>
            </w:r>
            <w:r>
              <w:rPr>
                <w:webHidden/>
              </w:rPr>
              <w:t>19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1" w:history="1">
            <w:r w:rsidRPr="004F6E7D">
              <w:rPr>
                <w:rStyle w:val="Hyperlink"/>
              </w:rPr>
              <w:t>Expert advice: Health Expert Standing Panel (HESP)</w:t>
            </w:r>
            <w:r>
              <w:rPr>
                <w:webHidden/>
              </w:rPr>
              <w:tab/>
            </w:r>
            <w:r>
              <w:rPr>
                <w:webHidden/>
              </w:rPr>
              <w:fldChar w:fldCharType="begin"/>
            </w:r>
            <w:r>
              <w:rPr>
                <w:webHidden/>
              </w:rPr>
              <w:instrText xml:space="preserve"> PAGEREF _Toc365900571 \h </w:instrText>
            </w:r>
            <w:r>
              <w:rPr>
                <w:webHidden/>
              </w:rPr>
            </w:r>
            <w:r>
              <w:rPr>
                <w:webHidden/>
              </w:rPr>
              <w:fldChar w:fldCharType="separate"/>
            </w:r>
            <w:r>
              <w:rPr>
                <w:webHidden/>
              </w:rPr>
              <w:t>21</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72" w:history="1">
            <w:r w:rsidRPr="004F6E7D">
              <w:rPr>
                <w:rStyle w:val="Hyperlink"/>
              </w:rPr>
              <w:t>Results of assessment</w:t>
            </w:r>
            <w:r>
              <w:rPr>
                <w:webHidden/>
              </w:rPr>
              <w:tab/>
            </w:r>
            <w:r>
              <w:rPr>
                <w:webHidden/>
              </w:rPr>
              <w:fldChar w:fldCharType="begin"/>
            </w:r>
            <w:r>
              <w:rPr>
                <w:webHidden/>
              </w:rPr>
              <w:instrText xml:space="preserve"> PAGEREF _Toc365900572 \h </w:instrText>
            </w:r>
            <w:r>
              <w:rPr>
                <w:webHidden/>
              </w:rPr>
            </w:r>
            <w:r>
              <w:rPr>
                <w:webHidden/>
              </w:rPr>
              <w:fldChar w:fldCharType="separate"/>
            </w:r>
            <w:r>
              <w:rPr>
                <w:webHidden/>
              </w:rPr>
              <w:t>22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3" w:history="1">
            <w:r w:rsidRPr="004F6E7D">
              <w:rPr>
                <w:rStyle w:val="Hyperlink"/>
              </w:rPr>
              <w:t>Systematic reviews and health technology assessments</w:t>
            </w:r>
            <w:r>
              <w:rPr>
                <w:webHidden/>
              </w:rPr>
              <w:tab/>
            </w:r>
            <w:r>
              <w:rPr>
                <w:webHidden/>
              </w:rPr>
              <w:fldChar w:fldCharType="begin"/>
            </w:r>
            <w:r>
              <w:rPr>
                <w:webHidden/>
              </w:rPr>
              <w:instrText xml:space="preserve"> PAGEREF _Toc365900573 \h </w:instrText>
            </w:r>
            <w:r>
              <w:rPr>
                <w:webHidden/>
              </w:rPr>
            </w:r>
            <w:r>
              <w:rPr>
                <w:webHidden/>
              </w:rPr>
              <w:fldChar w:fldCharType="separate"/>
            </w:r>
            <w:r>
              <w:rPr>
                <w:webHidden/>
              </w:rPr>
              <w:t>22</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4" w:history="1">
            <w:r w:rsidRPr="004F6E7D">
              <w:rPr>
                <w:rStyle w:val="Hyperlink"/>
                <w:bCs/>
              </w:rPr>
              <w:t>Is it safe? HoLEP compared with TURP</w:t>
            </w:r>
            <w:r>
              <w:rPr>
                <w:webHidden/>
              </w:rPr>
              <w:tab/>
            </w:r>
            <w:r>
              <w:rPr>
                <w:webHidden/>
              </w:rPr>
              <w:fldChar w:fldCharType="begin"/>
            </w:r>
            <w:r>
              <w:rPr>
                <w:webHidden/>
              </w:rPr>
              <w:instrText xml:space="preserve"> PAGEREF _Toc365900574 \h </w:instrText>
            </w:r>
            <w:r>
              <w:rPr>
                <w:webHidden/>
              </w:rPr>
            </w:r>
            <w:r>
              <w:rPr>
                <w:webHidden/>
              </w:rPr>
              <w:fldChar w:fldCharType="separate"/>
            </w:r>
            <w:r>
              <w:rPr>
                <w:webHidden/>
              </w:rPr>
              <w:t>27</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5" w:history="1">
            <w:r w:rsidRPr="004F6E7D">
              <w:rPr>
                <w:rStyle w:val="Hyperlink"/>
              </w:rPr>
              <w:t>Is it effective? HoLEP compared with TURP</w:t>
            </w:r>
            <w:r>
              <w:rPr>
                <w:webHidden/>
              </w:rPr>
              <w:tab/>
            </w:r>
            <w:r>
              <w:rPr>
                <w:webHidden/>
              </w:rPr>
              <w:fldChar w:fldCharType="begin"/>
            </w:r>
            <w:r>
              <w:rPr>
                <w:webHidden/>
              </w:rPr>
              <w:instrText xml:space="preserve"> PAGEREF _Toc365900575 \h </w:instrText>
            </w:r>
            <w:r>
              <w:rPr>
                <w:webHidden/>
              </w:rPr>
            </w:r>
            <w:r>
              <w:rPr>
                <w:webHidden/>
              </w:rPr>
              <w:fldChar w:fldCharType="separate"/>
            </w:r>
            <w:r>
              <w:rPr>
                <w:webHidden/>
              </w:rPr>
              <w:t>30</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6" w:history="1">
            <w:r w:rsidRPr="004F6E7D">
              <w:rPr>
                <w:rStyle w:val="Hyperlink"/>
              </w:rPr>
              <w:t>Is it safe? HoLEP compared with OP</w:t>
            </w:r>
            <w:r>
              <w:rPr>
                <w:webHidden/>
              </w:rPr>
              <w:tab/>
            </w:r>
            <w:r>
              <w:rPr>
                <w:webHidden/>
              </w:rPr>
              <w:fldChar w:fldCharType="begin"/>
            </w:r>
            <w:r>
              <w:rPr>
                <w:webHidden/>
              </w:rPr>
              <w:instrText xml:space="preserve"> PAGEREF _Toc365900576 \h </w:instrText>
            </w:r>
            <w:r>
              <w:rPr>
                <w:webHidden/>
              </w:rPr>
            </w:r>
            <w:r>
              <w:rPr>
                <w:webHidden/>
              </w:rPr>
              <w:fldChar w:fldCharType="separate"/>
            </w:r>
            <w:r>
              <w:rPr>
                <w:webHidden/>
              </w:rPr>
              <w:t>37</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7" w:history="1">
            <w:r w:rsidRPr="004F6E7D">
              <w:rPr>
                <w:rStyle w:val="Hyperlink"/>
              </w:rPr>
              <w:t>Is it effective? HoLEP compared with OP</w:t>
            </w:r>
            <w:r>
              <w:rPr>
                <w:webHidden/>
              </w:rPr>
              <w:tab/>
            </w:r>
            <w:r>
              <w:rPr>
                <w:webHidden/>
              </w:rPr>
              <w:fldChar w:fldCharType="begin"/>
            </w:r>
            <w:r>
              <w:rPr>
                <w:webHidden/>
              </w:rPr>
              <w:instrText xml:space="preserve"> PAGEREF _Toc365900577 \h </w:instrText>
            </w:r>
            <w:r>
              <w:rPr>
                <w:webHidden/>
              </w:rPr>
            </w:r>
            <w:r>
              <w:rPr>
                <w:webHidden/>
              </w:rPr>
              <w:fldChar w:fldCharType="separate"/>
            </w:r>
            <w:r>
              <w:rPr>
                <w:webHidden/>
              </w:rPr>
              <w:t>39</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78" w:history="1">
            <w:r w:rsidRPr="004F6E7D">
              <w:rPr>
                <w:rStyle w:val="Hyperlink"/>
              </w:rPr>
              <w:t>Other relevant considerations</w:t>
            </w:r>
            <w:r>
              <w:rPr>
                <w:webHidden/>
              </w:rPr>
              <w:tab/>
            </w:r>
            <w:r>
              <w:rPr>
                <w:webHidden/>
              </w:rPr>
              <w:fldChar w:fldCharType="begin"/>
            </w:r>
            <w:r>
              <w:rPr>
                <w:webHidden/>
              </w:rPr>
              <w:instrText xml:space="preserve"> PAGEREF _Toc365900578 \h </w:instrText>
            </w:r>
            <w:r>
              <w:rPr>
                <w:webHidden/>
              </w:rPr>
            </w:r>
            <w:r>
              <w:rPr>
                <w:webHidden/>
              </w:rPr>
              <w:fldChar w:fldCharType="separate"/>
            </w:r>
            <w:r>
              <w:rPr>
                <w:webHidden/>
              </w:rPr>
              <w:t>44</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79" w:history="1">
            <w:r w:rsidRPr="004F6E7D">
              <w:rPr>
                <w:rStyle w:val="Hyperlink"/>
              </w:rPr>
              <w:t>Expert opinion</w:t>
            </w:r>
            <w:r>
              <w:rPr>
                <w:webHidden/>
              </w:rPr>
              <w:tab/>
            </w:r>
            <w:r>
              <w:rPr>
                <w:webHidden/>
              </w:rPr>
              <w:fldChar w:fldCharType="begin"/>
            </w:r>
            <w:r>
              <w:rPr>
                <w:webHidden/>
              </w:rPr>
              <w:instrText xml:space="preserve"> PAGEREF _Toc365900579 \h </w:instrText>
            </w:r>
            <w:r>
              <w:rPr>
                <w:webHidden/>
              </w:rPr>
            </w:r>
            <w:r>
              <w:rPr>
                <w:webHidden/>
              </w:rPr>
              <w:fldChar w:fldCharType="separate"/>
            </w:r>
            <w:r>
              <w:rPr>
                <w:webHidden/>
              </w:rPr>
              <w:t>44</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80" w:history="1">
            <w:r w:rsidRPr="004F6E7D">
              <w:rPr>
                <w:rStyle w:val="Hyperlink"/>
              </w:rPr>
              <w:t>What are the economic considerations?</w:t>
            </w:r>
            <w:r>
              <w:rPr>
                <w:webHidden/>
              </w:rPr>
              <w:tab/>
            </w:r>
            <w:r>
              <w:rPr>
                <w:webHidden/>
              </w:rPr>
              <w:fldChar w:fldCharType="begin"/>
            </w:r>
            <w:r>
              <w:rPr>
                <w:webHidden/>
              </w:rPr>
              <w:instrText xml:space="preserve"> PAGEREF _Toc365900580 \h </w:instrText>
            </w:r>
            <w:r>
              <w:rPr>
                <w:webHidden/>
              </w:rPr>
            </w:r>
            <w:r>
              <w:rPr>
                <w:webHidden/>
              </w:rPr>
              <w:fldChar w:fldCharType="separate"/>
            </w:r>
            <w:r>
              <w:rPr>
                <w:webHidden/>
              </w:rPr>
              <w:t>45</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1" w:history="1">
            <w:r w:rsidRPr="004F6E7D">
              <w:rPr>
                <w:rStyle w:val="Hyperlink"/>
              </w:rPr>
              <w:t>Economic evaluation</w:t>
            </w:r>
            <w:r>
              <w:rPr>
                <w:webHidden/>
              </w:rPr>
              <w:tab/>
            </w:r>
            <w:r>
              <w:rPr>
                <w:webHidden/>
              </w:rPr>
              <w:fldChar w:fldCharType="begin"/>
            </w:r>
            <w:r>
              <w:rPr>
                <w:webHidden/>
              </w:rPr>
              <w:instrText xml:space="preserve"> PAGEREF _Toc365900581 \h </w:instrText>
            </w:r>
            <w:r>
              <w:rPr>
                <w:webHidden/>
              </w:rPr>
            </w:r>
            <w:r>
              <w:rPr>
                <w:webHidden/>
              </w:rPr>
              <w:fldChar w:fldCharType="separate"/>
            </w:r>
            <w:r>
              <w:rPr>
                <w:webHidden/>
              </w:rPr>
              <w:t>45</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2" w:history="1">
            <w:r w:rsidRPr="004F6E7D">
              <w:rPr>
                <w:rStyle w:val="Hyperlink"/>
              </w:rPr>
              <w:t>Results</w:t>
            </w:r>
            <w:r>
              <w:rPr>
                <w:webHidden/>
              </w:rPr>
              <w:tab/>
            </w:r>
            <w:r>
              <w:rPr>
                <w:webHidden/>
              </w:rPr>
              <w:fldChar w:fldCharType="begin"/>
            </w:r>
            <w:r>
              <w:rPr>
                <w:webHidden/>
              </w:rPr>
              <w:instrText xml:space="preserve"> PAGEREF _Toc365900582 \h </w:instrText>
            </w:r>
            <w:r>
              <w:rPr>
                <w:webHidden/>
              </w:rPr>
            </w:r>
            <w:r>
              <w:rPr>
                <w:webHidden/>
              </w:rPr>
              <w:fldChar w:fldCharType="separate"/>
            </w:r>
            <w:r>
              <w:rPr>
                <w:webHidden/>
              </w:rPr>
              <w:t>54</w:t>
            </w:r>
            <w:r>
              <w:rPr>
                <w:webHidden/>
              </w:rPr>
              <w:fldChar w:fldCharType="end"/>
            </w:r>
          </w:hyperlink>
        </w:p>
        <w:p w:rsidR="00AE6E57" w:rsidRDefault="00AE6E57">
          <w:pPr>
            <w:pStyle w:val="TOC3"/>
            <w:rPr>
              <w:rFonts w:asciiTheme="minorHAnsi" w:eastAsiaTheme="minorEastAsia" w:hAnsiTheme="minorHAnsi" w:cstheme="minorBidi"/>
              <w:sz w:val="22"/>
              <w:szCs w:val="22"/>
            </w:rPr>
          </w:pPr>
          <w:hyperlink w:anchor="_Toc365900583" w:history="1">
            <w:r w:rsidRPr="004F6E7D">
              <w:rPr>
                <w:rStyle w:val="Hyperlink"/>
              </w:rPr>
              <w:t>HoLEP in comparison with TURP – base case</w:t>
            </w:r>
            <w:r>
              <w:rPr>
                <w:webHidden/>
              </w:rPr>
              <w:tab/>
            </w:r>
            <w:r>
              <w:rPr>
                <w:webHidden/>
              </w:rPr>
              <w:fldChar w:fldCharType="begin"/>
            </w:r>
            <w:r>
              <w:rPr>
                <w:webHidden/>
              </w:rPr>
              <w:instrText xml:space="preserve"> PAGEREF _Toc365900583 \h </w:instrText>
            </w:r>
            <w:r>
              <w:rPr>
                <w:webHidden/>
              </w:rPr>
            </w:r>
            <w:r>
              <w:rPr>
                <w:webHidden/>
              </w:rPr>
              <w:fldChar w:fldCharType="separate"/>
            </w:r>
            <w:r>
              <w:rPr>
                <w:webHidden/>
              </w:rPr>
              <w:t>54</w:t>
            </w:r>
            <w:r>
              <w:rPr>
                <w:webHidden/>
              </w:rPr>
              <w:fldChar w:fldCharType="end"/>
            </w:r>
          </w:hyperlink>
        </w:p>
        <w:p w:rsidR="00AE6E57" w:rsidRDefault="00AE6E57">
          <w:pPr>
            <w:pStyle w:val="TOC3"/>
            <w:rPr>
              <w:rFonts w:asciiTheme="minorHAnsi" w:eastAsiaTheme="minorEastAsia" w:hAnsiTheme="minorHAnsi" w:cstheme="minorBidi"/>
              <w:sz w:val="22"/>
              <w:szCs w:val="22"/>
            </w:rPr>
          </w:pPr>
          <w:hyperlink w:anchor="_Toc365900584" w:history="1">
            <w:r w:rsidRPr="004F6E7D">
              <w:rPr>
                <w:rStyle w:val="Hyperlink"/>
              </w:rPr>
              <w:t>HoLEP in comparison with OP – base case</w:t>
            </w:r>
            <w:r>
              <w:rPr>
                <w:webHidden/>
              </w:rPr>
              <w:tab/>
            </w:r>
            <w:r>
              <w:rPr>
                <w:webHidden/>
              </w:rPr>
              <w:fldChar w:fldCharType="begin"/>
            </w:r>
            <w:r>
              <w:rPr>
                <w:webHidden/>
              </w:rPr>
              <w:instrText xml:space="preserve"> PAGEREF _Toc365900584 \h </w:instrText>
            </w:r>
            <w:r>
              <w:rPr>
                <w:webHidden/>
              </w:rPr>
            </w:r>
            <w:r>
              <w:rPr>
                <w:webHidden/>
              </w:rPr>
              <w:fldChar w:fldCharType="separate"/>
            </w:r>
            <w:r>
              <w:rPr>
                <w:webHidden/>
              </w:rPr>
              <w:t>59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5" w:history="1">
            <w:r w:rsidRPr="004F6E7D">
              <w:rPr>
                <w:rStyle w:val="Hyperlink"/>
              </w:rPr>
              <w:t>Comments in relation to economic evaluation</w:t>
            </w:r>
            <w:r>
              <w:rPr>
                <w:webHidden/>
              </w:rPr>
              <w:tab/>
            </w:r>
            <w:r>
              <w:rPr>
                <w:webHidden/>
              </w:rPr>
              <w:fldChar w:fldCharType="begin"/>
            </w:r>
            <w:r>
              <w:rPr>
                <w:webHidden/>
              </w:rPr>
              <w:instrText xml:space="preserve"> PAGEREF _Toc365900585 \h </w:instrText>
            </w:r>
            <w:r>
              <w:rPr>
                <w:webHidden/>
              </w:rPr>
            </w:r>
            <w:r>
              <w:rPr>
                <w:webHidden/>
              </w:rPr>
              <w:fldChar w:fldCharType="separate"/>
            </w:r>
            <w:r>
              <w:rPr>
                <w:webHidden/>
              </w:rPr>
              <w:t>63</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6" w:history="1">
            <w:r w:rsidRPr="004F6E7D">
              <w:rPr>
                <w:rStyle w:val="Hyperlink"/>
              </w:rPr>
              <w:t>Financial implications</w:t>
            </w:r>
            <w:r>
              <w:rPr>
                <w:webHidden/>
              </w:rPr>
              <w:tab/>
            </w:r>
            <w:r>
              <w:rPr>
                <w:webHidden/>
              </w:rPr>
              <w:fldChar w:fldCharType="begin"/>
            </w:r>
            <w:r>
              <w:rPr>
                <w:webHidden/>
              </w:rPr>
              <w:instrText xml:space="preserve"> PAGEREF _Toc365900586 \h </w:instrText>
            </w:r>
            <w:r>
              <w:rPr>
                <w:webHidden/>
              </w:rPr>
            </w:r>
            <w:r>
              <w:rPr>
                <w:webHidden/>
              </w:rPr>
              <w:fldChar w:fldCharType="separate"/>
            </w:r>
            <w:r>
              <w:rPr>
                <w:webHidden/>
              </w:rPr>
              <w:t>64</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87" w:history="1">
            <w:r w:rsidRPr="004F6E7D">
              <w:rPr>
                <w:rStyle w:val="Hyperlink"/>
              </w:rPr>
              <w:t>Discussion</w:t>
            </w:r>
            <w:r>
              <w:rPr>
                <w:webHidden/>
              </w:rPr>
              <w:tab/>
            </w:r>
            <w:r>
              <w:rPr>
                <w:webHidden/>
              </w:rPr>
              <w:fldChar w:fldCharType="begin"/>
            </w:r>
            <w:r>
              <w:rPr>
                <w:webHidden/>
              </w:rPr>
              <w:instrText xml:space="preserve"> PAGEREF _Toc365900587 \h </w:instrText>
            </w:r>
            <w:r>
              <w:rPr>
                <w:webHidden/>
              </w:rPr>
            </w:r>
            <w:r>
              <w:rPr>
                <w:webHidden/>
              </w:rPr>
              <w:fldChar w:fldCharType="separate"/>
            </w:r>
            <w:r>
              <w:rPr>
                <w:webHidden/>
              </w:rPr>
              <w:t>69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8" w:history="1">
            <w:r w:rsidRPr="004F6E7D">
              <w:rPr>
                <w:rStyle w:val="Hyperlink"/>
              </w:rPr>
              <w:t>Is it safe?</w:t>
            </w:r>
            <w:r>
              <w:rPr>
                <w:webHidden/>
              </w:rPr>
              <w:tab/>
            </w:r>
            <w:r>
              <w:rPr>
                <w:webHidden/>
              </w:rPr>
              <w:fldChar w:fldCharType="begin"/>
            </w:r>
            <w:r>
              <w:rPr>
                <w:webHidden/>
              </w:rPr>
              <w:instrText xml:space="preserve"> PAGEREF _Toc365900588 \h </w:instrText>
            </w:r>
            <w:r>
              <w:rPr>
                <w:webHidden/>
              </w:rPr>
            </w:r>
            <w:r>
              <w:rPr>
                <w:webHidden/>
              </w:rPr>
              <w:fldChar w:fldCharType="separate"/>
            </w:r>
            <w:r>
              <w:rPr>
                <w:webHidden/>
              </w:rPr>
              <w:t>69</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89" w:history="1">
            <w:r w:rsidRPr="004F6E7D">
              <w:rPr>
                <w:rStyle w:val="Hyperlink"/>
              </w:rPr>
              <w:t>Is it effective?</w:t>
            </w:r>
            <w:r>
              <w:rPr>
                <w:webHidden/>
              </w:rPr>
              <w:tab/>
            </w:r>
            <w:r>
              <w:rPr>
                <w:webHidden/>
              </w:rPr>
              <w:fldChar w:fldCharType="begin"/>
            </w:r>
            <w:r>
              <w:rPr>
                <w:webHidden/>
              </w:rPr>
              <w:instrText xml:space="preserve"> PAGEREF _Toc365900589 \h </w:instrText>
            </w:r>
            <w:r>
              <w:rPr>
                <w:webHidden/>
              </w:rPr>
            </w:r>
            <w:r>
              <w:rPr>
                <w:webHidden/>
              </w:rPr>
              <w:fldChar w:fldCharType="separate"/>
            </w:r>
            <w:r>
              <w:rPr>
                <w:webHidden/>
              </w:rPr>
              <w:t>69</w:t>
            </w:r>
            <w:r>
              <w:rPr>
                <w:webHidden/>
              </w:rPr>
              <w:fldChar w:fldCharType="end"/>
            </w:r>
          </w:hyperlink>
        </w:p>
        <w:p w:rsidR="00AE6E57" w:rsidRDefault="00AE6E57">
          <w:pPr>
            <w:pStyle w:val="TOC3"/>
            <w:rPr>
              <w:rFonts w:asciiTheme="minorHAnsi" w:eastAsiaTheme="minorEastAsia" w:hAnsiTheme="minorHAnsi" w:cstheme="minorBidi"/>
              <w:sz w:val="22"/>
              <w:szCs w:val="22"/>
            </w:rPr>
          </w:pPr>
          <w:hyperlink w:anchor="_Toc365900590" w:history="1">
            <w:r w:rsidRPr="004F6E7D">
              <w:rPr>
                <w:rStyle w:val="Hyperlink"/>
              </w:rPr>
              <w:t>HoLEP compared with TURP</w:t>
            </w:r>
            <w:r>
              <w:rPr>
                <w:webHidden/>
              </w:rPr>
              <w:tab/>
            </w:r>
            <w:r>
              <w:rPr>
                <w:webHidden/>
              </w:rPr>
              <w:fldChar w:fldCharType="begin"/>
            </w:r>
            <w:r>
              <w:rPr>
                <w:webHidden/>
              </w:rPr>
              <w:instrText xml:space="preserve"> PAGEREF _Toc365900590 \h </w:instrText>
            </w:r>
            <w:r>
              <w:rPr>
                <w:webHidden/>
              </w:rPr>
            </w:r>
            <w:r>
              <w:rPr>
                <w:webHidden/>
              </w:rPr>
              <w:fldChar w:fldCharType="separate"/>
            </w:r>
            <w:r>
              <w:rPr>
                <w:webHidden/>
              </w:rPr>
              <w:t>69</w:t>
            </w:r>
            <w:r>
              <w:rPr>
                <w:webHidden/>
              </w:rPr>
              <w:fldChar w:fldCharType="end"/>
            </w:r>
          </w:hyperlink>
        </w:p>
        <w:p w:rsidR="00AE6E57" w:rsidRDefault="00AE6E57">
          <w:pPr>
            <w:pStyle w:val="TOC3"/>
            <w:rPr>
              <w:rFonts w:asciiTheme="minorHAnsi" w:eastAsiaTheme="minorEastAsia" w:hAnsiTheme="minorHAnsi" w:cstheme="minorBidi"/>
              <w:sz w:val="22"/>
              <w:szCs w:val="22"/>
            </w:rPr>
          </w:pPr>
          <w:hyperlink w:anchor="_Toc365900591" w:history="1">
            <w:r w:rsidRPr="004F6E7D">
              <w:rPr>
                <w:rStyle w:val="Hyperlink"/>
              </w:rPr>
              <w:t>HoLEP compared with OP</w:t>
            </w:r>
            <w:r>
              <w:rPr>
                <w:webHidden/>
              </w:rPr>
              <w:tab/>
            </w:r>
            <w:r>
              <w:rPr>
                <w:webHidden/>
              </w:rPr>
              <w:fldChar w:fldCharType="begin"/>
            </w:r>
            <w:r>
              <w:rPr>
                <w:webHidden/>
              </w:rPr>
              <w:instrText xml:space="preserve"> PAGEREF _Toc365900591 \h </w:instrText>
            </w:r>
            <w:r>
              <w:rPr>
                <w:webHidden/>
              </w:rPr>
            </w:r>
            <w:r>
              <w:rPr>
                <w:webHidden/>
              </w:rPr>
              <w:fldChar w:fldCharType="separate"/>
            </w:r>
            <w:r>
              <w:rPr>
                <w:webHidden/>
              </w:rPr>
              <w:t>71</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592" w:history="1">
            <w:r w:rsidRPr="004F6E7D">
              <w:rPr>
                <w:rStyle w:val="Hyperlink"/>
              </w:rPr>
              <w:t>Conclusions</w:t>
            </w:r>
            <w:r>
              <w:rPr>
                <w:webHidden/>
              </w:rPr>
              <w:tab/>
            </w:r>
            <w:r>
              <w:rPr>
                <w:webHidden/>
              </w:rPr>
              <w:fldChar w:fldCharType="begin"/>
            </w:r>
            <w:r>
              <w:rPr>
                <w:webHidden/>
              </w:rPr>
              <w:instrText xml:space="preserve"> PAGEREF _Toc365900592 \h </w:instrText>
            </w:r>
            <w:r>
              <w:rPr>
                <w:webHidden/>
              </w:rPr>
            </w:r>
            <w:r>
              <w:rPr>
                <w:webHidden/>
              </w:rPr>
              <w:fldChar w:fldCharType="separate"/>
            </w:r>
            <w:r>
              <w:rPr>
                <w:webHidden/>
              </w:rPr>
              <w:t>73</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93" w:history="1">
            <w:r w:rsidRPr="004F6E7D">
              <w:rPr>
                <w:rStyle w:val="Hyperlink"/>
              </w:rPr>
              <w:t>Safety</w:t>
            </w:r>
            <w:r>
              <w:rPr>
                <w:webHidden/>
              </w:rPr>
              <w:tab/>
            </w:r>
            <w:r>
              <w:rPr>
                <w:webHidden/>
              </w:rPr>
              <w:fldChar w:fldCharType="begin"/>
            </w:r>
            <w:r>
              <w:rPr>
                <w:webHidden/>
              </w:rPr>
              <w:instrText xml:space="preserve"> PAGEREF _Toc365900593 \h </w:instrText>
            </w:r>
            <w:r>
              <w:rPr>
                <w:webHidden/>
              </w:rPr>
            </w:r>
            <w:r>
              <w:rPr>
                <w:webHidden/>
              </w:rPr>
              <w:fldChar w:fldCharType="separate"/>
            </w:r>
            <w:r>
              <w:rPr>
                <w:webHidden/>
              </w:rPr>
              <w:t>73</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94" w:history="1">
            <w:r w:rsidRPr="004F6E7D">
              <w:rPr>
                <w:rStyle w:val="Hyperlink"/>
              </w:rPr>
              <w:t>Effectiveness</w:t>
            </w:r>
            <w:r>
              <w:rPr>
                <w:webHidden/>
              </w:rPr>
              <w:tab/>
            </w:r>
            <w:r>
              <w:rPr>
                <w:webHidden/>
              </w:rPr>
              <w:fldChar w:fldCharType="begin"/>
            </w:r>
            <w:r>
              <w:rPr>
                <w:webHidden/>
              </w:rPr>
              <w:instrText xml:space="preserve"> PAGEREF _Toc365900594 \h </w:instrText>
            </w:r>
            <w:r>
              <w:rPr>
                <w:webHidden/>
              </w:rPr>
            </w:r>
            <w:r>
              <w:rPr>
                <w:webHidden/>
              </w:rPr>
              <w:fldChar w:fldCharType="separate"/>
            </w:r>
            <w:r>
              <w:rPr>
                <w:webHidden/>
              </w:rPr>
              <w:t>73</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95" w:history="1">
            <w:r w:rsidRPr="004F6E7D">
              <w:rPr>
                <w:rStyle w:val="Hyperlink"/>
              </w:rPr>
              <w:t>Economic considerations</w:t>
            </w:r>
            <w:r>
              <w:rPr>
                <w:webHidden/>
              </w:rPr>
              <w:tab/>
            </w:r>
            <w:r>
              <w:rPr>
                <w:webHidden/>
              </w:rPr>
              <w:fldChar w:fldCharType="begin"/>
            </w:r>
            <w:r>
              <w:rPr>
                <w:webHidden/>
              </w:rPr>
              <w:instrText xml:space="preserve"> PAGEREF _Toc365900595 \h </w:instrText>
            </w:r>
            <w:r>
              <w:rPr>
                <w:webHidden/>
              </w:rPr>
            </w:r>
            <w:r>
              <w:rPr>
                <w:webHidden/>
              </w:rPr>
              <w:fldChar w:fldCharType="separate"/>
            </w:r>
            <w:r>
              <w:rPr>
                <w:webHidden/>
              </w:rPr>
              <w:t>74</w:t>
            </w:r>
            <w:r>
              <w:rPr>
                <w:webHidden/>
              </w:rPr>
              <w:fldChar w:fldCharType="end"/>
            </w:r>
          </w:hyperlink>
        </w:p>
        <w:p w:rsidR="00AE6E57" w:rsidRDefault="00AE6E57">
          <w:pPr>
            <w:pStyle w:val="TOC2"/>
            <w:rPr>
              <w:rFonts w:asciiTheme="minorHAnsi" w:eastAsiaTheme="minorEastAsia" w:hAnsiTheme="minorHAnsi" w:cstheme="minorBidi"/>
              <w:sz w:val="22"/>
              <w:szCs w:val="22"/>
            </w:rPr>
          </w:pPr>
          <w:hyperlink w:anchor="_Toc365900596" w:history="1">
            <w:r w:rsidRPr="004F6E7D">
              <w:rPr>
                <w:rStyle w:val="Hyperlink"/>
              </w:rPr>
              <w:t>Costing</w:t>
            </w:r>
            <w:r>
              <w:rPr>
                <w:webHidden/>
              </w:rPr>
              <w:tab/>
            </w:r>
            <w:r>
              <w:rPr>
                <w:webHidden/>
              </w:rPr>
              <w:fldChar w:fldCharType="begin"/>
            </w:r>
            <w:r>
              <w:rPr>
                <w:webHidden/>
              </w:rPr>
              <w:instrText xml:space="preserve"> PAGEREF _Toc365900596 \h </w:instrText>
            </w:r>
            <w:r>
              <w:rPr>
                <w:webHidden/>
              </w:rPr>
            </w:r>
            <w:r>
              <w:rPr>
                <w:webHidden/>
              </w:rPr>
              <w:fldChar w:fldCharType="separate"/>
            </w:r>
            <w:r>
              <w:rPr>
                <w:webHidden/>
              </w:rPr>
              <w:t>75</w:t>
            </w:r>
            <w:r>
              <w:rPr>
                <w:webHidden/>
              </w:rPr>
              <w:fldChar w:fldCharType="end"/>
            </w:r>
          </w:hyperlink>
        </w:p>
        <w:p w:rsidR="00AE6E57" w:rsidRDefault="00AE6E57">
          <w:pPr>
            <w:pStyle w:val="TOC1"/>
            <w:tabs>
              <w:tab w:val="left" w:pos="2145"/>
            </w:tabs>
            <w:rPr>
              <w:rFonts w:asciiTheme="minorHAnsi" w:eastAsiaTheme="minorEastAsia" w:hAnsiTheme="minorHAnsi" w:cstheme="minorBidi"/>
              <w:b w:val="0"/>
              <w:sz w:val="22"/>
              <w:szCs w:val="22"/>
            </w:rPr>
          </w:pPr>
          <w:hyperlink w:anchor="_Toc365900597" w:history="1">
            <w:r w:rsidRPr="004F6E7D">
              <w:rPr>
                <w:rStyle w:val="Hyperlink"/>
                <w:bCs/>
              </w:rPr>
              <w:t>Appendix A</w:t>
            </w:r>
            <w:r>
              <w:rPr>
                <w:rFonts w:asciiTheme="minorHAnsi" w:eastAsiaTheme="minorEastAsia" w:hAnsiTheme="minorHAnsi" w:cstheme="minorBidi"/>
                <w:b w:val="0"/>
                <w:sz w:val="22"/>
                <w:szCs w:val="22"/>
              </w:rPr>
              <w:tab/>
            </w:r>
            <w:r w:rsidRPr="004F6E7D">
              <w:rPr>
                <w:rStyle w:val="Hyperlink"/>
                <w:bCs/>
              </w:rPr>
              <w:t>Health Expert Standing Panel and Assessment Group</w:t>
            </w:r>
            <w:r>
              <w:rPr>
                <w:webHidden/>
              </w:rPr>
              <w:tab/>
            </w:r>
            <w:r>
              <w:rPr>
                <w:webHidden/>
              </w:rPr>
              <w:fldChar w:fldCharType="begin"/>
            </w:r>
            <w:r>
              <w:rPr>
                <w:webHidden/>
              </w:rPr>
              <w:instrText xml:space="preserve"> PAGEREF _Toc365900597 \h </w:instrText>
            </w:r>
            <w:r>
              <w:rPr>
                <w:webHidden/>
              </w:rPr>
            </w:r>
            <w:r>
              <w:rPr>
                <w:webHidden/>
              </w:rPr>
              <w:fldChar w:fldCharType="separate"/>
            </w:r>
            <w:r>
              <w:rPr>
                <w:webHidden/>
              </w:rPr>
              <w:t>76</w:t>
            </w:r>
            <w:r>
              <w:rPr>
                <w:webHidden/>
              </w:rPr>
              <w:fldChar w:fldCharType="end"/>
            </w:r>
          </w:hyperlink>
        </w:p>
        <w:p w:rsidR="00AE6E57" w:rsidRDefault="00AE6E57">
          <w:pPr>
            <w:pStyle w:val="TOC1"/>
            <w:tabs>
              <w:tab w:val="left" w:pos="2150"/>
            </w:tabs>
            <w:rPr>
              <w:rFonts w:asciiTheme="minorHAnsi" w:eastAsiaTheme="minorEastAsia" w:hAnsiTheme="minorHAnsi" w:cstheme="minorBidi"/>
              <w:b w:val="0"/>
              <w:sz w:val="22"/>
              <w:szCs w:val="22"/>
            </w:rPr>
          </w:pPr>
          <w:hyperlink w:anchor="_Toc365900598" w:history="1">
            <w:r w:rsidRPr="004F6E7D">
              <w:rPr>
                <w:rStyle w:val="Hyperlink"/>
                <w:bCs/>
              </w:rPr>
              <w:t>Appendix B</w:t>
            </w:r>
            <w:r>
              <w:rPr>
                <w:rFonts w:asciiTheme="minorHAnsi" w:eastAsiaTheme="minorEastAsia" w:hAnsiTheme="minorHAnsi" w:cstheme="minorBidi"/>
                <w:b w:val="0"/>
                <w:sz w:val="22"/>
                <w:szCs w:val="22"/>
              </w:rPr>
              <w:tab/>
            </w:r>
            <w:r w:rsidRPr="004F6E7D">
              <w:rPr>
                <w:rStyle w:val="Hyperlink"/>
                <w:bCs/>
              </w:rPr>
              <w:t>Search strategies</w:t>
            </w:r>
            <w:r>
              <w:rPr>
                <w:webHidden/>
              </w:rPr>
              <w:tab/>
            </w:r>
            <w:r>
              <w:rPr>
                <w:webHidden/>
              </w:rPr>
              <w:fldChar w:fldCharType="begin"/>
            </w:r>
            <w:r>
              <w:rPr>
                <w:webHidden/>
              </w:rPr>
              <w:instrText xml:space="preserve"> PAGEREF _Toc365900598 \h </w:instrText>
            </w:r>
            <w:r>
              <w:rPr>
                <w:webHidden/>
              </w:rPr>
            </w:r>
            <w:r>
              <w:rPr>
                <w:webHidden/>
              </w:rPr>
              <w:fldChar w:fldCharType="separate"/>
            </w:r>
            <w:r>
              <w:rPr>
                <w:webHidden/>
              </w:rPr>
              <w:t>77</w:t>
            </w:r>
            <w:r>
              <w:rPr>
                <w:webHidden/>
              </w:rPr>
              <w:fldChar w:fldCharType="end"/>
            </w:r>
          </w:hyperlink>
        </w:p>
        <w:p w:rsidR="00AE6E57" w:rsidRDefault="00AE6E57">
          <w:pPr>
            <w:pStyle w:val="TOC1"/>
            <w:tabs>
              <w:tab w:val="left" w:pos="2145"/>
            </w:tabs>
            <w:rPr>
              <w:rFonts w:asciiTheme="minorHAnsi" w:eastAsiaTheme="minorEastAsia" w:hAnsiTheme="minorHAnsi" w:cstheme="minorBidi"/>
              <w:b w:val="0"/>
              <w:sz w:val="22"/>
              <w:szCs w:val="22"/>
            </w:rPr>
          </w:pPr>
          <w:hyperlink w:anchor="_Toc365900599" w:history="1">
            <w:r w:rsidRPr="004F6E7D">
              <w:rPr>
                <w:rStyle w:val="Hyperlink"/>
                <w:bCs/>
              </w:rPr>
              <w:t>Appendix A</w:t>
            </w:r>
            <w:r>
              <w:rPr>
                <w:rFonts w:asciiTheme="minorHAnsi" w:eastAsiaTheme="minorEastAsia" w:hAnsiTheme="minorHAnsi" w:cstheme="minorBidi"/>
                <w:b w:val="0"/>
                <w:sz w:val="22"/>
                <w:szCs w:val="22"/>
              </w:rPr>
              <w:tab/>
            </w:r>
            <w:r w:rsidRPr="004F6E7D">
              <w:rPr>
                <w:rStyle w:val="Hyperlink"/>
                <w:bCs/>
              </w:rPr>
              <w:t>Studies included in the review</w:t>
            </w:r>
            <w:r>
              <w:rPr>
                <w:webHidden/>
              </w:rPr>
              <w:tab/>
            </w:r>
            <w:r>
              <w:rPr>
                <w:webHidden/>
              </w:rPr>
              <w:fldChar w:fldCharType="begin"/>
            </w:r>
            <w:r>
              <w:rPr>
                <w:webHidden/>
              </w:rPr>
              <w:instrText xml:space="preserve"> PAGEREF _Toc365900599 \h </w:instrText>
            </w:r>
            <w:r>
              <w:rPr>
                <w:webHidden/>
              </w:rPr>
            </w:r>
            <w:r>
              <w:rPr>
                <w:webHidden/>
              </w:rPr>
              <w:fldChar w:fldCharType="separate"/>
            </w:r>
            <w:r>
              <w:rPr>
                <w:webHidden/>
              </w:rPr>
              <w:t>90</w:t>
            </w:r>
            <w:r>
              <w:rPr>
                <w:webHidden/>
              </w:rPr>
              <w:fldChar w:fldCharType="end"/>
            </w:r>
          </w:hyperlink>
        </w:p>
        <w:p w:rsidR="00AE6E57" w:rsidRDefault="00AE6E57">
          <w:pPr>
            <w:pStyle w:val="TOC1"/>
            <w:tabs>
              <w:tab w:val="left" w:pos="2175"/>
            </w:tabs>
            <w:rPr>
              <w:rFonts w:asciiTheme="minorHAnsi" w:eastAsiaTheme="minorEastAsia" w:hAnsiTheme="minorHAnsi" w:cstheme="minorBidi"/>
              <w:b w:val="0"/>
              <w:sz w:val="22"/>
              <w:szCs w:val="22"/>
            </w:rPr>
          </w:pPr>
          <w:hyperlink w:anchor="_Toc365900600" w:history="1">
            <w:r w:rsidRPr="004F6E7D">
              <w:rPr>
                <w:rStyle w:val="Hyperlink"/>
              </w:rPr>
              <w:t>Appendix D</w:t>
            </w:r>
            <w:r>
              <w:rPr>
                <w:rFonts w:asciiTheme="minorHAnsi" w:eastAsiaTheme="minorEastAsia" w:hAnsiTheme="minorHAnsi" w:cstheme="minorBidi"/>
                <w:b w:val="0"/>
                <w:sz w:val="22"/>
                <w:szCs w:val="22"/>
              </w:rPr>
              <w:tab/>
            </w:r>
            <w:r w:rsidRPr="004F6E7D">
              <w:rPr>
                <w:rStyle w:val="Hyperlink"/>
              </w:rPr>
              <w:t>Existing Systematic Reviews and HTA reports</w:t>
            </w:r>
            <w:r>
              <w:rPr>
                <w:webHidden/>
              </w:rPr>
              <w:tab/>
            </w:r>
            <w:r>
              <w:rPr>
                <w:webHidden/>
              </w:rPr>
              <w:fldChar w:fldCharType="begin"/>
            </w:r>
            <w:r>
              <w:rPr>
                <w:webHidden/>
              </w:rPr>
              <w:instrText xml:space="preserve"> PAGEREF _Toc365900600 \h </w:instrText>
            </w:r>
            <w:r>
              <w:rPr>
                <w:webHidden/>
              </w:rPr>
            </w:r>
            <w:r>
              <w:rPr>
                <w:webHidden/>
              </w:rPr>
              <w:fldChar w:fldCharType="separate"/>
            </w:r>
            <w:r>
              <w:rPr>
                <w:webHidden/>
              </w:rPr>
              <w:t>102</w:t>
            </w:r>
            <w:r>
              <w:rPr>
                <w:webHidden/>
              </w:rPr>
              <w:fldChar w:fldCharType="end"/>
            </w:r>
          </w:hyperlink>
        </w:p>
        <w:p w:rsidR="00AE6E57" w:rsidRDefault="00AE6E57">
          <w:pPr>
            <w:pStyle w:val="TOC1"/>
            <w:tabs>
              <w:tab w:val="left" w:pos="2158"/>
            </w:tabs>
            <w:rPr>
              <w:rFonts w:asciiTheme="minorHAnsi" w:eastAsiaTheme="minorEastAsia" w:hAnsiTheme="minorHAnsi" w:cstheme="minorBidi"/>
              <w:b w:val="0"/>
              <w:sz w:val="22"/>
              <w:szCs w:val="22"/>
            </w:rPr>
          </w:pPr>
          <w:hyperlink w:anchor="_Toc365900601" w:history="1">
            <w:r w:rsidRPr="004F6E7D">
              <w:rPr>
                <w:rStyle w:val="Hyperlink"/>
              </w:rPr>
              <w:t>Appendix E</w:t>
            </w:r>
            <w:r>
              <w:rPr>
                <w:rFonts w:asciiTheme="minorHAnsi" w:eastAsiaTheme="minorEastAsia" w:hAnsiTheme="minorHAnsi" w:cstheme="minorBidi"/>
                <w:b w:val="0"/>
                <w:sz w:val="22"/>
                <w:szCs w:val="22"/>
              </w:rPr>
              <w:tab/>
            </w:r>
            <w:r w:rsidRPr="004F6E7D">
              <w:rPr>
                <w:rStyle w:val="Hyperlink"/>
              </w:rPr>
              <w:t>Excluded studies</w:t>
            </w:r>
            <w:r>
              <w:rPr>
                <w:webHidden/>
              </w:rPr>
              <w:tab/>
            </w:r>
            <w:r>
              <w:rPr>
                <w:webHidden/>
              </w:rPr>
              <w:fldChar w:fldCharType="begin"/>
            </w:r>
            <w:r>
              <w:rPr>
                <w:webHidden/>
              </w:rPr>
              <w:instrText xml:space="preserve"> PAGEREF _Toc365900601 \h </w:instrText>
            </w:r>
            <w:r>
              <w:rPr>
                <w:webHidden/>
              </w:rPr>
            </w:r>
            <w:r>
              <w:rPr>
                <w:webHidden/>
              </w:rPr>
              <w:fldChar w:fldCharType="separate"/>
            </w:r>
            <w:r>
              <w:rPr>
                <w:webHidden/>
              </w:rPr>
              <w:t>105</w:t>
            </w:r>
            <w:r>
              <w:rPr>
                <w:webHidden/>
              </w:rPr>
              <w:fldChar w:fldCharType="end"/>
            </w:r>
          </w:hyperlink>
        </w:p>
        <w:p w:rsidR="00AE6E57" w:rsidRDefault="00AE6E57">
          <w:pPr>
            <w:pStyle w:val="TOC1"/>
            <w:tabs>
              <w:tab w:val="left" w:pos="2135"/>
            </w:tabs>
            <w:rPr>
              <w:rFonts w:asciiTheme="minorHAnsi" w:eastAsiaTheme="minorEastAsia" w:hAnsiTheme="minorHAnsi" w:cstheme="minorBidi"/>
              <w:b w:val="0"/>
              <w:sz w:val="22"/>
              <w:szCs w:val="22"/>
            </w:rPr>
          </w:pPr>
          <w:hyperlink w:anchor="_Toc365900602" w:history="1">
            <w:r w:rsidRPr="004F6E7D">
              <w:rPr>
                <w:rStyle w:val="Hyperlink"/>
              </w:rPr>
              <w:t>Appendix F</w:t>
            </w:r>
            <w:r>
              <w:rPr>
                <w:rFonts w:asciiTheme="minorHAnsi" w:eastAsiaTheme="minorEastAsia" w:hAnsiTheme="minorHAnsi" w:cstheme="minorBidi"/>
                <w:b w:val="0"/>
                <w:sz w:val="22"/>
                <w:szCs w:val="22"/>
              </w:rPr>
              <w:tab/>
            </w:r>
            <w:r w:rsidRPr="004F6E7D">
              <w:rPr>
                <w:rStyle w:val="Hyperlink"/>
              </w:rPr>
              <w:t>Additional economic information</w:t>
            </w:r>
            <w:r>
              <w:rPr>
                <w:webHidden/>
              </w:rPr>
              <w:tab/>
            </w:r>
            <w:r>
              <w:rPr>
                <w:webHidden/>
              </w:rPr>
              <w:fldChar w:fldCharType="begin"/>
            </w:r>
            <w:r>
              <w:rPr>
                <w:webHidden/>
              </w:rPr>
              <w:instrText xml:space="preserve"> PAGEREF _Toc365900602 \h </w:instrText>
            </w:r>
            <w:r>
              <w:rPr>
                <w:webHidden/>
              </w:rPr>
            </w:r>
            <w:r>
              <w:rPr>
                <w:webHidden/>
              </w:rPr>
              <w:fldChar w:fldCharType="separate"/>
            </w:r>
            <w:r>
              <w:rPr>
                <w:webHidden/>
              </w:rPr>
              <w:t>110</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603" w:history="1">
            <w:r w:rsidRPr="004F6E7D">
              <w:rPr>
                <w:rStyle w:val="Hyperlink"/>
              </w:rPr>
              <w:t>Glossary and abbreviations</w:t>
            </w:r>
            <w:r>
              <w:rPr>
                <w:webHidden/>
              </w:rPr>
              <w:tab/>
            </w:r>
            <w:r>
              <w:rPr>
                <w:webHidden/>
              </w:rPr>
              <w:fldChar w:fldCharType="begin"/>
            </w:r>
            <w:r>
              <w:rPr>
                <w:webHidden/>
              </w:rPr>
              <w:instrText xml:space="preserve"> PAGEREF _Toc365900603 \h </w:instrText>
            </w:r>
            <w:r>
              <w:rPr>
                <w:webHidden/>
              </w:rPr>
            </w:r>
            <w:r>
              <w:rPr>
                <w:webHidden/>
              </w:rPr>
              <w:fldChar w:fldCharType="separate"/>
            </w:r>
            <w:r>
              <w:rPr>
                <w:webHidden/>
              </w:rPr>
              <w:t>114</w:t>
            </w:r>
            <w:r>
              <w:rPr>
                <w:webHidden/>
              </w:rPr>
              <w:fldChar w:fldCharType="end"/>
            </w:r>
          </w:hyperlink>
        </w:p>
        <w:p w:rsidR="00AE6E57" w:rsidRDefault="00AE6E57">
          <w:pPr>
            <w:pStyle w:val="TOC1"/>
            <w:rPr>
              <w:rFonts w:asciiTheme="minorHAnsi" w:eastAsiaTheme="minorEastAsia" w:hAnsiTheme="minorHAnsi" w:cstheme="minorBidi"/>
              <w:b w:val="0"/>
              <w:sz w:val="22"/>
              <w:szCs w:val="22"/>
            </w:rPr>
          </w:pPr>
          <w:hyperlink w:anchor="_Toc365900604" w:history="1">
            <w:r w:rsidRPr="004F6E7D">
              <w:rPr>
                <w:rStyle w:val="Hyperlink"/>
              </w:rPr>
              <w:t>References</w:t>
            </w:r>
            <w:r>
              <w:rPr>
                <w:webHidden/>
              </w:rPr>
              <w:tab/>
            </w:r>
            <w:r>
              <w:rPr>
                <w:webHidden/>
              </w:rPr>
              <w:fldChar w:fldCharType="begin"/>
            </w:r>
            <w:r>
              <w:rPr>
                <w:webHidden/>
              </w:rPr>
              <w:instrText xml:space="preserve"> PAGEREF _Toc365900604 \h </w:instrText>
            </w:r>
            <w:r>
              <w:rPr>
                <w:webHidden/>
              </w:rPr>
            </w:r>
            <w:r>
              <w:rPr>
                <w:webHidden/>
              </w:rPr>
              <w:fldChar w:fldCharType="separate"/>
            </w:r>
            <w:r>
              <w:rPr>
                <w:webHidden/>
              </w:rPr>
              <w:t>116</w:t>
            </w:r>
            <w:r>
              <w:rPr>
                <w:webHidden/>
              </w:rPr>
              <w:fldChar w:fldCharType="end"/>
            </w:r>
          </w:hyperlink>
        </w:p>
        <w:p w:rsidR="00786914" w:rsidRDefault="00F0137E">
          <w:r>
            <w:fldChar w:fldCharType="end"/>
          </w:r>
        </w:p>
      </w:sdtContent>
    </w:sdt>
    <w:p w:rsidR="00786914" w:rsidRPr="004C6B15" w:rsidRDefault="00786914" w:rsidP="0006743B">
      <w:pPr>
        <w:pStyle w:val="Normalbold"/>
      </w:pPr>
      <w:bookmarkStart w:id="7" w:name="_GoBack"/>
      <w:bookmarkEnd w:id="7"/>
      <w:r w:rsidRPr="004C6B15">
        <w:br w:type="page"/>
      </w:r>
      <w:bookmarkStart w:id="8" w:name="_Toc327877816"/>
      <w:r w:rsidRPr="004C6B15">
        <w:lastRenderedPageBreak/>
        <w:t>Tables</w:t>
      </w:r>
      <w:bookmarkEnd w:id="8"/>
    </w:p>
    <w:p w:rsidR="00786914" w:rsidRDefault="00F0137E">
      <w:pPr>
        <w:pStyle w:val="TableofFigures"/>
        <w:rPr>
          <w:rFonts w:asciiTheme="minorHAnsi" w:eastAsiaTheme="minorEastAsia" w:hAnsiTheme="minorHAnsi" w:cstheme="minorBidi"/>
          <w:sz w:val="22"/>
          <w:szCs w:val="22"/>
        </w:rPr>
      </w:pPr>
      <w:r>
        <w:fldChar w:fldCharType="begin"/>
      </w:r>
      <w:r w:rsidR="00786914">
        <w:instrText xml:space="preserve"> TOC \h \z \c "Table" </w:instrText>
      </w:r>
      <w:r>
        <w:fldChar w:fldCharType="separate"/>
      </w:r>
      <w:hyperlink w:anchor="_Toc327881538" w:history="1">
        <w:r w:rsidR="00786914" w:rsidRPr="0077565A">
          <w:rPr>
            <w:rStyle w:val="Hyperlink"/>
          </w:rPr>
          <w:t>Table 1:</w:t>
        </w:r>
        <w:r w:rsidR="00786914">
          <w:rPr>
            <w:rFonts w:asciiTheme="minorHAnsi" w:eastAsiaTheme="minorEastAsia" w:hAnsiTheme="minorHAnsi" w:cstheme="minorBidi"/>
            <w:sz w:val="22"/>
            <w:szCs w:val="22"/>
          </w:rPr>
          <w:tab/>
        </w:r>
        <w:r w:rsidR="00786914" w:rsidRPr="0077565A">
          <w:rPr>
            <w:rStyle w:val="Hyperlink"/>
          </w:rPr>
          <w:t>Safety of HoLEP compared with TURP</w:t>
        </w:r>
        <w:r w:rsidR="00786914">
          <w:rPr>
            <w:webHidden/>
          </w:rPr>
          <w:tab/>
        </w:r>
        <w:r>
          <w:rPr>
            <w:webHidden/>
          </w:rPr>
          <w:fldChar w:fldCharType="begin"/>
        </w:r>
        <w:r w:rsidR="00786914">
          <w:rPr>
            <w:webHidden/>
          </w:rPr>
          <w:instrText xml:space="preserve"> PAGEREF _Toc327881538 \h </w:instrText>
        </w:r>
        <w:r>
          <w:rPr>
            <w:webHidden/>
          </w:rPr>
        </w:r>
        <w:r>
          <w:rPr>
            <w:webHidden/>
          </w:rPr>
          <w:fldChar w:fldCharType="separate"/>
        </w:r>
        <w:r w:rsidR="00F45C43">
          <w:rPr>
            <w:webHidden/>
          </w:rPr>
          <w:t>xv</w:t>
        </w:r>
        <w:r>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39" w:history="1">
        <w:r w:rsidR="00786914" w:rsidRPr="0077565A">
          <w:rPr>
            <w:rStyle w:val="Hyperlink"/>
          </w:rPr>
          <w:t>Table 2:</w:t>
        </w:r>
        <w:r w:rsidR="00786914">
          <w:rPr>
            <w:rFonts w:asciiTheme="minorHAnsi" w:eastAsiaTheme="minorEastAsia" w:hAnsiTheme="minorHAnsi" w:cstheme="minorBidi"/>
            <w:sz w:val="22"/>
            <w:szCs w:val="22"/>
          </w:rPr>
          <w:tab/>
        </w:r>
        <w:r w:rsidR="00786914" w:rsidRPr="0077565A">
          <w:rPr>
            <w:rStyle w:val="Hyperlink"/>
          </w:rPr>
          <w:t>Safety of HoLEP compared with OP</w:t>
        </w:r>
        <w:r w:rsidR="00786914">
          <w:rPr>
            <w:webHidden/>
          </w:rPr>
          <w:tab/>
        </w:r>
        <w:r w:rsidR="00F0137E">
          <w:rPr>
            <w:webHidden/>
          </w:rPr>
          <w:fldChar w:fldCharType="begin"/>
        </w:r>
        <w:r w:rsidR="00786914">
          <w:rPr>
            <w:webHidden/>
          </w:rPr>
          <w:instrText xml:space="preserve"> PAGEREF _Toc327881539 \h </w:instrText>
        </w:r>
        <w:r w:rsidR="00F0137E">
          <w:rPr>
            <w:webHidden/>
          </w:rPr>
        </w:r>
        <w:r w:rsidR="00F0137E">
          <w:rPr>
            <w:webHidden/>
          </w:rPr>
          <w:fldChar w:fldCharType="separate"/>
        </w:r>
        <w:r w:rsidR="00F45C43">
          <w:rPr>
            <w:webHidden/>
          </w:rPr>
          <w:t>xv</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0" w:history="1">
        <w:r w:rsidR="00786914" w:rsidRPr="0077565A">
          <w:rPr>
            <w:rStyle w:val="Hyperlink"/>
          </w:rPr>
          <w:t>Table 3:</w:t>
        </w:r>
        <w:r w:rsidR="00786914">
          <w:rPr>
            <w:rFonts w:asciiTheme="minorHAnsi" w:eastAsiaTheme="minorEastAsia" w:hAnsiTheme="minorHAnsi" w:cstheme="minorBidi"/>
            <w:sz w:val="22"/>
            <w:szCs w:val="22"/>
          </w:rPr>
          <w:tab/>
        </w:r>
        <w:r w:rsidR="00786914" w:rsidRPr="0077565A">
          <w:rPr>
            <w:rStyle w:val="Hyperlink"/>
          </w:rPr>
          <w:t>Effectiveness of HoLEP compared with TURP</w:t>
        </w:r>
        <w:r w:rsidR="00786914">
          <w:rPr>
            <w:webHidden/>
          </w:rPr>
          <w:tab/>
        </w:r>
        <w:r w:rsidR="00F0137E">
          <w:rPr>
            <w:webHidden/>
          </w:rPr>
          <w:fldChar w:fldCharType="begin"/>
        </w:r>
        <w:r w:rsidR="00786914">
          <w:rPr>
            <w:webHidden/>
          </w:rPr>
          <w:instrText xml:space="preserve"> PAGEREF _Toc327881540 \h </w:instrText>
        </w:r>
        <w:r w:rsidR="00F0137E">
          <w:rPr>
            <w:webHidden/>
          </w:rPr>
        </w:r>
        <w:r w:rsidR="00F0137E">
          <w:rPr>
            <w:webHidden/>
          </w:rPr>
          <w:fldChar w:fldCharType="separate"/>
        </w:r>
        <w:r w:rsidR="00F45C43">
          <w:rPr>
            <w:webHidden/>
          </w:rPr>
          <w:t>xviii</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1" w:history="1">
        <w:r w:rsidR="00786914" w:rsidRPr="0077565A">
          <w:rPr>
            <w:rStyle w:val="Hyperlink"/>
          </w:rPr>
          <w:t>Table 4:</w:t>
        </w:r>
        <w:r w:rsidR="00786914">
          <w:rPr>
            <w:rFonts w:asciiTheme="minorHAnsi" w:eastAsiaTheme="minorEastAsia" w:hAnsiTheme="minorHAnsi" w:cstheme="minorBidi"/>
            <w:sz w:val="22"/>
            <w:szCs w:val="22"/>
          </w:rPr>
          <w:tab/>
        </w:r>
        <w:r w:rsidR="00786914" w:rsidRPr="0077565A">
          <w:rPr>
            <w:rStyle w:val="Hyperlink"/>
          </w:rPr>
          <w:t>Secondary effectiveness outcomes: HoLEP compared with TURP</w:t>
        </w:r>
        <w:r w:rsidR="00786914">
          <w:rPr>
            <w:webHidden/>
          </w:rPr>
          <w:tab/>
        </w:r>
        <w:r w:rsidR="00F0137E">
          <w:rPr>
            <w:webHidden/>
          </w:rPr>
          <w:fldChar w:fldCharType="begin"/>
        </w:r>
        <w:r w:rsidR="00786914">
          <w:rPr>
            <w:webHidden/>
          </w:rPr>
          <w:instrText xml:space="preserve"> PAGEREF _Toc327881541 \h </w:instrText>
        </w:r>
        <w:r w:rsidR="00F0137E">
          <w:rPr>
            <w:webHidden/>
          </w:rPr>
        </w:r>
        <w:r w:rsidR="00F0137E">
          <w:rPr>
            <w:webHidden/>
          </w:rPr>
          <w:fldChar w:fldCharType="separate"/>
        </w:r>
        <w:r w:rsidR="00F45C43">
          <w:rPr>
            <w:webHidden/>
          </w:rPr>
          <w:t>xix</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2" w:history="1">
        <w:r w:rsidR="00786914" w:rsidRPr="0077565A">
          <w:rPr>
            <w:rStyle w:val="Hyperlink"/>
          </w:rPr>
          <w:t>Table 5:</w:t>
        </w:r>
        <w:r w:rsidR="00786914">
          <w:rPr>
            <w:rFonts w:asciiTheme="minorHAnsi" w:eastAsiaTheme="minorEastAsia" w:hAnsiTheme="minorHAnsi" w:cstheme="minorBidi"/>
            <w:sz w:val="22"/>
            <w:szCs w:val="22"/>
          </w:rPr>
          <w:tab/>
        </w:r>
        <w:r w:rsidR="00786914" w:rsidRPr="0077565A">
          <w:rPr>
            <w:rStyle w:val="Hyperlink"/>
          </w:rPr>
          <w:t>Effectiveness of HoLEP compared with OP</w:t>
        </w:r>
        <w:r w:rsidR="00786914">
          <w:rPr>
            <w:webHidden/>
          </w:rPr>
          <w:tab/>
        </w:r>
        <w:r w:rsidR="00F0137E">
          <w:rPr>
            <w:webHidden/>
          </w:rPr>
          <w:fldChar w:fldCharType="begin"/>
        </w:r>
        <w:r w:rsidR="00786914">
          <w:rPr>
            <w:webHidden/>
          </w:rPr>
          <w:instrText xml:space="preserve"> PAGEREF _Toc327881542 \h </w:instrText>
        </w:r>
        <w:r w:rsidR="00F0137E">
          <w:rPr>
            <w:webHidden/>
          </w:rPr>
        </w:r>
        <w:r w:rsidR="00F0137E">
          <w:rPr>
            <w:webHidden/>
          </w:rPr>
          <w:fldChar w:fldCharType="separate"/>
        </w:r>
        <w:r w:rsidR="00F45C43">
          <w:rPr>
            <w:webHidden/>
          </w:rPr>
          <w:t>xix</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3" w:history="1">
        <w:r w:rsidR="00786914" w:rsidRPr="0077565A">
          <w:rPr>
            <w:rStyle w:val="Hyperlink"/>
          </w:rPr>
          <w:t>Table 6:</w:t>
        </w:r>
        <w:r w:rsidR="00786914">
          <w:rPr>
            <w:rFonts w:asciiTheme="minorHAnsi" w:eastAsiaTheme="minorEastAsia" w:hAnsiTheme="minorHAnsi" w:cstheme="minorBidi"/>
            <w:sz w:val="22"/>
            <w:szCs w:val="22"/>
          </w:rPr>
          <w:tab/>
        </w:r>
        <w:r w:rsidR="00786914" w:rsidRPr="0077565A">
          <w:rPr>
            <w:rStyle w:val="Hyperlink"/>
          </w:rPr>
          <w:t>Separations for principal diagnosis of BPH 1998-2010</w:t>
        </w:r>
        <w:r w:rsidR="00786914">
          <w:rPr>
            <w:webHidden/>
          </w:rPr>
          <w:tab/>
        </w:r>
        <w:r w:rsidR="00F0137E">
          <w:rPr>
            <w:webHidden/>
          </w:rPr>
          <w:fldChar w:fldCharType="begin"/>
        </w:r>
        <w:r w:rsidR="00786914">
          <w:rPr>
            <w:webHidden/>
          </w:rPr>
          <w:instrText xml:space="preserve"> PAGEREF _Toc327881543 \h </w:instrText>
        </w:r>
        <w:r w:rsidR="00F0137E">
          <w:rPr>
            <w:webHidden/>
          </w:rPr>
        </w:r>
        <w:r w:rsidR="00F0137E">
          <w:rPr>
            <w:webHidden/>
          </w:rPr>
          <w:fldChar w:fldCharType="separate"/>
        </w:r>
        <w:r w:rsidR="00F45C43">
          <w:rPr>
            <w:webHidden/>
          </w:rPr>
          <w:t>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4" w:history="1">
        <w:r w:rsidR="00786914" w:rsidRPr="0077565A">
          <w:rPr>
            <w:rStyle w:val="Hyperlink"/>
          </w:rPr>
          <w:t>Table 7:</w:t>
        </w:r>
        <w:r w:rsidR="00786914">
          <w:rPr>
            <w:rFonts w:asciiTheme="minorHAnsi" w:eastAsiaTheme="minorEastAsia" w:hAnsiTheme="minorHAnsi" w:cstheme="minorBidi"/>
            <w:sz w:val="22"/>
            <w:szCs w:val="22"/>
          </w:rPr>
          <w:tab/>
        </w:r>
        <w:r w:rsidR="00786914" w:rsidRPr="0077565A">
          <w:rPr>
            <w:rStyle w:val="Hyperlink"/>
          </w:rPr>
          <w:t>Requested Medicare items processed from July 2007 to June 2011</w:t>
        </w:r>
        <w:r w:rsidR="00786914">
          <w:rPr>
            <w:webHidden/>
          </w:rPr>
          <w:tab/>
        </w:r>
        <w:r w:rsidR="00F0137E">
          <w:rPr>
            <w:webHidden/>
          </w:rPr>
          <w:fldChar w:fldCharType="begin"/>
        </w:r>
        <w:r w:rsidR="00786914">
          <w:rPr>
            <w:webHidden/>
          </w:rPr>
          <w:instrText xml:space="preserve"> PAGEREF _Toc327881544 \h </w:instrText>
        </w:r>
        <w:r w:rsidR="00F0137E">
          <w:rPr>
            <w:webHidden/>
          </w:rPr>
        </w:r>
        <w:r w:rsidR="00F0137E">
          <w:rPr>
            <w:webHidden/>
          </w:rPr>
          <w:fldChar w:fldCharType="separate"/>
        </w:r>
        <w:r w:rsidR="00F45C43">
          <w:rPr>
            <w:webHidden/>
          </w:rPr>
          <w:t>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5" w:history="1">
        <w:r w:rsidR="00786914" w:rsidRPr="0077565A">
          <w:rPr>
            <w:rStyle w:val="Hyperlink"/>
          </w:rPr>
          <w:t>Table 8:</w:t>
        </w:r>
        <w:r w:rsidR="00786914">
          <w:rPr>
            <w:rFonts w:asciiTheme="minorHAnsi" w:eastAsiaTheme="minorEastAsia" w:hAnsiTheme="minorHAnsi" w:cstheme="minorBidi"/>
            <w:sz w:val="22"/>
            <w:szCs w:val="22"/>
          </w:rPr>
          <w:tab/>
        </w:r>
        <w:r w:rsidR="00786914" w:rsidRPr="0077565A">
          <w:rPr>
            <w:rStyle w:val="Hyperlink"/>
          </w:rPr>
          <w:t>Electronic databases searched</w:t>
        </w:r>
        <w:r w:rsidR="00786914">
          <w:rPr>
            <w:webHidden/>
          </w:rPr>
          <w:tab/>
        </w:r>
        <w:r w:rsidR="00F0137E">
          <w:rPr>
            <w:webHidden/>
          </w:rPr>
          <w:fldChar w:fldCharType="begin"/>
        </w:r>
        <w:r w:rsidR="00786914">
          <w:rPr>
            <w:webHidden/>
          </w:rPr>
          <w:instrText xml:space="preserve"> PAGEREF _Toc327881545 \h </w:instrText>
        </w:r>
        <w:r w:rsidR="00F0137E">
          <w:rPr>
            <w:webHidden/>
          </w:rPr>
        </w:r>
        <w:r w:rsidR="00F0137E">
          <w:rPr>
            <w:webHidden/>
          </w:rPr>
          <w:fldChar w:fldCharType="separate"/>
        </w:r>
        <w:r w:rsidR="00F45C43">
          <w:rPr>
            <w:webHidden/>
          </w:rPr>
          <w:t>13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6" w:history="1">
        <w:r w:rsidR="00786914" w:rsidRPr="0077565A">
          <w:rPr>
            <w:rStyle w:val="Hyperlink"/>
          </w:rPr>
          <w:t>Table 9:</w:t>
        </w:r>
        <w:r w:rsidR="00786914">
          <w:rPr>
            <w:rFonts w:asciiTheme="minorHAnsi" w:eastAsiaTheme="minorEastAsia" w:hAnsiTheme="minorHAnsi" w:cstheme="minorBidi"/>
            <w:sz w:val="22"/>
            <w:szCs w:val="22"/>
          </w:rPr>
          <w:tab/>
        </w:r>
        <w:r w:rsidR="00786914" w:rsidRPr="0077565A">
          <w:rPr>
            <w:rStyle w:val="Hyperlink"/>
          </w:rPr>
          <w:t>Evidence dimensions</w:t>
        </w:r>
        <w:r w:rsidR="00786914">
          <w:rPr>
            <w:webHidden/>
          </w:rPr>
          <w:tab/>
        </w:r>
        <w:r w:rsidR="00F0137E">
          <w:rPr>
            <w:webHidden/>
          </w:rPr>
          <w:fldChar w:fldCharType="begin"/>
        </w:r>
        <w:r w:rsidR="00786914">
          <w:rPr>
            <w:webHidden/>
          </w:rPr>
          <w:instrText xml:space="preserve"> PAGEREF _Toc327881546 \h </w:instrText>
        </w:r>
        <w:r w:rsidR="00F0137E">
          <w:rPr>
            <w:webHidden/>
          </w:rPr>
        </w:r>
        <w:r w:rsidR="00F0137E">
          <w:rPr>
            <w:webHidden/>
          </w:rPr>
          <w:fldChar w:fldCharType="separate"/>
        </w:r>
        <w:r w:rsidR="00F45C43">
          <w:rPr>
            <w:webHidden/>
          </w:rPr>
          <w:t>16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7" w:history="1">
        <w:r w:rsidR="00786914" w:rsidRPr="0077565A">
          <w:rPr>
            <w:rStyle w:val="Hyperlink"/>
          </w:rPr>
          <w:t>Table 10</w:t>
        </w:r>
        <w:r w:rsidR="00786914">
          <w:rPr>
            <w:rFonts w:asciiTheme="minorHAnsi" w:eastAsiaTheme="minorEastAsia" w:hAnsiTheme="minorHAnsi" w:cstheme="minorBidi"/>
            <w:sz w:val="22"/>
            <w:szCs w:val="22"/>
          </w:rPr>
          <w:tab/>
        </w:r>
        <w:r w:rsidR="00786914" w:rsidRPr="0077565A">
          <w:rPr>
            <w:rStyle w:val="Hyperlink"/>
          </w:rPr>
          <w:t>Designations of levels of evidence according to type of research question (including table notes)(NHMRC 2009)</w:t>
        </w:r>
        <w:r w:rsidR="00786914">
          <w:rPr>
            <w:webHidden/>
          </w:rPr>
          <w:tab/>
        </w:r>
        <w:r w:rsidR="00F0137E">
          <w:rPr>
            <w:webHidden/>
          </w:rPr>
          <w:fldChar w:fldCharType="begin"/>
        </w:r>
        <w:r w:rsidR="00786914">
          <w:rPr>
            <w:webHidden/>
          </w:rPr>
          <w:instrText xml:space="preserve"> PAGEREF _Toc327881547 \h </w:instrText>
        </w:r>
        <w:r w:rsidR="00F0137E">
          <w:rPr>
            <w:webHidden/>
          </w:rPr>
        </w:r>
        <w:r w:rsidR="00F0137E">
          <w:rPr>
            <w:webHidden/>
          </w:rPr>
          <w:fldChar w:fldCharType="separate"/>
        </w:r>
        <w:r w:rsidR="00F45C43">
          <w:rPr>
            <w:webHidden/>
          </w:rPr>
          <w:t>17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8" w:history="1">
        <w:r w:rsidR="00786914" w:rsidRPr="0077565A">
          <w:rPr>
            <w:rStyle w:val="Hyperlink"/>
          </w:rPr>
          <w:t>Table 11:</w:t>
        </w:r>
        <w:r w:rsidR="00786914">
          <w:rPr>
            <w:rFonts w:asciiTheme="minorHAnsi" w:eastAsiaTheme="minorEastAsia" w:hAnsiTheme="minorHAnsi" w:cstheme="minorBidi"/>
            <w:sz w:val="22"/>
            <w:szCs w:val="22"/>
          </w:rPr>
          <w:tab/>
        </w:r>
        <w:r w:rsidR="00786914" w:rsidRPr="0077565A">
          <w:rPr>
            <w:rStyle w:val="Hyperlink"/>
          </w:rPr>
          <w:t>Body of evidence assessment matrix</w:t>
        </w:r>
        <w:r w:rsidR="00786914">
          <w:rPr>
            <w:webHidden/>
          </w:rPr>
          <w:tab/>
        </w:r>
        <w:r w:rsidR="00F0137E">
          <w:rPr>
            <w:webHidden/>
          </w:rPr>
          <w:fldChar w:fldCharType="begin"/>
        </w:r>
        <w:r w:rsidR="00786914">
          <w:rPr>
            <w:webHidden/>
          </w:rPr>
          <w:instrText xml:space="preserve"> PAGEREF _Toc327881548 \h </w:instrText>
        </w:r>
        <w:r w:rsidR="00F0137E">
          <w:rPr>
            <w:webHidden/>
          </w:rPr>
        </w:r>
        <w:r w:rsidR="00F0137E">
          <w:rPr>
            <w:webHidden/>
          </w:rPr>
          <w:fldChar w:fldCharType="separate"/>
        </w:r>
        <w:r w:rsidR="00F45C43">
          <w:rPr>
            <w:webHidden/>
          </w:rPr>
          <w:t>20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49" w:history="1">
        <w:r w:rsidR="00786914" w:rsidRPr="0077565A">
          <w:rPr>
            <w:rStyle w:val="Hyperlink"/>
          </w:rPr>
          <w:t>Table 12:</w:t>
        </w:r>
        <w:r w:rsidR="00786914">
          <w:rPr>
            <w:rFonts w:asciiTheme="minorHAnsi" w:eastAsiaTheme="minorEastAsia" w:hAnsiTheme="minorHAnsi" w:cstheme="minorBidi"/>
            <w:sz w:val="22"/>
            <w:szCs w:val="22"/>
          </w:rPr>
          <w:tab/>
        </w:r>
        <w:r w:rsidR="00786914" w:rsidRPr="0077565A">
          <w:rPr>
            <w:rStyle w:val="Hyperlink"/>
          </w:rPr>
          <w:t>Characteristics and quality appraisal of Lourenco et al 2008</w:t>
        </w:r>
        <w:r w:rsidR="00786914">
          <w:rPr>
            <w:webHidden/>
          </w:rPr>
          <w:tab/>
        </w:r>
        <w:r w:rsidR="00F0137E">
          <w:rPr>
            <w:webHidden/>
          </w:rPr>
          <w:fldChar w:fldCharType="begin"/>
        </w:r>
        <w:r w:rsidR="00786914">
          <w:rPr>
            <w:webHidden/>
          </w:rPr>
          <w:instrText xml:space="preserve"> PAGEREF _Toc327881549 \h </w:instrText>
        </w:r>
        <w:r w:rsidR="00F0137E">
          <w:rPr>
            <w:webHidden/>
          </w:rPr>
        </w:r>
        <w:r w:rsidR="00F0137E">
          <w:rPr>
            <w:webHidden/>
          </w:rPr>
          <w:fldChar w:fldCharType="separate"/>
        </w:r>
        <w:r w:rsidR="00F45C43">
          <w:rPr>
            <w:webHidden/>
          </w:rPr>
          <w:t>24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0" w:history="1">
        <w:r w:rsidR="00786914" w:rsidRPr="0077565A">
          <w:rPr>
            <w:rStyle w:val="Hyperlink"/>
          </w:rPr>
          <w:t>Table 13:</w:t>
        </w:r>
        <w:r w:rsidR="00786914">
          <w:rPr>
            <w:rFonts w:asciiTheme="minorHAnsi" w:eastAsiaTheme="minorEastAsia" w:hAnsiTheme="minorHAnsi" w:cstheme="minorBidi"/>
            <w:sz w:val="22"/>
            <w:szCs w:val="22"/>
          </w:rPr>
          <w:tab/>
        </w:r>
        <w:r w:rsidR="00786914" w:rsidRPr="0077565A">
          <w:rPr>
            <w:rStyle w:val="Hyperlink"/>
          </w:rPr>
          <w:t>Characteristics of studies not included in the Systematic Review</w:t>
        </w:r>
        <w:r w:rsidR="00786914">
          <w:rPr>
            <w:webHidden/>
          </w:rPr>
          <w:tab/>
        </w:r>
        <w:r w:rsidR="00F0137E">
          <w:rPr>
            <w:webHidden/>
          </w:rPr>
          <w:fldChar w:fldCharType="begin"/>
        </w:r>
        <w:r w:rsidR="00786914">
          <w:rPr>
            <w:webHidden/>
          </w:rPr>
          <w:instrText xml:space="preserve"> PAGEREF _Toc327881550 \h </w:instrText>
        </w:r>
        <w:r w:rsidR="00F0137E">
          <w:rPr>
            <w:webHidden/>
          </w:rPr>
        </w:r>
        <w:r w:rsidR="00F0137E">
          <w:rPr>
            <w:webHidden/>
          </w:rPr>
          <w:fldChar w:fldCharType="separate"/>
        </w:r>
        <w:r w:rsidR="00F45C43">
          <w:rPr>
            <w:webHidden/>
          </w:rPr>
          <w:t>25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1" w:history="1">
        <w:r w:rsidR="00786914" w:rsidRPr="0077565A">
          <w:rPr>
            <w:rStyle w:val="Hyperlink"/>
          </w:rPr>
          <w:t>Table 14:</w:t>
        </w:r>
        <w:r w:rsidR="00786914">
          <w:rPr>
            <w:rFonts w:asciiTheme="minorHAnsi" w:eastAsiaTheme="minorEastAsia" w:hAnsiTheme="minorHAnsi" w:cstheme="minorBidi"/>
            <w:sz w:val="22"/>
            <w:szCs w:val="22"/>
          </w:rPr>
          <w:tab/>
        </w:r>
        <w:r w:rsidR="00786914" w:rsidRPr="0077565A">
          <w:rPr>
            <w:rStyle w:val="Hyperlink"/>
          </w:rPr>
          <w:t>Characteristics and appraisal of ANZHSN report</w:t>
        </w:r>
        <w:r w:rsidR="00786914">
          <w:rPr>
            <w:webHidden/>
          </w:rPr>
          <w:tab/>
        </w:r>
        <w:r w:rsidR="00F0137E">
          <w:rPr>
            <w:webHidden/>
          </w:rPr>
          <w:fldChar w:fldCharType="begin"/>
        </w:r>
        <w:r w:rsidR="00786914">
          <w:rPr>
            <w:webHidden/>
          </w:rPr>
          <w:instrText xml:space="preserve"> PAGEREF _Toc327881551 \h </w:instrText>
        </w:r>
        <w:r w:rsidR="00F0137E">
          <w:rPr>
            <w:webHidden/>
          </w:rPr>
        </w:r>
        <w:r w:rsidR="00F0137E">
          <w:rPr>
            <w:webHidden/>
          </w:rPr>
          <w:fldChar w:fldCharType="separate"/>
        </w:r>
        <w:r w:rsidR="00F45C43">
          <w:rPr>
            <w:webHidden/>
          </w:rPr>
          <w:t>27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2" w:history="1">
        <w:r w:rsidR="00786914" w:rsidRPr="0077565A">
          <w:rPr>
            <w:rStyle w:val="Hyperlink"/>
          </w:rPr>
          <w:t>Table 15:</w:t>
        </w:r>
        <w:r w:rsidR="00786914">
          <w:rPr>
            <w:rFonts w:asciiTheme="minorHAnsi" w:eastAsiaTheme="minorEastAsia" w:hAnsiTheme="minorHAnsi" w:cstheme="minorBidi"/>
            <w:sz w:val="22"/>
            <w:szCs w:val="22"/>
          </w:rPr>
          <w:tab/>
        </w:r>
        <w:r w:rsidR="00786914" w:rsidRPr="0077565A">
          <w:rPr>
            <w:rStyle w:val="Hyperlink"/>
          </w:rPr>
          <w:t>Safety outcomes: HoLEP in comparison with TURP</w:t>
        </w:r>
        <w:r w:rsidR="00786914">
          <w:rPr>
            <w:webHidden/>
          </w:rPr>
          <w:tab/>
        </w:r>
        <w:r w:rsidR="00F0137E">
          <w:rPr>
            <w:webHidden/>
          </w:rPr>
          <w:fldChar w:fldCharType="begin"/>
        </w:r>
        <w:r w:rsidR="00786914">
          <w:rPr>
            <w:webHidden/>
          </w:rPr>
          <w:instrText xml:space="preserve"> PAGEREF _Toc327881552 \h </w:instrText>
        </w:r>
        <w:r w:rsidR="00F0137E">
          <w:rPr>
            <w:webHidden/>
          </w:rPr>
        </w:r>
        <w:r w:rsidR="00F0137E">
          <w:rPr>
            <w:webHidden/>
          </w:rPr>
          <w:fldChar w:fldCharType="separate"/>
        </w:r>
        <w:r w:rsidR="00F45C43">
          <w:rPr>
            <w:webHidden/>
          </w:rPr>
          <w:t>27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3" w:history="1">
        <w:r w:rsidR="00786914" w:rsidRPr="0077565A">
          <w:rPr>
            <w:rStyle w:val="Hyperlink"/>
          </w:rPr>
          <w:t>Table 16:</w:t>
        </w:r>
        <w:r w:rsidR="00786914">
          <w:rPr>
            <w:rFonts w:asciiTheme="minorHAnsi" w:eastAsiaTheme="minorEastAsia" w:hAnsiTheme="minorHAnsi" w:cstheme="minorBidi"/>
            <w:sz w:val="22"/>
            <w:szCs w:val="22"/>
          </w:rPr>
          <w:tab/>
        </w:r>
        <w:r w:rsidR="00786914" w:rsidRPr="0077565A">
          <w:rPr>
            <w:rStyle w:val="Hyperlink"/>
          </w:rPr>
          <w:t>Secondary effectiveness outcomes: HoLEP compared with TURP</w:t>
        </w:r>
        <w:r w:rsidR="00786914">
          <w:rPr>
            <w:webHidden/>
          </w:rPr>
          <w:tab/>
        </w:r>
        <w:r w:rsidR="00F0137E">
          <w:rPr>
            <w:webHidden/>
          </w:rPr>
          <w:fldChar w:fldCharType="begin"/>
        </w:r>
        <w:r w:rsidR="00786914">
          <w:rPr>
            <w:webHidden/>
          </w:rPr>
          <w:instrText xml:space="preserve"> PAGEREF _Toc327881553 \h </w:instrText>
        </w:r>
        <w:r w:rsidR="00F0137E">
          <w:rPr>
            <w:webHidden/>
          </w:rPr>
        </w:r>
        <w:r w:rsidR="00F0137E">
          <w:rPr>
            <w:webHidden/>
          </w:rPr>
          <w:fldChar w:fldCharType="separate"/>
        </w:r>
        <w:r w:rsidR="00F45C43">
          <w:rPr>
            <w:webHidden/>
          </w:rPr>
          <w:t>35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4" w:history="1">
        <w:r w:rsidR="00786914" w:rsidRPr="0077565A">
          <w:rPr>
            <w:rStyle w:val="Hyperlink"/>
          </w:rPr>
          <w:t>Table 17:</w:t>
        </w:r>
        <w:r w:rsidR="00786914">
          <w:rPr>
            <w:rFonts w:asciiTheme="minorHAnsi" w:eastAsiaTheme="minorEastAsia" w:hAnsiTheme="minorHAnsi" w:cstheme="minorBidi"/>
            <w:sz w:val="22"/>
            <w:szCs w:val="22"/>
          </w:rPr>
          <w:tab/>
        </w:r>
        <w:r w:rsidR="00786914" w:rsidRPr="0077565A">
          <w:rPr>
            <w:rStyle w:val="Hyperlink"/>
          </w:rPr>
          <w:t>Safety outcomes: HoLEP compared with OP</w:t>
        </w:r>
        <w:r w:rsidR="00786914">
          <w:rPr>
            <w:webHidden/>
          </w:rPr>
          <w:tab/>
        </w:r>
        <w:r w:rsidR="00F0137E">
          <w:rPr>
            <w:webHidden/>
          </w:rPr>
          <w:fldChar w:fldCharType="begin"/>
        </w:r>
        <w:r w:rsidR="00786914">
          <w:rPr>
            <w:webHidden/>
          </w:rPr>
          <w:instrText xml:space="preserve"> PAGEREF _Toc327881554 \h </w:instrText>
        </w:r>
        <w:r w:rsidR="00F0137E">
          <w:rPr>
            <w:webHidden/>
          </w:rPr>
        </w:r>
        <w:r w:rsidR="00F0137E">
          <w:rPr>
            <w:webHidden/>
          </w:rPr>
          <w:fldChar w:fldCharType="separate"/>
        </w:r>
        <w:r w:rsidR="00F45C43">
          <w:rPr>
            <w:webHidden/>
          </w:rPr>
          <w:t>37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5" w:history="1">
        <w:r w:rsidR="00786914" w:rsidRPr="0077565A">
          <w:rPr>
            <w:rStyle w:val="Hyperlink"/>
          </w:rPr>
          <w:t>Table 18:</w:t>
        </w:r>
        <w:r w:rsidR="00786914">
          <w:rPr>
            <w:rFonts w:asciiTheme="minorHAnsi" w:eastAsiaTheme="minorEastAsia" w:hAnsiTheme="minorHAnsi" w:cstheme="minorBidi"/>
            <w:sz w:val="22"/>
            <w:szCs w:val="22"/>
          </w:rPr>
          <w:tab/>
        </w:r>
        <w:r w:rsidR="00786914" w:rsidRPr="0077565A">
          <w:rPr>
            <w:rStyle w:val="Hyperlink"/>
          </w:rPr>
          <w:t>Effectiveness outcomes: HoLEP compared with OP</w:t>
        </w:r>
        <w:r w:rsidR="00786914">
          <w:rPr>
            <w:webHidden/>
          </w:rPr>
          <w:tab/>
        </w:r>
        <w:r w:rsidR="00F0137E">
          <w:rPr>
            <w:webHidden/>
          </w:rPr>
          <w:fldChar w:fldCharType="begin"/>
        </w:r>
        <w:r w:rsidR="00786914">
          <w:rPr>
            <w:webHidden/>
          </w:rPr>
          <w:instrText xml:space="preserve"> PAGEREF _Toc327881555 \h </w:instrText>
        </w:r>
        <w:r w:rsidR="00F0137E">
          <w:rPr>
            <w:webHidden/>
          </w:rPr>
        </w:r>
        <w:r w:rsidR="00F0137E">
          <w:rPr>
            <w:webHidden/>
          </w:rPr>
          <w:fldChar w:fldCharType="separate"/>
        </w:r>
        <w:r w:rsidR="00F45C43">
          <w:rPr>
            <w:webHidden/>
          </w:rPr>
          <w:t>39</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6" w:history="1">
        <w:r w:rsidR="00786914" w:rsidRPr="0077565A">
          <w:rPr>
            <w:rStyle w:val="Hyperlink"/>
          </w:rPr>
          <w:t>Table 19:</w:t>
        </w:r>
        <w:r w:rsidR="00786914">
          <w:rPr>
            <w:rFonts w:asciiTheme="minorHAnsi" w:eastAsiaTheme="minorEastAsia" w:hAnsiTheme="minorHAnsi" w:cstheme="minorBidi"/>
            <w:sz w:val="22"/>
            <w:szCs w:val="22"/>
          </w:rPr>
          <w:tab/>
        </w:r>
        <w:r w:rsidR="00786914" w:rsidRPr="0077565A">
          <w:rPr>
            <w:rStyle w:val="Hyperlink"/>
          </w:rPr>
          <w:t>Secondary effectiveness outcomes: HoLEP compared with OP</w:t>
        </w:r>
        <w:r w:rsidR="00786914">
          <w:rPr>
            <w:webHidden/>
          </w:rPr>
          <w:tab/>
        </w:r>
        <w:r w:rsidR="00F0137E">
          <w:rPr>
            <w:webHidden/>
          </w:rPr>
          <w:fldChar w:fldCharType="begin"/>
        </w:r>
        <w:r w:rsidR="00786914">
          <w:rPr>
            <w:webHidden/>
          </w:rPr>
          <w:instrText xml:space="preserve"> PAGEREF _Toc327881556 \h </w:instrText>
        </w:r>
        <w:r w:rsidR="00F0137E">
          <w:rPr>
            <w:webHidden/>
          </w:rPr>
        </w:r>
        <w:r w:rsidR="00F0137E">
          <w:rPr>
            <w:webHidden/>
          </w:rPr>
          <w:fldChar w:fldCharType="separate"/>
        </w:r>
        <w:r w:rsidR="00F45C43">
          <w:rPr>
            <w:webHidden/>
          </w:rPr>
          <w:t>43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7" w:history="1">
        <w:r w:rsidR="00786914" w:rsidRPr="0077565A">
          <w:rPr>
            <w:rStyle w:val="Hyperlink"/>
          </w:rPr>
          <w:t>Table 20:</w:t>
        </w:r>
        <w:r w:rsidR="00786914">
          <w:rPr>
            <w:rFonts w:asciiTheme="minorHAnsi" w:eastAsiaTheme="minorEastAsia" w:hAnsiTheme="minorHAnsi" w:cstheme="minorBidi"/>
            <w:sz w:val="22"/>
            <w:szCs w:val="22"/>
          </w:rPr>
          <w:tab/>
        </w:r>
        <w:r w:rsidR="00786914" w:rsidRPr="0077565A">
          <w:rPr>
            <w:rStyle w:val="Hyperlink"/>
          </w:rPr>
          <w:t>Adverse events, urethral stricture, long-term incontinence and re-treatment values</w:t>
        </w:r>
        <w:r w:rsidR="00786914">
          <w:rPr>
            <w:webHidden/>
          </w:rPr>
          <w:tab/>
        </w:r>
        <w:r w:rsidR="00F0137E">
          <w:rPr>
            <w:webHidden/>
          </w:rPr>
          <w:fldChar w:fldCharType="begin"/>
        </w:r>
        <w:r w:rsidR="00786914">
          <w:rPr>
            <w:webHidden/>
          </w:rPr>
          <w:instrText xml:space="preserve"> PAGEREF _Toc327881557 \h </w:instrText>
        </w:r>
        <w:r w:rsidR="00F0137E">
          <w:rPr>
            <w:webHidden/>
          </w:rPr>
        </w:r>
        <w:r w:rsidR="00F0137E">
          <w:rPr>
            <w:webHidden/>
          </w:rPr>
          <w:fldChar w:fldCharType="separate"/>
        </w:r>
        <w:r w:rsidR="00F45C43">
          <w:rPr>
            <w:webHidden/>
          </w:rPr>
          <w:t>51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8" w:history="1">
        <w:r w:rsidR="00786914" w:rsidRPr="0077565A">
          <w:rPr>
            <w:rStyle w:val="Hyperlink"/>
          </w:rPr>
          <w:t>Table 21: Relative risk values of HoLEP compared to TURP</w:t>
        </w:r>
        <w:r w:rsidR="00786914">
          <w:rPr>
            <w:webHidden/>
          </w:rPr>
          <w:tab/>
        </w:r>
        <w:r w:rsidR="00F0137E">
          <w:rPr>
            <w:webHidden/>
          </w:rPr>
          <w:fldChar w:fldCharType="begin"/>
        </w:r>
        <w:r w:rsidR="00786914">
          <w:rPr>
            <w:webHidden/>
          </w:rPr>
          <w:instrText xml:space="preserve"> PAGEREF _Toc327881558 \h </w:instrText>
        </w:r>
        <w:r w:rsidR="00F0137E">
          <w:rPr>
            <w:webHidden/>
          </w:rPr>
        </w:r>
        <w:r w:rsidR="00F0137E">
          <w:rPr>
            <w:webHidden/>
          </w:rPr>
          <w:fldChar w:fldCharType="separate"/>
        </w:r>
        <w:r w:rsidR="00F45C43">
          <w:rPr>
            <w:webHidden/>
          </w:rPr>
          <w:t>51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59" w:history="1">
        <w:r w:rsidR="00786914" w:rsidRPr="0077565A">
          <w:rPr>
            <w:rStyle w:val="Hyperlink"/>
          </w:rPr>
          <w:t>Table 22:</w:t>
        </w:r>
        <w:r w:rsidR="00786914">
          <w:rPr>
            <w:rFonts w:asciiTheme="minorHAnsi" w:eastAsiaTheme="minorEastAsia" w:hAnsiTheme="minorHAnsi" w:cstheme="minorBidi"/>
            <w:sz w:val="22"/>
            <w:szCs w:val="22"/>
          </w:rPr>
          <w:tab/>
        </w:r>
        <w:r w:rsidR="00786914" w:rsidRPr="0077565A">
          <w:rPr>
            <w:rStyle w:val="Hyperlink"/>
          </w:rPr>
          <w:t>Adverse events, urethral stricture and long-term incontinence associated with OP</w:t>
        </w:r>
        <w:r w:rsidR="00786914">
          <w:rPr>
            <w:webHidden/>
          </w:rPr>
          <w:tab/>
        </w:r>
        <w:r w:rsidR="00F0137E">
          <w:rPr>
            <w:webHidden/>
          </w:rPr>
          <w:fldChar w:fldCharType="begin"/>
        </w:r>
        <w:r w:rsidR="00786914">
          <w:rPr>
            <w:webHidden/>
          </w:rPr>
          <w:instrText xml:space="preserve"> PAGEREF _Toc327881559 \h </w:instrText>
        </w:r>
        <w:r w:rsidR="00F0137E">
          <w:rPr>
            <w:webHidden/>
          </w:rPr>
        </w:r>
        <w:r w:rsidR="00F0137E">
          <w:rPr>
            <w:webHidden/>
          </w:rPr>
          <w:fldChar w:fldCharType="separate"/>
        </w:r>
        <w:r w:rsidR="00F45C43">
          <w:rPr>
            <w:webHidden/>
          </w:rPr>
          <w:t>51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0" w:history="1">
        <w:r w:rsidR="00786914" w:rsidRPr="0077565A">
          <w:rPr>
            <w:rStyle w:val="Hyperlink"/>
          </w:rPr>
          <w:t>Table 23: Adverse events, urethral stricture and long-term incontinence relative risk values of HoLEP when compared with OP</w:t>
        </w:r>
        <w:r w:rsidR="00786914">
          <w:rPr>
            <w:webHidden/>
          </w:rPr>
          <w:tab/>
        </w:r>
        <w:r w:rsidR="00F0137E">
          <w:rPr>
            <w:webHidden/>
          </w:rPr>
          <w:fldChar w:fldCharType="begin"/>
        </w:r>
        <w:r w:rsidR="00786914">
          <w:rPr>
            <w:webHidden/>
          </w:rPr>
          <w:instrText xml:space="preserve"> PAGEREF _Toc327881560 \h </w:instrText>
        </w:r>
        <w:r w:rsidR="00F0137E">
          <w:rPr>
            <w:webHidden/>
          </w:rPr>
        </w:r>
        <w:r w:rsidR="00F0137E">
          <w:rPr>
            <w:webHidden/>
          </w:rPr>
          <w:fldChar w:fldCharType="separate"/>
        </w:r>
        <w:r w:rsidR="00F45C43">
          <w:rPr>
            <w:webHidden/>
          </w:rPr>
          <w:t>51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1" w:history="1">
        <w:r w:rsidR="00786914" w:rsidRPr="0077565A">
          <w:rPr>
            <w:rStyle w:val="Hyperlink"/>
          </w:rPr>
          <w:t>Table 24:</w:t>
        </w:r>
        <w:r w:rsidR="00786914">
          <w:rPr>
            <w:rFonts w:asciiTheme="minorHAnsi" w:eastAsiaTheme="minorEastAsia" w:hAnsiTheme="minorHAnsi" w:cstheme="minorBidi"/>
            <w:sz w:val="22"/>
            <w:szCs w:val="22"/>
          </w:rPr>
          <w:tab/>
        </w:r>
        <w:r w:rsidR="00786914" w:rsidRPr="0077565A">
          <w:rPr>
            <w:rStyle w:val="Hyperlink"/>
          </w:rPr>
          <w:t>Source costs associated with health states used in the economic evaluation</w:t>
        </w:r>
        <w:r w:rsidR="00786914">
          <w:rPr>
            <w:webHidden/>
          </w:rPr>
          <w:tab/>
        </w:r>
        <w:r w:rsidR="00F0137E">
          <w:rPr>
            <w:webHidden/>
          </w:rPr>
          <w:fldChar w:fldCharType="begin"/>
        </w:r>
        <w:r w:rsidR="00786914">
          <w:rPr>
            <w:webHidden/>
          </w:rPr>
          <w:instrText xml:space="preserve"> PAGEREF _Toc327881561 \h </w:instrText>
        </w:r>
        <w:r w:rsidR="00F0137E">
          <w:rPr>
            <w:webHidden/>
          </w:rPr>
        </w:r>
        <w:r w:rsidR="00F0137E">
          <w:rPr>
            <w:webHidden/>
          </w:rPr>
          <w:fldChar w:fldCharType="separate"/>
        </w:r>
        <w:r w:rsidR="00F45C43">
          <w:rPr>
            <w:webHidden/>
          </w:rPr>
          <w:t>53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2" w:history="1">
        <w:r w:rsidR="00786914" w:rsidRPr="0077565A">
          <w:rPr>
            <w:rStyle w:val="Hyperlink"/>
          </w:rPr>
          <w:t>Table 25:</w:t>
        </w:r>
        <w:r w:rsidR="00786914">
          <w:rPr>
            <w:rFonts w:asciiTheme="minorHAnsi" w:eastAsiaTheme="minorEastAsia" w:hAnsiTheme="minorHAnsi" w:cstheme="minorBidi"/>
            <w:sz w:val="22"/>
            <w:szCs w:val="22"/>
          </w:rPr>
          <w:tab/>
        </w:r>
        <w:r w:rsidR="00786914" w:rsidRPr="0077565A">
          <w:rPr>
            <w:rStyle w:val="Hyperlink"/>
          </w:rPr>
          <w:t>Costs associated with health states used in the economic model</w:t>
        </w:r>
        <w:r w:rsidR="00786914">
          <w:rPr>
            <w:webHidden/>
          </w:rPr>
          <w:tab/>
        </w:r>
        <w:r w:rsidR="00F0137E">
          <w:rPr>
            <w:webHidden/>
          </w:rPr>
          <w:fldChar w:fldCharType="begin"/>
        </w:r>
        <w:r w:rsidR="00786914">
          <w:rPr>
            <w:webHidden/>
          </w:rPr>
          <w:instrText xml:space="preserve"> PAGEREF _Toc327881562 \h </w:instrText>
        </w:r>
        <w:r w:rsidR="00F0137E">
          <w:rPr>
            <w:webHidden/>
          </w:rPr>
        </w:r>
        <w:r w:rsidR="00F0137E">
          <w:rPr>
            <w:webHidden/>
          </w:rPr>
          <w:fldChar w:fldCharType="separate"/>
        </w:r>
        <w:r w:rsidR="00F45C43">
          <w:rPr>
            <w:webHidden/>
          </w:rPr>
          <w:t>53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3" w:history="1">
        <w:r w:rsidR="00786914" w:rsidRPr="0077565A">
          <w:rPr>
            <w:rStyle w:val="Hyperlink"/>
          </w:rPr>
          <w:t>Table 26:</w:t>
        </w:r>
        <w:r w:rsidR="00786914">
          <w:rPr>
            <w:rFonts w:asciiTheme="minorHAnsi" w:eastAsiaTheme="minorEastAsia" w:hAnsiTheme="minorHAnsi" w:cstheme="minorBidi"/>
            <w:sz w:val="22"/>
            <w:szCs w:val="22"/>
          </w:rPr>
          <w:tab/>
        </w:r>
        <w:r w:rsidR="00786914" w:rsidRPr="0077565A">
          <w:rPr>
            <w:rStyle w:val="Hyperlink"/>
          </w:rPr>
          <w:t>Utility values associated with health care states used in the economic evaluation</w:t>
        </w:r>
        <w:r w:rsidR="00786914">
          <w:rPr>
            <w:webHidden/>
          </w:rPr>
          <w:tab/>
        </w:r>
        <w:r w:rsidR="00F0137E">
          <w:rPr>
            <w:webHidden/>
          </w:rPr>
          <w:fldChar w:fldCharType="begin"/>
        </w:r>
        <w:r w:rsidR="00786914">
          <w:rPr>
            <w:webHidden/>
          </w:rPr>
          <w:instrText xml:space="preserve"> PAGEREF _Toc327881563 \h </w:instrText>
        </w:r>
        <w:r w:rsidR="00F0137E">
          <w:rPr>
            <w:webHidden/>
          </w:rPr>
        </w:r>
        <w:r w:rsidR="00F0137E">
          <w:rPr>
            <w:webHidden/>
          </w:rPr>
          <w:fldChar w:fldCharType="separate"/>
        </w:r>
        <w:r w:rsidR="00F45C43">
          <w:rPr>
            <w:webHidden/>
          </w:rPr>
          <w:t>54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4" w:history="1">
        <w:r w:rsidR="00786914" w:rsidRPr="0077565A">
          <w:rPr>
            <w:rStyle w:val="Hyperlink"/>
          </w:rPr>
          <w:t>Table 27:</w:t>
        </w:r>
        <w:r w:rsidR="00786914">
          <w:rPr>
            <w:rFonts w:asciiTheme="minorHAnsi" w:eastAsiaTheme="minorEastAsia" w:hAnsiTheme="minorHAnsi" w:cstheme="minorBidi"/>
            <w:sz w:val="22"/>
            <w:szCs w:val="22"/>
          </w:rPr>
          <w:tab/>
        </w:r>
        <w:r w:rsidR="00786914" w:rsidRPr="0077565A">
          <w:rPr>
            <w:rStyle w:val="Hyperlink"/>
          </w:rPr>
          <w:t>Modelled average cost per patient over five years of alternate treatment pathways for BPH</w:t>
        </w:r>
        <w:r w:rsidR="00786914">
          <w:rPr>
            <w:webHidden/>
          </w:rPr>
          <w:tab/>
        </w:r>
        <w:r w:rsidR="00F0137E">
          <w:rPr>
            <w:webHidden/>
          </w:rPr>
          <w:fldChar w:fldCharType="begin"/>
        </w:r>
        <w:r w:rsidR="00786914">
          <w:rPr>
            <w:webHidden/>
          </w:rPr>
          <w:instrText xml:space="preserve"> PAGEREF _Toc327881564 \h </w:instrText>
        </w:r>
        <w:r w:rsidR="00F0137E">
          <w:rPr>
            <w:webHidden/>
          </w:rPr>
        </w:r>
        <w:r w:rsidR="00F0137E">
          <w:rPr>
            <w:webHidden/>
          </w:rPr>
          <w:fldChar w:fldCharType="separate"/>
        </w:r>
        <w:r w:rsidR="00F45C43">
          <w:rPr>
            <w:webHidden/>
          </w:rPr>
          <w:t>54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5" w:history="1">
        <w:r w:rsidR="00786914" w:rsidRPr="0077565A">
          <w:rPr>
            <w:rStyle w:val="Hyperlink"/>
          </w:rPr>
          <w:t>Table 28:</w:t>
        </w:r>
        <w:r w:rsidR="00786914">
          <w:rPr>
            <w:rFonts w:asciiTheme="minorHAnsi" w:eastAsiaTheme="minorEastAsia" w:hAnsiTheme="minorHAnsi" w:cstheme="minorBidi"/>
            <w:sz w:val="22"/>
            <w:szCs w:val="22"/>
          </w:rPr>
          <w:tab/>
        </w:r>
        <w:r w:rsidR="00786914" w:rsidRPr="0077565A">
          <w:rPr>
            <w:rStyle w:val="Hyperlink"/>
          </w:rPr>
          <w:t>Modelled average QALYs experienced per patient over five years of alternate treatment pathways for BPH</w:t>
        </w:r>
        <w:r w:rsidR="00786914">
          <w:rPr>
            <w:webHidden/>
          </w:rPr>
          <w:tab/>
        </w:r>
        <w:r w:rsidR="00F0137E">
          <w:rPr>
            <w:webHidden/>
          </w:rPr>
          <w:fldChar w:fldCharType="begin"/>
        </w:r>
        <w:r w:rsidR="00786914">
          <w:rPr>
            <w:webHidden/>
          </w:rPr>
          <w:instrText xml:space="preserve"> PAGEREF _Toc327881565 \h </w:instrText>
        </w:r>
        <w:r w:rsidR="00F0137E">
          <w:rPr>
            <w:webHidden/>
          </w:rPr>
        </w:r>
        <w:r w:rsidR="00F0137E">
          <w:rPr>
            <w:webHidden/>
          </w:rPr>
          <w:fldChar w:fldCharType="separate"/>
        </w:r>
        <w:r w:rsidR="00F45C43">
          <w:rPr>
            <w:webHidden/>
          </w:rPr>
          <w:t>55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6" w:history="1">
        <w:r w:rsidR="00786914" w:rsidRPr="0077565A">
          <w:rPr>
            <w:rStyle w:val="Hyperlink"/>
          </w:rPr>
          <w:t>Table 29:</w:t>
        </w:r>
        <w:r w:rsidR="00786914">
          <w:rPr>
            <w:rFonts w:asciiTheme="minorHAnsi" w:eastAsiaTheme="minorEastAsia" w:hAnsiTheme="minorHAnsi" w:cstheme="minorBidi"/>
            <w:sz w:val="22"/>
            <w:szCs w:val="22"/>
          </w:rPr>
          <w:tab/>
        </w:r>
        <w:r w:rsidR="00786914" w:rsidRPr="0077565A">
          <w:rPr>
            <w:rStyle w:val="Hyperlink"/>
          </w:rPr>
          <w:t>Incremental cost-effectiveness ratio of alternative treatment pathways for BPH</w:t>
        </w:r>
        <w:r w:rsidR="00786914">
          <w:rPr>
            <w:webHidden/>
          </w:rPr>
          <w:tab/>
        </w:r>
        <w:r w:rsidR="00F0137E">
          <w:rPr>
            <w:webHidden/>
          </w:rPr>
          <w:fldChar w:fldCharType="begin"/>
        </w:r>
        <w:r w:rsidR="00786914">
          <w:rPr>
            <w:webHidden/>
          </w:rPr>
          <w:instrText xml:space="preserve"> PAGEREF _Toc327881566 \h </w:instrText>
        </w:r>
        <w:r w:rsidR="00F0137E">
          <w:rPr>
            <w:webHidden/>
          </w:rPr>
        </w:r>
        <w:r w:rsidR="00F0137E">
          <w:rPr>
            <w:webHidden/>
          </w:rPr>
          <w:fldChar w:fldCharType="separate"/>
        </w:r>
        <w:r w:rsidR="00F45C43">
          <w:rPr>
            <w:webHidden/>
          </w:rPr>
          <w:t>55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7" w:history="1">
        <w:r w:rsidR="00786914" w:rsidRPr="0077565A">
          <w:rPr>
            <w:rStyle w:val="Hyperlink"/>
          </w:rPr>
          <w:t>Table 30:</w:t>
        </w:r>
        <w:r w:rsidR="00786914">
          <w:rPr>
            <w:rFonts w:asciiTheme="minorHAnsi" w:eastAsiaTheme="minorEastAsia" w:hAnsiTheme="minorHAnsi" w:cstheme="minorBidi"/>
            <w:sz w:val="22"/>
            <w:szCs w:val="22"/>
          </w:rPr>
          <w:tab/>
        </w:r>
        <w:r w:rsidR="00786914" w:rsidRPr="0077565A">
          <w:rPr>
            <w:rStyle w:val="Hyperlink"/>
          </w:rPr>
          <w:t>Number of patients from a cohort of 25,000 that experience key modelled health states comparing the HoLEP then HoLEP and TURP then TURP treatment pathway options</w:t>
        </w:r>
        <w:r w:rsidR="00786914">
          <w:rPr>
            <w:webHidden/>
          </w:rPr>
          <w:tab/>
        </w:r>
        <w:r w:rsidR="00F0137E">
          <w:rPr>
            <w:webHidden/>
          </w:rPr>
          <w:fldChar w:fldCharType="begin"/>
        </w:r>
        <w:r w:rsidR="00786914">
          <w:rPr>
            <w:webHidden/>
          </w:rPr>
          <w:instrText xml:space="preserve"> PAGEREF _Toc327881567 \h </w:instrText>
        </w:r>
        <w:r w:rsidR="00F0137E">
          <w:rPr>
            <w:webHidden/>
          </w:rPr>
        </w:r>
        <w:r w:rsidR="00F0137E">
          <w:rPr>
            <w:webHidden/>
          </w:rPr>
          <w:fldChar w:fldCharType="separate"/>
        </w:r>
        <w:r w:rsidR="00F45C43">
          <w:rPr>
            <w:webHidden/>
          </w:rPr>
          <w:t>56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8" w:history="1">
        <w:r w:rsidR="00786914" w:rsidRPr="0077565A">
          <w:rPr>
            <w:rStyle w:val="Hyperlink"/>
          </w:rPr>
          <w:t>Table 31:</w:t>
        </w:r>
        <w:r w:rsidR="00786914">
          <w:rPr>
            <w:rFonts w:asciiTheme="minorHAnsi" w:eastAsiaTheme="minorEastAsia" w:hAnsiTheme="minorHAnsi" w:cstheme="minorBidi"/>
            <w:sz w:val="22"/>
            <w:szCs w:val="22"/>
          </w:rPr>
          <w:tab/>
        </w:r>
        <w:r w:rsidR="00786914" w:rsidRPr="0077565A">
          <w:rPr>
            <w:rStyle w:val="Hyperlink"/>
          </w:rPr>
          <w:t>Incremental cost-effectiveness ratio of alternate treatment pathways for BPH modelled with an increased cost of HoLEP associated with a three day length of hospital stay</w:t>
        </w:r>
        <w:r w:rsidR="00786914">
          <w:rPr>
            <w:webHidden/>
          </w:rPr>
          <w:tab/>
        </w:r>
        <w:r w:rsidR="00F0137E">
          <w:rPr>
            <w:webHidden/>
          </w:rPr>
          <w:fldChar w:fldCharType="begin"/>
        </w:r>
        <w:r w:rsidR="00786914">
          <w:rPr>
            <w:webHidden/>
          </w:rPr>
          <w:instrText xml:space="preserve"> PAGEREF _Toc327881568 \h </w:instrText>
        </w:r>
        <w:r w:rsidR="00F0137E">
          <w:rPr>
            <w:webHidden/>
          </w:rPr>
        </w:r>
        <w:r w:rsidR="00F0137E">
          <w:rPr>
            <w:webHidden/>
          </w:rPr>
          <w:fldChar w:fldCharType="separate"/>
        </w:r>
        <w:r w:rsidR="00F45C43">
          <w:rPr>
            <w:webHidden/>
          </w:rPr>
          <w:t>56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69" w:history="1">
        <w:r w:rsidR="00786914" w:rsidRPr="0077565A">
          <w:rPr>
            <w:rStyle w:val="Hyperlink"/>
          </w:rPr>
          <w:t>Table 32:</w:t>
        </w:r>
        <w:r w:rsidR="00786914">
          <w:rPr>
            <w:rFonts w:asciiTheme="minorHAnsi" w:eastAsiaTheme="minorEastAsia" w:hAnsiTheme="minorHAnsi" w:cstheme="minorBidi"/>
            <w:sz w:val="22"/>
            <w:szCs w:val="22"/>
          </w:rPr>
          <w:tab/>
        </w:r>
        <w:r w:rsidR="00786914" w:rsidRPr="0077565A">
          <w:rPr>
            <w:rStyle w:val="Hyperlink"/>
          </w:rPr>
          <w:t>Impact of differential MBS fees on the average treatment cost and cost-effectiveness of HoLEP treatment</w:t>
        </w:r>
        <w:r w:rsidR="00786914">
          <w:rPr>
            <w:webHidden/>
          </w:rPr>
          <w:tab/>
        </w:r>
        <w:r w:rsidR="00F0137E">
          <w:rPr>
            <w:webHidden/>
          </w:rPr>
          <w:fldChar w:fldCharType="begin"/>
        </w:r>
        <w:r w:rsidR="00786914">
          <w:rPr>
            <w:webHidden/>
          </w:rPr>
          <w:instrText xml:space="preserve"> PAGEREF _Toc327881569 \h </w:instrText>
        </w:r>
        <w:r w:rsidR="00F0137E">
          <w:rPr>
            <w:webHidden/>
          </w:rPr>
        </w:r>
        <w:r w:rsidR="00F0137E">
          <w:rPr>
            <w:webHidden/>
          </w:rPr>
          <w:fldChar w:fldCharType="separate"/>
        </w:r>
        <w:r w:rsidR="00F45C43">
          <w:rPr>
            <w:webHidden/>
          </w:rPr>
          <w:t>57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0" w:history="1">
        <w:r w:rsidR="00786914" w:rsidRPr="0077565A">
          <w:rPr>
            <w:rStyle w:val="Hyperlink"/>
          </w:rPr>
          <w:t>Table 33:</w:t>
        </w:r>
        <w:r w:rsidR="00786914">
          <w:rPr>
            <w:rFonts w:asciiTheme="minorHAnsi" w:eastAsiaTheme="minorEastAsia" w:hAnsiTheme="minorHAnsi" w:cstheme="minorBidi"/>
            <w:sz w:val="22"/>
            <w:szCs w:val="22"/>
          </w:rPr>
          <w:tab/>
        </w:r>
        <w:r w:rsidR="00786914" w:rsidRPr="0077565A">
          <w:rPr>
            <w:rStyle w:val="Hyperlink"/>
          </w:rPr>
          <w:t>Modelled average cost per patient over five years of alternative treatment pathways</w:t>
        </w:r>
        <w:r w:rsidR="00786914">
          <w:rPr>
            <w:webHidden/>
          </w:rPr>
          <w:tab/>
        </w:r>
        <w:r w:rsidR="00F0137E">
          <w:rPr>
            <w:webHidden/>
          </w:rPr>
          <w:fldChar w:fldCharType="begin"/>
        </w:r>
        <w:r w:rsidR="00786914">
          <w:rPr>
            <w:webHidden/>
          </w:rPr>
          <w:instrText xml:space="preserve"> PAGEREF _Toc327881570 \h </w:instrText>
        </w:r>
        <w:r w:rsidR="00F0137E">
          <w:rPr>
            <w:webHidden/>
          </w:rPr>
        </w:r>
        <w:r w:rsidR="00F0137E">
          <w:rPr>
            <w:webHidden/>
          </w:rPr>
          <w:fldChar w:fldCharType="separate"/>
        </w:r>
        <w:r w:rsidR="00F45C43">
          <w:rPr>
            <w:webHidden/>
          </w:rPr>
          <w:t>59</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1" w:history="1">
        <w:r w:rsidR="00786914" w:rsidRPr="0077565A">
          <w:rPr>
            <w:rStyle w:val="Hyperlink"/>
          </w:rPr>
          <w:t>Table 34:</w:t>
        </w:r>
        <w:r w:rsidR="00786914">
          <w:rPr>
            <w:rFonts w:asciiTheme="minorHAnsi" w:eastAsiaTheme="minorEastAsia" w:hAnsiTheme="minorHAnsi" w:cstheme="minorBidi"/>
            <w:sz w:val="22"/>
            <w:szCs w:val="22"/>
          </w:rPr>
          <w:tab/>
        </w:r>
        <w:r w:rsidR="00786914" w:rsidRPr="0077565A">
          <w:rPr>
            <w:rStyle w:val="Hyperlink"/>
          </w:rPr>
          <w:t>Modelled average QALYs experienced per patient over five years of alternate treatment pathways</w:t>
        </w:r>
        <w:r w:rsidR="00786914">
          <w:rPr>
            <w:webHidden/>
          </w:rPr>
          <w:tab/>
        </w:r>
        <w:r w:rsidR="00F0137E">
          <w:rPr>
            <w:webHidden/>
          </w:rPr>
          <w:fldChar w:fldCharType="begin"/>
        </w:r>
        <w:r w:rsidR="00786914">
          <w:rPr>
            <w:webHidden/>
          </w:rPr>
          <w:instrText xml:space="preserve"> PAGEREF _Toc327881571 \h </w:instrText>
        </w:r>
        <w:r w:rsidR="00F0137E">
          <w:rPr>
            <w:webHidden/>
          </w:rPr>
        </w:r>
        <w:r w:rsidR="00F0137E">
          <w:rPr>
            <w:webHidden/>
          </w:rPr>
          <w:fldChar w:fldCharType="separate"/>
        </w:r>
        <w:r w:rsidR="00F45C43">
          <w:rPr>
            <w:webHidden/>
          </w:rPr>
          <w:t>59</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2" w:history="1">
        <w:r w:rsidR="00786914" w:rsidRPr="0077565A">
          <w:rPr>
            <w:rStyle w:val="Hyperlink"/>
          </w:rPr>
          <w:t>Table 35:</w:t>
        </w:r>
        <w:r w:rsidR="00786914">
          <w:rPr>
            <w:rFonts w:asciiTheme="minorHAnsi" w:eastAsiaTheme="minorEastAsia" w:hAnsiTheme="minorHAnsi" w:cstheme="minorBidi"/>
            <w:sz w:val="22"/>
            <w:szCs w:val="22"/>
          </w:rPr>
          <w:tab/>
        </w:r>
        <w:r w:rsidR="00786914" w:rsidRPr="0077565A">
          <w:rPr>
            <w:rStyle w:val="Hyperlink"/>
          </w:rPr>
          <w:t>Incremental cost-effectiveness ratio of alternate treatment pathways</w:t>
        </w:r>
        <w:r w:rsidR="00786914">
          <w:rPr>
            <w:webHidden/>
          </w:rPr>
          <w:tab/>
        </w:r>
        <w:r w:rsidR="00F0137E">
          <w:rPr>
            <w:webHidden/>
          </w:rPr>
          <w:fldChar w:fldCharType="begin"/>
        </w:r>
        <w:r w:rsidR="00786914">
          <w:rPr>
            <w:webHidden/>
          </w:rPr>
          <w:instrText xml:space="preserve"> PAGEREF _Toc327881572 \h </w:instrText>
        </w:r>
        <w:r w:rsidR="00F0137E">
          <w:rPr>
            <w:webHidden/>
          </w:rPr>
        </w:r>
        <w:r w:rsidR="00F0137E">
          <w:rPr>
            <w:webHidden/>
          </w:rPr>
          <w:fldChar w:fldCharType="separate"/>
        </w:r>
        <w:r w:rsidR="00F45C43">
          <w:rPr>
            <w:webHidden/>
          </w:rPr>
          <w:t>60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3" w:history="1">
        <w:r w:rsidR="00786914" w:rsidRPr="0077565A">
          <w:rPr>
            <w:rStyle w:val="Hyperlink"/>
          </w:rPr>
          <w:t>Table 36:</w:t>
        </w:r>
        <w:r w:rsidR="00786914">
          <w:rPr>
            <w:rFonts w:asciiTheme="minorHAnsi" w:eastAsiaTheme="minorEastAsia" w:hAnsiTheme="minorHAnsi" w:cstheme="minorBidi"/>
            <w:sz w:val="22"/>
            <w:szCs w:val="22"/>
          </w:rPr>
          <w:tab/>
        </w:r>
        <w:r w:rsidR="00786914" w:rsidRPr="0077565A">
          <w:rPr>
            <w:rStyle w:val="Hyperlink"/>
          </w:rPr>
          <w:t>Number of patients from a cohort of 25,000 that experience modelled health states comparing the HoLEP then HoLEP and OP treatment pathway options</w:t>
        </w:r>
        <w:r w:rsidR="00786914">
          <w:rPr>
            <w:webHidden/>
          </w:rPr>
          <w:tab/>
        </w:r>
        <w:r w:rsidR="00F0137E">
          <w:rPr>
            <w:webHidden/>
          </w:rPr>
          <w:fldChar w:fldCharType="begin"/>
        </w:r>
        <w:r w:rsidR="00786914">
          <w:rPr>
            <w:webHidden/>
          </w:rPr>
          <w:instrText xml:space="preserve"> PAGEREF _Toc327881573 \h </w:instrText>
        </w:r>
        <w:r w:rsidR="00F0137E">
          <w:rPr>
            <w:webHidden/>
          </w:rPr>
        </w:r>
        <w:r w:rsidR="00F0137E">
          <w:rPr>
            <w:webHidden/>
          </w:rPr>
          <w:fldChar w:fldCharType="separate"/>
        </w:r>
        <w:r w:rsidR="00F45C43">
          <w:rPr>
            <w:webHidden/>
          </w:rPr>
          <w:t>60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4" w:history="1">
        <w:r w:rsidR="00786914" w:rsidRPr="0077565A">
          <w:rPr>
            <w:rStyle w:val="Hyperlink"/>
          </w:rPr>
          <w:t>Table 37:</w:t>
        </w:r>
        <w:r w:rsidR="00786914">
          <w:rPr>
            <w:rFonts w:asciiTheme="minorHAnsi" w:eastAsiaTheme="minorEastAsia" w:hAnsiTheme="minorHAnsi" w:cstheme="minorBidi"/>
            <w:sz w:val="22"/>
            <w:szCs w:val="22"/>
          </w:rPr>
          <w:tab/>
        </w:r>
        <w:r w:rsidR="00786914" w:rsidRPr="0077565A">
          <w:rPr>
            <w:rStyle w:val="Hyperlink"/>
          </w:rPr>
          <w:t>ICER of three day HoLEP length of stay in comparison to OP</w:t>
        </w:r>
        <w:r w:rsidR="00786914">
          <w:rPr>
            <w:webHidden/>
          </w:rPr>
          <w:tab/>
        </w:r>
        <w:r w:rsidR="00F0137E">
          <w:rPr>
            <w:webHidden/>
          </w:rPr>
          <w:fldChar w:fldCharType="begin"/>
        </w:r>
        <w:r w:rsidR="00786914">
          <w:rPr>
            <w:webHidden/>
          </w:rPr>
          <w:instrText xml:space="preserve"> PAGEREF _Toc327881574 \h </w:instrText>
        </w:r>
        <w:r w:rsidR="00F0137E">
          <w:rPr>
            <w:webHidden/>
          </w:rPr>
        </w:r>
        <w:r w:rsidR="00F0137E">
          <w:rPr>
            <w:webHidden/>
          </w:rPr>
          <w:fldChar w:fldCharType="separate"/>
        </w:r>
        <w:r w:rsidR="00F45C43">
          <w:rPr>
            <w:webHidden/>
          </w:rPr>
          <w:t>61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5" w:history="1">
        <w:r w:rsidR="00786914" w:rsidRPr="0077565A">
          <w:rPr>
            <w:rStyle w:val="Hyperlink"/>
          </w:rPr>
          <w:t>Table 38:</w:t>
        </w:r>
        <w:r w:rsidR="00786914">
          <w:rPr>
            <w:rFonts w:asciiTheme="minorHAnsi" w:eastAsiaTheme="minorEastAsia" w:hAnsiTheme="minorHAnsi" w:cstheme="minorBidi"/>
            <w:sz w:val="22"/>
            <w:szCs w:val="22"/>
          </w:rPr>
          <w:tab/>
        </w:r>
        <w:r w:rsidR="00786914" w:rsidRPr="0077565A">
          <w:rPr>
            <w:rStyle w:val="Hyperlink"/>
          </w:rPr>
          <w:t>Impact of different MBS fees on the average treatment cost and cost-effectiveness of HoLEP treatment</w:t>
        </w:r>
        <w:r w:rsidR="00786914">
          <w:rPr>
            <w:webHidden/>
          </w:rPr>
          <w:tab/>
        </w:r>
        <w:r w:rsidR="00F0137E">
          <w:rPr>
            <w:webHidden/>
          </w:rPr>
          <w:fldChar w:fldCharType="begin"/>
        </w:r>
        <w:r w:rsidR="00786914">
          <w:rPr>
            <w:webHidden/>
          </w:rPr>
          <w:instrText xml:space="preserve"> PAGEREF _Toc327881575 \h </w:instrText>
        </w:r>
        <w:r w:rsidR="00F0137E">
          <w:rPr>
            <w:webHidden/>
          </w:rPr>
        </w:r>
        <w:r w:rsidR="00F0137E">
          <w:rPr>
            <w:webHidden/>
          </w:rPr>
          <w:fldChar w:fldCharType="separate"/>
        </w:r>
        <w:r w:rsidR="00F45C43">
          <w:rPr>
            <w:webHidden/>
          </w:rPr>
          <w:t>61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6" w:history="1">
        <w:r w:rsidR="00786914" w:rsidRPr="0077565A">
          <w:rPr>
            <w:rStyle w:val="Hyperlink"/>
          </w:rPr>
          <w:t>Table 39:</w:t>
        </w:r>
        <w:r w:rsidR="00786914">
          <w:rPr>
            <w:rFonts w:asciiTheme="minorHAnsi" w:eastAsiaTheme="minorEastAsia" w:hAnsiTheme="minorHAnsi" w:cstheme="minorBidi"/>
            <w:sz w:val="22"/>
            <w:szCs w:val="22"/>
          </w:rPr>
          <w:tab/>
        </w:r>
        <w:r w:rsidR="00786914" w:rsidRPr="0077565A">
          <w:rPr>
            <w:rStyle w:val="Hyperlink"/>
          </w:rPr>
          <w:t>Occurrences for principal procedures to treat BPH 2007-2008</w:t>
        </w:r>
        <w:r w:rsidR="00786914">
          <w:rPr>
            <w:webHidden/>
          </w:rPr>
          <w:tab/>
        </w:r>
        <w:r w:rsidR="00F0137E">
          <w:rPr>
            <w:webHidden/>
          </w:rPr>
          <w:fldChar w:fldCharType="begin"/>
        </w:r>
        <w:r w:rsidR="00786914">
          <w:rPr>
            <w:webHidden/>
          </w:rPr>
          <w:instrText xml:space="preserve"> PAGEREF _Toc327881576 \h </w:instrText>
        </w:r>
        <w:r w:rsidR="00F0137E">
          <w:rPr>
            <w:webHidden/>
          </w:rPr>
        </w:r>
        <w:r w:rsidR="00F0137E">
          <w:rPr>
            <w:webHidden/>
          </w:rPr>
          <w:fldChar w:fldCharType="separate"/>
        </w:r>
        <w:r w:rsidR="00F45C43">
          <w:rPr>
            <w:webHidden/>
          </w:rPr>
          <w:t>64</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7" w:history="1">
        <w:r w:rsidR="00786914" w:rsidRPr="0077565A">
          <w:rPr>
            <w:rStyle w:val="Hyperlink"/>
          </w:rPr>
          <w:t>Table 40:</w:t>
        </w:r>
        <w:r w:rsidR="00786914">
          <w:rPr>
            <w:rFonts w:asciiTheme="minorHAnsi" w:eastAsiaTheme="minorEastAsia" w:hAnsiTheme="minorHAnsi" w:cstheme="minorBidi"/>
            <w:sz w:val="22"/>
            <w:szCs w:val="22"/>
          </w:rPr>
          <w:tab/>
        </w:r>
        <w:r w:rsidR="00786914" w:rsidRPr="0077565A">
          <w:rPr>
            <w:rStyle w:val="Hyperlink"/>
          </w:rPr>
          <w:t>Requested Medicare items processed from June 2007 to June 2010</w:t>
        </w:r>
        <w:r w:rsidR="00786914">
          <w:rPr>
            <w:webHidden/>
          </w:rPr>
          <w:tab/>
        </w:r>
        <w:r w:rsidR="00F0137E">
          <w:rPr>
            <w:webHidden/>
          </w:rPr>
          <w:fldChar w:fldCharType="begin"/>
        </w:r>
        <w:r w:rsidR="00786914">
          <w:rPr>
            <w:webHidden/>
          </w:rPr>
          <w:instrText xml:space="preserve"> PAGEREF _Toc327881577 \h </w:instrText>
        </w:r>
        <w:r w:rsidR="00F0137E">
          <w:rPr>
            <w:webHidden/>
          </w:rPr>
        </w:r>
        <w:r w:rsidR="00F0137E">
          <w:rPr>
            <w:webHidden/>
          </w:rPr>
          <w:fldChar w:fldCharType="separate"/>
        </w:r>
        <w:r w:rsidR="00F45C43">
          <w:rPr>
            <w:webHidden/>
          </w:rPr>
          <w:t>65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8" w:history="1">
        <w:r w:rsidR="00786914" w:rsidRPr="0077565A">
          <w:rPr>
            <w:rStyle w:val="Hyperlink"/>
          </w:rPr>
          <w:t>Table 41:</w:t>
        </w:r>
        <w:r w:rsidR="00786914">
          <w:rPr>
            <w:rFonts w:asciiTheme="minorHAnsi" w:eastAsiaTheme="minorEastAsia" w:hAnsiTheme="minorHAnsi" w:cstheme="minorBidi"/>
            <w:sz w:val="22"/>
            <w:szCs w:val="22"/>
          </w:rPr>
          <w:tab/>
        </w:r>
        <w:r w:rsidR="00786914" w:rsidRPr="0077565A">
          <w:rPr>
            <w:rStyle w:val="Hyperlink"/>
          </w:rPr>
          <w:t>Projected numbers of MBS item claims from 2013-2017 in event of positive HoLEP listing</w:t>
        </w:r>
        <w:r w:rsidR="00786914">
          <w:rPr>
            <w:webHidden/>
          </w:rPr>
          <w:tab/>
        </w:r>
        <w:r w:rsidR="00F0137E">
          <w:rPr>
            <w:webHidden/>
          </w:rPr>
          <w:fldChar w:fldCharType="begin"/>
        </w:r>
        <w:r w:rsidR="00786914">
          <w:rPr>
            <w:webHidden/>
          </w:rPr>
          <w:instrText xml:space="preserve"> PAGEREF _Toc327881578 \h </w:instrText>
        </w:r>
        <w:r w:rsidR="00F0137E">
          <w:rPr>
            <w:webHidden/>
          </w:rPr>
        </w:r>
        <w:r w:rsidR="00F0137E">
          <w:rPr>
            <w:webHidden/>
          </w:rPr>
          <w:fldChar w:fldCharType="separate"/>
        </w:r>
        <w:r w:rsidR="00F45C43">
          <w:rPr>
            <w:webHidden/>
          </w:rPr>
          <w:t>66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79" w:history="1">
        <w:r w:rsidR="00786914" w:rsidRPr="0077565A">
          <w:rPr>
            <w:rStyle w:val="Hyperlink"/>
          </w:rPr>
          <w:t xml:space="preserve">Table 42: </w:t>
        </w:r>
        <w:r w:rsidR="00786914">
          <w:rPr>
            <w:rFonts w:asciiTheme="minorHAnsi" w:eastAsiaTheme="minorEastAsia" w:hAnsiTheme="minorHAnsi" w:cstheme="minorBidi"/>
            <w:sz w:val="22"/>
            <w:szCs w:val="22"/>
          </w:rPr>
          <w:tab/>
        </w:r>
        <w:r w:rsidR="00786914" w:rsidRPr="0077565A">
          <w:rPr>
            <w:rStyle w:val="Hyperlink"/>
          </w:rPr>
          <w:t>Total cost over a five year period</w:t>
        </w:r>
        <w:r w:rsidR="00786914">
          <w:rPr>
            <w:webHidden/>
          </w:rPr>
          <w:tab/>
        </w:r>
        <w:r w:rsidR="00F0137E">
          <w:rPr>
            <w:webHidden/>
          </w:rPr>
          <w:fldChar w:fldCharType="begin"/>
        </w:r>
        <w:r w:rsidR="00786914">
          <w:rPr>
            <w:webHidden/>
          </w:rPr>
          <w:instrText xml:space="preserve"> PAGEREF _Toc327881579 \h </w:instrText>
        </w:r>
        <w:r w:rsidR="00F0137E">
          <w:rPr>
            <w:webHidden/>
          </w:rPr>
        </w:r>
        <w:r w:rsidR="00F0137E">
          <w:rPr>
            <w:webHidden/>
          </w:rPr>
          <w:fldChar w:fldCharType="separate"/>
        </w:r>
        <w:r w:rsidR="00F45C43">
          <w:rPr>
            <w:webHidden/>
          </w:rPr>
          <w:t>68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80" w:history="1">
        <w:r w:rsidR="00786914" w:rsidRPr="0077565A">
          <w:rPr>
            <w:rStyle w:val="Hyperlink"/>
          </w:rPr>
          <w:t>Table 43:</w:t>
        </w:r>
        <w:r w:rsidR="00786914">
          <w:rPr>
            <w:rFonts w:asciiTheme="minorHAnsi" w:eastAsiaTheme="minorEastAsia" w:hAnsiTheme="minorHAnsi" w:cstheme="minorBidi"/>
            <w:sz w:val="22"/>
            <w:szCs w:val="22"/>
          </w:rPr>
          <w:tab/>
        </w:r>
        <w:r w:rsidR="00786914" w:rsidRPr="0077565A">
          <w:rPr>
            <w:rStyle w:val="Hyperlink"/>
          </w:rPr>
          <w:t>Total cost over a five year period without morcellation</w:t>
        </w:r>
        <w:r w:rsidR="00786914">
          <w:rPr>
            <w:webHidden/>
          </w:rPr>
          <w:tab/>
        </w:r>
        <w:r w:rsidR="00F0137E">
          <w:rPr>
            <w:webHidden/>
          </w:rPr>
          <w:fldChar w:fldCharType="begin"/>
        </w:r>
        <w:r w:rsidR="00786914">
          <w:rPr>
            <w:webHidden/>
          </w:rPr>
          <w:instrText xml:space="preserve"> PAGEREF _Toc327881580 \h </w:instrText>
        </w:r>
        <w:r w:rsidR="00F0137E">
          <w:rPr>
            <w:webHidden/>
          </w:rPr>
        </w:r>
        <w:r w:rsidR="00F0137E">
          <w:rPr>
            <w:webHidden/>
          </w:rPr>
          <w:fldChar w:fldCharType="separate"/>
        </w:r>
        <w:r w:rsidR="00F45C43">
          <w:rPr>
            <w:webHidden/>
          </w:rPr>
          <w:t>68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81" w:history="1">
        <w:r w:rsidR="00786914" w:rsidRPr="0077565A">
          <w:rPr>
            <w:rStyle w:val="Hyperlink"/>
          </w:rPr>
          <w:t>Table 44:</w:t>
        </w:r>
        <w:r w:rsidR="00786914">
          <w:rPr>
            <w:rFonts w:asciiTheme="minorHAnsi" w:eastAsiaTheme="minorEastAsia" w:hAnsiTheme="minorHAnsi" w:cstheme="minorBidi"/>
            <w:sz w:val="22"/>
            <w:szCs w:val="22"/>
          </w:rPr>
          <w:tab/>
        </w:r>
        <w:r w:rsidR="00786914" w:rsidRPr="0077565A">
          <w:rPr>
            <w:rStyle w:val="Hyperlink"/>
          </w:rPr>
          <w:t>Completed body of evidence assessment matrix; HoLEP versus TURP</w:t>
        </w:r>
        <w:r w:rsidR="00786914">
          <w:rPr>
            <w:webHidden/>
          </w:rPr>
          <w:tab/>
        </w:r>
        <w:r w:rsidR="00F0137E">
          <w:rPr>
            <w:webHidden/>
          </w:rPr>
          <w:fldChar w:fldCharType="begin"/>
        </w:r>
        <w:r w:rsidR="00786914">
          <w:rPr>
            <w:webHidden/>
          </w:rPr>
          <w:instrText xml:space="preserve"> PAGEREF _Toc327881581 \h </w:instrText>
        </w:r>
        <w:r w:rsidR="00F0137E">
          <w:rPr>
            <w:webHidden/>
          </w:rPr>
        </w:r>
        <w:r w:rsidR="00F0137E">
          <w:rPr>
            <w:webHidden/>
          </w:rPr>
          <w:fldChar w:fldCharType="separate"/>
        </w:r>
        <w:r w:rsidR="00F45C43">
          <w:rPr>
            <w:webHidden/>
          </w:rPr>
          <w:t>72</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1582" w:history="1">
        <w:r w:rsidR="00786914" w:rsidRPr="0077565A">
          <w:rPr>
            <w:rStyle w:val="Hyperlink"/>
          </w:rPr>
          <w:t>Table 45:</w:t>
        </w:r>
        <w:r w:rsidR="00786914">
          <w:rPr>
            <w:rFonts w:asciiTheme="minorHAnsi" w:eastAsiaTheme="minorEastAsia" w:hAnsiTheme="minorHAnsi" w:cstheme="minorBidi"/>
            <w:sz w:val="22"/>
            <w:szCs w:val="22"/>
          </w:rPr>
          <w:tab/>
        </w:r>
        <w:r w:rsidR="00786914" w:rsidRPr="0077565A">
          <w:rPr>
            <w:rStyle w:val="Hyperlink"/>
          </w:rPr>
          <w:t>Completed body of evidence assessment matrix: HoLEP versus OP</w:t>
        </w:r>
        <w:r w:rsidR="00786914">
          <w:rPr>
            <w:webHidden/>
          </w:rPr>
          <w:tab/>
        </w:r>
        <w:r w:rsidR="00F0137E">
          <w:rPr>
            <w:webHidden/>
          </w:rPr>
          <w:fldChar w:fldCharType="begin"/>
        </w:r>
        <w:r w:rsidR="00786914">
          <w:rPr>
            <w:webHidden/>
          </w:rPr>
          <w:instrText xml:space="preserve"> PAGEREF _Toc327881582 \h </w:instrText>
        </w:r>
        <w:r w:rsidR="00F0137E">
          <w:rPr>
            <w:webHidden/>
          </w:rPr>
        </w:r>
        <w:r w:rsidR="00F0137E">
          <w:rPr>
            <w:webHidden/>
          </w:rPr>
          <w:fldChar w:fldCharType="separate"/>
        </w:r>
        <w:r w:rsidR="00F45C43">
          <w:rPr>
            <w:webHidden/>
          </w:rPr>
          <w:t>73</w:t>
        </w:r>
        <w:r w:rsidR="00F0137E">
          <w:rPr>
            <w:webHidden/>
          </w:rPr>
          <w:fldChar w:fldCharType="end"/>
        </w:r>
      </w:hyperlink>
    </w:p>
    <w:p w:rsidR="00786914" w:rsidRPr="004C6B15" w:rsidRDefault="00F0137E" w:rsidP="0006743B">
      <w:pPr>
        <w:pStyle w:val="TableofFigures"/>
      </w:pPr>
      <w:r>
        <w:fldChar w:fldCharType="end"/>
      </w:r>
    </w:p>
    <w:p w:rsidR="00786914" w:rsidRPr="004C6B15" w:rsidRDefault="00786914" w:rsidP="0006743B">
      <w:pPr>
        <w:pStyle w:val="Normalbold"/>
      </w:pPr>
      <w:bookmarkStart w:id="9" w:name="_Toc327877817"/>
      <w:r w:rsidRPr="004C6B15">
        <w:t>Boxes</w:t>
      </w:r>
      <w:bookmarkEnd w:id="9"/>
    </w:p>
    <w:p w:rsidR="00786914" w:rsidRDefault="00F0137E">
      <w:pPr>
        <w:pStyle w:val="TableofFigures"/>
        <w:rPr>
          <w:rFonts w:ascii="Calibri" w:hAnsi="Calibri"/>
          <w:sz w:val="22"/>
          <w:szCs w:val="22"/>
        </w:rPr>
      </w:pPr>
      <w:r w:rsidRPr="004C6B15">
        <w:fldChar w:fldCharType="begin"/>
      </w:r>
      <w:r w:rsidR="00786914" w:rsidRPr="004C6B15">
        <w:instrText xml:space="preserve"> TOC \h \z \c "Box" </w:instrText>
      </w:r>
      <w:r w:rsidRPr="004C6B15">
        <w:fldChar w:fldCharType="separate"/>
      </w:r>
      <w:hyperlink w:anchor="_Toc317166467" w:history="1">
        <w:r w:rsidR="00786914" w:rsidRPr="00AC5F84">
          <w:rPr>
            <w:rStyle w:val="Hyperlink"/>
          </w:rPr>
          <w:t xml:space="preserve">Box 1 </w:t>
        </w:r>
        <w:r w:rsidR="00786914">
          <w:rPr>
            <w:rFonts w:ascii="Calibri" w:hAnsi="Calibri"/>
            <w:sz w:val="22"/>
            <w:szCs w:val="22"/>
          </w:rPr>
          <w:tab/>
        </w:r>
        <w:r w:rsidR="00786914" w:rsidRPr="00AC5F84">
          <w:rPr>
            <w:rStyle w:val="Hyperlink"/>
          </w:rPr>
          <w:t>Selection criteria for included studies (example)</w:t>
        </w:r>
        <w:r w:rsidR="00786914">
          <w:rPr>
            <w:webHidden/>
          </w:rPr>
          <w:tab/>
        </w:r>
        <w:r>
          <w:rPr>
            <w:webHidden/>
          </w:rPr>
          <w:fldChar w:fldCharType="begin"/>
        </w:r>
        <w:r w:rsidR="00786914">
          <w:rPr>
            <w:webHidden/>
          </w:rPr>
          <w:instrText xml:space="preserve"> PAGEREF _Toc317166467 \h </w:instrText>
        </w:r>
        <w:r>
          <w:rPr>
            <w:webHidden/>
          </w:rPr>
        </w:r>
        <w:r>
          <w:rPr>
            <w:webHidden/>
          </w:rPr>
          <w:fldChar w:fldCharType="separate"/>
        </w:r>
        <w:r w:rsidR="00F45C43">
          <w:rPr>
            <w:webHidden/>
          </w:rPr>
          <w:t>14</w:t>
        </w:r>
        <w:r>
          <w:rPr>
            <w:webHidden/>
          </w:rPr>
          <w:fldChar w:fldCharType="end"/>
        </w:r>
      </w:hyperlink>
    </w:p>
    <w:p w:rsidR="00786914" w:rsidRPr="004C6B15" w:rsidRDefault="00F0137E" w:rsidP="0006743B">
      <w:pPr>
        <w:pStyle w:val="TableofFigures"/>
      </w:pPr>
      <w:r w:rsidRPr="004C6B15">
        <w:fldChar w:fldCharType="end"/>
      </w:r>
    </w:p>
    <w:p w:rsidR="00786914" w:rsidRDefault="00786914">
      <w:pPr>
        <w:spacing w:after="0"/>
        <w:ind w:left="0"/>
        <w:rPr>
          <w:b/>
        </w:rPr>
      </w:pPr>
      <w:bookmarkStart w:id="10" w:name="_Toc327877818"/>
      <w:r>
        <w:br w:type="page"/>
      </w:r>
    </w:p>
    <w:p w:rsidR="00786914" w:rsidRPr="004C6B15" w:rsidRDefault="00786914" w:rsidP="0006743B">
      <w:pPr>
        <w:pStyle w:val="Normalbold"/>
      </w:pPr>
      <w:r w:rsidRPr="004C6B15">
        <w:lastRenderedPageBreak/>
        <w:t>Figures</w:t>
      </w:r>
      <w:bookmarkEnd w:id="10"/>
    </w:p>
    <w:p w:rsidR="00786914" w:rsidRDefault="00F0137E">
      <w:pPr>
        <w:pStyle w:val="TableofFigures"/>
        <w:rPr>
          <w:rFonts w:asciiTheme="minorHAnsi" w:eastAsiaTheme="minorEastAsia" w:hAnsiTheme="minorHAnsi" w:cstheme="minorBidi"/>
          <w:sz w:val="22"/>
          <w:szCs w:val="22"/>
        </w:rPr>
      </w:pPr>
      <w:r>
        <w:fldChar w:fldCharType="begin"/>
      </w:r>
      <w:r w:rsidR="00786914">
        <w:instrText xml:space="preserve"> TOC \h \z \c "Figure" </w:instrText>
      </w:r>
      <w:r>
        <w:fldChar w:fldCharType="separate"/>
      </w:r>
      <w:hyperlink w:anchor="_Toc327882485" w:history="1">
        <w:r w:rsidR="00786914" w:rsidRPr="00847B45">
          <w:rPr>
            <w:rStyle w:val="Hyperlink"/>
          </w:rPr>
          <w:t>Figure 1:</w:t>
        </w:r>
        <w:r w:rsidR="00786914">
          <w:rPr>
            <w:rFonts w:asciiTheme="minorHAnsi" w:eastAsiaTheme="minorEastAsia" w:hAnsiTheme="minorHAnsi" w:cstheme="minorBidi"/>
            <w:sz w:val="22"/>
            <w:szCs w:val="22"/>
          </w:rPr>
          <w:tab/>
        </w:r>
        <w:r w:rsidR="00786914" w:rsidRPr="00847B45">
          <w:rPr>
            <w:rStyle w:val="Hyperlink"/>
          </w:rPr>
          <w:t>Current clinical management chart for patients with BPH</w:t>
        </w:r>
        <w:r w:rsidR="00786914">
          <w:rPr>
            <w:webHidden/>
          </w:rPr>
          <w:tab/>
        </w:r>
        <w:r>
          <w:rPr>
            <w:webHidden/>
          </w:rPr>
          <w:fldChar w:fldCharType="begin"/>
        </w:r>
        <w:r w:rsidR="00786914">
          <w:rPr>
            <w:webHidden/>
          </w:rPr>
          <w:instrText xml:space="preserve"> PAGEREF _Toc327882485 \h </w:instrText>
        </w:r>
        <w:r>
          <w:rPr>
            <w:webHidden/>
          </w:rPr>
        </w:r>
        <w:r>
          <w:rPr>
            <w:webHidden/>
          </w:rPr>
          <w:fldChar w:fldCharType="separate"/>
        </w:r>
        <w:r w:rsidR="00F45C43">
          <w:rPr>
            <w:webHidden/>
          </w:rPr>
          <w:t>xi</w:t>
        </w:r>
        <w:r>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86" w:history="1">
        <w:r w:rsidR="00786914" w:rsidRPr="00847B45">
          <w:rPr>
            <w:rStyle w:val="Hyperlink"/>
          </w:rPr>
          <w:t>Figure 2:</w:t>
        </w:r>
        <w:r w:rsidR="00786914">
          <w:rPr>
            <w:rFonts w:asciiTheme="minorHAnsi" w:eastAsiaTheme="minorEastAsia" w:hAnsiTheme="minorHAnsi" w:cstheme="minorBidi"/>
            <w:sz w:val="22"/>
            <w:szCs w:val="22"/>
          </w:rPr>
          <w:tab/>
        </w:r>
        <w:r w:rsidR="00786914" w:rsidRPr="00847B45">
          <w:rPr>
            <w:rStyle w:val="Hyperlink"/>
          </w:rPr>
          <w:t>Proposed management using HoLEP</w:t>
        </w:r>
        <w:r w:rsidR="00786914">
          <w:rPr>
            <w:webHidden/>
          </w:rPr>
          <w:tab/>
        </w:r>
        <w:r w:rsidR="00F0137E">
          <w:rPr>
            <w:webHidden/>
          </w:rPr>
          <w:fldChar w:fldCharType="begin"/>
        </w:r>
        <w:r w:rsidR="00786914">
          <w:rPr>
            <w:webHidden/>
          </w:rPr>
          <w:instrText xml:space="preserve"> PAGEREF _Toc327882486 \h </w:instrText>
        </w:r>
        <w:r w:rsidR="00F0137E">
          <w:rPr>
            <w:webHidden/>
          </w:rPr>
        </w:r>
        <w:r w:rsidR="00F0137E">
          <w:rPr>
            <w:webHidden/>
          </w:rPr>
          <w:fldChar w:fldCharType="separate"/>
        </w:r>
        <w:r w:rsidR="00F45C43">
          <w:rPr>
            <w:webHidden/>
          </w:rPr>
          <w:t>xii</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87" w:history="1">
        <w:r w:rsidR="00786914" w:rsidRPr="00847B45">
          <w:rPr>
            <w:rStyle w:val="Hyperlink"/>
          </w:rPr>
          <w:t>Figure 3:</w:t>
        </w:r>
        <w:r w:rsidR="00786914">
          <w:rPr>
            <w:rFonts w:asciiTheme="minorHAnsi" w:eastAsiaTheme="minorEastAsia" w:hAnsiTheme="minorHAnsi" w:cstheme="minorBidi"/>
            <w:sz w:val="22"/>
            <w:szCs w:val="22"/>
          </w:rPr>
          <w:tab/>
        </w:r>
        <w:r w:rsidR="00786914" w:rsidRPr="00847B45">
          <w:rPr>
            <w:rStyle w:val="Hyperlink"/>
          </w:rPr>
          <w:t>Current clinical management chart for patients with BPH</w:t>
        </w:r>
        <w:r w:rsidR="00786914">
          <w:rPr>
            <w:webHidden/>
          </w:rPr>
          <w:tab/>
        </w:r>
        <w:r w:rsidR="00F0137E">
          <w:rPr>
            <w:webHidden/>
          </w:rPr>
          <w:fldChar w:fldCharType="begin"/>
        </w:r>
        <w:r w:rsidR="00786914">
          <w:rPr>
            <w:webHidden/>
          </w:rPr>
          <w:instrText xml:space="preserve"> PAGEREF _Toc327882487 \h </w:instrText>
        </w:r>
        <w:r w:rsidR="00F0137E">
          <w:rPr>
            <w:webHidden/>
          </w:rPr>
        </w:r>
        <w:r w:rsidR="00F0137E">
          <w:rPr>
            <w:webHidden/>
          </w:rPr>
          <w:fldChar w:fldCharType="separate"/>
        </w:r>
        <w:r w:rsidR="00F45C43">
          <w:rPr>
            <w:webHidden/>
          </w:rPr>
          <w:t>10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88" w:history="1">
        <w:r w:rsidR="00786914" w:rsidRPr="00847B45">
          <w:rPr>
            <w:rStyle w:val="Hyperlink"/>
          </w:rPr>
          <w:t>Figure 4:</w:t>
        </w:r>
        <w:r w:rsidR="00786914">
          <w:rPr>
            <w:rFonts w:asciiTheme="minorHAnsi" w:eastAsiaTheme="minorEastAsia" w:hAnsiTheme="minorHAnsi" w:cstheme="minorBidi"/>
            <w:sz w:val="22"/>
            <w:szCs w:val="22"/>
          </w:rPr>
          <w:tab/>
        </w:r>
        <w:r w:rsidR="00786914" w:rsidRPr="00847B45">
          <w:rPr>
            <w:rStyle w:val="Hyperlink"/>
          </w:rPr>
          <w:t>Proposed clinical management chart for patients with BPH</w:t>
        </w:r>
        <w:r w:rsidR="00786914">
          <w:rPr>
            <w:webHidden/>
          </w:rPr>
          <w:tab/>
        </w:r>
        <w:r w:rsidR="00F0137E">
          <w:rPr>
            <w:webHidden/>
          </w:rPr>
          <w:fldChar w:fldCharType="begin"/>
        </w:r>
        <w:r w:rsidR="00786914">
          <w:rPr>
            <w:webHidden/>
          </w:rPr>
          <w:instrText xml:space="preserve"> PAGEREF _Toc327882488 \h </w:instrText>
        </w:r>
        <w:r w:rsidR="00F0137E">
          <w:rPr>
            <w:webHidden/>
          </w:rPr>
        </w:r>
        <w:r w:rsidR="00F0137E">
          <w:rPr>
            <w:webHidden/>
          </w:rPr>
          <w:fldChar w:fldCharType="separate"/>
        </w:r>
        <w:r w:rsidR="00F45C43">
          <w:rPr>
            <w:webHidden/>
          </w:rPr>
          <w:t>11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89" w:history="1">
        <w:r w:rsidR="00786914" w:rsidRPr="00847B45">
          <w:rPr>
            <w:rStyle w:val="Hyperlink"/>
          </w:rPr>
          <w:t>Figure 5:</w:t>
        </w:r>
        <w:r w:rsidR="00786914">
          <w:rPr>
            <w:rFonts w:asciiTheme="minorHAnsi" w:eastAsiaTheme="minorEastAsia" w:hAnsiTheme="minorHAnsi" w:cstheme="minorBidi"/>
            <w:sz w:val="22"/>
            <w:szCs w:val="22"/>
          </w:rPr>
          <w:tab/>
        </w:r>
        <w:r w:rsidR="00786914" w:rsidRPr="00847B45">
          <w:rPr>
            <w:rStyle w:val="Hyperlink"/>
          </w:rPr>
          <w:t>Search results – Quorum flowchart</w:t>
        </w:r>
        <w:r w:rsidR="00786914">
          <w:rPr>
            <w:webHidden/>
          </w:rPr>
          <w:tab/>
        </w:r>
        <w:r w:rsidR="00F0137E">
          <w:rPr>
            <w:webHidden/>
          </w:rPr>
          <w:fldChar w:fldCharType="begin"/>
        </w:r>
        <w:r w:rsidR="00786914">
          <w:rPr>
            <w:webHidden/>
          </w:rPr>
          <w:instrText xml:space="preserve"> PAGEREF _Toc327882489 \h </w:instrText>
        </w:r>
        <w:r w:rsidR="00F0137E">
          <w:rPr>
            <w:webHidden/>
          </w:rPr>
        </w:r>
        <w:r w:rsidR="00F0137E">
          <w:rPr>
            <w:webHidden/>
          </w:rPr>
          <w:fldChar w:fldCharType="separate"/>
        </w:r>
        <w:r w:rsidR="00F45C43">
          <w:rPr>
            <w:webHidden/>
          </w:rPr>
          <w:t>15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0" w:history="1">
        <w:r w:rsidR="00786914" w:rsidRPr="00847B45">
          <w:rPr>
            <w:rStyle w:val="Hyperlink"/>
          </w:rPr>
          <w:t>Figure 6:</w:t>
        </w:r>
        <w:r w:rsidR="00786914">
          <w:rPr>
            <w:rFonts w:asciiTheme="minorHAnsi" w:eastAsiaTheme="minorEastAsia" w:hAnsiTheme="minorHAnsi" w:cstheme="minorBidi"/>
            <w:sz w:val="22"/>
            <w:szCs w:val="22"/>
          </w:rPr>
          <w:tab/>
        </w:r>
        <w:r w:rsidR="00786914" w:rsidRPr="00847B45">
          <w:rPr>
            <w:rStyle w:val="Hyperlink"/>
          </w:rPr>
          <w:t>Blood transfusion rates: HOLEP compared with TURP</w:t>
        </w:r>
        <w:r w:rsidR="00786914">
          <w:rPr>
            <w:webHidden/>
          </w:rPr>
          <w:tab/>
        </w:r>
        <w:r w:rsidR="00F0137E">
          <w:rPr>
            <w:webHidden/>
          </w:rPr>
          <w:fldChar w:fldCharType="begin"/>
        </w:r>
        <w:r w:rsidR="00786914">
          <w:rPr>
            <w:webHidden/>
          </w:rPr>
          <w:instrText xml:space="preserve"> PAGEREF _Toc327882490 \h </w:instrText>
        </w:r>
        <w:r w:rsidR="00F0137E">
          <w:rPr>
            <w:webHidden/>
          </w:rPr>
        </w:r>
        <w:r w:rsidR="00F0137E">
          <w:rPr>
            <w:webHidden/>
          </w:rPr>
          <w:fldChar w:fldCharType="separate"/>
        </w:r>
        <w:r w:rsidR="00F45C43">
          <w:rPr>
            <w:webHidden/>
          </w:rPr>
          <w:t>28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1" w:history="1">
        <w:r w:rsidR="00786914" w:rsidRPr="00847B45">
          <w:rPr>
            <w:rStyle w:val="Hyperlink"/>
          </w:rPr>
          <w:t>Figure 7:</w:t>
        </w:r>
        <w:r w:rsidR="00786914">
          <w:rPr>
            <w:rFonts w:asciiTheme="minorHAnsi" w:eastAsiaTheme="minorEastAsia" w:hAnsiTheme="minorHAnsi" w:cstheme="minorBidi"/>
            <w:sz w:val="22"/>
            <w:szCs w:val="22"/>
          </w:rPr>
          <w:tab/>
        </w:r>
        <w:r w:rsidR="00786914" w:rsidRPr="00847B45">
          <w:rPr>
            <w:rStyle w:val="Hyperlink"/>
          </w:rPr>
          <w:t>Urethral stricture: HOLEP compared with TURP</w:t>
        </w:r>
        <w:r w:rsidR="00786914">
          <w:rPr>
            <w:webHidden/>
          </w:rPr>
          <w:tab/>
        </w:r>
        <w:r w:rsidR="00F0137E">
          <w:rPr>
            <w:webHidden/>
          </w:rPr>
          <w:fldChar w:fldCharType="begin"/>
        </w:r>
        <w:r w:rsidR="00786914">
          <w:rPr>
            <w:webHidden/>
          </w:rPr>
          <w:instrText xml:space="preserve"> PAGEREF _Toc327882491 \h </w:instrText>
        </w:r>
        <w:r w:rsidR="00F0137E">
          <w:rPr>
            <w:webHidden/>
          </w:rPr>
        </w:r>
        <w:r w:rsidR="00F0137E">
          <w:rPr>
            <w:webHidden/>
          </w:rPr>
          <w:fldChar w:fldCharType="separate"/>
        </w:r>
        <w:r w:rsidR="00F45C43">
          <w:rPr>
            <w:webHidden/>
          </w:rPr>
          <w:t>28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2" w:history="1">
        <w:r w:rsidR="00786914" w:rsidRPr="00847B45">
          <w:rPr>
            <w:rStyle w:val="Hyperlink"/>
          </w:rPr>
          <w:t>Figure 8:</w:t>
        </w:r>
        <w:r w:rsidR="00786914">
          <w:rPr>
            <w:rFonts w:asciiTheme="minorHAnsi" w:eastAsiaTheme="minorEastAsia" w:hAnsiTheme="minorHAnsi" w:cstheme="minorBidi"/>
            <w:sz w:val="22"/>
            <w:szCs w:val="22"/>
          </w:rPr>
          <w:tab/>
        </w:r>
        <w:r w:rsidR="00786914" w:rsidRPr="00847B45">
          <w:rPr>
            <w:rStyle w:val="Hyperlink"/>
          </w:rPr>
          <w:t>Incontinence rates: HOLEP compared with TURP</w:t>
        </w:r>
        <w:r w:rsidR="00786914">
          <w:rPr>
            <w:webHidden/>
          </w:rPr>
          <w:tab/>
        </w:r>
        <w:r w:rsidR="00F0137E">
          <w:rPr>
            <w:webHidden/>
          </w:rPr>
          <w:fldChar w:fldCharType="begin"/>
        </w:r>
        <w:r w:rsidR="00786914">
          <w:rPr>
            <w:webHidden/>
          </w:rPr>
          <w:instrText xml:space="preserve"> PAGEREF _Toc327882492 \h </w:instrText>
        </w:r>
        <w:r w:rsidR="00F0137E">
          <w:rPr>
            <w:webHidden/>
          </w:rPr>
        </w:r>
        <w:r w:rsidR="00F0137E">
          <w:rPr>
            <w:webHidden/>
          </w:rPr>
          <w:fldChar w:fldCharType="separate"/>
        </w:r>
        <w:r w:rsidR="00F45C43">
          <w:rPr>
            <w:webHidden/>
          </w:rPr>
          <w:t>29</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3" w:history="1">
        <w:r w:rsidR="00786914" w:rsidRPr="00847B45">
          <w:rPr>
            <w:rStyle w:val="Hyperlink"/>
          </w:rPr>
          <w:t>Figure 9:</w:t>
        </w:r>
        <w:r w:rsidR="00786914">
          <w:rPr>
            <w:rFonts w:asciiTheme="minorHAnsi" w:eastAsiaTheme="minorEastAsia" w:hAnsiTheme="minorHAnsi" w:cstheme="minorBidi"/>
            <w:sz w:val="22"/>
            <w:szCs w:val="22"/>
          </w:rPr>
          <w:tab/>
        </w:r>
        <w:r w:rsidR="00786914" w:rsidRPr="00847B45">
          <w:rPr>
            <w:rStyle w:val="Hyperlink"/>
          </w:rPr>
          <w:t>Qmax at 6 months: HoLEP compared with TURP</w:t>
        </w:r>
        <w:r w:rsidR="00786914">
          <w:rPr>
            <w:webHidden/>
          </w:rPr>
          <w:tab/>
        </w:r>
        <w:r w:rsidR="00F0137E">
          <w:rPr>
            <w:webHidden/>
          </w:rPr>
          <w:fldChar w:fldCharType="begin"/>
        </w:r>
        <w:r w:rsidR="00786914">
          <w:rPr>
            <w:webHidden/>
          </w:rPr>
          <w:instrText xml:space="preserve"> PAGEREF _Toc327882493 \h </w:instrText>
        </w:r>
        <w:r w:rsidR="00F0137E">
          <w:rPr>
            <w:webHidden/>
          </w:rPr>
        </w:r>
        <w:r w:rsidR="00F0137E">
          <w:rPr>
            <w:webHidden/>
          </w:rPr>
          <w:fldChar w:fldCharType="separate"/>
        </w:r>
        <w:r w:rsidR="00F45C43">
          <w:rPr>
            <w:webHidden/>
          </w:rPr>
          <w:t>32</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4" w:history="1">
        <w:r w:rsidR="00786914" w:rsidRPr="00847B45">
          <w:rPr>
            <w:rStyle w:val="Hyperlink"/>
          </w:rPr>
          <w:t>Figure 10:</w:t>
        </w:r>
        <w:r w:rsidR="00786914">
          <w:rPr>
            <w:rFonts w:asciiTheme="minorHAnsi" w:eastAsiaTheme="minorEastAsia" w:hAnsiTheme="minorHAnsi" w:cstheme="minorBidi"/>
            <w:sz w:val="22"/>
            <w:szCs w:val="22"/>
          </w:rPr>
          <w:tab/>
        </w:r>
        <w:r w:rsidR="00786914" w:rsidRPr="00847B45">
          <w:rPr>
            <w:rStyle w:val="Hyperlink"/>
          </w:rPr>
          <w:t>Qmax at 12 months: HoLEP compared with TURP</w:t>
        </w:r>
        <w:r w:rsidR="00786914">
          <w:rPr>
            <w:webHidden/>
          </w:rPr>
          <w:tab/>
        </w:r>
        <w:r w:rsidR="00F0137E">
          <w:rPr>
            <w:webHidden/>
          </w:rPr>
          <w:fldChar w:fldCharType="begin"/>
        </w:r>
        <w:r w:rsidR="00786914">
          <w:rPr>
            <w:webHidden/>
          </w:rPr>
          <w:instrText xml:space="preserve"> PAGEREF _Toc327882494 \h </w:instrText>
        </w:r>
        <w:r w:rsidR="00F0137E">
          <w:rPr>
            <w:webHidden/>
          </w:rPr>
        </w:r>
        <w:r w:rsidR="00F0137E">
          <w:rPr>
            <w:webHidden/>
          </w:rPr>
          <w:fldChar w:fldCharType="separate"/>
        </w:r>
        <w:r w:rsidR="00F45C43">
          <w:rPr>
            <w:webHidden/>
          </w:rPr>
          <w:t>32</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5" w:history="1">
        <w:r w:rsidR="00786914" w:rsidRPr="00847B45">
          <w:rPr>
            <w:rStyle w:val="Hyperlink"/>
          </w:rPr>
          <w:t>Figure 11:</w:t>
        </w:r>
        <w:r w:rsidR="00786914">
          <w:rPr>
            <w:rFonts w:asciiTheme="minorHAnsi" w:eastAsiaTheme="minorEastAsia" w:hAnsiTheme="minorHAnsi" w:cstheme="minorBidi"/>
            <w:sz w:val="22"/>
            <w:szCs w:val="22"/>
          </w:rPr>
          <w:tab/>
        </w:r>
        <w:r w:rsidR="00786914" w:rsidRPr="00847B45">
          <w:rPr>
            <w:rStyle w:val="Hyperlink"/>
          </w:rPr>
          <w:t>Qmax at 24 months: HoLEP compared with TURP</w:t>
        </w:r>
        <w:r w:rsidR="00786914">
          <w:rPr>
            <w:webHidden/>
          </w:rPr>
          <w:tab/>
        </w:r>
        <w:r w:rsidR="00F0137E">
          <w:rPr>
            <w:webHidden/>
          </w:rPr>
          <w:fldChar w:fldCharType="begin"/>
        </w:r>
        <w:r w:rsidR="00786914">
          <w:rPr>
            <w:webHidden/>
          </w:rPr>
          <w:instrText xml:space="preserve"> PAGEREF _Toc327882495 \h </w:instrText>
        </w:r>
        <w:r w:rsidR="00F0137E">
          <w:rPr>
            <w:webHidden/>
          </w:rPr>
        </w:r>
        <w:r w:rsidR="00F0137E">
          <w:rPr>
            <w:webHidden/>
          </w:rPr>
          <w:fldChar w:fldCharType="separate"/>
        </w:r>
        <w:r w:rsidR="00F45C43">
          <w:rPr>
            <w:webHidden/>
          </w:rPr>
          <w:t>32</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6" w:history="1">
        <w:r w:rsidR="00786914" w:rsidRPr="00847B45">
          <w:rPr>
            <w:rStyle w:val="Hyperlink"/>
          </w:rPr>
          <w:t>Figure 12:</w:t>
        </w:r>
        <w:r w:rsidR="00786914">
          <w:rPr>
            <w:rFonts w:asciiTheme="minorHAnsi" w:eastAsiaTheme="minorEastAsia" w:hAnsiTheme="minorHAnsi" w:cstheme="minorBidi"/>
            <w:sz w:val="22"/>
            <w:szCs w:val="22"/>
          </w:rPr>
          <w:tab/>
        </w:r>
        <w:r w:rsidR="00786914" w:rsidRPr="00847B45">
          <w:rPr>
            <w:rStyle w:val="Hyperlink"/>
          </w:rPr>
          <w:t>Symptom score at 6 months: HoLEP compared with TURP</w:t>
        </w:r>
        <w:r w:rsidR="00786914">
          <w:rPr>
            <w:webHidden/>
          </w:rPr>
          <w:tab/>
        </w:r>
        <w:r w:rsidR="00F0137E">
          <w:rPr>
            <w:webHidden/>
          </w:rPr>
          <w:fldChar w:fldCharType="begin"/>
        </w:r>
        <w:r w:rsidR="00786914">
          <w:rPr>
            <w:webHidden/>
          </w:rPr>
          <w:instrText xml:space="preserve"> PAGEREF _Toc327882496 \h </w:instrText>
        </w:r>
        <w:r w:rsidR="00F0137E">
          <w:rPr>
            <w:webHidden/>
          </w:rPr>
        </w:r>
        <w:r w:rsidR="00F0137E">
          <w:rPr>
            <w:webHidden/>
          </w:rPr>
          <w:fldChar w:fldCharType="separate"/>
        </w:r>
        <w:r w:rsidR="00F45C43">
          <w:rPr>
            <w:webHidden/>
          </w:rPr>
          <w:t>32</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7" w:history="1">
        <w:r w:rsidR="00786914" w:rsidRPr="00847B45">
          <w:rPr>
            <w:rStyle w:val="Hyperlink"/>
          </w:rPr>
          <w:t>Figure 13:</w:t>
        </w:r>
        <w:r w:rsidR="00786914">
          <w:rPr>
            <w:rFonts w:asciiTheme="minorHAnsi" w:eastAsiaTheme="minorEastAsia" w:hAnsiTheme="minorHAnsi" w:cstheme="minorBidi"/>
            <w:sz w:val="22"/>
            <w:szCs w:val="22"/>
          </w:rPr>
          <w:tab/>
        </w:r>
        <w:r w:rsidR="00786914" w:rsidRPr="00847B45">
          <w:rPr>
            <w:rStyle w:val="Hyperlink"/>
          </w:rPr>
          <w:t>Symptom score at 12 months: HoLEP compared with TURP</w:t>
        </w:r>
        <w:r w:rsidR="00786914">
          <w:rPr>
            <w:webHidden/>
          </w:rPr>
          <w:tab/>
        </w:r>
        <w:r w:rsidR="00F0137E">
          <w:rPr>
            <w:webHidden/>
          </w:rPr>
          <w:fldChar w:fldCharType="begin"/>
        </w:r>
        <w:r w:rsidR="00786914">
          <w:rPr>
            <w:webHidden/>
          </w:rPr>
          <w:instrText xml:space="preserve"> PAGEREF _Toc327882497 \h </w:instrText>
        </w:r>
        <w:r w:rsidR="00F0137E">
          <w:rPr>
            <w:webHidden/>
          </w:rPr>
        </w:r>
        <w:r w:rsidR="00F0137E">
          <w:rPr>
            <w:webHidden/>
          </w:rPr>
          <w:fldChar w:fldCharType="separate"/>
        </w:r>
        <w:r w:rsidR="00F45C43">
          <w:rPr>
            <w:webHidden/>
          </w:rPr>
          <w:t>33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8" w:history="1">
        <w:r w:rsidR="00786914" w:rsidRPr="00847B45">
          <w:rPr>
            <w:rStyle w:val="Hyperlink"/>
          </w:rPr>
          <w:t>Figure 14:</w:t>
        </w:r>
        <w:r w:rsidR="00786914">
          <w:rPr>
            <w:rFonts w:asciiTheme="minorHAnsi" w:eastAsiaTheme="minorEastAsia" w:hAnsiTheme="minorHAnsi" w:cstheme="minorBidi"/>
            <w:sz w:val="22"/>
            <w:szCs w:val="22"/>
          </w:rPr>
          <w:tab/>
        </w:r>
        <w:r w:rsidR="00786914" w:rsidRPr="00847B45">
          <w:rPr>
            <w:rStyle w:val="Hyperlink"/>
          </w:rPr>
          <w:t>Symptom score at 24 months: HoLEP compared with TURP</w:t>
        </w:r>
        <w:r w:rsidR="00786914">
          <w:rPr>
            <w:webHidden/>
          </w:rPr>
          <w:tab/>
        </w:r>
        <w:r w:rsidR="00F0137E">
          <w:rPr>
            <w:webHidden/>
          </w:rPr>
          <w:fldChar w:fldCharType="begin"/>
        </w:r>
        <w:r w:rsidR="00786914">
          <w:rPr>
            <w:webHidden/>
          </w:rPr>
          <w:instrText xml:space="preserve"> PAGEREF _Toc327882498 \h </w:instrText>
        </w:r>
        <w:r w:rsidR="00F0137E">
          <w:rPr>
            <w:webHidden/>
          </w:rPr>
        </w:r>
        <w:r w:rsidR="00F0137E">
          <w:rPr>
            <w:webHidden/>
          </w:rPr>
          <w:fldChar w:fldCharType="separate"/>
        </w:r>
        <w:r w:rsidR="00F45C43">
          <w:rPr>
            <w:webHidden/>
          </w:rPr>
          <w:t>33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499" w:history="1">
        <w:r w:rsidR="00786914" w:rsidRPr="00847B45">
          <w:rPr>
            <w:rStyle w:val="Hyperlink"/>
          </w:rPr>
          <w:t>Figure 15:</w:t>
        </w:r>
        <w:r w:rsidR="00786914">
          <w:rPr>
            <w:rFonts w:asciiTheme="minorHAnsi" w:eastAsiaTheme="minorEastAsia" w:hAnsiTheme="minorHAnsi" w:cstheme="minorBidi"/>
            <w:sz w:val="22"/>
            <w:szCs w:val="22"/>
          </w:rPr>
          <w:tab/>
        </w:r>
        <w:r w:rsidR="00786914" w:rsidRPr="00847B45">
          <w:rPr>
            <w:rStyle w:val="Hyperlink"/>
          </w:rPr>
          <w:t>PVR at 6 months: HoLEP compared with TURP</w:t>
        </w:r>
        <w:r w:rsidR="00786914">
          <w:rPr>
            <w:webHidden/>
          </w:rPr>
          <w:tab/>
        </w:r>
        <w:r w:rsidR="00F0137E">
          <w:rPr>
            <w:webHidden/>
          </w:rPr>
          <w:fldChar w:fldCharType="begin"/>
        </w:r>
        <w:r w:rsidR="00786914">
          <w:rPr>
            <w:webHidden/>
          </w:rPr>
          <w:instrText xml:space="preserve"> PAGEREF _Toc327882499 \h </w:instrText>
        </w:r>
        <w:r w:rsidR="00F0137E">
          <w:rPr>
            <w:webHidden/>
          </w:rPr>
        </w:r>
        <w:r w:rsidR="00F0137E">
          <w:rPr>
            <w:webHidden/>
          </w:rPr>
          <w:fldChar w:fldCharType="separate"/>
        </w:r>
        <w:r w:rsidR="00F45C43">
          <w:rPr>
            <w:webHidden/>
          </w:rPr>
          <w:t>33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0" w:history="1">
        <w:r w:rsidR="00786914" w:rsidRPr="00847B45">
          <w:rPr>
            <w:rStyle w:val="Hyperlink"/>
          </w:rPr>
          <w:t>Figure 16:</w:t>
        </w:r>
        <w:r w:rsidR="00786914">
          <w:rPr>
            <w:rFonts w:asciiTheme="minorHAnsi" w:eastAsiaTheme="minorEastAsia" w:hAnsiTheme="minorHAnsi" w:cstheme="minorBidi"/>
            <w:sz w:val="22"/>
            <w:szCs w:val="22"/>
          </w:rPr>
          <w:tab/>
        </w:r>
        <w:r w:rsidR="00786914" w:rsidRPr="00847B45">
          <w:rPr>
            <w:rStyle w:val="Hyperlink"/>
          </w:rPr>
          <w:t>PVR at 12 months: HoLEP compared with TURP</w:t>
        </w:r>
        <w:r w:rsidR="00786914">
          <w:rPr>
            <w:webHidden/>
          </w:rPr>
          <w:tab/>
        </w:r>
        <w:r w:rsidR="00F0137E">
          <w:rPr>
            <w:webHidden/>
          </w:rPr>
          <w:fldChar w:fldCharType="begin"/>
        </w:r>
        <w:r w:rsidR="00786914">
          <w:rPr>
            <w:webHidden/>
          </w:rPr>
          <w:instrText xml:space="preserve"> PAGEREF _Toc327882500 \h </w:instrText>
        </w:r>
        <w:r w:rsidR="00F0137E">
          <w:rPr>
            <w:webHidden/>
          </w:rPr>
        </w:r>
        <w:r w:rsidR="00F0137E">
          <w:rPr>
            <w:webHidden/>
          </w:rPr>
          <w:fldChar w:fldCharType="separate"/>
        </w:r>
        <w:r w:rsidR="00F45C43">
          <w:rPr>
            <w:webHidden/>
          </w:rPr>
          <w:t>33</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1" w:history="1">
        <w:r w:rsidR="00786914" w:rsidRPr="00847B45">
          <w:rPr>
            <w:rStyle w:val="Hyperlink"/>
          </w:rPr>
          <w:t>Figure 17:</w:t>
        </w:r>
        <w:r w:rsidR="00786914">
          <w:rPr>
            <w:rFonts w:asciiTheme="minorHAnsi" w:eastAsiaTheme="minorEastAsia" w:hAnsiTheme="minorHAnsi" w:cstheme="minorBidi"/>
            <w:sz w:val="22"/>
            <w:szCs w:val="22"/>
          </w:rPr>
          <w:tab/>
        </w:r>
        <w:r w:rsidR="00786914" w:rsidRPr="00847B45">
          <w:rPr>
            <w:rStyle w:val="Hyperlink"/>
          </w:rPr>
          <w:t>Duration of operation: HoLEP compared with TURP</w:t>
        </w:r>
        <w:r w:rsidR="00786914">
          <w:rPr>
            <w:webHidden/>
          </w:rPr>
          <w:tab/>
        </w:r>
        <w:r w:rsidR="00F0137E">
          <w:rPr>
            <w:webHidden/>
          </w:rPr>
          <w:fldChar w:fldCharType="begin"/>
        </w:r>
        <w:r w:rsidR="00786914">
          <w:rPr>
            <w:webHidden/>
          </w:rPr>
          <w:instrText xml:space="preserve"> PAGEREF _Toc327882501 \h </w:instrText>
        </w:r>
        <w:r w:rsidR="00F0137E">
          <w:rPr>
            <w:webHidden/>
          </w:rPr>
        </w:r>
        <w:r w:rsidR="00F0137E">
          <w:rPr>
            <w:webHidden/>
          </w:rPr>
          <w:fldChar w:fldCharType="separate"/>
        </w:r>
        <w:r w:rsidR="00F45C43">
          <w:rPr>
            <w:webHidden/>
          </w:rPr>
          <w:t>35</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2" w:history="1">
        <w:r w:rsidR="00786914" w:rsidRPr="00847B45">
          <w:rPr>
            <w:rStyle w:val="Hyperlink"/>
          </w:rPr>
          <w:t>Figure 18:</w:t>
        </w:r>
        <w:r w:rsidR="00786914">
          <w:rPr>
            <w:rFonts w:asciiTheme="minorHAnsi" w:eastAsiaTheme="minorEastAsia" w:hAnsiTheme="minorHAnsi" w:cstheme="minorBidi"/>
            <w:sz w:val="22"/>
            <w:szCs w:val="22"/>
          </w:rPr>
          <w:tab/>
        </w:r>
        <w:r w:rsidR="00786914" w:rsidRPr="00847B45">
          <w:rPr>
            <w:rStyle w:val="Hyperlink"/>
          </w:rPr>
          <w:t>Duration of hospital stay: HOLEP compared with TURP</w:t>
        </w:r>
        <w:r w:rsidR="00786914">
          <w:rPr>
            <w:webHidden/>
          </w:rPr>
          <w:tab/>
        </w:r>
        <w:r w:rsidR="00F0137E">
          <w:rPr>
            <w:webHidden/>
          </w:rPr>
          <w:fldChar w:fldCharType="begin"/>
        </w:r>
        <w:r w:rsidR="00786914">
          <w:rPr>
            <w:webHidden/>
          </w:rPr>
          <w:instrText xml:space="preserve"> PAGEREF _Toc327882502 \h </w:instrText>
        </w:r>
        <w:r w:rsidR="00F0137E">
          <w:rPr>
            <w:webHidden/>
          </w:rPr>
        </w:r>
        <w:r w:rsidR="00F0137E">
          <w:rPr>
            <w:webHidden/>
          </w:rPr>
          <w:fldChar w:fldCharType="separate"/>
        </w:r>
        <w:r w:rsidR="00F45C43">
          <w:rPr>
            <w:webHidden/>
          </w:rPr>
          <w:t>36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3" w:history="1">
        <w:r w:rsidR="00786914" w:rsidRPr="00847B45">
          <w:rPr>
            <w:rStyle w:val="Hyperlink"/>
          </w:rPr>
          <w:t>Figure 19:</w:t>
        </w:r>
        <w:r w:rsidR="00786914">
          <w:rPr>
            <w:rFonts w:asciiTheme="minorHAnsi" w:eastAsiaTheme="minorEastAsia" w:hAnsiTheme="minorHAnsi" w:cstheme="minorBidi"/>
            <w:sz w:val="22"/>
            <w:szCs w:val="22"/>
          </w:rPr>
          <w:tab/>
        </w:r>
        <w:r w:rsidR="00786914" w:rsidRPr="00847B45">
          <w:rPr>
            <w:rStyle w:val="Hyperlink"/>
          </w:rPr>
          <w:t>Duration of catheterisation: HoLEP compared with TURP</w:t>
        </w:r>
        <w:r w:rsidR="00786914">
          <w:rPr>
            <w:webHidden/>
          </w:rPr>
          <w:tab/>
        </w:r>
        <w:r w:rsidR="00F0137E">
          <w:rPr>
            <w:webHidden/>
          </w:rPr>
          <w:fldChar w:fldCharType="begin"/>
        </w:r>
        <w:r w:rsidR="00786914">
          <w:rPr>
            <w:webHidden/>
          </w:rPr>
          <w:instrText xml:space="preserve"> PAGEREF _Toc327882503 \h </w:instrText>
        </w:r>
        <w:r w:rsidR="00F0137E">
          <w:rPr>
            <w:webHidden/>
          </w:rPr>
        </w:r>
        <w:r w:rsidR="00F0137E">
          <w:rPr>
            <w:webHidden/>
          </w:rPr>
          <w:fldChar w:fldCharType="separate"/>
        </w:r>
        <w:r w:rsidR="00F45C43">
          <w:rPr>
            <w:webHidden/>
          </w:rPr>
          <w:t>36</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4" w:history="1">
        <w:r w:rsidR="00786914" w:rsidRPr="00847B45">
          <w:rPr>
            <w:rStyle w:val="Hyperlink"/>
          </w:rPr>
          <w:t>Figure 20:</w:t>
        </w:r>
        <w:r w:rsidR="00786914">
          <w:rPr>
            <w:rFonts w:asciiTheme="minorHAnsi" w:eastAsiaTheme="minorEastAsia" w:hAnsiTheme="minorHAnsi" w:cstheme="minorBidi"/>
            <w:sz w:val="22"/>
            <w:szCs w:val="22"/>
          </w:rPr>
          <w:tab/>
        </w:r>
        <w:r w:rsidR="00786914" w:rsidRPr="00847B45">
          <w:rPr>
            <w:rStyle w:val="Hyperlink"/>
          </w:rPr>
          <w:t>Blood transfusion rates: HoLEP compared with OP</w:t>
        </w:r>
        <w:r w:rsidR="00786914">
          <w:rPr>
            <w:webHidden/>
          </w:rPr>
          <w:tab/>
        </w:r>
        <w:r w:rsidR="00F0137E">
          <w:rPr>
            <w:webHidden/>
          </w:rPr>
          <w:fldChar w:fldCharType="begin"/>
        </w:r>
        <w:r w:rsidR="00786914">
          <w:rPr>
            <w:webHidden/>
          </w:rPr>
          <w:instrText xml:space="preserve"> PAGEREF _Toc327882504 \h </w:instrText>
        </w:r>
        <w:r w:rsidR="00F0137E">
          <w:rPr>
            <w:webHidden/>
          </w:rPr>
        </w:r>
        <w:r w:rsidR="00F0137E">
          <w:rPr>
            <w:webHidden/>
          </w:rPr>
          <w:fldChar w:fldCharType="separate"/>
        </w:r>
        <w:r w:rsidR="00F45C43">
          <w:rPr>
            <w:webHidden/>
          </w:rPr>
          <w:t>37</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5" w:history="1">
        <w:r w:rsidR="00786914" w:rsidRPr="00847B45">
          <w:rPr>
            <w:rStyle w:val="Hyperlink"/>
          </w:rPr>
          <w:t>Figure 21:</w:t>
        </w:r>
        <w:r w:rsidR="00786914">
          <w:rPr>
            <w:rFonts w:asciiTheme="minorHAnsi" w:eastAsiaTheme="minorEastAsia" w:hAnsiTheme="minorHAnsi" w:cstheme="minorBidi"/>
            <w:sz w:val="22"/>
            <w:szCs w:val="22"/>
          </w:rPr>
          <w:tab/>
        </w:r>
        <w:r w:rsidR="00786914" w:rsidRPr="00847B45">
          <w:rPr>
            <w:rStyle w:val="Hyperlink"/>
          </w:rPr>
          <w:t>Urethral stricture: HoLEP compared with OP</w:t>
        </w:r>
        <w:r w:rsidR="00786914">
          <w:rPr>
            <w:webHidden/>
          </w:rPr>
          <w:tab/>
        </w:r>
        <w:r w:rsidR="00F0137E">
          <w:rPr>
            <w:webHidden/>
          </w:rPr>
          <w:fldChar w:fldCharType="begin"/>
        </w:r>
        <w:r w:rsidR="00786914">
          <w:rPr>
            <w:webHidden/>
          </w:rPr>
          <w:instrText xml:space="preserve"> PAGEREF _Toc327882505 \h </w:instrText>
        </w:r>
        <w:r w:rsidR="00F0137E">
          <w:rPr>
            <w:webHidden/>
          </w:rPr>
        </w:r>
        <w:r w:rsidR="00F0137E">
          <w:rPr>
            <w:webHidden/>
          </w:rPr>
          <w:fldChar w:fldCharType="separate"/>
        </w:r>
        <w:r w:rsidR="00F45C43">
          <w:rPr>
            <w:webHidden/>
          </w:rPr>
          <w:t>38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6" w:history="1">
        <w:r w:rsidR="00786914" w:rsidRPr="00847B45">
          <w:rPr>
            <w:rStyle w:val="Hyperlink"/>
          </w:rPr>
          <w:t>Figure 22:</w:t>
        </w:r>
        <w:r w:rsidR="00786914">
          <w:rPr>
            <w:rFonts w:asciiTheme="minorHAnsi" w:eastAsiaTheme="minorEastAsia" w:hAnsiTheme="minorHAnsi" w:cstheme="minorBidi"/>
            <w:sz w:val="22"/>
            <w:szCs w:val="22"/>
          </w:rPr>
          <w:tab/>
        </w:r>
        <w:r w:rsidR="00786914" w:rsidRPr="00847B45">
          <w:rPr>
            <w:rStyle w:val="Hyperlink"/>
          </w:rPr>
          <w:t>Incontinence: HoLEP compared with OP</w:t>
        </w:r>
        <w:r w:rsidR="00786914">
          <w:rPr>
            <w:webHidden/>
          </w:rPr>
          <w:tab/>
        </w:r>
        <w:r w:rsidR="00F0137E">
          <w:rPr>
            <w:webHidden/>
          </w:rPr>
          <w:fldChar w:fldCharType="begin"/>
        </w:r>
        <w:r w:rsidR="00786914">
          <w:rPr>
            <w:webHidden/>
          </w:rPr>
          <w:instrText xml:space="preserve"> PAGEREF _Toc327882506 \h </w:instrText>
        </w:r>
        <w:r w:rsidR="00F0137E">
          <w:rPr>
            <w:webHidden/>
          </w:rPr>
        </w:r>
        <w:r w:rsidR="00F0137E">
          <w:rPr>
            <w:webHidden/>
          </w:rPr>
          <w:fldChar w:fldCharType="separate"/>
        </w:r>
        <w:r w:rsidR="00F45C43">
          <w:rPr>
            <w:webHidden/>
          </w:rPr>
          <w:t>38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7" w:history="1">
        <w:r w:rsidR="00786914" w:rsidRPr="00847B45">
          <w:rPr>
            <w:rStyle w:val="Hyperlink"/>
          </w:rPr>
          <w:t>Figure 23:</w:t>
        </w:r>
        <w:r w:rsidR="00786914">
          <w:rPr>
            <w:rFonts w:asciiTheme="minorHAnsi" w:eastAsiaTheme="minorEastAsia" w:hAnsiTheme="minorHAnsi" w:cstheme="minorBidi"/>
            <w:sz w:val="22"/>
            <w:szCs w:val="22"/>
          </w:rPr>
          <w:tab/>
        </w:r>
        <w:r w:rsidR="00786914" w:rsidRPr="00847B45">
          <w:rPr>
            <w:rStyle w:val="Hyperlink"/>
          </w:rPr>
          <w:t>Qmax at 12 months: HoLEP compared with OP</w:t>
        </w:r>
        <w:r w:rsidR="00786914">
          <w:rPr>
            <w:webHidden/>
          </w:rPr>
          <w:tab/>
        </w:r>
        <w:r w:rsidR="00F0137E">
          <w:rPr>
            <w:webHidden/>
          </w:rPr>
          <w:fldChar w:fldCharType="begin"/>
        </w:r>
        <w:r w:rsidR="00786914">
          <w:rPr>
            <w:webHidden/>
          </w:rPr>
          <w:instrText xml:space="preserve"> PAGEREF _Toc327882507 \h </w:instrText>
        </w:r>
        <w:r w:rsidR="00F0137E">
          <w:rPr>
            <w:webHidden/>
          </w:rPr>
        </w:r>
        <w:r w:rsidR="00F0137E">
          <w:rPr>
            <w:webHidden/>
          </w:rPr>
          <w:fldChar w:fldCharType="separate"/>
        </w:r>
        <w:r w:rsidR="00F45C43">
          <w:rPr>
            <w:webHidden/>
          </w:rPr>
          <w:t>39</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8" w:history="1">
        <w:r w:rsidR="00786914" w:rsidRPr="00847B45">
          <w:rPr>
            <w:rStyle w:val="Hyperlink"/>
          </w:rPr>
          <w:t>Figure 24:</w:t>
        </w:r>
        <w:r w:rsidR="00786914">
          <w:rPr>
            <w:rFonts w:asciiTheme="minorHAnsi" w:eastAsiaTheme="minorEastAsia" w:hAnsiTheme="minorHAnsi" w:cstheme="minorBidi"/>
            <w:sz w:val="22"/>
            <w:szCs w:val="22"/>
          </w:rPr>
          <w:tab/>
        </w:r>
        <w:r w:rsidR="00786914" w:rsidRPr="00847B45">
          <w:rPr>
            <w:rStyle w:val="Hyperlink"/>
          </w:rPr>
          <w:t>Q max at 24 months: HoLEP compared with OP</w:t>
        </w:r>
        <w:r w:rsidR="00786914">
          <w:rPr>
            <w:webHidden/>
          </w:rPr>
          <w:tab/>
        </w:r>
        <w:r w:rsidR="00F0137E">
          <w:rPr>
            <w:webHidden/>
          </w:rPr>
          <w:fldChar w:fldCharType="begin"/>
        </w:r>
        <w:r w:rsidR="00786914">
          <w:rPr>
            <w:webHidden/>
          </w:rPr>
          <w:instrText xml:space="preserve"> PAGEREF _Toc327882508 \h </w:instrText>
        </w:r>
        <w:r w:rsidR="00F0137E">
          <w:rPr>
            <w:webHidden/>
          </w:rPr>
        </w:r>
        <w:r w:rsidR="00F0137E">
          <w:rPr>
            <w:webHidden/>
          </w:rPr>
          <w:fldChar w:fldCharType="separate"/>
        </w:r>
        <w:r w:rsidR="00F45C43">
          <w:rPr>
            <w:webHidden/>
          </w:rPr>
          <w:t>40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09" w:history="1">
        <w:r w:rsidR="00786914" w:rsidRPr="00847B45">
          <w:rPr>
            <w:rStyle w:val="Hyperlink"/>
          </w:rPr>
          <w:t>Figure 25:</w:t>
        </w:r>
        <w:r w:rsidR="00786914">
          <w:rPr>
            <w:rFonts w:asciiTheme="minorHAnsi" w:eastAsiaTheme="minorEastAsia" w:hAnsiTheme="minorHAnsi" w:cstheme="minorBidi"/>
            <w:sz w:val="22"/>
            <w:szCs w:val="22"/>
          </w:rPr>
          <w:tab/>
        </w:r>
        <w:r w:rsidR="00786914" w:rsidRPr="00847B45">
          <w:rPr>
            <w:rStyle w:val="Hyperlink"/>
          </w:rPr>
          <w:t>Symptom scores at 12 months: HoLEP compared with OP</w:t>
        </w:r>
        <w:r w:rsidR="00786914">
          <w:rPr>
            <w:webHidden/>
          </w:rPr>
          <w:tab/>
        </w:r>
        <w:r w:rsidR="00F0137E">
          <w:rPr>
            <w:webHidden/>
          </w:rPr>
          <w:fldChar w:fldCharType="begin"/>
        </w:r>
        <w:r w:rsidR="00786914">
          <w:rPr>
            <w:webHidden/>
          </w:rPr>
          <w:instrText xml:space="preserve"> PAGEREF _Toc327882509 \h </w:instrText>
        </w:r>
        <w:r w:rsidR="00F0137E">
          <w:rPr>
            <w:webHidden/>
          </w:rPr>
        </w:r>
        <w:r w:rsidR="00F0137E">
          <w:rPr>
            <w:webHidden/>
          </w:rPr>
          <w:fldChar w:fldCharType="separate"/>
        </w:r>
        <w:r w:rsidR="00F45C43">
          <w:rPr>
            <w:webHidden/>
          </w:rPr>
          <w:t>40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10" w:history="1">
        <w:r w:rsidR="00786914" w:rsidRPr="00847B45">
          <w:rPr>
            <w:rStyle w:val="Hyperlink"/>
          </w:rPr>
          <w:t>Figure 26:</w:t>
        </w:r>
        <w:r w:rsidR="00786914">
          <w:rPr>
            <w:rFonts w:asciiTheme="minorHAnsi" w:eastAsiaTheme="minorEastAsia" w:hAnsiTheme="minorHAnsi" w:cstheme="minorBidi"/>
            <w:sz w:val="22"/>
            <w:szCs w:val="22"/>
          </w:rPr>
          <w:tab/>
        </w:r>
        <w:r w:rsidR="00786914" w:rsidRPr="00847B45">
          <w:rPr>
            <w:rStyle w:val="Hyperlink"/>
          </w:rPr>
          <w:t>Symptom scores at 24 months: HoLEP compared with OP</w:t>
        </w:r>
        <w:r w:rsidR="00786914">
          <w:rPr>
            <w:webHidden/>
          </w:rPr>
          <w:tab/>
        </w:r>
        <w:r w:rsidR="00F0137E">
          <w:rPr>
            <w:webHidden/>
          </w:rPr>
          <w:fldChar w:fldCharType="begin"/>
        </w:r>
        <w:r w:rsidR="00786914">
          <w:rPr>
            <w:webHidden/>
          </w:rPr>
          <w:instrText xml:space="preserve"> PAGEREF _Toc327882510 \h </w:instrText>
        </w:r>
        <w:r w:rsidR="00F0137E">
          <w:rPr>
            <w:webHidden/>
          </w:rPr>
        </w:r>
        <w:r w:rsidR="00F0137E">
          <w:rPr>
            <w:webHidden/>
          </w:rPr>
          <w:fldChar w:fldCharType="separate"/>
        </w:r>
        <w:r w:rsidR="00F45C43">
          <w:rPr>
            <w:webHidden/>
          </w:rPr>
          <w:t>40</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11" w:history="1">
        <w:r w:rsidR="00786914" w:rsidRPr="00847B45">
          <w:rPr>
            <w:rStyle w:val="Hyperlink"/>
          </w:rPr>
          <w:t>Figure 27:</w:t>
        </w:r>
        <w:r w:rsidR="00786914">
          <w:rPr>
            <w:rFonts w:asciiTheme="minorHAnsi" w:eastAsiaTheme="minorEastAsia" w:hAnsiTheme="minorHAnsi" w:cstheme="minorBidi"/>
            <w:sz w:val="22"/>
            <w:szCs w:val="22"/>
          </w:rPr>
          <w:tab/>
        </w:r>
        <w:r w:rsidR="00786914" w:rsidRPr="00847B45">
          <w:rPr>
            <w:rStyle w:val="Hyperlink"/>
          </w:rPr>
          <w:t>Re-operation rates: HoLEP compared with OP</w:t>
        </w:r>
        <w:r w:rsidR="00786914">
          <w:rPr>
            <w:webHidden/>
          </w:rPr>
          <w:tab/>
        </w:r>
        <w:r w:rsidR="00F0137E">
          <w:rPr>
            <w:webHidden/>
          </w:rPr>
          <w:fldChar w:fldCharType="begin"/>
        </w:r>
        <w:r w:rsidR="00786914">
          <w:rPr>
            <w:webHidden/>
          </w:rPr>
          <w:instrText xml:space="preserve"> PAGEREF _Toc327882511 \h </w:instrText>
        </w:r>
        <w:r w:rsidR="00F0137E">
          <w:rPr>
            <w:webHidden/>
          </w:rPr>
        </w:r>
        <w:r w:rsidR="00F0137E">
          <w:rPr>
            <w:webHidden/>
          </w:rPr>
          <w:fldChar w:fldCharType="separate"/>
        </w:r>
        <w:r w:rsidR="00F45C43">
          <w:rPr>
            <w:webHidden/>
          </w:rPr>
          <w:t>41</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12" w:history="1">
        <w:r w:rsidR="00786914" w:rsidRPr="00847B45">
          <w:rPr>
            <w:rStyle w:val="Hyperlink"/>
          </w:rPr>
          <w:t>Figure 28:</w:t>
        </w:r>
        <w:r w:rsidR="00786914">
          <w:rPr>
            <w:rFonts w:asciiTheme="minorHAnsi" w:eastAsiaTheme="minorEastAsia" w:hAnsiTheme="minorHAnsi" w:cstheme="minorBidi"/>
            <w:sz w:val="22"/>
            <w:szCs w:val="22"/>
          </w:rPr>
          <w:tab/>
        </w:r>
        <w:r w:rsidR="00786914" w:rsidRPr="00847B45">
          <w:rPr>
            <w:rStyle w:val="Hyperlink"/>
          </w:rPr>
          <w:t>Sensitivity analysis comparing the HoLEP then HoLEP and TURP then TURP pathways</w:t>
        </w:r>
        <w:r w:rsidR="00786914">
          <w:rPr>
            <w:webHidden/>
          </w:rPr>
          <w:tab/>
        </w:r>
        <w:r w:rsidR="00F0137E">
          <w:rPr>
            <w:webHidden/>
          </w:rPr>
          <w:fldChar w:fldCharType="begin"/>
        </w:r>
        <w:r w:rsidR="00786914">
          <w:rPr>
            <w:webHidden/>
          </w:rPr>
          <w:instrText xml:space="preserve"> PAGEREF _Toc327882512 \h </w:instrText>
        </w:r>
        <w:r w:rsidR="00F0137E">
          <w:rPr>
            <w:webHidden/>
          </w:rPr>
        </w:r>
        <w:r w:rsidR="00F0137E">
          <w:rPr>
            <w:webHidden/>
          </w:rPr>
          <w:fldChar w:fldCharType="separate"/>
        </w:r>
        <w:r w:rsidR="00F45C43">
          <w:rPr>
            <w:webHidden/>
          </w:rPr>
          <w:t>58</w:t>
        </w:r>
        <w:r w:rsidR="00F0137E">
          <w:rPr>
            <w:webHidden/>
          </w:rPr>
          <w:fldChar w:fldCharType="end"/>
        </w:r>
      </w:hyperlink>
    </w:p>
    <w:p w:rsidR="00786914" w:rsidRDefault="002E3DC7">
      <w:pPr>
        <w:pStyle w:val="TableofFigures"/>
        <w:rPr>
          <w:rFonts w:asciiTheme="minorHAnsi" w:eastAsiaTheme="minorEastAsia" w:hAnsiTheme="minorHAnsi" w:cstheme="minorBidi"/>
          <w:sz w:val="22"/>
          <w:szCs w:val="22"/>
        </w:rPr>
      </w:pPr>
      <w:hyperlink w:anchor="_Toc327882513" w:history="1">
        <w:r w:rsidR="00786914" w:rsidRPr="00847B45">
          <w:rPr>
            <w:rStyle w:val="Hyperlink"/>
          </w:rPr>
          <w:t>Figure 29:</w:t>
        </w:r>
        <w:r w:rsidR="00786914">
          <w:rPr>
            <w:rFonts w:asciiTheme="minorHAnsi" w:eastAsiaTheme="minorEastAsia" w:hAnsiTheme="minorHAnsi" w:cstheme="minorBidi"/>
            <w:sz w:val="22"/>
            <w:szCs w:val="22"/>
          </w:rPr>
          <w:tab/>
        </w:r>
        <w:r w:rsidR="00786914" w:rsidRPr="00847B45">
          <w:rPr>
            <w:rStyle w:val="Hyperlink"/>
          </w:rPr>
          <w:t>Sensitivity analysis comparing the HoLEP then HoLEP and OP treatment pathways</w:t>
        </w:r>
        <w:r w:rsidR="00786914">
          <w:rPr>
            <w:webHidden/>
          </w:rPr>
          <w:tab/>
        </w:r>
        <w:r w:rsidR="00F0137E">
          <w:rPr>
            <w:webHidden/>
          </w:rPr>
          <w:fldChar w:fldCharType="begin"/>
        </w:r>
        <w:r w:rsidR="00786914">
          <w:rPr>
            <w:webHidden/>
          </w:rPr>
          <w:instrText xml:space="preserve"> PAGEREF _Toc327882513 \h </w:instrText>
        </w:r>
        <w:r w:rsidR="00F0137E">
          <w:rPr>
            <w:webHidden/>
          </w:rPr>
        </w:r>
        <w:r w:rsidR="00F0137E">
          <w:rPr>
            <w:webHidden/>
          </w:rPr>
          <w:fldChar w:fldCharType="separate"/>
        </w:r>
        <w:r w:rsidR="00F45C43">
          <w:rPr>
            <w:webHidden/>
          </w:rPr>
          <w:t>62</w:t>
        </w:r>
        <w:r w:rsidR="00F0137E">
          <w:rPr>
            <w:webHidden/>
          </w:rPr>
          <w:fldChar w:fldCharType="end"/>
        </w:r>
      </w:hyperlink>
    </w:p>
    <w:p w:rsidR="00786914" w:rsidRPr="004C6B15" w:rsidRDefault="00F0137E" w:rsidP="0006743B">
      <w:pPr>
        <w:pStyle w:val="TableofFigures"/>
      </w:pPr>
      <w:r>
        <w:fldChar w:fldCharType="end"/>
      </w:r>
    </w:p>
    <w:p w:rsidR="00786914" w:rsidRDefault="00786914" w:rsidP="0006743B">
      <w:pPr>
        <w:pStyle w:val="Heading1"/>
      </w:pPr>
      <w:bookmarkStart w:id="11" w:name="_Toc451749498"/>
      <w:bookmarkStart w:id="12" w:name="_Ref169423921"/>
      <w:bookmarkStart w:id="13" w:name="_Ref169423925"/>
      <w:bookmarkStart w:id="14" w:name="_Toc236559502"/>
      <w:bookmarkStart w:id="15" w:name="_Toc323642262"/>
      <w:bookmarkStart w:id="16" w:name="_Toc327877819"/>
      <w:bookmarkStart w:id="17" w:name="_Toc365900554"/>
      <w:r>
        <w:lastRenderedPageBreak/>
        <w:t>Executive summary</w:t>
      </w:r>
      <w:bookmarkEnd w:id="11"/>
      <w:bookmarkEnd w:id="12"/>
      <w:bookmarkEnd w:id="13"/>
      <w:bookmarkEnd w:id="14"/>
      <w:bookmarkEnd w:id="15"/>
      <w:bookmarkEnd w:id="16"/>
      <w:bookmarkEnd w:id="17"/>
    </w:p>
    <w:p w:rsidR="00786914" w:rsidRDefault="00786914" w:rsidP="0006743B">
      <w:pPr>
        <w:pStyle w:val="Heading2"/>
      </w:pPr>
      <w:bookmarkStart w:id="18" w:name="_Toc236559505"/>
      <w:bookmarkStart w:id="19" w:name="_Toc323642263"/>
      <w:bookmarkStart w:id="20" w:name="_Toc327877820"/>
      <w:bookmarkStart w:id="21" w:name="_Toc365900555"/>
      <w:r>
        <w:t xml:space="preserve">Assessment of </w:t>
      </w:r>
      <w:bookmarkEnd w:id="18"/>
      <w:r>
        <w:t>holmium:YAG laser enucleation of the prostate</w:t>
      </w:r>
      <w:bookmarkEnd w:id="19"/>
      <w:bookmarkEnd w:id="20"/>
      <w:bookmarkEnd w:id="21"/>
    </w:p>
    <w:p w:rsidR="00786914" w:rsidRPr="00601D32" w:rsidRDefault="00786914" w:rsidP="0006743B">
      <w:pPr>
        <w:pStyle w:val="Normalbold"/>
      </w:pPr>
      <w:bookmarkStart w:id="22" w:name="_Toc327877821"/>
      <w:r w:rsidRPr="00601D32">
        <w:t>Purpose of application</w:t>
      </w:r>
      <w:bookmarkEnd w:id="22"/>
    </w:p>
    <w:p w:rsidR="00786914" w:rsidRPr="004E1EFC" w:rsidRDefault="00786914" w:rsidP="0006743B">
      <w:r w:rsidRPr="004E1EFC">
        <w:t>An application requesting Medical Benefits Sche</w:t>
      </w:r>
      <w:r w:rsidR="00FC585C">
        <w:t>dule</w:t>
      </w:r>
      <w:r w:rsidRPr="004E1EFC">
        <w:t xml:space="preserve"> (MBS) listing of </w:t>
      </w:r>
      <w:r>
        <w:t>h</w:t>
      </w:r>
      <w:r w:rsidRPr="004E1EFC">
        <w:t>olmium:YAG</w:t>
      </w:r>
      <w:r>
        <w:t xml:space="preserve"> l</w:t>
      </w:r>
      <w:r w:rsidRPr="004E1EFC">
        <w:t xml:space="preserve">aser </w:t>
      </w:r>
      <w:r>
        <w:t>e</w:t>
      </w:r>
      <w:r w:rsidRPr="004E1EFC">
        <w:t xml:space="preserve">nucleation of the </w:t>
      </w:r>
      <w:r>
        <w:t>p</w:t>
      </w:r>
      <w:r w:rsidRPr="004E1EFC">
        <w:t xml:space="preserve">rostate (HoLEP) with or without tissue morcellation for the treatment of </w:t>
      </w:r>
      <w:r>
        <w:t>b</w:t>
      </w:r>
      <w:r w:rsidRPr="004E1EFC">
        <w:t xml:space="preserve">enign </w:t>
      </w:r>
      <w:r>
        <w:t>p</w:t>
      </w:r>
      <w:r w:rsidRPr="004E1EFC">
        <w:t xml:space="preserve">rostatic </w:t>
      </w:r>
      <w:r>
        <w:t>h</w:t>
      </w:r>
      <w:r w:rsidRPr="004E1EFC">
        <w:t>yperplasia (BPH) was received from MD Solutions Pty Ltd by the Department of Health and Ageing in May 2010.</w:t>
      </w:r>
    </w:p>
    <w:p w:rsidR="00786914" w:rsidRPr="004E1EFC" w:rsidRDefault="00786914" w:rsidP="0006743B">
      <w:r w:rsidRPr="004E1EFC">
        <w:t xml:space="preserve">A team from </w:t>
      </w:r>
      <w:r>
        <w:t>the National Health and Medical Research Council (</w:t>
      </w:r>
      <w:r w:rsidRPr="004E1EFC">
        <w:t>NHMRC</w:t>
      </w:r>
      <w:r>
        <w:t>)</w:t>
      </w:r>
      <w:r w:rsidRPr="004E1EFC">
        <w:t xml:space="preserve"> Clinical Trials Centre, University of Sydney was </w:t>
      </w:r>
      <w:r w:rsidR="00766F46">
        <w:t>contracted</w:t>
      </w:r>
      <w:r w:rsidR="00766F46" w:rsidRPr="004E1EFC">
        <w:t xml:space="preserve"> </w:t>
      </w:r>
      <w:r w:rsidRPr="004E1EFC">
        <w:t>to conduct a systematic review of the literature and an economic evaluation of the procedure in the treatment of BPH</w:t>
      </w:r>
      <w:r w:rsidR="00766F46">
        <w:t xml:space="preserve"> for MSAC consideration</w:t>
      </w:r>
      <w:r w:rsidRPr="004E1EFC">
        <w:t xml:space="preserve">. A </w:t>
      </w:r>
      <w:r>
        <w:t>d</w:t>
      </w:r>
      <w:r w:rsidRPr="004E1EFC">
        <w:t xml:space="preserve">ecision </w:t>
      </w:r>
      <w:r>
        <w:t>a</w:t>
      </w:r>
      <w:r w:rsidRPr="004E1EFC">
        <w:t xml:space="preserve">nalytic </w:t>
      </w:r>
      <w:r>
        <w:t>p</w:t>
      </w:r>
      <w:r w:rsidRPr="004E1EFC">
        <w:t>rotocol (DAP) was developed prior to the commencement of the assessment, and was approved by the Protocol Advisory Sub-Committee</w:t>
      </w:r>
      <w:r>
        <w:t xml:space="preserve"> (PASC)</w:t>
      </w:r>
      <w:r w:rsidRPr="004E1EFC">
        <w:t xml:space="preserve"> of MSAC. The purpose of DAPs is to describe in detail a limited set of decision option(s) associated with the possible public funding of proposed new medical technologies and procedures. DAPs also accurately capture the current clinical practice and reflect the likely future practice with the proposed new medical technologies and procedures, and provide a description of all potentially impacted healthcare resources. The guiding framework of the DAP was used throughout this assessment. </w:t>
      </w:r>
    </w:p>
    <w:p w:rsidR="00786914" w:rsidRDefault="00786914" w:rsidP="0006743B">
      <w:pPr>
        <w:pStyle w:val="Normalbold"/>
      </w:pPr>
      <w:bookmarkStart w:id="23" w:name="_Toc327877822"/>
      <w:r w:rsidRPr="00DE6F5C">
        <w:t>Description of the proposed intervention</w:t>
      </w:r>
      <w:bookmarkEnd w:id="23"/>
    </w:p>
    <w:p w:rsidR="00786914" w:rsidRPr="004E1EFC" w:rsidRDefault="00786914" w:rsidP="0006743B">
      <w:pPr>
        <w:rPr>
          <w:rFonts w:cs="Arial"/>
          <w:lang w:bidi="en-US"/>
        </w:rPr>
      </w:pPr>
      <w:r w:rsidRPr="004E1EFC">
        <w:rPr>
          <w:rFonts w:cs="Arial"/>
          <w:lang w:bidi="en-US"/>
        </w:rPr>
        <w:t xml:space="preserve">HoLEP is a </w:t>
      </w:r>
      <w:r>
        <w:rPr>
          <w:rFonts w:cs="Arial"/>
          <w:lang w:bidi="en-US"/>
        </w:rPr>
        <w:t>relatively new</w:t>
      </w:r>
      <w:r w:rsidRPr="004E1EFC">
        <w:rPr>
          <w:rFonts w:cs="Arial"/>
          <w:lang w:bidi="en-US"/>
        </w:rPr>
        <w:t xml:space="preserve"> surgical treatment option for men with BPH in whom surgery is indicated. Light from </w:t>
      </w:r>
      <w:r>
        <w:rPr>
          <w:rFonts w:cs="Arial"/>
          <w:lang w:bidi="en-US"/>
        </w:rPr>
        <w:t>h</w:t>
      </w:r>
      <w:r w:rsidRPr="004E1EFC">
        <w:rPr>
          <w:rFonts w:cs="Arial"/>
          <w:lang w:bidi="en-US"/>
        </w:rPr>
        <w:t xml:space="preserve">olmium:YAG lasers </w:t>
      </w:r>
      <w:r>
        <w:rPr>
          <w:rFonts w:cs="Arial"/>
          <w:lang w:bidi="en-US"/>
        </w:rPr>
        <w:t>–</w:t>
      </w:r>
      <w:r w:rsidRPr="004E1EFC">
        <w:rPr>
          <w:rFonts w:cs="Arial"/>
          <w:lang w:bidi="en-US"/>
        </w:rPr>
        <w:t xml:space="preserve"> which contain a crystal of </w:t>
      </w:r>
      <w:r>
        <w:rPr>
          <w:rFonts w:cs="Arial"/>
          <w:lang w:bidi="en-US"/>
        </w:rPr>
        <w:t>y</w:t>
      </w:r>
      <w:r w:rsidRPr="004E1EFC">
        <w:rPr>
          <w:rFonts w:cs="Arial"/>
          <w:lang w:bidi="en-US"/>
        </w:rPr>
        <w:t xml:space="preserve">ttrium, </w:t>
      </w:r>
      <w:r>
        <w:rPr>
          <w:rFonts w:cs="Arial"/>
          <w:lang w:bidi="en-US"/>
        </w:rPr>
        <w:t>a</w:t>
      </w:r>
      <w:r w:rsidRPr="004E1EFC">
        <w:rPr>
          <w:rFonts w:cs="Arial"/>
          <w:lang w:bidi="en-US"/>
        </w:rPr>
        <w:t xml:space="preserve">luminium and </w:t>
      </w:r>
      <w:r>
        <w:rPr>
          <w:rFonts w:cs="Arial"/>
          <w:lang w:bidi="en-US"/>
        </w:rPr>
        <w:t>g</w:t>
      </w:r>
      <w:r w:rsidRPr="004E1EFC">
        <w:rPr>
          <w:rFonts w:cs="Arial"/>
          <w:lang w:bidi="en-US"/>
        </w:rPr>
        <w:t xml:space="preserve">arnet (YAG), doped with holmium </w:t>
      </w:r>
      <w:r>
        <w:rPr>
          <w:rFonts w:cs="Arial"/>
          <w:lang w:bidi="en-US"/>
        </w:rPr>
        <w:t>–</w:t>
      </w:r>
      <w:r w:rsidRPr="004E1EFC">
        <w:rPr>
          <w:rFonts w:cs="Arial"/>
          <w:lang w:bidi="en-US"/>
        </w:rPr>
        <w:t xml:space="preserve"> has a defined wavelength which can be used to produce unique effects on targeted tissue. In this instance, these lasers serve as a precise cutting instrument for the dissection of prostatic lobes into a number of sections. Dissected lobes are then pushed into the bladder, where they are cut into smaller pieces and removed</w:t>
      </w:r>
      <w:r>
        <w:rPr>
          <w:rFonts w:cs="Arial"/>
          <w:lang w:bidi="en-US"/>
        </w:rPr>
        <w:t>– often using a morcellator.</w:t>
      </w:r>
    </w:p>
    <w:p w:rsidR="00786914" w:rsidRPr="004E1EFC" w:rsidRDefault="00786914" w:rsidP="0006743B">
      <w:pPr>
        <w:rPr>
          <w:rFonts w:cs="Arial"/>
          <w:lang w:bidi="en-US"/>
        </w:rPr>
      </w:pPr>
      <w:r>
        <w:rPr>
          <w:rFonts w:cs="Arial"/>
          <w:lang w:bidi="en-US"/>
        </w:rPr>
        <w:t xml:space="preserve">This </w:t>
      </w:r>
      <w:r w:rsidRPr="004E1EFC">
        <w:rPr>
          <w:rFonts w:cs="Arial"/>
          <w:lang w:bidi="en-US"/>
        </w:rPr>
        <w:t>treatment is</w:t>
      </w:r>
      <w:r>
        <w:rPr>
          <w:rFonts w:cs="Arial"/>
          <w:lang w:bidi="en-US"/>
        </w:rPr>
        <w:t xml:space="preserve"> </w:t>
      </w:r>
      <w:r w:rsidRPr="004E1EFC">
        <w:rPr>
          <w:rFonts w:cs="Arial"/>
          <w:lang w:bidi="en-US"/>
        </w:rPr>
        <w:t xml:space="preserve">not currently in widespread use in Australia. It is known however that the procedure is available in some private hospitals through patient self-pay arrangements. It has been claimed that this new procedure, if more widely available, may confer some advantages over existing surgical options for men with BPH. </w:t>
      </w:r>
      <w:r>
        <w:rPr>
          <w:rFonts w:cs="Arial"/>
          <w:lang w:bidi="en-US"/>
        </w:rPr>
        <w:t>I</w:t>
      </w:r>
      <w:r w:rsidRPr="004E1EFC">
        <w:rPr>
          <w:rFonts w:cs="Arial"/>
          <w:lang w:bidi="en-US"/>
        </w:rPr>
        <w:t>t is claimed it may reduce the number of post-operative complications and reduce the risk of bleeding</w:t>
      </w:r>
      <w:r>
        <w:rPr>
          <w:rFonts w:cs="Arial"/>
          <w:lang w:bidi="en-US"/>
        </w:rPr>
        <w:t xml:space="preserve"> i</w:t>
      </w:r>
      <w:r w:rsidRPr="004E1EFC">
        <w:rPr>
          <w:rFonts w:cs="Arial"/>
          <w:lang w:bidi="en-US"/>
        </w:rPr>
        <w:t>n some men</w:t>
      </w:r>
      <w:r>
        <w:rPr>
          <w:rFonts w:cs="Arial"/>
          <w:lang w:bidi="en-US"/>
        </w:rPr>
        <w:t xml:space="preserve"> </w:t>
      </w:r>
      <w:r w:rsidRPr="00681B6C">
        <w:rPr>
          <w:rFonts w:cs="Arial"/>
          <w:noProof/>
          <w:lang w:bidi="en-US"/>
        </w:rPr>
        <w:t>(Tooher 2003)</w:t>
      </w:r>
      <w:r w:rsidRPr="00681B6C">
        <w:rPr>
          <w:rFonts w:cs="Arial"/>
          <w:lang w:bidi="en-US"/>
        </w:rPr>
        <w:t>. This</w:t>
      </w:r>
      <w:r w:rsidRPr="004E1EFC">
        <w:rPr>
          <w:rFonts w:cs="Arial"/>
          <w:lang w:bidi="en-US"/>
        </w:rPr>
        <w:t xml:space="preserve"> would make it a more suitable alternative</w:t>
      </w:r>
      <w:r>
        <w:rPr>
          <w:rFonts w:cs="Arial"/>
          <w:lang w:bidi="en-US"/>
        </w:rPr>
        <w:t xml:space="preserve"> for</w:t>
      </w:r>
      <w:r w:rsidRPr="004E1EFC">
        <w:rPr>
          <w:rFonts w:cs="Arial"/>
          <w:lang w:bidi="en-US"/>
        </w:rPr>
        <w:t xml:space="preserve"> those men with cardiovascular disease or those who are elderly and infirm. Moreover, it is claimed that this procedure could in some instances be performed as day surgery</w:t>
      </w:r>
      <w:r>
        <w:rPr>
          <w:rFonts w:cs="Arial"/>
          <w:lang w:bidi="en-US"/>
        </w:rPr>
        <w:t xml:space="preserve"> </w:t>
      </w:r>
      <w:r>
        <w:rPr>
          <w:rFonts w:cs="Arial"/>
          <w:noProof/>
          <w:lang w:bidi="en-US"/>
        </w:rPr>
        <w:t>(Larner et al 2003)</w:t>
      </w:r>
      <w:r>
        <w:rPr>
          <w:rFonts w:cs="Arial"/>
          <w:lang w:bidi="en-US"/>
        </w:rPr>
        <w:t>.</w:t>
      </w:r>
    </w:p>
    <w:p w:rsidR="00786914" w:rsidRDefault="00786914" w:rsidP="0006743B">
      <w:pPr>
        <w:pStyle w:val="Normalbold"/>
      </w:pPr>
      <w:bookmarkStart w:id="24" w:name="_Toc327877823"/>
      <w:r w:rsidRPr="000B0436">
        <w:t xml:space="preserve">Benign </w:t>
      </w:r>
      <w:r>
        <w:t>p</w:t>
      </w:r>
      <w:r w:rsidRPr="000B0436">
        <w:t xml:space="preserve">rostatic </w:t>
      </w:r>
      <w:r>
        <w:t>h</w:t>
      </w:r>
      <w:r w:rsidRPr="000B0436">
        <w:t>yperplasia (BPH)</w:t>
      </w:r>
      <w:bookmarkEnd w:id="24"/>
    </w:p>
    <w:p w:rsidR="00786914" w:rsidRPr="004E1EFC" w:rsidRDefault="00786914" w:rsidP="0006743B">
      <w:pPr>
        <w:rPr>
          <w:rFonts w:cs="Arial"/>
          <w:szCs w:val="24"/>
        </w:rPr>
      </w:pPr>
      <w:r w:rsidRPr="004E1EFC">
        <w:rPr>
          <w:rFonts w:cs="Arial"/>
          <w:szCs w:val="24"/>
        </w:rPr>
        <w:t>BPH is a non-malignant overgrowth of the prostate gland. BPH can arise as a result of physiological dysfunction or anatomical obstruction of the urinary tract (or a combination of these), and typically involves three factors:</w:t>
      </w:r>
    </w:p>
    <w:p w:rsidR="00786914" w:rsidRPr="00F57D49" w:rsidRDefault="00786914" w:rsidP="0006743B">
      <w:pPr>
        <w:pStyle w:val="Bullet"/>
      </w:pPr>
      <w:r>
        <w:lastRenderedPageBreak/>
        <w:t>A</w:t>
      </w:r>
      <w:r w:rsidRPr="00F57D49">
        <w:t xml:space="preserve"> histological change of hyperplasia within the gland</w:t>
      </w:r>
    </w:p>
    <w:p w:rsidR="00786914" w:rsidRPr="00F57D49" w:rsidRDefault="00786914" w:rsidP="0006743B">
      <w:pPr>
        <w:pStyle w:val="Bullet"/>
      </w:pPr>
      <w:r>
        <w:t>C</w:t>
      </w:r>
      <w:r w:rsidRPr="00F57D49">
        <w:t>linically determined enlargement of the prostate gland</w:t>
      </w:r>
    </w:p>
    <w:p w:rsidR="00786914" w:rsidRPr="00F57D49" w:rsidRDefault="00786914" w:rsidP="0006743B">
      <w:pPr>
        <w:pStyle w:val="Bullet"/>
      </w:pPr>
      <w:r>
        <w:t>T</w:t>
      </w:r>
      <w:r w:rsidRPr="00F57D49">
        <w:t>he clinical syndrome of lower urinary tract symptoms (LUTS).</w:t>
      </w:r>
    </w:p>
    <w:p w:rsidR="00786914" w:rsidRPr="004E1EFC" w:rsidRDefault="00786914" w:rsidP="0006743B">
      <w:pPr>
        <w:rPr>
          <w:rFonts w:cs="Arial"/>
          <w:szCs w:val="24"/>
        </w:rPr>
      </w:pPr>
      <w:r w:rsidRPr="004E1EFC">
        <w:rPr>
          <w:rFonts w:cs="Arial"/>
          <w:szCs w:val="24"/>
        </w:rPr>
        <w:t>Clinical BPH is very common in the ageing man and is most often associated with various LUTS which can cause urinary obstruction or irritation. Moderate to severe symptoms are recognised as significantly impacting on quality of life. The first-line management for men with BPH includes a variety of pharmaceuticals, including a</w:t>
      </w:r>
      <w:r>
        <w:rPr>
          <w:rFonts w:cs="Arial"/>
          <w:szCs w:val="24"/>
        </w:rPr>
        <w:t>l</w:t>
      </w:r>
      <w:r w:rsidRPr="004E1EFC">
        <w:rPr>
          <w:rFonts w:cs="Arial"/>
          <w:szCs w:val="24"/>
        </w:rPr>
        <w:t>pha receptor blockers, 5-alpha reductase inhibitors and anti-cholinergic drugs. These pharmaceuticals however have both high failure and high discontinuation rates (the latter due to side</w:t>
      </w:r>
      <w:r>
        <w:rPr>
          <w:rFonts w:cs="Arial"/>
          <w:szCs w:val="24"/>
        </w:rPr>
        <w:t xml:space="preserve"> </w:t>
      </w:r>
      <w:r w:rsidRPr="004E1EFC">
        <w:rPr>
          <w:rFonts w:cs="Arial"/>
          <w:szCs w:val="24"/>
        </w:rPr>
        <w:t>effects), and the BPH symptoms in the majority of men will progress. Many of these men will eventually undergo second-line surgical treatments. In addition, some men may not opt for initial medical management.</w:t>
      </w:r>
    </w:p>
    <w:p w:rsidR="00786914" w:rsidRPr="004E1EFC" w:rsidRDefault="00786914" w:rsidP="0006743B">
      <w:pPr>
        <w:rPr>
          <w:rFonts w:cs="Arial"/>
          <w:szCs w:val="24"/>
        </w:rPr>
      </w:pPr>
      <w:r w:rsidRPr="004E1EFC">
        <w:rPr>
          <w:rFonts w:cs="Arial"/>
          <w:szCs w:val="24"/>
        </w:rPr>
        <w:t>Transurethral resection of the prostate (TURP), MBS item n</w:t>
      </w:r>
      <w:r>
        <w:rPr>
          <w:rFonts w:cs="Arial"/>
          <w:szCs w:val="24"/>
        </w:rPr>
        <w:t>umber</w:t>
      </w:r>
      <w:r w:rsidRPr="004E1EFC">
        <w:rPr>
          <w:rFonts w:cs="Arial"/>
          <w:szCs w:val="24"/>
        </w:rPr>
        <w:t xml:space="preserve"> 37203, is considered the gold standard for the treatment of bladder obstruction for men with moderate prostate sizes estimated to be smaller than 80</w:t>
      </w:r>
      <w:r>
        <w:rPr>
          <w:rFonts w:cs="Arial"/>
          <w:szCs w:val="24"/>
        </w:rPr>
        <w:t>–</w:t>
      </w:r>
      <w:r w:rsidRPr="004E1EFC">
        <w:rPr>
          <w:rFonts w:cs="Arial"/>
          <w:szCs w:val="24"/>
        </w:rPr>
        <w:t>100g. Open prostatectomy, MBS item n</w:t>
      </w:r>
      <w:r>
        <w:rPr>
          <w:rFonts w:cs="Arial"/>
          <w:szCs w:val="24"/>
        </w:rPr>
        <w:t>umber</w:t>
      </w:r>
      <w:r w:rsidRPr="004E1EFC">
        <w:rPr>
          <w:rFonts w:cs="Arial"/>
          <w:szCs w:val="24"/>
        </w:rPr>
        <w:t xml:space="preserve"> 37200 (or two-stage TURP)</w:t>
      </w:r>
      <w:r>
        <w:rPr>
          <w:rFonts w:cs="Arial"/>
          <w:szCs w:val="24"/>
        </w:rPr>
        <w:t>,</w:t>
      </w:r>
      <w:r w:rsidRPr="004E1EFC">
        <w:rPr>
          <w:rFonts w:cs="Arial"/>
          <w:szCs w:val="24"/>
        </w:rPr>
        <w:t xml:space="preserve"> is considered the gold standard in men with larger prostates estimated at greater than 80</w:t>
      </w:r>
      <w:r>
        <w:rPr>
          <w:rFonts w:cs="Arial"/>
          <w:szCs w:val="24"/>
        </w:rPr>
        <w:t>–</w:t>
      </w:r>
      <w:r w:rsidRPr="004E1EFC">
        <w:rPr>
          <w:rFonts w:cs="Arial"/>
          <w:szCs w:val="24"/>
        </w:rPr>
        <w:t xml:space="preserve">100g. </w:t>
      </w:r>
    </w:p>
    <w:p w:rsidR="00786914" w:rsidRPr="004E1EFC" w:rsidRDefault="00786914" w:rsidP="0006743B">
      <w:pPr>
        <w:rPr>
          <w:rFonts w:cs="Arial"/>
          <w:szCs w:val="24"/>
        </w:rPr>
      </w:pPr>
      <w:r w:rsidRPr="004E1EFC">
        <w:rPr>
          <w:rFonts w:cs="Arial"/>
          <w:szCs w:val="24"/>
        </w:rPr>
        <w:t>HoLEP is proposed as an alternative procedure to TURP for men with moderately sized prostates (estimated to be less than 80</w:t>
      </w:r>
      <w:r>
        <w:rPr>
          <w:rFonts w:cs="Arial"/>
          <w:szCs w:val="24"/>
        </w:rPr>
        <w:t>–</w:t>
      </w:r>
      <w:r w:rsidRPr="004E1EFC">
        <w:rPr>
          <w:rFonts w:cs="Arial"/>
          <w:szCs w:val="24"/>
        </w:rPr>
        <w:t>100g). HoLEP is further proposed as an alternative to open prostatectomy in men with larger prostates (estimated to be more than 80</w:t>
      </w:r>
      <w:r>
        <w:rPr>
          <w:rFonts w:cs="Arial"/>
          <w:szCs w:val="24"/>
        </w:rPr>
        <w:t>–</w:t>
      </w:r>
      <w:r w:rsidRPr="004E1EFC">
        <w:rPr>
          <w:rFonts w:cs="Arial"/>
          <w:szCs w:val="24"/>
        </w:rPr>
        <w:t xml:space="preserve">100g). In centres where it </w:t>
      </w:r>
      <w:r>
        <w:rPr>
          <w:rFonts w:cs="Arial"/>
          <w:szCs w:val="24"/>
        </w:rPr>
        <w:t>is</w:t>
      </w:r>
      <w:r w:rsidRPr="004E1EFC">
        <w:rPr>
          <w:rFonts w:cs="Arial"/>
          <w:szCs w:val="24"/>
        </w:rPr>
        <w:t xml:space="preserve"> available it would be expected to replace the alternative procedures listed above which have more recently been approved by MSAC.</w:t>
      </w:r>
    </w:p>
    <w:p w:rsidR="00786914" w:rsidRPr="004E1EFC" w:rsidRDefault="00786914" w:rsidP="0006743B">
      <w:pPr>
        <w:rPr>
          <w:rFonts w:cs="Arial"/>
          <w:szCs w:val="24"/>
        </w:rPr>
      </w:pPr>
      <w:r w:rsidRPr="004E1EFC">
        <w:rPr>
          <w:rFonts w:cs="Arial"/>
          <w:szCs w:val="24"/>
        </w:rPr>
        <w:t xml:space="preserve">There were 12,673 MBS claims for TURP procedures </w:t>
      </w:r>
      <w:r>
        <w:rPr>
          <w:rFonts w:cs="Arial"/>
          <w:szCs w:val="24"/>
        </w:rPr>
        <w:t>i</w:t>
      </w:r>
      <w:r w:rsidRPr="004E1EFC">
        <w:rPr>
          <w:rFonts w:cs="Arial"/>
          <w:szCs w:val="24"/>
        </w:rPr>
        <w:t>n the year 2010</w:t>
      </w:r>
      <w:r>
        <w:rPr>
          <w:rFonts w:cs="Arial"/>
          <w:szCs w:val="24"/>
        </w:rPr>
        <w:t>–</w:t>
      </w:r>
      <w:r w:rsidRPr="004E1EFC">
        <w:rPr>
          <w:rFonts w:cs="Arial"/>
          <w:szCs w:val="24"/>
        </w:rPr>
        <w:t xml:space="preserve">2011. A much smaller number of claims during the same time period </w:t>
      </w:r>
      <w:r>
        <w:rPr>
          <w:rFonts w:cs="Arial"/>
          <w:szCs w:val="24"/>
        </w:rPr>
        <w:t xml:space="preserve">were recorded </w:t>
      </w:r>
      <w:r w:rsidRPr="004E1EFC">
        <w:rPr>
          <w:rFonts w:cs="Arial"/>
          <w:szCs w:val="24"/>
        </w:rPr>
        <w:t xml:space="preserve">for open prostatectomy </w:t>
      </w:r>
      <w:r>
        <w:rPr>
          <w:rFonts w:cs="Arial"/>
          <w:szCs w:val="24"/>
        </w:rPr>
        <w:t xml:space="preserve">(OP) </w:t>
      </w:r>
      <w:r w:rsidRPr="004E1EFC">
        <w:rPr>
          <w:rFonts w:cs="Arial"/>
          <w:szCs w:val="24"/>
        </w:rPr>
        <w:t xml:space="preserve">(141), </w:t>
      </w:r>
      <w:r>
        <w:rPr>
          <w:rFonts w:cs="Arial"/>
          <w:szCs w:val="24"/>
        </w:rPr>
        <w:t>transu</w:t>
      </w:r>
      <w:r w:rsidRPr="004E1EFC">
        <w:rPr>
          <w:rFonts w:cs="Arial"/>
          <w:szCs w:val="24"/>
        </w:rPr>
        <w:t xml:space="preserve">rethral </w:t>
      </w:r>
      <w:r>
        <w:rPr>
          <w:rFonts w:cs="Arial"/>
          <w:szCs w:val="24"/>
        </w:rPr>
        <w:t>n</w:t>
      </w:r>
      <w:r w:rsidRPr="004E1EFC">
        <w:rPr>
          <w:rFonts w:cs="Arial"/>
          <w:szCs w:val="24"/>
        </w:rPr>
        <w:t xml:space="preserve">eedle </w:t>
      </w:r>
      <w:r>
        <w:rPr>
          <w:rFonts w:cs="Arial"/>
          <w:szCs w:val="24"/>
        </w:rPr>
        <w:t>a</w:t>
      </w:r>
      <w:r w:rsidRPr="004E1EFC">
        <w:rPr>
          <w:rFonts w:cs="Arial"/>
          <w:szCs w:val="24"/>
        </w:rPr>
        <w:t xml:space="preserve">blation </w:t>
      </w:r>
      <w:r>
        <w:rPr>
          <w:rFonts w:cs="Arial"/>
          <w:szCs w:val="24"/>
        </w:rPr>
        <w:t>(</w:t>
      </w:r>
      <w:r w:rsidRPr="004E1EFC">
        <w:rPr>
          <w:rFonts w:cs="Arial"/>
          <w:szCs w:val="24"/>
        </w:rPr>
        <w:t>TUNA</w:t>
      </w:r>
      <w:r>
        <w:rPr>
          <w:rFonts w:cs="Arial"/>
          <w:szCs w:val="24"/>
        </w:rPr>
        <w:t>)</w:t>
      </w:r>
      <w:r w:rsidRPr="004E1EFC">
        <w:rPr>
          <w:rFonts w:cs="Arial"/>
          <w:szCs w:val="24"/>
        </w:rPr>
        <w:t xml:space="preserve"> (4), </w:t>
      </w:r>
      <w:r>
        <w:rPr>
          <w:rFonts w:cs="Arial"/>
          <w:szCs w:val="24"/>
        </w:rPr>
        <w:t>transurethral m</w:t>
      </w:r>
      <w:r w:rsidRPr="004E1EFC">
        <w:rPr>
          <w:rFonts w:cs="Arial"/>
          <w:szCs w:val="24"/>
        </w:rPr>
        <w:t xml:space="preserve">icrowave </w:t>
      </w:r>
      <w:r>
        <w:rPr>
          <w:rFonts w:cs="Arial"/>
          <w:szCs w:val="24"/>
        </w:rPr>
        <w:t>t</w:t>
      </w:r>
      <w:r w:rsidRPr="004E1EFC">
        <w:rPr>
          <w:rFonts w:cs="Arial"/>
          <w:szCs w:val="24"/>
        </w:rPr>
        <w:t xml:space="preserve">herapy </w:t>
      </w:r>
      <w:r>
        <w:rPr>
          <w:rFonts w:cs="Arial"/>
          <w:szCs w:val="24"/>
        </w:rPr>
        <w:t>(</w:t>
      </w:r>
      <w:r w:rsidRPr="004E1EFC">
        <w:rPr>
          <w:rFonts w:cs="Arial"/>
          <w:szCs w:val="24"/>
        </w:rPr>
        <w:t>TUMT</w:t>
      </w:r>
      <w:r>
        <w:rPr>
          <w:rFonts w:cs="Arial"/>
          <w:szCs w:val="24"/>
        </w:rPr>
        <w:t>)</w:t>
      </w:r>
      <w:r w:rsidRPr="004E1EFC">
        <w:rPr>
          <w:rFonts w:cs="Arial"/>
          <w:szCs w:val="24"/>
        </w:rPr>
        <w:t xml:space="preserve"> (43) and </w:t>
      </w:r>
      <w:r>
        <w:rPr>
          <w:rFonts w:cs="Arial"/>
          <w:szCs w:val="24"/>
        </w:rPr>
        <w:t>v</w:t>
      </w:r>
      <w:r w:rsidRPr="004E1EFC">
        <w:rPr>
          <w:rFonts w:cs="Arial"/>
          <w:szCs w:val="24"/>
        </w:rPr>
        <w:t xml:space="preserve">isual laser ablation of the prostate </w:t>
      </w:r>
      <w:r>
        <w:rPr>
          <w:rFonts w:cs="Arial"/>
          <w:szCs w:val="24"/>
        </w:rPr>
        <w:t>(</w:t>
      </w:r>
      <w:r w:rsidRPr="004E1EFC">
        <w:rPr>
          <w:rFonts w:cs="Arial"/>
          <w:szCs w:val="24"/>
        </w:rPr>
        <w:t>VLAP</w:t>
      </w:r>
      <w:r>
        <w:rPr>
          <w:rFonts w:cs="Arial"/>
          <w:szCs w:val="24"/>
        </w:rPr>
        <w:t>) (938).</w:t>
      </w:r>
    </w:p>
    <w:p w:rsidR="00786914" w:rsidRDefault="00786914" w:rsidP="0006743B">
      <w:pPr>
        <w:pStyle w:val="Normalbold"/>
      </w:pPr>
      <w:bookmarkStart w:id="25" w:name="_Toc327877824"/>
      <w:r>
        <w:t>Proposal for public funding</w:t>
      </w:r>
      <w:bookmarkEnd w:id="25"/>
    </w:p>
    <w:p w:rsidR="00786914" w:rsidRDefault="00786914" w:rsidP="0006743B">
      <w:pPr>
        <w:tabs>
          <w:tab w:val="left" w:pos="720"/>
          <w:tab w:val="left" w:pos="1140"/>
        </w:tabs>
        <w:spacing w:before="120" w:after="0"/>
        <w:rPr>
          <w:rFonts w:cs="Arial"/>
          <w:szCs w:val="24"/>
        </w:rPr>
      </w:pPr>
      <w:r w:rsidRPr="004E1EFC">
        <w:rPr>
          <w:rFonts w:cs="Arial"/>
          <w:szCs w:val="24"/>
        </w:rPr>
        <w:t xml:space="preserve">The proposed MBS item </w:t>
      </w:r>
      <w:r>
        <w:rPr>
          <w:rFonts w:cs="Arial"/>
          <w:szCs w:val="24"/>
        </w:rPr>
        <w:t xml:space="preserve">descriptor </w:t>
      </w:r>
      <w:r w:rsidRPr="004E1EFC">
        <w:rPr>
          <w:rFonts w:cs="Arial"/>
          <w:szCs w:val="24"/>
        </w:rPr>
        <w:t>for HoLEP</w:t>
      </w:r>
      <w:r>
        <w:rPr>
          <w:rFonts w:cs="Arial"/>
          <w:szCs w:val="24"/>
        </w:rPr>
        <w:t xml:space="preserve"> is:</w:t>
      </w:r>
    </w:p>
    <w:p w:rsidR="00786914" w:rsidRPr="004E1EFC" w:rsidRDefault="00786914" w:rsidP="0006743B">
      <w:pPr>
        <w:tabs>
          <w:tab w:val="left" w:pos="720"/>
          <w:tab w:val="left" w:pos="1140"/>
        </w:tabs>
        <w:spacing w:before="120" w:after="0"/>
        <w:rPr>
          <w:rFonts w:cs="Arial"/>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5"/>
      </w:tblGrid>
      <w:tr w:rsidR="00786914" w:rsidRPr="004E1EFC">
        <w:tc>
          <w:tcPr>
            <w:tcW w:w="8425" w:type="dxa"/>
          </w:tcPr>
          <w:p w:rsidR="00786914" w:rsidRPr="00F57D49" w:rsidRDefault="00786914" w:rsidP="0006743B">
            <w:pPr>
              <w:pStyle w:val="TableText"/>
            </w:pPr>
            <w:r w:rsidRPr="00F57D49">
              <w:t>Category 3 –THERAPEUTIC PROCEDURES</w:t>
            </w:r>
          </w:p>
        </w:tc>
      </w:tr>
      <w:tr w:rsidR="00786914" w:rsidRPr="004E1EFC">
        <w:tc>
          <w:tcPr>
            <w:tcW w:w="8425" w:type="dxa"/>
          </w:tcPr>
          <w:p w:rsidR="00786914" w:rsidRPr="00F57D49" w:rsidRDefault="00786914" w:rsidP="0006743B">
            <w:pPr>
              <w:pStyle w:val="TableText"/>
            </w:pPr>
            <w:r w:rsidRPr="00F57D49">
              <w:t>MBS [item number]</w:t>
            </w:r>
          </w:p>
          <w:p w:rsidR="00786914" w:rsidRPr="00F57D49" w:rsidRDefault="00786914" w:rsidP="0006743B">
            <w:pPr>
              <w:pStyle w:val="TableText"/>
            </w:pPr>
          </w:p>
          <w:p w:rsidR="00786914" w:rsidRPr="00F57D49" w:rsidRDefault="00786914" w:rsidP="0006743B">
            <w:pPr>
              <w:pStyle w:val="TableText"/>
            </w:pPr>
            <w:r w:rsidRPr="00F57D49">
              <w:t>Endoscopic enucleation of the prostate using high powered (&gt;= 100W) laser and an end-firing, non-contact fibre with or without tissue morcellation (Anaes)</w:t>
            </w:r>
          </w:p>
          <w:p w:rsidR="00786914" w:rsidRPr="00F57D49" w:rsidRDefault="00786914" w:rsidP="0006743B">
            <w:pPr>
              <w:pStyle w:val="TableText"/>
            </w:pPr>
          </w:p>
        </w:tc>
      </w:tr>
      <w:tr w:rsidR="00786914" w:rsidRPr="004E1EFC">
        <w:tc>
          <w:tcPr>
            <w:tcW w:w="8425" w:type="dxa"/>
          </w:tcPr>
          <w:p w:rsidR="00786914" w:rsidRPr="00F57D49" w:rsidRDefault="00786914" w:rsidP="0006743B">
            <w:pPr>
              <w:pStyle w:val="TableText"/>
            </w:pPr>
            <w:r w:rsidRPr="00F57D49">
              <w:t>Fee: $1423.18</w:t>
            </w:r>
          </w:p>
        </w:tc>
      </w:tr>
    </w:tbl>
    <w:p w:rsidR="00786914" w:rsidRDefault="00786914" w:rsidP="0006743B">
      <w:pPr>
        <w:rPr>
          <w:rFonts w:cs="Arial"/>
          <w:szCs w:val="24"/>
        </w:rPr>
      </w:pPr>
    </w:p>
    <w:p w:rsidR="00FF41C8" w:rsidRDefault="00F32F76" w:rsidP="0006743B">
      <w:r>
        <w:t>The item descriptor included in the final DAP proposed that HoLEP would be employed with tissue morcellation, that is ‘</w:t>
      </w:r>
      <w:r w:rsidRPr="00AD4954">
        <w:t>Endoscopic enucleation of the prostate using high powered (&gt;= 100W) laser and an end-firing, non-contact fibre with tissue morcellation (Anaes)</w:t>
      </w:r>
      <w:r>
        <w:t>’.</w:t>
      </w:r>
      <w:r w:rsidRPr="00AD4954">
        <w:t xml:space="preserve"> It was noted by </w:t>
      </w:r>
      <w:r>
        <w:t xml:space="preserve">the Protocol </w:t>
      </w:r>
      <w:r w:rsidRPr="00AD4954">
        <w:t>A</w:t>
      </w:r>
      <w:r>
        <w:t xml:space="preserve">dvisory </w:t>
      </w:r>
      <w:r w:rsidRPr="00AD4954">
        <w:t>S</w:t>
      </w:r>
      <w:r>
        <w:t>ub-</w:t>
      </w:r>
      <w:r w:rsidRPr="00AD4954">
        <w:t>C</w:t>
      </w:r>
      <w:r>
        <w:t xml:space="preserve">ommittee (PASC) of </w:t>
      </w:r>
      <w:r>
        <w:lastRenderedPageBreak/>
        <w:t>MSAC</w:t>
      </w:r>
      <w:r w:rsidRPr="00AD4954">
        <w:t xml:space="preserve"> however that morcellation does not occur in every case, and this could lead to compliance issues if the prescriptive wording </w:t>
      </w:r>
      <w:r>
        <w:t>‘</w:t>
      </w:r>
      <w:r w:rsidRPr="00AD4954">
        <w:t>with tissue morcellation</w:t>
      </w:r>
      <w:r>
        <w:t>’</w:t>
      </w:r>
      <w:r w:rsidRPr="00AD4954">
        <w:t xml:space="preserve"> were retained. The alternate descriptor –</w:t>
      </w:r>
      <w:r>
        <w:t>‘with o</w:t>
      </w:r>
      <w:r w:rsidRPr="00AD4954">
        <w:t>r without tissue morcellation</w:t>
      </w:r>
      <w:r>
        <w:t>’</w:t>
      </w:r>
      <w:r w:rsidRPr="00AD4954">
        <w:t xml:space="preserve"> – is provided instead. </w:t>
      </w:r>
    </w:p>
    <w:p w:rsidR="00786914" w:rsidRPr="004E1EFC" w:rsidRDefault="00786914" w:rsidP="0006743B">
      <w:pPr>
        <w:rPr>
          <w:rFonts w:cs="Arial"/>
          <w:szCs w:val="24"/>
        </w:rPr>
      </w:pPr>
      <w:r w:rsidRPr="004E1EFC">
        <w:rPr>
          <w:rFonts w:cs="Arial"/>
          <w:szCs w:val="24"/>
        </w:rPr>
        <w:t>HoLEP is not expected to completely replace TURP or OP, but may be offered as an alternative to some men in those</w:t>
      </w:r>
      <w:r>
        <w:rPr>
          <w:rFonts w:cs="Arial"/>
          <w:szCs w:val="24"/>
        </w:rPr>
        <w:t xml:space="preserve"> centres where it is available.</w:t>
      </w:r>
    </w:p>
    <w:p w:rsidR="00786914" w:rsidRPr="004E1EFC" w:rsidRDefault="00786914" w:rsidP="0006743B">
      <w:r w:rsidRPr="004E1EFC">
        <w:t xml:space="preserve">There is a learning curve to develop skills in HoLEP which would require considerable investment from urologists in terms of both time and money. Due to the high level of specialisation and skills required, the procedure would be performed by urologists whose main focus of practice </w:t>
      </w:r>
      <w:r>
        <w:t>i</w:t>
      </w:r>
      <w:r w:rsidRPr="004E1EFC">
        <w:t>s treating prostate conditions and who had undertaken the appropriate training. HoLEP would therefore be undertaken in specialist urology centres by specially trained urologists.</w:t>
      </w:r>
    </w:p>
    <w:p w:rsidR="00786914" w:rsidRDefault="00786914" w:rsidP="0006743B">
      <w:pPr>
        <w:pStyle w:val="Normalbold"/>
      </w:pPr>
      <w:bookmarkStart w:id="26" w:name="_Toc327877825"/>
      <w:r>
        <w:t>Current arrangements for public reimbursement</w:t>
      </w:r>
      <w:bookmarkEnd w:id="26"/>
    </w:p>
    <w:p w:rsidR="00786914" w:rsidRPr="004E1EFC" w:rsidRDefault="00786914" w:rsidP="0006743B">
      <w:r w:rsidRPr="004E1EFC">
        <w:t xml:space="preserve">Other surgical interventions for BPH have been assessed by MSAC in the past. These include TUNA for </w:t>
      </w:r>
      <w:r>
        <w:t>b</w:t>
      </w:r>
      <w:r w:rsidRPr="004E1EFC">
        <w:t xml:space="preserve">enign </w:t>
      </w:r>
      <w:r>
        <w:t>p</w:t>
      </w:r>
      <w:r w:rsidRPr="004E1EFC">
        <w:t xml:space="preserve">rostatic </w:t>
      </w:r>
      <w:r>
        <w:t>h</w:t>
      </w:r>
      <w:r w:rsidRPr="004E1EFC">
        <w:t xml:space="preserve">yperplasia (MSAC report 1014, MBS item 37201) and </w:t>
      </w:r>
      <w:r>
        <w:t>h</w:t>
      </w:r>
      <w:r w:rsidRPr="004E1EFC">
        <w:t xml:space="preserve">igh-energy TUMT </w:t>
      </w:r>
      <w:r>
        <w:t>(</w:t>
      </w:r>
      <w:r w:rsidRPr="004E1EFC">
        <w:t xml:space="preserve">MBS 37230) for </w:t>
      </w:r>
      <w:r>
        <w:t>b</w:t>
      </w:r>
      <w:r w:rsidRPr="004E1EFC">
        <w:t xml:space="preserve">enign </w:t>
      </w:r>
      <w:r>
        <w:t>p</w:t>
      </w:r>
      <w:r w:rsidRPr="004E1EFC">
        <w:t xml:space="preserve">rostatic </w:t>
      </w:r>
      <w:r>
        <w:t>h</w:t>
      </w:r>
      <w:r w:rsidRPr="004E1EFC">
        <w:t>yperplasia (MSAC report 1076). VLAP</w:t>
      </w:r>
      <w:r>
        <w:t>(MBS item 37207</w:t>
      </w:r>
      <w:r w:rsidRPr="004E1EFC">
        <w:t>) has also been included on the MBS</w:t>
      </w:r>
      <w:r>
        <w:t xml:space="preserve"> since July 1995 (which pre-dates the MSAC).</w:t>
      </w:r>
    </w:p>
    <w:p w:rsidR="00786914" w:rsidRDefault="00786914" w:rsidP="0006743B">
      <w:pPr>
        <w:pStyle w:val="Normalbold"/>
      </w:pPr>
      <w:bookmarkStart w:id="27" w:name="_Toc327877826"/>
      <w:r>
        <w:t>Prerequisites to implementation of any funding advice</w:t>
      </w:r>
      <w:bookmarkEnd w:id="27"/>
    </w:p>
    <w:p w:rsidR="00786914" w:rsidRPr="004E1EFC" w:rsidRDefault="00786914" w:rsidP="0006743B">
      <w:pPr>
        <w:rPr>
          <w:rFonts w:cs="Arial"/>
          <w:szCs w:val="24"/>
        </w:rPr>
      </w:pPr>
      <w:r w:rsidRPr="004E1EFC">
        <w:rPr>
          <w:rFonts w:cs="Arial"/>
          <w:szCs w:val="24"/>
        </w:rPr>
        <w:t xml:space="preserve">Twelve </w:t>
      </w:r>
      <w:r>
        <w:rPr>
          <w:rFonts w:cs="Arial"/>
          <w:szCs w:val="24"/>
        </w:rPr>
        <w:t>h</w:t>
      </w:r>
      <w:r w:rsidRPr="004E1EFC">
        <w:rPr>
          <w:rFonts w:cs="Arial"/>
          <w:szCs w:val="24"/>
        </w:rPr>
        <w:t>olmium:YAG lasers are currently TGA-registered and listed on the Australian Register of Therapeutic Goods (ARTG). Three tissue morcellators are also TGA-reg</w:t>
      </w:r>
      <w:r>
        <w:rPr>
          <w:rFonts w:cs="Arial"/>
          <w:szCs w:val="24"/>
        </w:rPr>
        <w:t>istered and listed on the ARTG.</w:t>
      </w:r>
    </w:p>
    <w:p w:rsidR="00786914" w:rsidRDefault="00786914" w:rsidP="0006743B">
      <w:pPr>
        <w:pStyle w:val="Normalbold"/>
      </w:pPr>
      <w:bookmarkStart w:id="28" w:name="_Toc327877827"/>
      <w:r>
        <w:t>Consumer Impact Statement</w:t>
      </w:r>
      <w:bookmarkEnd w:id="28"/>
    </w:p>
    <w:p w:rsidR="00786914" w:rsidRDefault="00786914" w:rsidP="0006743B">
      <w:r w:rsidRPr="004E1EFC">
        <w:rPr>
          <w:rFonts w:cs="Arial"/>
          <w:szCs w:val="24"/>
        </w:rPr>
        <w:t xml:space="preserve">Public comment was sought during the development of the </w:t>
      </w:r>
      <w:r>
        <w:rPr>
          <w:rFonts w:cs="Arial"/>
          <w:szCs w:val="24"/>
        </w:rPr>
        <w:t>f</w:t>
      </w:r>
      <w:r w:rsidRPr="004E1EFC">
        <w:rPr>
          <w:rFonts w:cs="Arial"/>
          <w:szCs w:val="24"/>
        </w:rPr>
        <w:t>inal DAP</w:t>
      </w:r>
      <w:r>
        <w:rPr>
          <w:rFonts w:cs="Arial"/>
          <w:szCs w:val="24"/>
        </w:rPr>
        <w:t xml:space="preserve">. </w:t>
      </w:r>
      <w:r w:rsidRPr="004E1EFC">
        <w:rPr>
          <w:rFonts w:cs="Arial"/>
          <w:szCs w:val="24"/>
        </w:rPr>
        <w:t>The DAP was released for public comment on 24 February 2011 and closed for comments on 31 March 2011</w:t>
      </w:r>
      <w:r>
        <w:rPr>
          <w:rFonts w:cs="Arial"/>
          <w:szCs w:val="24"/>
        </w:rPr>
        <w:t xml:space="preserve">. </w:t>
      </w:r>
      <w:r w:rsidRPr="004E1EFC">
        <w:rPr>
          <w:rFonts w:cs="Arial"/>
          <w:szCs w:val="24"/>
        </w:rPr>
        <w:t xml:space="preserve">This public comment was incorporated into the </w:t>
      </w:r>
      <w:r>
        <w:rPr>
          <w:rFonts w:cs="Arial"/>
          <w:szCs w:val="24"/>
        </w:rPr>
        <w:t>f</w:t>
      </w:r>
      <w:r w:rsidRPr="004E1EFC">
        <w:rPr>
          <w:rFonts w:cs="Arial"/>
          <w:szCs w:val="24"/>
        </w:rPr>
        <w:t xml:space="preserve">inal DAP as a result of PASC deliberation </w:t>
      </w:r>
      <w:r>
        <w:rPr>
          <w:rFonts w:cs="Arial"/>
          <w:szCs w:val="24"/>
        </w:rPr>
        <w:t xml:space="preserve">on </w:t>
      </w:r>
      <w:r w:rsidRPr="004E1EFC">
        <w:rPr>
          <w:rFonts w:cs="Arial"/>
          <w:szCs w:val="24"/>
        </w:rPr>
        <w:t>13</w:t>
      </w:r>
      <w:r>
        <w:rPr>
          <w:rFonts w:cs="Arial"/>
          <w:szCs w:val="24"/>
        </w:rPr>
        <w:t>–</w:t>
      </w:r>
      <w:r w:rsidRPr="004E1EFC">
        <w:rPr>
          <w:rFonts w:cs="Arial"/>
          <w:szCs w:val="24"/>
        </w:rPr>
        <w:t>14 April 2011.</w:t>
      </w:r>
      <w:r w:rsidRPr="004E1EFC">
        <w:rPr>
          <w:rFonts w:cs="Arial"/>
          <w:szCs w:val="24"/>
        </w:rPr>
        <w:br/>
      </w:r>
      <w:bookmarkStart w:id="29" w:name="_Toc327877828"/>
    </w:p>
    <w:p w:rsidR="00786914" w:rsidRDefault="00786914" w:rsidP="0006743B">
      <w:pPr>
        <w:pStyle w:val="Normalbold"/>
      </w:pPr>
      <w:r w:rsidRPr="00DE6F5C">
        <w:t>Clinical need</w:t>
      </w:r>
      <w:bookmarkEnd w:id="29"/>
    </w:p>
    <w:p w:rsidR="00786914" w:rsidRPr="004E1EFC" w:rsidRDefault="00786914" w:rsidP="0006743B">
      <w:pPr>
        <w:rPr>
          <w:rFonts w:cs="Arial"/>
          <w:szCs w:val="24"/>
        </w:rPr>
      </w:pPr>
      <w:r w:rsidRPr="004E1EFC">
        <w:rPr>
          <w:rFonts w:cs="Arial"/>
          <w:szCs w:val="24"/>
        </w:rPr>
        <w:t xml:space="preserve">The current management algorithm for men with moderate to severe BPH (as defined by </w:t>
      </w:r>
      <w:r>
        <w:rPr>
          <w:rFonts w:cs="Arial"/>
          <w:szCs w:val="24"/>
        </w:rPr>
        <w:t xml:space="preserve">the </w:t>
      </w:r>
      <w:r w:rsidRPr="004E1EFC">
        <w:rPr>
          <w:rFonts w:cs="Arial"/>
          <w:szCs w:val="24"/>
        </w:rPr>
        <w:t>American Urological Association</w:t>
      </w:r>
      <w:r>
        <w:rPr>
          <w:rFonts w:cs="Arial"/>
          <w:szCs w:val="24"/>
        </w:rPr>
        <w:t xml:space="preserve"> – AUA- </w:t>
      </w:r>
      <w:r w:rsidRPr="004E1EFC">
        <w:rPr>
          <w:rFonts w:cs="Arial"/>
          <w:szCs w:val="24"/>
        </w:rPr>
        <w:t>or International Prostate Symptom Score</w:t>
      </w:r>
      <w:r>
        <w:rPr>
          <w:rFonts w:cs="Arial"/>
          <w:szCs w:val="24"/>
        </w:rPr>
        <w:t xml:space="preserve"> – IPSS</w:t>
      </w:r>
      <w:r w:rsidRPr="004E1EFC">
        <w:rPr>
          <w:rFonts w:cs="Arial"/>
          <w:szCs w:val="24"/>
        </w:rPr>
        <w:t>) is depicted in Figure 1 below.</w:t>
      </w:r>
    </w:p>
    <w:p w:rsidR="00786914" w:rsidRPr="00496D91" w:rsidRDefault="00786914" w:rsidP="0006743B"/>
    <w:p w:rsidR="00786914" w:rsidRDefault="00786914">
      <w:pPr>
        <w:spacing w:after="0"/>
        <w:ind w:left="0"/>
        <w:rPr>
          <w:b/>
          <w:bCs/>
          <w:sz w:val="20"/>
        </w:rPr>
      </w:pPr>
      <w:r>
        <w:br w:type="page"/>
      </w:r>
    </w:p>
    <w:p w:rsidR="00786914" w:rsidRDefault="00786914" w:rsidP="0006743B">
      <w:pPr>
        <w:pStyle w:val="Caption"/>
      </w:pPr>
      <w:bookmarkStart w:id="30" w:name="_Toc327882485"/>
      <w:r>
        <w:lastRenderedPageBreak/>
        <w:t xml:space="preserve">Figure </w:t>
      </w:r>
      <w:fldSimple w:instr=" SEQ Figure \* ARABIC ">
        <w:r w:rsidR="00F45C43">
          <w:rPr>
            <w:noProof/>
          </w:rPr>
          <w:t>1</w:t>
        </w:r>
      </w:fldSimple>
      <w:r>
        <w:t>:</w:t>
      </w:r>
      <w:r>
        <w:tab/>
      </w:r>
      <w:r w:rsidRPr="00F57D49">
        <w:t>Current clinical management chart for patients with BPH</w:t>
      </w:r>
      <w:bookmarkEnd w:id="30"/>
    </w:p>
    <w:p w:rsidR="00786914" w:rsidRPr="00C65BC3" w:rsidRDefault="00F905B8" w:rsidP="00C65BC3">
      <w:r>
        <w:rPr>
          <w:noProof/>
        </w:rPr>
        <mc:AlternateContent>
          <mc:Choice Requires="wpg">
            <w:drawing>
              <wp:anchor distT="0" distB="0" distL="114300" distR="114300" simplePos="0" relativeHeight="251661312" behindDoc="0" locked="0" layoutInCell="1" allowOverlap="1" wp14:anchorId="215765E1" wp14:editId="30EC2C8D">
                <wp:simplePos x="0" y="0"/>
                <wp:positionH relativeFrom="column">
                  <wp:posOffset>1052623</wp:posOffset>
                </wp:positionH>
                <wp:positionV relativeFrom="paragraph">
                  <wp:posOffset>4064281</wp:posOffset>
                </wp:positionV>
                <wp:extent cx="3592830" cy="2161540"/>
                <wp:effectExtent l="0" t="19050" r="26670" b="10160"/>
                <wp:wrapNone/>
                <wp:docPr id="148" name="Group 80" title="Figure 1: Current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2161540"/>
                          <a:chOff x="2368" y="8077"/>
                          <a:chExt cx="5658" cy="3404"/>
                        </a:xfrm>
                      </wpg:grpSpPr>
                      <wps:wsp>
                        <wps:cNvPr id="149" name="AutoShape 81"/>
                        <wps:cNvSpPr>
                          <a:spLocks noChangeArrowheads="1"/>
                        </wps:cNvSpPr>
                        <wps:spPr bwMode="auto">
                          <a:xfrm>
                            <a:off x="5275" y="10867"/>
                            <a:ext cx="2751"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or </w:t>
                              </w:r>
                              <w:r>
                                <w:rPr>
                                  <w:sz w:val="18"/>
                                  <w:szCs w:val="18"/>
                                </w:rPr>
                                <w:t>VLAP</w:t>
                              </w:r>
                            </w:p>
                          </w:txbxContent>
                        </wps:txbx>
                        <wps:bodyPr rot="0" vert="horz" wrap="square" lIns="91440" tIns="45720" rIns="91440" bIns="45720" anchor="t" anchorCtr="0" upright="1">
                          <a:noAutofit/>
                        </wps:bodyPr>
                      </wps:wsp>
                      <wps:wsp>
                        <wps:cNvPr id="150" name="AutoShape 82"/>
                        <wps:cNvSpPr>
                          <a:spLocks noChangeArrowheads="1"/>
                        </wps:cNvSpPr>
                        <wps:spPr bwMode="auto">
                          <a:xfrm>
                            <a:off x="2368" y="10867"/>
                            <a:ext cx="2704"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VLAP</w:t>
                              </w:r>
                              <w:r w:rsidRPr="003C788B">
                                <w:rPr>
                                  <w:sz w:val="18"/>
                                  <w:szCs w:val="18"/>
                                </w:rPr>
                                <w:t xml:space="preserve"> or TUNA or TUMT </w:t>
                              </w:r>
                            </w:p>
                          </w:txbxContent>
                        </wps:txbx>
                        <wps:bodyPr rot="0" vert="horz" wrap="square" lIns="91440" tIns="45720" rIns="91440" bIns="45720" anchor="t" anchorCtr="0" upright="1">
                          <a:noAutofit/>
                        </wps:bodyPr>
                      </wps:wsp>
                      <wps:wsp>
                        <wps:cNvPr id="151" name="AutoShape 83"/>
                        <wps:cNvSpPr>
                          <a:spLocks noChangeArrowheads="1"/>
                        </wps:cNvSpPr>
                        <wps:spPr bwMode="auto">
                          <a:xfrm>
                            <a:off x="5397" y="8077"/>
                            <a:ext cx="2480" cy="1790"/>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wps:txbx>
                        <wps:bodyPr rot="0" vert="horz" wrap="square" lIns="91440" tIns="45720" rIns="91440" bIns="45720" anchor="t" anchorCtr="0" upright="1">
                          <a:noAutofit/>
                        </wps:bodyPr>
                      </wps:wsp>
                      <wps:wsp>
                        <wps:cNvPr id="152" name="AutoShape 84"/>
                        <wps:cNvSpPr>
                          <a:spLocks noChangeArrowheads="1"/>
                        </wps:cNvSpPr>
                        <wps:spPr bwMode="auto">
                          <a:xfrm>
                            <a:off x="2527" y="8164"/>
                            <a:ext cx="2394" cy="1703"/>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wps:txbx>
                        <wps:bodyPr rot="0" vert="horz" wrap="square" lIns="91440" tIns="45720" rIns="91440" bIns="45720" anchor="t" anchorCtr="0" upright="1">
                          <a:noAutofit/>
                        </wps:bodyPr>
                      </wps:wsp>
                      <wps:wsp>
                        <wps:cNvPr id="153" name="AutoShape 85"/>
                        <wps:cNvCnPr>
                          <a:cxnSpLocks noChangeShapeType="1"/>
                        </wps:cNvCnPr>
                        <wps:spPr bwMode="auto">
                          <a:xfrm rot="16200000" flipH="1">
                            <a:off x="6152" y="10366"/>
                            <a:ext cx="100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AutoShape 86"/>
                        <wps:cNvCnPr>
                          <a:cxnSpLocks noChangeShapeType="1"/>
                        </wps:cNvCnPr>
                        <wps:spPr bwMode="auto">
                          <a:xfrm rot="16200000" flipH="1">
                            <a:off x="3225" y="10366"/>
                            <a:ext cx="100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alt="Title: Figure 1: Current clinical management chart for patients with BPH" style="position:absolute;left:0;text-align:left;margin-left:82.9pt;margin-top:320pt;width:282.9pt;height:170.2pt;z-index:251661312" coordorigin="2368,8077" coordsize="5658,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">
                <v:shapetype id="_x0000_t109" coordsize="21600,21600" o:spt="109" path="m,l,21600r21600,l21600,xe">
                  <v:stroke joinstyle="miter"/>
                  <v:path gradientshapeok="t" o:connecttype="rect"/>
                </v:shapetype>
                <v:shape id="AutoShape 81" o:spid="_x0000_s1027" type="#_x0000_t109" style="position:absolute;left:5275;top:10867;width:2751;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af8MA&#10;AADcAAAADwAAAGRycy9kb3ducmV2LnhtbERPS2vCQBC+C/0PyxS8SN34JI2uUgoRPXgw9tLbNDtN&#10;gtnZkF1j/PduoeBtPr7nrLe9qUVHrassK5iMIxDEudUVFwq+zulbDMJ5ZI21ZVJwJwfbzctgjYm2&#10;Nz5Rl/lChBB2CSoovW8SKV1ekkE3tg1x4H5ta9AH2BZSt3gL4aaW0yhaSoMVh4YSG/osKb9kV6Ng&#10;Go+yHR/T/fznoFNcTL670eyg1PC1/1iB8NT7p/jfvddh/vwd/p4JF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gaf8MAAADcAAAADwAAAAAAAAAAAAAAAACYAgAAZHJzL2Rv&#10;d25yZXYueG1sUEsFBgAAAAAEAAQA9QAAAIgDAAAAAA==&#10;">
                  <v:textbo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or </w:t>
                        </w:r>
                        <w:r>
                          <w:rPr>
                            <w:sz w:val="18"/>
                            <w:szCs w:val="18"/>
                          </w:rPr>
                          <w:t>VLAP</w:t>
                        </w:r>
                      </w:p>
                    </w:txbxContent>
                  </v:textbox>
                </v:shape>
                <v:shape id="AutoShape 82" o:spid="_x0000_s1028" type="#_x0000_t109" style="position:absolute;left:2368;top:10867;width:2704;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P8YA&#10;AADcAAAADwAAAGRycy9kb3ducmV2LnhtbESPQWvCQBCF70L/wzKCF9GNVkVSVymFiB56MO2lt2l2&#10;mgSzsyG7jem/dw5CbzO8N+99szsMrlE9daH2bGAxT0ARF97WXBr4/MhmW1AhIltsPJOBPwpw2D+N&#10;dphaf+ML9XkslYRwSNFAFWObah2KihyGuW+JRfvxncMoa1dq2+FNwl2jl0my0Q5rloYKW3qrqLjm&#10;v87AcjvNj/yenVbfZ5vhevHVT5/PxkzGw+sLqEhD/Dc/rk9W8NeCL8/IB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lP8YAAADcAAAADwAAAAAAAAAAAAAAAACYAgAAZHJz&#10;L2Rvd25yZXYueG1sUEsFBgAAAAAEAAQA9QAAAIsDAAAAAA==&#10;">
                  <v:textbo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VLAP</w:t>
                        </w:r>
                        <w:r w:rsidRPr="003C788B">
                          <w:rPr>
                            <w:sz w:val="18"/>
                            <w:szCs w:val="18"/>
                          </w:rPr>
                          <w:t xml:space="preserve"> or TUNA or TUMT </w:t>
                        </w:r>
                      </w:p>
                    </w:txbxContent>
                  </v:textbox>
                </v:shape>
                <v:shapetype id="_x0000_t110" coordsize="21600,21600" o:spt="110" path="m10800,l,10800,10800,21600,21600,10800xe">
                  <v:stroke joinstyle="miter"/>
                  <v:path gradientshapeok="t" o:connecttype="rect" textboxrect="5400,5400,16200,16200"/>
                </v:shapetype>
                <v:shape id="AutoShape 83" o:spid="_x0000_s1029" type="#_x0000_t110" style="position:absolute;left:5397;top:8077;width:2480;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OW8QA&#10;AADcAAAADwAAAGRycy9kb3ducmV2LnhtbERPS2vCQBC+C/0PyxR6041WbUldRQpFD1J8FM/T7JiE&#10;ZmZDdjWpv75bELzNx/ec2aLjSl2o8aUTA8NBAookc7aU3MDX4aP/CsoHFIuVEzLwSx4W84feDFPr&#10;WtnRZR9yFUPEp2igCKFOtfZZQYx+4GqSyJ1cwxgibHJtG2xjOFd6lCRTzVhKbCiwpveCsp/9mQ1s&#10;v8dbbjfXE2+u4yNX59XL8fPZmKfHbvkGKlAX7uKbe23j/MkQ/p+JF+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oDlvEAAAA3AAAAA8AAAAAAAAAAAAAAAAAmAIAAGRycy9k&#10;b3ducmV2LnhtbFBLBQYAAAAABAAEAPUAAACJAwAAAAA=&#10;">
                  <v:textbo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v:textbox>
                </v:shape>
                <v:shape id="AutoShape 84" o:spid="_x0000_s1030" type="#_x0000_t110" style="position:absolute;left:2527;top:8164;width:239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LMMA&#10;AADcAAAADwAAAGRycy9kb3ducmV2LnhtbERPTWvCQBC9F/wPywi91Y3W2hJdRQqlPYhYLZ6n2TEJ&#10;ZmZDdjXRX+8Khd7m8T5ntui4UmdqfOnEwHCQgCLJnC0lN/Cz+3h6A+UDisXKCRm4kIfFvPcww9S6&#10;Vr7pvA25iiHiUzRQhFCnWvusIEY/cDVJ5A6uYQwRNrm2DbYxnCs9SpKJZiwlNhRY03tB2XF7YgOb&#10;3/GG29X1wKvreM/V6fN1v3425rHfLaegAnXhX/zn/rJx/ss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QLMMAAADcAAAADwAAAAAAAAAAAAAAAACYAgAAZHJzL2Rv&#10;d25yZXYueG1sUEsFBgAAAAAEAAQA9QAAAIgDAAAAAA==&#10;">
                  <v:textbo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5" o:spid="_x0000_s1031" type="#_x0000_t34" style="position:absolute;left:6152;top:10366;width:1000;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8Jx8AAAADcAAAADwAAAGRycy9kb3ducmV2LnhtbERP2arCMBB9v+A/hBF809TlulSjiCD6&#10;csHtA8ZmbIvNpDRRq19vBOG+zeGsM1vUphB3qlxuWUG3E4EgTqzOOVVwOq7bYxDOI2ssLJOCJzlY&#10;zBs/M4y1ffCe7gefihDCLkYFmfdlLKVLMjLoOrYkDtzFVgZ9gFUqdYWPEG4K2YuioTSYc2jIsKRV&#10;Rsn1cDMKBk+3f9HfWPZ26WSSuGi0ufBZqVazXk5BeKr9v/jr3uow/7cPn2fCBXL+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fCcfAAAAA3AAAAA8AAAAAAAAAAAAAAAAA&#10;oQIAAGRycy9kb3ducmV2LnhtbFBLBQYAAAAABAAEAPkAAACOAwAAAAA=&#10;">
                  <v:stroke endarrow="block"/>
                </v:shape>
                <v:shape id="AutoShape 86" o:spid="_x0000_s1032" type="#_x0000_t34" style="position:absolute;left:3225;top:10366;width:1000;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aRs8EAAADcAAAADwAAAGRycy9kb3ducmV2LnhtbERPzYrCMBC+C/sOYRa8abqirtamsgii&#10;lwXt+gBjM7bFZlKaqNWn3wiCt/n4fidZdqYWV2pdZVnB1zACQZxbXXGh4PC3HsxAOI+ssbZMCu7k&#10;YJl+9BKMtb3xnq6ZL0QIYRejgtL7JpbS5SUZdEPbEAfuZFuDPsC2kLrFWwg3tRxF0VQarDg0lNjQ&#10;qqT8nF2MgvHd7R/0O5OjXTGf5y763pz4qFT/s/tZgPDU+bf45d7qMH8yhucz4QKZ/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NpGzwQAAANwAAAAPAAAAAAAAAAAAAAAA&#10;AKECAABkcnMvZG93bnJldi54bWxQSwUGAAAAAAQABAD5AAAAjwMAAAAA&#10;">
                  <v:stroke endarrow="block"/>
                </v:shape>
              </v:group>
            </w:pict>
          </mc:Fallback>
        </mc:AlternateContent>
      </w:r>
      <w:bookmarkStart w:id="31" w:name="_Toc322708471"/>
      <w:bookmarkStart w:id="32" w:name="_Toc323642264"/>
      <w:bookmarkStart w:id="33" w:name="_Toc327877829"/>
      <w:bookmarkStart w:id="34" w:name="_Toc327880199"/>
      <w:bookmarkStart w:id="35" w:name="_Toc328135640"/>
      <w:bookmarkEnd w:id="31"/>
      <w:bookmarkEnd w:id="32"/>
      <w:bookmarkEnd w:id="33"/>
      <w:bookmarkEnd w:id="34"/>
      <w:bookmarkEnd w:id="35"/>
      <w:r>
        <w:rPr>
          <w:noProof/>
        </w:rPr>
        <mc:AlternateContent>
          <mc:Choice Requires="wpc">
            <w:drawing>
              <wp:inline distT="0" distB="0" distL="0" distR="0" wp14:anchorId="23E6F804" wp14:editId="6EC578DB">
                <wp:extent cx="4561367" cy="6422064"/>
                <wp:effectExtent l="0" t="0" r="0" b="0"/>
                <wp:docPr id="147" name="Canvas 51" title="Figure 1: Current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 name="Rectangle 34"/>
                        <wps:cNvSpPr>
                          <a:spLocks noChangeArrowheads="1"/>
                        </wps:cNvSpPr>
                        <wps:spPr bwMode="auto">
                          <a:xfrm>
                            <a:off x="690211" y="819112"/>
                            <a:ext cx="3397256" cy="528308"/>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wps:txbx>
                        <wps:bodyPr rot="0" vert="horz" wrap="square" lIns="91440" tIns="45720" rIns="91440" bIns="45720" anchor="t" anchorCtr="0" upright="1">
                          <a:noAutofit/>
                        </wps:bodyPr>
                      </wps:wsp>
                      <wps:wsp>
                        <wps:cNvPr id="135" name="AutoShape 35"/>
                        <wps:cNvSpPr>
                          <a:spLocks noChangeArrowheads="1"/>
                        </wps:cNvSpPr>
                        <wps:spPr bwMode="auto">
                          <a:xfrm>
                            <a:off x="1727228" y="1526522"/>
                            <a:ext cx="1318222" cy="295304"/>
                          </a:xfrm>
                          <a:prstGeom prst="roundRect">
                            <a:avLst>
                              <a:gd name="adj" fmla="val 16667"/>
                            </a:avLst>
                          </a:prstGeom>
                          <a:solidFill>
                            <a:srgbClr val="FFFFFF"/>
                          </a:solidFill>
                          <a:ln w="9525">
                            <a:solidFill>
                              <a:srgbClr val="000000"/>
                            </a:solidFill>
                            <a:round/>
                            <a:headEnd/>
                            <a:tailEnd/>
                          </a:ln>
                        </wps:spPr>
                        <wps:txbx>
                          <w:txbxContent>
                            <w:p w:rsidR="001C0B02" w:rsidRPr="003C788B" w:rsidRDefault="001C0B02" w:rsidP="0006743B">
                              <w:pPr>
                                <w:spacing w:after="0"/>
                                <w:ind w:left="0"/>
                                <w:rPr>
                                  <w:sz w:val="18"/>
                                  <w:szCs w:val="18"/>
                                </w:rPr>
                              </w:pPr>
                              <w:r w:rsidRPr="003C788B">
                                <w:rPr>
                                  <w:sz w:val="18"/>
                                  <w:szCs w:val="18"/>
                                </w:rPr>
                                <w:t>If inappropriate or fails</w:t>
                              </w:r>
                            </w:p>
                          </w:txbxContent>
                        </wps:txbx>
                        <wps:bodyPr rot="0" vert="horz" wrap="square" lIns="91440" tIns="45720" rIns="91440" bIns="45720" anchor="t" anchorCtr="0" upright="1">
                          <a:noAutofit/>
                        </wps:bodyPr>
                      </wps:wsp>
                      <wps:wsp>
                        <wps:cNvPr id="136" name="Rectangle 36"/>
                        <wps:cNvSpPr>
                          <a:spLocks noChangeArrowheads="1"/>
                        </wps:cNvSpPr>
                        <wps:spPr bwMode="auto">
                          <a:xfrm>
                            <a:off x="1551926" y="2057430"/>
                            <a:ext cx="1748129" cy="804512"/>
                          </a:xfrm>
                          <a:prstGeom prst="rect">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wps:txbx>
                        <wps:bodyPr rot="0" vert="horz" wrap="square" lIns="91440" tIns="45720" rIns="91440" bIns="45720" anchor="t" anchorCtr="0" upright="1">
                          <a:noAutofit/>
                        </wps:bodyPr>
                      </wps:wsp>
                      <wps:wsp>
                        <wps:cNvPr id="137" name="AutoShape 37"/>
                        <wps:cNvSpPr>
                          <a:spLocks noChangeArrowheads="1"/>
                        </wps:cNvSpPr>
                        <wps:spPr bwMode="auto">
                          <a:xfrm>
                            <a:off x="508608" y="3036545"/>
                            <a:ext cx="3936365" cy="687110"/>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has</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)and </w:t>
                              </w:r>
                              <w:r w:rsidRPr="00395F98">
                                <w:rPr>
                                  <w:sz w:val="18"/>
                                  <w:szCs w:val="18"/>
                                </w:rPr>
                                <w:t>surgical options</w:t>
                              </w:r>
                              <w:r>
                                <w:rPr>
                                  <w:sz w:val="18"/>
                                  <w:szCs w:val="18"/>
                                </w:rPr>
                                <w:t xml:space="preserve"> are being assessed.</w:t>
                              </w:r>
                            </w:p>
                          </w:txbxContent>
                        </wps:txbx>
                        <wps:bodyPr rot="0" vert="horz" wrap="square" lIns="91440" tIns="45720" rIns="91440" bIns="45720" anchor="t" anchorCtr="0" upright="1">
                          <a:noAutofit/>
                        </wps:bodyPr>
                      </wps:wsp>
                      <wps:wsp>
                        <wps:cNvPr id="138" name="AutoShape 38"/>
                        <wps:cNvSpPr>
                          <a:spLocks noChangeArrowheads="1"/>
                        </wps:cNvSpPr>
                        <wps:spPr bwMode="auto">
                          <a:xfrm>
                            <a:off x="1399523" y="64801"/>
                            <a:ext cx="2114535" cy="579709"/>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wps:txbx>
                        <wps:bodyPr rot="0" vert="horz" wrap="square" lIns="91440" tIns="45720" rIns="91440" bIns="45720" anchor="t" anchorCtr="0" upright="1">
                          <a:noAutofit/>
                        </wps:bodyPr>
                      </wps:wsp>
                      <wps:wsp>
                        <wps:cNvPr id="139" name="AutoShape 39"/>
                        <wps:cNvCnPr>
                          <a:cxnSpLocks noChangeShapeType="1"/>
                        </wps:cNvCnPr>
                        <wps:spPr bwMode="auto">
                          <a:xfrm>
                            <a:off x="2378039" y="1347420"/>
                            <a:ext cx="7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40"/>
                        <wps:cNvCnPr>
                          <a:cxnSpLocks noChangeShapeType="1"/>
                        </wps:cNvCnPr>
                        <wps:spPr bwMode="auto">
                          <a:xfrm flipH="1">
                            <a:off x="1447824" y="3723655"/>
                            <a:ext cx="1029317" cy="389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41"/>
                        <wps:cNvCnPr>
                          <a:cxnSpLocks noChangeShapeType="1"/>
                        </wps:cNvCnPr>
                        <wps:spPr bwMode="auto">
                          <a:xfrm flipH="1">
                            <a:off x="1447824" y="4479266"/>
                            <a:ext cx="2500" cy="178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42"/>
                        <wps:cNvCnPr>
                          <a:cxnSpLocks noChangeShapeType="1"/>
                        </wps:cNvCnPr>
                        <wps:spPr bwMode="auto">
                          <a:xfrm>
                            <a:off x="3300054" y="4534567"/>
                            <a:ext cx="8900" cy="123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48"/>
                        <wps:cNvCnPr>
                          <a:cxnSpLocks noChangeShapeType="1"/>
                        </wps:cNvCnPr>
                        <wps:spPr bwMode="auto">
                          <a:xfrm>
                            <a:off x="2362239" y="1828827"/>
                            <a:ext cx="100" cy="228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49"/>
                        <wps:cNvCnPr>
                          <a:cxnSpLocks noChangeShapeType="1"/>
                        </wps:cNvCnPr>
                        <wps:spPr bwMode="auto">
                          <a:xfrm>
                            <a:off x="2378739" y="644509"/>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50"/>
                        <wps:cNvCnPr>
                          <a:cxnSpLocks noChangeShapeType="1"/>
                        </wps:cNvCnPr>
                        <wps:spPr bwMode="auto">
                          <a:xfrm>
                            <a:off x="2376139" y="2861942"/>
                            <a:ext cx="7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AutoShape 211"/>
                        <wps:cNvCnPr>
                          <a:cxnSpLocks noChangeShapeType="1"/>
                        </wps:cNvCnPr>
                        <wps:spPr bwMode="auto">
                          <a:xfrm>
                            <a:off x="2477141" y="3723655"/>
                            <a:ext cx="822914" cy="33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1" o:spid="_x0000_s1033" editas="canvas" alt="Title: Figure 1: Current clinical management chart for patients with BPH" style="width:359.15pt;height:505.65pt;mso-position-horizontal-relative:char;mso-position-vertical-relative:line" coordsize="45612,6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5612;height:64217;visibility:visible;mso-wrap-style:square">
                  <v:fill o:detectmouseclick="t"/>
                  <v:path o:connecttype="none"/>
                </v:shape>
                <v:rect id="Rectangle 34" o:spid="_x0000_s1035" style="position:absolute;left:6902;top:8191;width:3397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v:textbox>
                </v:rect>
                <v:roundrect id="AutoShape 35" o:spid="_x0000_s1036" style="position:absolute;left:17272;top:15265;width:13182;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dKMIA&#10;AADcAAAADwAAAGRycy9kb3ducmV2LnhtbERPTWsCMRC9F/ofwgjeamLF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10owgAAANwAAAAPAAAAAAAAAAAAAAAAAJgCAABkcnMvZG93&#10;bnJldi54bWxQSwUGAAAAAAQABAD1AAAAhwMAAAAA&#10;">
                  <v:textbox>
                    <w:txbxContent>
                      <w:p w:rsidR="001C0B02" w:rsidRPr="003C788B" w:rsidRDefault="001C0B02" w:rsidP="0006743B">
                        <w:pPr>
                          <w:spacing w:after="0"/>
                          <w:ind w:left="0"/>
                          <w:rPr>
                            <w:sz w:val="18"/>
                            <w:szCs w:val="18"/>
                          </w:rPr>
                        </w:pPr>
                        <w:r w:rsidRPr="003C788B">
                          <w:rPr>
                            <w:sz w:val="18"/>
                            <w:szCs w:val="18"/>
                          </w:rPr>
                          <w:t>If inappropriate or fails</w:t>
                        </w:r>
                      </w:p>
                    </w:txbxContent>
                  </v:textbox>
                </v:roundrect>
                <v:rect id="Rectangle 36" o:spid="_x0000_s1037" style="position:absolute;left:15519;top:20574;width:17481;height:8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v:textbox>
                </v:rect>
                <v:roundrect id="AutoShape 37" o:spid="_x0000_s1038" style="position:absolute;left:5086;top:30365;width:39363;height:6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mxMMA&#10;AADcAAAADwAAAGRycy9kb3ducmV2LnhtbERPS0sDMRC+C/0PYQRvNlGxj7VpKYLirbjtocfpZrq7&#10;uJlsk+x29dc3QqG3+fies1gNthE9+VA71vA0ViCIC2dqLjXsth+PMxAhIhtsHJOGXwqwWo7uFpgZ&#10;d+Zv6vNYihTCIUMNVYxtJmUoKrIYxq4lTtzReYsxQV9K4/Gcwm0jn5WaSIs1p4YKW3qvqPjJO6uh&#10;MKpTft9v5ofXmP/13Ynl50nrh/th/QYi0hBv4qv7y6T5L1P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VmxMMAAADcAAAADwAAAAAAAAAAAAAAAACYAgAAZHJzL2Rv&#10;d25yZXYueG1sUEsFBgAAAAAEAAQA9QAAAIgDAAAAAA==&#10;">
                  <v:textbo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has</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)and </w:t>
                        </w:r>
                        <w:r w:rsidRPr="00395F98">
                          <w:rPr>
                            <w:sz w:val="18"/>
                            <w:szCs w:val="18"/>
                          </w:rPr>
                          <w:t>surgical options</w:t>
                        </w:r>
                        <w:r>
                          <w:rPr>
                            <w:sz w:val="18"/>
                            <w:szCs w:val="18"/>
                          </w:rPr>
                          <w:t xml:space="preserve"> are being assessed.</w:t>
                        </w:r>
                      </w:p>
                    </w:txbxContent>
                  </v:textbox>
                </v:roundrect>
                <v:roundrect id="AutoShape 38" o:spid="_x0000_s1039" style="position:absolute;left:13995;top:648;width:21145;height:5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ytsQA&#10;AADcAAAADwAAAGRycy9kb3ducmV2LnhtbESPQU/DMAyF70j8h8hI3FgCaAi6ZRNCAu2G6Dhw9Bqv&#10;rdY4XZJ2Hb9+PiBxs/We3/u8XE++UyPF1Aa2cD8zoIir4FquLXxv3++eQaWM7LALTBbOlGC9ur5a&#10;YuHCib9oLHOtJIRTgRaanPtC61Q15DHNQk8s2j5Ej1nWWGsX8SThvtMPxjxpjy1LQ4M9vTVUHcrB&#10;W6icGUz8GT9fdvNc/o7DkfXH0drbm+l1ASrTlP/Nf9cbJ/iPQiv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8rbEAAAA3AAAAA8AAAAAAAAAAAAAAAAAmAIAAGRycy9k&#10;b3ducmV2LnhtbFBLBQYAAAAABAAEAPUAAACJAwAAAAA=&#10;">
                  <v:textbo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v:textbox>
                </v:roundrect>
                <v:shapetype id="_x0000_t32" coordsize="21600,21600" o:spt="32" o:oned="t" path="m,l21600,21600e" filled="f">
                  <v:path arrowok="t" fillok="f" o:connecttype="none"/>
                  <o:lock v:ext="edit" shapetype="t"/>
                </v:shapetype>
                <v:shape id="AutoShape 39" o:spid="_x0000_s1040" type="#_x0000_t32" style="position:absolute;left:23780;top:13474;width:7;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AutoShape 40" o:spid="_x0000_s1041" type="#_x0000_t32" style="position:absolute;left:14478;top:37236;width:10293;height:38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cF8QAAADcAAAADwAAAGRycy9kb3ducmV2LnhtbESPQWsCMRCF74X+hzCF3mpWaU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NwXxAAAANwAAAAPAAAAAAAAAAAA&#10;AAAAAKECAABkcnMvZG93bnJldi54bWxQSwUGAAAAAAQABAD5AAAAkgMAAAAA&#10;">
                  <v:stroke endarrow="block"/>
                </v:shape>
                <v:shape id="AutoShape 41" o:spid="_x0000_s1042" type="#_x0000_t32" style="position:absolute;left:14478;top:44792;width:25;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shape id="AutoShape 42" o:spid="_x0000_s1043" type="#_x0000_t32" style="position:absolute;left:33000;top:45345;width:89;height:1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48" o:spid="_x0000_s1044" type="#_x0000_t32" style="position:absolute;left:23622;top:18288;width:1;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AutoShape 49" o:spid="_x0000_s1045" type="#_x0000_t32" style="position:absolute;left:23787;top:6445;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50" o:spid="_x0000_s1046" type="#_x0000_t32" style="position:absolute;left:23761;top:28619;width:7;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211" o:spid="_x0000_s1047" type="#_x0000_t32" style="position:absolute;left:24771;top:37236;width:8229;height:3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w10:anchorlock/>
              </v:group>
            </w:pict>
          </mc:Fallback>
        </mc:AlternateContent>
      </w:r>
    </w:p>
    <w:p w:rsidR="00786914" w:rsidRDefault="00786914" w:rsidP="00C65BC3"/>
    <w:p w:rsidR="00786914" w:rsidRPr="004E1EFC" w:rsidRDefault="00786914" w:rsidP="0006743B">
      <w:r w:rsidRPr="004E1EFC">
        <w:t>There are therefore two groups of men for whom a surgical intervention for the treatment of BPH would be indicated. These are:</w:t>
      </w:r>
    </w:p>
    <w:p w:rsidR="00786914" w:rsidRPr="004E1EFC" w:rsidRDefault="00786914" w:rsidP="0006743B">
      <w:pPr>
        <w:pStyle w:val="Bullet"/>
      </w:pPr>
      <w:r w:rsidRPr="004E1EFC">
        <w:t>Men with moderate</w:t>
      </w:r>
      <w:r>
        <w:t>-</w:t>
      </w:r>
      <w:r w:rsidRPr="004E1EFC">
        <w:t>sized prostates (estimated at less than 80</w:t>
      </w:r>
      <w:r>
        <w:t>–</w:t>
      </w:r>
      <w:r w:rsidRPr="004E1EFC">
        <w:t>100</w:t>
      </w:r>
      <w:r>
        <w:t>g</w:t>
      </w:r>
      <w:r w:rsidRPr="004E1EFC">
        <w:t xml:space="preserve">) – in this group, TURP would be considered the gold standard surgical treatment. Other surgical options are currently available for this group, including </w:t>
      </w:r>
      <w:r>
        <w:t>VLAP</w:t>
      </w:r>
      <w:r w:rsidRPr="004E1EFC">
        <w:t>, TUNA or TUMT.</w:t>
      </w:r>
    </w:p>
    <w:p w:rsidR="00786914" w:rsidRPr="004E1EFC" w:rsidRDefault="00786914" w:rsidP="0006743B">
      <w:pPr>
        <w:pStyle w:val="Bullet"/>
      </w:pPr>
      <w:r w:rsidRPr="004E1EFC">
        <w:lastRenderedPageBreak/>
        <w:t>Men with large prostate size (estimated at greater than 80</w:t>
      </w:r>
      <w:r>
        <w:t>–</w:t>
      </w:r>
      <w:r w:rsidRPr="004E1EFC">
        <w:t xml:space="preserve">100g) – in this group, </w:t>
      </w:r>
      <w:r>
        <w:t>OP</w:t>
      </w:r>
      <w:r w:rsidRPr="004E1EFC">
        <w:t xml:space="preserve"> would be considered the gold standard. Other alternatives that are considered appropriate and currently available include a two</w:t>
      </w:r>
      <w:r>
        <w:t>-</w:t>
      </w:r>
      <w:r w:rsidRPr="004E1EFC">
        <w:t xml:space="preserve">stage TURP procedure or </w:t>
      </w:r>
      <w:r>
        <w:t>VLAP</w:t>
      </w:r>
    </w:p>
    <w:p w:rsidR="00786914" w:rsidRPr="004E1EFC" w:rsidRDefault="00786914" w:rsidP="0006743B">
      <w:pPr>
        <w:rPr>
          <w:rFonts w:cs="Arial"/>
          <w:szCs w:val="24"/>
        </w:rPr>
      </w:pPr>
      <w:r w:rsidRPr="004E1EFC">
        <w:rPr>
          <w:rFonts w:cs="Arial"/>
          <w:szCs w:val="24"/>
        </w:rPr>
        <w:t>It was proposed in the application that HoLEP (where it is available) could be used as an alternative to existing surgical procedures in each of the groups listed above. This is depicted in Figure 2 below.</w:t>
      </w:r>
    </w:p>
    <w:p w:rsidR="00786914" w:rsidRDefault="00786914" w:rsidP="0006743B">
      <w:pPr>
        <w:pStyle w:val="Caption"/>
      </w:pPr>
      <w:bookmarkStart w:id="36" w:name="_Toc327882486"/>
      <w:r>
        <w:t xml:space="preserve">Figure </w:t>
      </w:r>
      <w:fldSimple w:instr=" SEQ Figure \* ARABIC ">
        <w:r w:rsidR="00F45C43">
          <w:rPr>
            <w:noProof/>
          </w:rPr>
          <w:t>2</w:t>
        </w:r>
      </w:fldSimple>
      <w:r>
        <w:t>:</w:t>
      </w:r>
      <w:r>
        <w:tab/>
        <w:t>Proposed management using HoLEP</w:t>
      </w:r>
      <w:bookmarkEnd w:id="36"/>
    </w:p>
    <w:p w:rsidR="00786914" w:rsidRDefault="00F905B8" w:rsidP="0006743B">
      <w:pPr>
        <w:rPr>
          <w:rFonts w:ascii="Arial" w:hAnsi="Arial" w:cs="Arial"/>
          <w:szCs w:val="24"/>
        </w:rPr>
      </w:pPr>
      <w:r>
        <w:rPr>
          <w:noProof/>
        </w:rPr>
        <mc:AlternateContent>
          <mc:Choice Requires="wpc">
            <w:drawing>
              <wp:inline distT="0" distB="0" distL="0" distR="0" wp14:anchorId="65260CF3" wp14:editId="7FCBBEE9">
                <wp:extent cx="4822190" cy="5646420"/>
                <wp:effectExtent l="0" t="0" r="0" b="11430"/>
                <wp:docPr id="133" name="Canvas 130" descr="Figure 2: Proposed management using HoLEP" title="Figure 2: Proposed management using HoLEP"/>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64"/>
                        <wps:cNvSpPr>
                          <a:spLocks noChangeArrowheads="1"/>
                        </wps:cNvSpPr>
                        <wps:spPr bwMode="auto">
                          <a:xfrm>
                            <a:off x="690213" y="819103"/>
                            <a:ext cx="3578267" cy="528402"/>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p w:rsidR="001C0B02" w:rsidRDefault="001C0B02" w:rsidP="0006743B">
                              <w:pPr>
                                <w:spacing w:after="0"/>
                                <w:ind w:left="0"/>
                                <w:jc w:val="center"/>
                                <w:rPr>
                                  <w:sz w:val="18"/>
                                  <w:szCs w:val="18"/>
                                </w:rPr>
                              </w:pPr>
                            </w:p>
                          </w:txbxContent>
                        </wps:txbx>
                        <wps:bodyPr rot="0" vert="horz" wrap="square" lIns="91440" tIns="45720" rIns="91440" bIns="45720" anchor="t" anchorCtr="0" upright="1">
                          <a:noAutofit/>
                        </wps:bodyPr>
                      </wps:wsp>
                      <wps:wsp>
                        <wps:cNvPr id="112" name="AutoShape 65"/>
                        <wps:cNvSpPr>
                          <a:spLocks noChangeArrowheads="1"/>
                        </wps:cNvSpPr>
                        <wps:spPr bwMode="auto">
                          <a:xfrm>
                            <a:off x="1727232" y="1526505"/>
                            <a:ext cx="1318225" cy="295301"/>
                          </a:xfrm>
                          <a:prstGeom prst="roundRect">
                            <a:avLst>
                              <a:gd name="adj" fmla="val 16667"/>
                            </a:avLst>
                          </a:prstGeom>
                          <a:solidFill>
                            <a:srgbClr val="FFFFFF"/>
                          </a:solidFill>
                          <a:ln w="9525">
                            <a:solidFill>
                              <a:srgbClr val="000000"/>
                            </a:solidFill>
                            <a:round/>
                            <a:headEnd/>
                            <a:tailEnd/>
                          </a:ln>
                        </wps:spPr>
                        <wps:txbx>
                          <w:txbxContent>
                            <w:p w:rsidR="001C0B02" w:rsidRPr="003C788B" w:rsidRDefault="001C0B02" w:rsidP="0006743B">
                              <w:pPr>
                                <w:spacing w:after="0"/>
                                <w:ind w:left="0"/>
                                <w:rPr>
                                  <w:sz w:val="18"/>
                                  <w:szCs w:val="18"/>
                                </w:rPr>
                              </w:pPr>
                              <w:r w:rsidRPr="003C788B">
                                <w:rPr>
                                  <w:sz w:val="18"/>
                                  <w:szCs w:val="18"/>
                                </w:rPr>
                                <w:t>If inappropriate or fails</w:t>
                              </w:r>
                            </w:p>
                          </w:txbxContent>
                        </wps:txbx>
                        <wps:bodyPr rot="0" vert="horz" wrap="square" lIns="91440" tIns="45720" rIns="91440" bIns="45720" anchor="t" anchorCtr="0" upright="1">
                          <a:noAutofit/>
                        </wps:bodyPr>
                      </wps:wsp>
                      <wps:wsp>
                        <wps:cNvPr id="113" name="Rectangle 66"/>
                        <wps:cNvSpPr>
                          <a:spLocks noChangeArrowheads="1"/>
                        </wps:cNvSpPr>
                        <wps:spPr bwMode="auto">
                          <a:xfrm>
                            <a:off x="1551929" y="1940507"/>
                            <a:ext cx="1748133" cy="833803"/>
                          </a:xfrm>
                          <a:prstGeom prst="rect">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Medical treatment:</w:t>
                              </w:r>
                            </w:p>
                            <w:p w:rsidR="001C0B02" w:rsidRPr="00A342BD" w:rsidRDefault="001C0B02" w:rsidP="0006743B">
                              <w:pPr>
                                <w:pStyle w:val="ListParagraph"/>
                                <w:numPr>
                                  <w:ilvl w:val="0"/>
                                  <w:numId w:val="4"/>
                                </w:numPr>
                                <w:spacing w:after="0" w:line="276" w:lineRule="auto"/>
                                <w:rPr>
                                  <w:sz w:val="18"/>
                                  <w:szCs w:val="18"/>
                                </w:rPr>
                              </w:pPr>
                              <w:r>
                                <w:rPr>
                                  <w:sz w:val="18"/>
                                  <w:szCs w:val="18"/>
                                </w:rPr>
                                <w:t>a</w:t>
                              </w:r>
                              <w:r w:rsidRPr="00A342BD">
                                <w:rPr>
                                  <w:sz w:val="18"/>
                                  <w:szCs w:val="18"/>
                                </w:rPr>
                                <w:t>lpha blockers</w:t>
                              </w:r>
                            </w:p>
                            <w:p w:rsidR="001C0B02" w:rsidRPr="00A342BD" w:rsidRDefault="001C0B02" w:rsidP="0006743B">
                              <w:pPr>
                                <w:pStyle w:val="ListParagraph"/>
                                <w:numPr>
                                  <w:ilvl w:val="0"/>
                                  <w:numId w:val="4"/>
                                </w:numPr>
                                <w:spacing w:after="0" w:line="276" w:lineRule="auto"/>
                                <w:rPr>
                                  <w:sz w:val="18"/>
                                  <w:szCs w:val="18"/>
                                </w:rPr>
                              </w:pPr>
                              <w:r w:rsidRPr="00A342BD">
                                <w:rPr>
                                  <w:sz w:val="18"/>
                                  <w:szCs w:val="18"/>
                                </w:rPr>
                                <w:t>5-alpha reductase inhibitors</w:t>
                              </w:r>
                            </w:p>
                            <w:p w:rsidR="001C0B02" w:rsidRPr="00A342BD" w:rsidRDefault="001C0B02" w:rsidP="0006743B">
                              <w:pPr>
                                <w:pStyle w:val="ListParagraph"/>
                                <w:numPr>
                                  <w:ilvl w:val="0"/>
                                  <w:numId w:val="4"/>
                                </w:numPr>
                                <w:spacing w:after="0" w:line="276" w:lineRule="auto"/>
                                <w:rPr>
                                  <w:sz w:val="18"/>
                                  <w:szCs w:val="18"/>
                                </w:rPr>
                              </w:pPr>
                              <w:r w:rsidRPr="00A342BD">
                                <w:rPr>
                                  <w:sz w:val="18"/>
                                  <w:szCs w:val="18"/>
                                </w:rPr>
                                <w:t>anti-cholinergics</w:t>
                              </w:r>
                            </w:p>
                            <w:p w:rsidR="001C0B02" w:rsidRPr="00A342BD" w:rsidRDefault="001C0B02" w:rsidP="0006743B">
                              <w:pPr>
                                <w:rPr>
                                  <w:sz w:val="18"/>
                                  <w:szCs w:val="18"/>
                                </w:rPr>
                              </w:pPr>
                            </w:p>
                          </w:txbxContent>
                        </wps:txbx>
                        <wps:bodyPr rot="0" vert="horz" wrap="square" lIns="91440" tIns="45720" rIns="91440" bIns="45720" anchor="t" anchorCtr="0" upright="1">
                          <a:noAutofit/>
                        </wps:bodyPr>
                      </wps:wsp>
                      <wps:wsp>
                        <wps:cNvPr id="114" name="AutoShape 67"/>
                        <wps:cNvSpPr>
                          <a:spLocks noChangeArrowheads="1"/>
                        </wps:cNvSpPr>
                        <wps:spPr bwMode="auto">
                          <a:xfrm>
                            <a:off x="433108" y="2948910"/>
                            <a:ext cx="4063376" cy="671202"/>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p w:rsidR="001C0B02" w:rsidRDefault="001C0B02" w:rsidP="0006743B">
                              <w:pPr>
                                <w:spacing w:after="0"/>
                                <w:ind w:left="0"/>
                                <w:jc w:val="center"/>
                                <w:rPr>
                                  <w:sz w:val="18"/>
                                  <w:szCs w:val="18"/>
                                </w:rPr>
                              </w:pPr>
                            </w:p>
                            <w:p w:rsidR="001C0B02" w:rsidRPr="001F618D" w:rsidRDefault="001C0B02" w:rsidP="0006743B">
                              <w:pPr>
                                <w:spacing w:after="0"/>
                                <w:ind w:left="0"/>
                                <w:rPr>
                                  <w:szCs w:val="18"/>
                                </w:rPr>
                              </w:pPr>
                            </w:p>
                          </w:txbxContent>
                        </wps:txbx>
                        <wps:bodyPr rot="0" vert="horz" wrap="square" lIns="91440" tIns="45720" rIns="91440" bIns="45720" anchor="t" anchorCtr="0" upright="1">
                          <a:noAutofit/>
                        </wps:bodyPr>
                      </wps:wsp>
                      <wps:wsp>
                        <wps:cNvPr id="115" name="AutoShape 68"/>
                        <wps:cNvSpPr>
                          <a:spLocks noChangeArrowheads="1"/>
                        </wps:cNvSpPr>
                        <wps:spPr bwMode="auto">
                          <a:xfrm>
                            <a:off x="1399526" y="0"/>
                            <a:ext cx="1982437" cy="690202"/>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p w:rsidR="001C0B02" w:rsidRDefault="001C0B02">
                              <w:pPr>
                                <w:ind w:left="0"/>
                              </w:pPr>
                            </w:p>
                          </w:txbxContent>
                        </wps:txbx>
                        <wps:bodyPr rot="0" vert="horz" wrap="square" lIns="91440" tIns="45720" rIns="91440" bIns="45720" anchor="t" anchorCtr="0" upright="1">
                          <a:noAutofit/>
                        </wps:bodyPr>
                      </wps:wsp>
                      <wps:wsp>
                        <wps:cNvPr id="116" name="AutoShape 69"/>
                        <wps:cNvCnPr>
                          <a:cxnSpLocks noChangeShapeType="1"/>
                        </wps:cNvCnPr>
                        <wps:spPr bwMode="auto">
                          <a:xfrm>
                            <a:off x="2378044" y="1347405"/>
                            <a:ext cx="700" cy="17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70"/>
                        <wps:cNvCnPr>
                          <a:cxnSpLocks noChangeShapeType="1"/>
                        </wps:cNvCnPr>
                        <wps:spPr bwMode="auto">
                          <a:xfrm flipH="1">
                            <a:off x="1399526" y="3631513"/>
                            <a:ext cx="977318" cy="291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41"/>
                        <wps:cNvSpPr>
                          <a:spLocks noChangeArrowheads="1"/>
                        </wps:cNvSpPr>
                        <wps:spPr bwMode="auto">
                          <a:xfrm>
                            <a:off x="596911" y="5256519"/>
                            <a:ext cx="1717032" cy="389901"/>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 xml:space="preserve">HoLEP or </w:t>
                              </w:r>
                              <w:r w:rsidRPr="003C788B">
                                <w:rPr>
                                  <w:sz w:val="18"/>
                                  <w:szCs w:val="18"/>
                                </w:rPr>
                                <w:t xml:space="preserve">TURP </w:t>
                              </w:r>
                            </w:p>
                          </w:txbxContent>
                        </wps:txbx>
                        <wps:bodyPr rot="0" vert="horz" wrap="square" lIns="91440" tIns="45720" rIns="91440" bIns="45720" anchor="t" anchorCtr="0" upright="1">
                          <a:noAutofit/>
                        </wps:bodyPr>
                      </wps:wsp>
                      <wps:wsp>
                        <wps:cNvPr id="119" name="AutoShape 74"/>
                        <wps:cNvSpPr>
                          <a:spLocks noChangeArrowheads="1"/>
                        </wps:cNvSpPr>
                        <wps:spPr bwMode="auto">
                          <a:xfrm>
                            <a:off x="2475846" y="5256519"/>
                            <a:ext cx="1746933" cy="389901"/>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 xml:space="preserve">HoLEP or </w:t>
                              </w:r>
                              <w:r w:rsidRPr="003C788B">
                                <w:rPr>
                                  <w:sz w:val="18"/>
                                  <w:szCs w:val="18"/>
                                </w:rPr>
                                <w:t>open prostatectomy or two stage TURP</w:t>
                              </w:r>
                            </w:p>
                          </w:txbxContent>
                        </wps:txbx>
                        <wps:bodyPr rot="0" vert="horz" wrap="square" lIns="91440" tIns="45720" rIns="91440" bIns="45720" anchor="t" anchorCtr="0" upright="1">
                          <a:noAutofit/>
                        </wps:bodyPr>
                      </wps:wsp>
                      <wps:wsp>
                        <wps:cNvPr id="120" name="AutoShape 75"/>
                        <wps:cNvCnPr>
                          <a:cxnSpLocks noChangeShapeType="1"/>
                        </wps:cNvCnPr>
                        <wps:spPr bwMode="auto">
                          <a:xfrm>
                            <a:off x="2379344" y="3620113"/>
                            <a:ext cx="1002619" cy="302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78"/>
                        <wps:cNvCnPr>
                          <a:cxnSpLocks noChangeShapeType="1"/>
                        </wps:cNvCnPr>
                        <wps:spPr bwMode="auto">
                          <a:xfrm>
                            <a:off x="2376844" y="1821806"/>
                            <a:ext cx="600" cy="17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79"/>
                        <wps:cNvCnPr>
                          <a:cxnSpLocks noChangeShapeType="1"/>
                        </wps:cNvCnPr>
                        <wps:spPr bwMode="auto">
                          <a:xfrm>
                            <a:off x="2378744" y="644502"/>
                            <a:ext cx="600" cy="17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80"/>
                        <wps:cNvCnPr>
                          <a:cxnSpLocks noChangeShapeType="1"/>
                        </wps:cNvCnPr>
                        <wps:spPr bwMode="auto">
                          <a:xfrm>
                            <a:off x="2377444" y="2774310"/>
                            <a:ext cx="600" cy="17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149"/>
                        <wps:cNvCnPr>
                          <a:cxnSpLocks noChangeShapeType="1"/>
                          <a:stCxn id="127" idx="2"/>
                          <a:endCxn id="118" idx="0"/>
                        </wps:cNvCnPr>
                        <wps:spPr bwMode="auto">
                          <a:xfrm>
                            <a:off x="1450327" y="5004418"/>
                            <a:ext cx="5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50"/>
                        <wps:cNvCnPr>
                          <a:cxnSpLocks noChangeShapeType="1"/>
                          <a:stCxn id="126" idx="2"/>
                          <a:endCxn id="119" idx="0"/>
                        </wps:cNvCnPr>
                        <wps:spPr bwMode="auto">
                          <a:xfrm>
                            <a:off x="3347762" y="5059718"/>
                            <a:ext cx="1900" cy="196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76"/>
                        <wps:cNvSpPr>
                          <a:spLocks noChangeArrowheads="1"/>
                        </wps:cNvSpPr>
                        <wps:spPr bwMode="auto">
                          <a:xfrm>
                            <a:off x="2560348" y="3923014"/>
                            <a:ext cx="1574729" cy="1136704"/>
                          </a:xfrm>
                          <a:prstGeom prst="flowChartDecision">
                            <a:avLst/>
                          </a:prstGeom>
                          <a:solidFill>
                            <a:srgbClr val="FFFFFF"/>
                          </a:solidFill>
                          <a:ln w="9525">
                            <a:solidFill>
                              <a:srgbClr val="000000"/>
                            </a:solidFill>
                            <a:miter lim="800000"/>
                            <a:headEnd/>
                            <a:tailEnd/>
                          </a:ln>
                        </wps:spPr>
                        <wps:txbx>
                          <w:txbxContent>
                            <w:p w:rsidR="001C0B02" w:rsidRPr="003C788B" w:rsidRDefault="001C0B02" w:rsidP="0006743B">
                              <w:pPr>
                                <w:ind w:left="0"/>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–100g</w:t>
                              </w:r>
                            </w:p>
                          </w:txbxContent>
                        </wps:txbx>
                        <wps:bodyPr rot="0" vert="horz" wrap="square" lIns="91440" tIns="45720" rIns="91440" bIns="45720" anchor="t" anchorCtr="0" upright="1">
                          <a:noAutofit/>
                        </wps:bodyPr>
                      </wps:wsp>
                      <wps:wsp>
                        <wps:cNvPr id="127" name="AutoShape 77"/>
                        <wps:cNvSpPr>
                          <a:spLocks noChangeArrowheads="1"/>
                        </wps:cNvSpPr>
                        <wps:spPr bwMode="auto">
                          <a:xfrm>
                            <a:off x="690213" y="3923014"/>
                            <a:ext cx="1520228" cy="1081404"/>
                          </a:xfrm>
                          <a:prstGeom prst="flowChartDecision">
                            <a:avLst/>
                          </a:prstGeom>
                          <a:solidFill>
                            <a:srgbClr val="FFFFFF"/>
                          </a:solidFill>
                          <a:ln w="9525">
                            <a:solidFill>
                              <a:srgbClr val="000000"/>
                            </a:solidFill>
                            <a:miter lim="800000"/>
                            <a:headEnd/>
                            <a:tailEnd/>
                          </a:ln>
                        </wps:spPr>
                        <wps:txbx>
                          <w:txbxContent>
                            <w:p w:rsidR="001C0B02" w:rsidRPr="003C788B" w:rsidRDefault="001C0B02" w:rsidP="0006743B">
                              <w:pPr>
                                <w:ind w:left="0"/>
                                <w:rPr>
                                  <w:sz w:val="18"/>
                                  <w:szCs w:val="18"/>
                                </w:rPr>
                              </w:pPr>
                              <w:r w:rsidRPr="003C788B">
                                <w:rPr>
                                  <w:sz w:val="18"/>
                                  <w:szCs w:val="18"/>
                                </w:rPr>
                                <w:t xml:space="preserve">Moderate prostate: Estimated Size Moderate prostate: </w:t>
                              </w:r>
                              <w:r>
                                <w:rPr>
                                  <w:sz w:val="18"/>
                                  <w:szCs w:val="18"/>
                                </w:rPr>
                                <w:t>e</w:t>
                              </w:r>
                              <w:r w:rsidRPr="003C788B">
                                <w:rPr>
                                  <w:sz w:val="18"/>
                                  <w:szCs w:val="18"/>
                                </w:rPr>
                                <w:t xml:space="preserve">stimated </w:t>
                              </w:r>
                              <w:r>
                                <w:rPr>
                                  <w:sz w:val="18"/>
                                  <w:szCs w:val="18"/>
                                </w:rPr>
                                <w:t>s</w:t>
                              </w:r>
                              <w:r w:rsidRPr="003C788B">
                                <w:rPr>
                                  <w:sz w:val="18"/>
                                  <w:szCs w:val="18"/>
                                </w:rPr>
                                <w:t>ize&lt;80</w:t>
                              </w:r>
                              <w:r>
                                <w:rPr>
                                  <w:sz w:val="18"/>
                                  <w:szCs w:val="18"/>
                                </w:rPr>
                                <w:t>–</w:t>
                              </w:r>
                              <w:r w:rsidRPr="003C788B">
                                <w:rPr>
                                  <w:sz w:val="18"/>
                                  <w:szCs w:val="18"/>
                                </w:rPr>
                                <w:t>100g&lt;80-100gModerate prostate: Estimated Size &lt;80-100g</w:t>
                              </w:r>
                            </w:p>
                          </w:txbxContent>
                        </wps:txbx>
                        <wps:bodyPr rot="0" vert="horz" wrap="square" lIns="91440" tIns="45720" rIns="91440" bIns="45720" anchor="t" anchorCtr="0" upright="1">
                          <a:noAutofit/>
                        </wps:bodyPr>
                      </wps:wsp>
                    </wpc:wpc>
                  </a:graphicData>
                </a:graphic>
              </wp:inline>
            </w:drawing>
          </mc:Choice>
          <mc:Fallback>
            <w:pict>
              <v:group id="Canvas 130" o:spid="_x0000_s1048" editas="canvas" alt="Title: Figure 2: Proposed management using HoLEP - Description: Figure 2: Proposed management using HoLEP" style="width:379.7pt;height:444.6pt;mso-position-horizontal-relative:char;mso-position-vertical-relative:line" coordsize="48221,5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">
                <v:shape id="_x0000_s1049" type="#_x0000_t75" alt="Figure 2: Proposed management using HoLEP" style="position:absolute;width:48221;height:56464;visibility:visible;mso-wrap-style:square">
                  <v:fill o:detectmouseclick="t"/>
                  <v:path o:connecttype="none"/>
                </v:shape>
                <v:rect id="Rectangle 64" o:spid="_x0000_s1050" style="position:absolute;left:6902;top:8191;width:35782;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p w:rsidR="001C0B02" w:rsidRDefault="001C0B02" w:rsidP="0006743B">
                        <w:pPr>
                          <w:spacing w:after="0"/>
                          <w:ind w:left="0"/>
                          <w:jc w:val="center"/>
                          <w:rPr>
                            <w:sz w:val="18"/>
                            <w:szCs w:val="18"/>
                          </w:rPr>
                        </w:pPr>
                      </w:p>
                    </w:txbxContent>
                  </v:textbox>
                </v:rect>
                <v:roundrect id="AutoShape 65" o:spid="_x0000_s1051" style="position:absolute;left:17272;top:15265;width:13182;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ZPMIA&#10;AADcAAAADwAAAGRycy9kb3ducmV2LnhtbERPTWvCQBC9C/6HZQq9mV2FFk1dpQgtvRWjB4/T7JgE&#10;s7NxdxPT/nq3UOhtHu9z1tvRtmIgHxrHGuaZAkFcOtNwpeF4eJstQYSIbLB1TBq+KcB2M52sMTfu&#10;xnsailiJFMIhRw11jF0uZShrshgy1xEn7uy8xZigr6TxeEvhtpULpZ6lxYZTQ40d7WoqL0VvNZRG&#10;9cqfhs/V11M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5k8wgAAANwAAAAPAAAAAAAAAAAAAAAAAJgCAABkcnMvZG93&#10;bnJldi54bWxQSwUGAAAAAAQABAD1AAAAhwMAAAAA&#10;">
                  <v:textbox>
                    <w:txbxContent>
                      <w:p w:rsidR="001C0B02" w:rsidRPr="003C788B" w:rsidRDefault="001C0B02" w:rsidP="0006743B">
                        <w:pPr>
                          <w:spacing w:after="0"/>
                          <w:ind w:left="0"/>
                          <w:rPr>
                            <w:sz w:val="18"/>
                            <w:szCs w:val="18"/>
                          </w:rPr>
                        </w:pPr>
                        <w:r w:rsidRPr="003C788B">
                          <w:rPr>
                            <w:sz w:val="18"/>
                            <w:szCs w:val="18"/>
                          </w:rPr>
                          <w:t>If inappropriate or fails</w:t>
                        </w:r>
                      </w:p>
                    </w:txbxContent>
                  </v:textbox>
                </v:roundrect>
                <v:rect id="Rectangle 66" o:spid="_x0000_s1052" style="position:absolute;left:15519;top:19405;width:17481;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1C0B02" w:rsidRPr="003C788B" w:rsidRDefault="001C0B02" w:rsidP="0006743B">
                        <w:pPr>
                          <w:spacing w:after="0"/>
                          <w:ind w:left="0"/>
                          <w:rPr>
                            <w:sz w:val="18"/>
                            <w:szCs w:val="18"/>
                          </w:rPr>
                        </w:pPr>
                        <w:r w:rsidRPr="003C788B">
                          <w:rPr>
                            <w:sz w:val="18"/>
                            <w:szCs w:val="18"/>
                          </w:rPr>
                          <w:t>Medical treatment:</w:t>
                        </w:r>
                      </w:p>
                      <w:p w:rsidR="001C0B02" w:rsidRPr="00A342BD" w:rsidRDefault="001C0B02" w:rsidP="0006743B">
                        <w:pPr>
                          <w:pStyle w:val="ListParagraph"/>
                          <w:numPr>
                            <w:ilvl w:val="0"/>
                            <w:numId w:val="4"/>
                          </w:numPr>
                          <w:spacing w:after="0" w:line="276" w:lineRule="auto"/>
                          <w:rPr>
                            <w:sz w:val="18"/>
                            <w:szCs w:val="18"/>
                          </w:rPr>
                        </w:pPr>
                        <w:r>
                          <w:rPr>
                            <w:sz w:val="18"/>
                            <w:szCs w:val="18"/>
                          </w:rPr>
                          <w:t>a</w:t>
                        </w:r>
                        <w:r w:rsidRPr="00A342BD">
                          <w:rPr>
                            <w:sz w:val="18"/>
                            <w:szCs w:val="18"/>
                          </w:rPr>
                          <w:t>lpha blockers</w:t>
                        </w:r>
                      </w:p>
                      <w:p w:rsidR="001C0B02" w:rsidRPr="00A342BD" w:rsidRDefault="001C0B02" w:rsidP="0006743B">
                        <w:pPr>
                          <w:pStyle w:val="ListParagraph"/>
                          <w:numPr>
                            <w:ilvl w:val="0"/>
                            <w:numId w:val="4"/>
                          </w:numPr>
                          <w:spacing w:after="0" w:line="276" w:lineRule="auto"/>
                          <w:rPr>
                            <w:sz w:val="18"/>
                            <w:szCs w:val="18"/>
                          </w:rPr>
                        </w:pPr>
                        <w:r w:rsidRPr="00A342BD">
                          <w:rPr>
                            <w:sz w:val="18"/>
                            <w:szCs w:val="18"/>
                          </w:rPr>
                          <w:t>5-alpha reductase inhibitors</w:t>
                        </w:r>
                      </w:p>
                      <w:p w:rsidR="001C0B02" w:rsidRPr="00A342BD" w:rsidRDefault="001C0B02" w:rsidP="0006743B">
                        <w:pPr>
                          <w:pStyle w:val="ListParagraph"/>
                          <w:numPr>
                            <w:ilvl w:val="0"/>
                            <w:numId w:val="4"/>
                          </w:numPr>
                          <w:spacing w:after="0" w:line="276" w:lineRule="auto"/>
                          <w:rPr>
                            <w:sz w:val="18"/>
                            <w:szCs w:val="18"/>
                          </w:rPr>
                        </w:pPr>
                        <w:r w:rsidRPr="00A342BD">
                          <w:rPr>
                            <w:sz w:val="18"/>
                            <w:szCs w:val="18"/>
                          </w:rPr>
                          <w:t>anti-cholinergics</w:t>
                        </w:r>
                      </w:p>
                      <w:p w:rsidR="001C0B02" w:rsidRPr="00A342BD" w:rsidRDefault="001C0B02" w:rsidP="0006743B">
                        <w:pPr>
                          <w:rPr>
                            <w:sz w:val="18"/>
                            <w:szCs w:val="18"/>
                          </w:rPr>
                        </w:pPr>
                      </w:p>
                    </w:txbxContent>
                  </v:textbox>
                </v:rect>
                <v:roundrect id="AutoShape 67" o:spid="_x0000_s1053" style="position:absolute;left:4331;top:29489;width:40633;height:67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k08IA&#10;AADcAAAADwAAAGRycy9kb3ducmV2LnhtbERPTWsCMRC9F/wPYYTeamKxRVejiFDprXT14HHcjLuL&#10;m8maZNdtf31TKPQ2j/c5q81gG9GTD7VjDdOJAkFcOFNzqeF4eHuagwgR2WDjmDR8UYDNevSwwsy4&#10;O39Sn8dSpBAOGWqoYmwzKUNRkcUwcS1x4i7OW4wJ+lIaj/cUbhv5rNSrtFhzaqiwpV1FxTXvrIbC&#10;qE75U/+xOL/E/Lvvbiz3N60fx8N2CSLSEP/Ff+53k+Z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qTTwgAAANwAAAAPAAAAAAAAAAAAAAAAAJgCAABkcnMvZG93&#10;bnJldi54bWxQSwUGAAAAAAQABAD1AAAAhwMAAAAA&#10;">
                  <v:textbo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p w:rsidR="001C0B02" w:rsidRDefault="001C0B02" w:rsidP="0006743B">
                        <w:pPr>
                          <w:spacing w:after="0"/>
                          <w:ind w:left="0"/>
                          <w:jc w:val="center"/>
                          <w:rPr>
                            <w:sz w:val="18"/>
                            <w:szCs w:val="18"/>
                          </w:rPr>
                        </w:pPr>
                      </w:p>
                      <w:p w:rsidR="001C0B02" w:rsidRPr="001F618D" w:rsidRDefault="001C0B02" w:rsidP="0006743B">
                        <w:pPr>
                          <w:spacing w:after="0"/>
                          <w:ind w:left="0"/>
                          <w:rPr>
                            <w:szCs w:val="18"/>
                          </w:rPr>
                        </w:pPr>
                      </w:p>
                    </w:txbxContent>
                  </v:textbox>
                </v:roundrect>
                <v:roundrect id="AutoShape 68" o:spid="_x0000_s1054" style="position:absolute;left:13995;width:19824;height:69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BSMIA&#10;AADcAAAADwAAAGRycy9kb3ducmV2LnhtbERPTWvCQBC9C/6HZQq9mV0LFk1dpQgtvRWjB4/T7JgE&#10;s7NxdxPT/nq3UOhtHu9z1tvRtmIgHxrHGuaZAkFcOtNwpeF4eJstQYSIbLB1TBq+KcB2M52sMTfu&#10;xnsailiJFMIhRw11jF0uZShrshgy1xEn7uy8xZigr6TxeEvhtpVPSj1Liw2nhho72tVUXoreaiiN&#10;6pU/DZ+rr0U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gFIwgAAANwAAAAPAAAAAAAAAAAAAAAAAJgCAABkcnMvZG93&#10;bnJldi54bWxQSwUGAAAAAAQABAD1AAAAhwMAAAAA&#10;">
                  <v:textbo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p w:rsidR="001C0B02" w:rsidRDefault="001C0B02">
                        <w:pPr>
                          <w:ind w:left="0"/>
                        </w:pPr>
                      </w:p>
                    </w:txbxContent>
                  </v:textbox>
                </v:roundrect>
                <v:shape id="AutoShape 69" o:spid="_x0000_s1055" type="#_x0000_t32" style="position:absolute;left:23780;top:13474;width:7;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70" o:spid="_x0000_s1056" type="#_x0000_t32" style="position:absolute;left:13995;top:36315;width:9773;height:29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rfsEAAADcAAAADwAAAGRycy9kb3ducmV2LnhtbERP32vCMBB+F/Y/hBv4pmkH6uiMZRME&#10;8UXmBtvj0ZxtsLmUJmvqf2+EgW/38f28dTnaVgzUe+NYQT7PQBBXThuuFXx/7WavIHxA1tg6JgVX&#10;8lBuniZrLLSL/EnDKdQihbAvUEETQldI6auGLPq564gTd3a9xZBgX0vdY0zhtpUvWbaUFg2nhgY7&#10;2jZUXU5/VoGJRzN0+238OPz8eh3JXBfOKDV9Ht/fQAQaw0P8797rND9fwf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mt+wQAAANwAAAAPAAAAAAAAAAAAAAAA&#10;AKECAABkcnMvZG93bnJldi54bWxQSwUGAAAAAAQABAD5AAAAjwMAAAAA&#10;">
                  <v:stroke endarrow="block"/>
                </v:shape>
                <v:shape id="AutoShape 41" o:spid="_x0000_s1057" type="#_x0000_t109" style="position:absolute;left:5969;top:52565;width:17170;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cYA&#10;AADcAAAADwAAAGRycy9kb3ducmV2LnhtbESPQWvCQBCF70L/wzKFXkQ3USuSukoRUvTgoWkvvU2z&#10;0yQ0Oxuya4z/vnMoeJvhvXnvm+1+dK0aqA+NZwPpPAFFXHrbcGXg8yOfbUCFiGyx9UwGbhRgv3uY&#10;bDGz/srvNBSxUhLCIUMDdYxdpnUoa3IY5r4jFu3H9w6jrH2lbY9XCXetXiTJWjtsWBpq7OhQU/lb&#10;XJyBxWZavPE5P66+TzbH5/RrmC5Pxjw9jq8voCKN8W7+vz5awU+FVp6RCf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cYAAADcAAAADwAAAAAAAAAAAAAAAACYAgAAZHJz&#10;L2Rvd25yZXYueG1sUEsFBgAAAAAEAAQA9QAAAIsDAAAAAA==&#10;">
                  <v:textbo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 xml:space="preserve">HoLEP or </w:t>
                        </w:r>
                        <w:r w:rsidRPr="003C788B">
                          <w:rPr>
                            <w:sz w:val="18"/>
                            <w:szCs w:val="18"/>
                          </w:rPr>
                          <w:t xml:space="preserve">TURP </w:t>
                        </w:r>
                      </w:p>
                    </w:txbxContent>
                  </v:textbox>
                </v:shape>
                <v:shape id="AutoShape 74" o:spid="_x0000_s1058" type="#_x0000_t109" style="position:absolute;left:24758;top:52565;width:17469;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1YsQA&#10;AADcAAAADwAAAGRycy9kb3ducmV2LnhtbERPS2vCQBC+C/6HZQQvUjfxUWzqKiKk6MGDsZfeptlp&#10;EszOhuw2xn/fLQje5uN7znrbm1p01LrKsoJ4GoEgzq2uuFDweUlfViCcR9ZYWyYFd3Kw3QwHa0y0&#10;vfGZuswXIoSwS1BB6X2TSOnykgy6qW2IA/djW4M+wLaQusVbCDe1nEXRqzRYcWgosaF9Sfk1+zUK&#10;ZqtJ9sGn9LD4PuoUl/FXN5kflRqP+t07CE+9f4of7oMO8+M3+H8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7NWLEAAAA3AAAAA8AAAAAAAAAAAAAAAAAmAIAAGRycy9k&#10;b3ducmV2LnhtbFBLBQYAAAAABAAEAPUAAACJAwAAAAA=&#10;">
                  <v:textbo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 xml:space="preserve">HoLEP or </w:t>
                        </w:r>
                        <w:r w:rsidRPr="003C788B">
                          <w:rPr>
                            <w:sz w:val="18"/>
                            <w:szCs w:val="18"/>
                          </w:rPr>
                          <w:t>open prostatectomy or two stage TURP</w:t>
                        </w:r>
                      </w:p>
                    </w:txbxContent>
                  </v:textbox>
                </v:shape>
                <v:shape id="AutoShape 75" o:spid="_x0000_s1059" type="#_x0000_t32" style="position:absolute;left:23793;top:36201;width:10026;height:3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78" o:spid="_x0000_s1060" type="#_x0000_t32" style="position:absolute;left:23768;top:18218;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79" o:spid="_x0000_s1061" type="#_x0000_t32" style="position:absolute;left:23787;top:6445;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80" o:spid="_x0000_s1062" type="#_x0000_t32" style="position:absolute;left:23774;top:27743;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149" o:spid="_x0000_s1063" type="#_x0000_t32" style="position:absolute;left:14503;top:50044;width:51;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150" o:spid="_x0000_s1064" type="#_x0000_t32" style="position:absolute;left:33477;top:50597;width: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76" o:spid="_x0000_s1065" type="#_x0000_t110" style="position:absolute;left:25603;top:39230;width:15747;height:1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lUsMA&#10;AADcAAAADwAAAGRycy9kb3ducmV2LnhtbERPTWvCQBC9F/oflhF6qxutWEldpQjSHkSsiucxOyah&#10;mdmQXU3017tCobd5vM+Zzjuu1IUaXzoxMOgnoEgyZ0vJDex3y9cJKB9QLFZOyMCVPMxnz09TTK1r&#10;5Ycu25CrGCI+RQNFCHWqtc8KYvR9V5NE7uQaxhBhk2vbYBvDudLDJBlrxlJiQ4E1LQrKfrdnNrA5&#10;jjbcrm4nXt1GB67OX++H9ZsxL73u8wNUoC78i//c3zbOH47h8Uy8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lUsMAAADcAAAADwAAAAAAAAAAAAAAAACYAgAAZHJzL2Rv&#10;d25yZXYueG1sUEsFBgAAAAAEAAQA9QAAAIgDAAAAAA==&#10;">
                  <v:textbox>
                    <w:txbxContent>
                      <w:p w:rsidR="001C0B02" w:rsidRPr="003C788B" w:rsidRDefault="001C0B02" w:rsidP="0006743B">
                        <w:pPr>
                          <w:ind w:left="0"/>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–100g</w:t>
                        </w:r>
                      </w:p>
                    </w:txbxContent>
                  </v:textbox>
                </v:shape>
                <v:shape id="AutoShape 77" o:spid="_x0000_s1066" type="#_x0000_t110" style="position:absolute;left:6902;top:39230;width:15202;height:10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1C0B02" w:rsidRPr="003C788B" w:rsidRDefault="001C0B02" w:rsidP="0006743B">
                        <w:pPr>
                          <w:ind w:left="0"/>
                          <w:rPr>
                            <w:sz w:val="18"/>
                            <w:szCs w:val="18"/>
                          </w:rPr>
                        </w:pPr>
                        <w:r w:rsidRPr="003C788B">
                          <w:rPr>
                            <w:sz w:val="18"/>
                            <w:szCs w:val="18"/>
                          </w:rPr>
                          <w:t xml:space="preserve">Moderate prostate: Estimated Size Moderate prostate: </w:t>
                        </w:r>
                        <w:r>
                          <w:rPr>
                            <w:sz w:val="18"/>
                            <w:szCs w:val="18"/>
                          </w:rPr>
                          <w:t>e</w:t>
                        </w:r>
                        <w:r w:rsidRPr="003C788B">
                          <w:rPr>
                            <w:sz w:val="18"/>
                            <w:szCs w:val="18"/>
                          </w:rPr>
                          <w:t xml:space="preserve">stimated </w:t>
                        </w:r>
                        <w:r>
                          <w:rPr>
                            <w:sz w:val="18"/>
                            <w:szCs w:val="18"/>
                          </w:rPr>
                          <w:t>s</w:t>
                        </w:r>
                        <w:r w:rsidRPr="003C788B">
                          <w:rPr>
                            <w:sz w:val="18"/>
                            <w:szCs w:val="18"/>
                          </w:rPr>
                          <w:t>ize&lt;80</w:t>
                        </w:r>
                        <w:r>
                          <w:rPr>
                            <w:sz w:val="18"/>
                            <w:szCs w:val="18"/>
                          </w:rPr>
                          <w:t>–</w:t>
                        </w:r>
                        <w:r w:rsidRPr="003C788B">
                          <w:rPr>
                            <w:sz w:val="18"/>
                            <w:szCs w:val="18"/>
                          </w:rPr>
                          <w:t>100g&lt;80-100gModerate prostate: Estimated Size &lt;80-100g</w:t>
                        </w:r>
                      </w:p>
                    </w:txbxContent>
                  </v:textbox>
                </v:shape>
                <w10:anchorlock/>
              </v:group>
            </w:pict>
          </mc:Fallback>
        </mc:AlternateContent>
      </w:r>
    </w:p>
    <w:p w:rsidR="00786914" w:rsidRPr="00B82507" w:rsidRDefault="00786914" w:rsidP="0006743B">
      <w:pPr>
        <w:pStyle w:val="Normalbold"/>
      </w:pPr>
      <w:bookmarkStart w:id="37" w:name="_Toc327877830"/>
      <w:r w:rsidRPr="00B82507">
        <w:t>Comparator to the proposed intervention</w:t>
      </w:r>
      <w:bookmarkEnd w:id="37"/>
    </w:p>
    <w:p w:rsidR="00786914" w:rsidRPr="004E1EFC" w:rsidRDefault="00786914" w:rsidP="0006743B">
      <w:pPr>
        <w:rPr>
          <w:rFonts w:cs="Arial"/>
          <w:szCs w:val="24"/>
        </w:rPr>
      </w:pPr>
      <w:r w:rsidRPr="004E1EFC">
        <w:rPr>
          <w:rFonts w:cs="Arial"/>
          <w:szCs w:val="24"/>
        </w:rPr>
        <w:t>Although a number of surgical options are available for men with moderate</w:t>
      </w:r>
      <w:r>
        <w:rPr>
          <w:rFonts w:cs="Arial"/>
          <w:szCs w:val="24"/>
        </w:rPr>
        <w:t>-</w:t>
      </w:r>
      <w:r w:rsidRPr="004E1EFC">
        <w:rPr>
          <w:rFonts w:cs="Arial"/>
          <w:szCs w:val="24"/>
        </w:rPr>
        <w:t>sized prostates (</w:t>
      </w:r>
      <w:r>
        <w:rPr>
          <w:rFonts w:cs="Arial"/>
          <w:szCs w:val="24"/>
        </w:rPr>
        <w:t xml:space="preserve">less than </w:t>
      </w:r>
      <w:r w:rsidRPr="004E1EFC">
        <w:rPr>
          <w:rFonts w:cs="Arial"/>
          <w:szCs w:val="24"/>
        </w:rPr>
        <w:t>80</w:t>
      </w:r>
      <w:r>
        <w:rPr>
          <w:sz w:val="18"/>
          <w:szCs w:val="18"/>
        </w:rPr>
        <w:t>–</w:t>
      </w:r>
      <w:r w:rsidRPr="004E1EFC">
        <w:rPr>
          <w:rFonts w:cs="Arial"/>
          <w:szCs w:val="24"/>
        </w:rPr>
        <w:t>100</w:t>
      </w:r>
      <w:r>
        <w:rPr>
          <w:rFonts w:cs="Arial"/>
          <w:szCs w:val="24"/>
        </w:rPr>
        <w:t>g</w:t>
      </w:r>
      <w:r w:rsidRPr="004E1EFC">
        <w:rPr>
          <w:rFonts w:cs="Arial"/>
          <w:szCs w:val="24"/>
        </w:rPr>
        <w:t>), only TURP was considered a suitable comparator for HoLEP in this evaluation. For men with larger prostates (greater than 80</w:t>
      </w:r>
      <w:r>
        <w:rPr>
          <w:sz w:val="18"/>
          <w:szCs w:val="18"/>
        </w:rPr>
        <w:t>–</w:t>
      </w:r>
      <w:r w:rsidRPr="004E1EFC">
        <w:rPr>
          <w:rFonts w:cs="Arial"/>
          <w:szCs w:val="24"/>
        </w:rPr>
        <w:t>100</w:t>
      </w:r>
      <w:r>
        <w:rPr>
          <w:rFonts w:cs="Arial"/>
          <w:szCs w:val="24"/>
        </w:rPr>
        <w:t>g</w:t>
      </w:r>
      <w:r w:rsidRPr="004E1EFC">
        <w:rPr>
          <w:rFonts w:cs="Arial"/>
          <w:szCs w:val="24"/>
        </w:rPr>
        <w:t xml:space="preserve">), </w:t>
      </w:r>
      <w:r>
        <w:rPr>
          <w:rFonts w:cs="Arial"/>
          <w:szCs w:val="24"/>
        </w:rPr>
        <w:t>OP</w:t>
      </w:r>
      <w:r w:rsidRPr="004E1EFC">
        <w:rPr>
          <w:rFonts w:cs="Arial"/>
          <w:szCs w:val="24"/>
        </w:rPr>
        <w:t xml:space="preserve"> was the comparator that was used for assessing the evidence for HoLEP. </w:t>
      </w:r>
    </w:p>
    <w:p w:rsidR="00786914" w:rsidRDefault="00786914" w:rsidP="0006743B">
      <w:pPr>
        <w:rPr>
          <w:rFonts w:cs="Arial"/>
          <w:szCs w:val="24"/>
        </w:rPr>
      </w:pPr>
      <w:r w:rsidRPr="004E1EFC">
        <w:rPr>
          <w:rFonts w:cs="Arial"/>
          <w:szCs w:val="24"/>
        </w:rPr>
        <w:lastRenderedPageBreak/>
        <w:t xml:space="preserve">The newer surgical interventions for BPH (that is, TUNA, TUMT and </w:t>
      </w:r>
      <w:r>
        <w:rPr>
          <w:rFonts w:cs="Arial"/>
          <w:szCs w:val="24"/>
        </w:rPr>
        <w:t>VLAP</w:t>
      </w:r>
      <w:r w:rsidRPr="004E1EFC">
        <w:rPr>
          <w:rFonts w:cs="Arial"/>
          <w:szCs w:val="24"/>
        </w:rPr>
        <w:t>) were not considered suitable comparators. This is because they have lower utilisation rates and represent smaller costs to the MBS relative to the gold standards. Furthermore, if approved, HoLEP</w:t>
      </w:r>
      <w:r>
        <w:rPr>
          <w:rFonts w:cs="Arial"/>
          <w:szCs w:val="24"/>
        </w:rPr>
        <w:t xml:space="preserve"> </w:t>
      </w:r>
      <w:r w:rsidRPr="004E1EFC">
        <w:rPr>
          <w:rFonts w:cs="Arial"/>
          <w:szCs w:val="24"/>
        </w:rPr>
        <w:t xml:space="preserve">would be expected to replace these procedures in centres where it would be available. This approach, described in the DAP was agreed to by </w:t>
      </w:r>
      <w:r>
        <w:rPr>
          <w:rFonts w:cs="Arial"/>
          <w:szCs w:val="24"/>
        </w:rPr>
        <w:t xml:space="preserve">PASC. </w:t>
      </w:r>
    </w:p>
    <w:p w:rsidR="00786914" w:rsidRPr="004E1EFC" w:rsidRDefault="00786914" w:rsidP="0006743B">
      <w:pPr>
        <w:rPr>
          <w:rFonts w:cs="Arial"/>
          <w:szCs w:val="24"/>
        </w:rPr>
      </w:pPr>
      <w:r w:rsidRPr="004E1EFC">
        <w:rPr>
          <w:rFonts w:cs="Arial"/>
          <w:szCs w:val="24"/>
        </w:rPr>
        <w:t xml:space="preserve">TURP accounts for the vast majority of surgical procedures for BPH. Under general, epidural or spinal anaesthesia, a small electric loop is introduced into the urethra via a rectoscope. Slivers of excess tissue are excised and then electrical current is applied to cauterise the wound. </w:t>
      </w:r>
    </w:p>
    <w:p w:rsidR="00786914" w:rsidRPr="004E1EFC" w:rsidRDefault="00786914" w:rsidP="0006743B">
      <w:pPr>
        <w:rPr>
          <w:rFonts w:cs="Arial"/>
          <w:szCs w:val="24"/>
        </w:rPr>
      </w:pPr>
      <w:r w:rsidRPr="004E1EFC">
        <w:rPr>
          <w:rFonts w:cs="Arial"/>
          <w:szCs w:val="24"/>
        </w:rPr>
        <w:t xml:space="preserve">Complications can include bleeding that may require transfusion, acute urinary retention, infections and urethral stricture. A very rare and serious complication known as </w:t>
      </w:r>
      <w:r>
        <w:rPr>
          <w:rFonts w:cs="Arial"/>
          <w:szCs w:val="24"/>
        </w:rPr>
        <w:t>‘</w:t>
      </w:r>
      <w:r w:rsidRPr="004E1EFC">
        <w:rPr>
          <w:rFonts w:cs="Arial"/>
          <w:szCs w:val="24"/>
        </w:rPr>
        <w:t>TUR syndrome</w:t>
      </w:r>
      <w:r>
        <w:rPr>
          <w:rFonts w:cs="Arial"/>
          <w:szCs w:val="24"/>
        </w:rPr>
        <w:t>’</w:t>
      </w:r>
      <w:r w:rsidRPr="004E1EFC">
        <w:rPr>
          <w:rFonts w:cs="Arial"/>
          <w:szCs w:val="24"/>
        </w:rPr>
        <w:t xml:space="preserve"> (dilutional</w:t>
      </w:r>
      <w:r>
        <w:rPr>
          <w:rFonts w:cs="Arial"/>
          <w:szCs w:val="24"/>
        </w:rPr>
        <w:t xml:space="preserve"> </w:t>
      </w:r>
      <w:r w:rsidRPr="004E1EFC">
        <w:rPr>
          <w:rFonts w:cs="Arial"/>
          <w:szCs w:val="24"/>
        </w:rPr>
        <w:t>hyponatraemia) can also occur, although it is treatable. Larger prostates are considered poor candidates for TURP, in part due to longer resection times leading to higher complication rates. Resection time can be limited to avoid complications with patients returning for a second TURP if further resection is required.</w:t>
      </w:r>
    </w:p>
    <w:p w:rsidR="00786914" w:rsidRPr="004E1EFC" w:rsidRDefault="00786914" w:rsidP="0006743B">
      <w:pPr>
        <w:rPr>
          <w:rFonts w:cs="Arial"/>
          <w:szCs w:val="24"/>
        </w:rPr>
      </w:pPr>
      <w:r w:rsidRPr="004E1EFC">
        <w:rPr>
          <w:rFonts w:cs="Arial"/>
          <w:szCs w:val="24"/>
        </w:rPr>
        <w:t xml:space="preserve">An indwelling catheter is usually required for 12 to 24 hours </w:t>
      </w:r>
      <w:r>
        <w:rPr>
          <w:rFonts w:cs="Arial"/>
          <w:szCs w:val="24"/>
        </w:rPr>
        <w:t>as is</w:t>
      </w:r>
      <w:r w:rsidRPr="004E1EFC">
        <w:rPr>
          <w:rFonts w:cs="Arial"/>
          <w:szCs w:val="24"/>
        </w:rPr>
        <w:t xml:space="preserve"> a hospital stay of one to three days. TURP requires full operating room facilities and utilises equipment such as a standard diathermy generator with cutting and coagulation outputs and standard video-endoscopic equipment.</w:t>
      </w:r>
    </w:p>
    <w:p w:rsidR="00786914" w:rsidRDefault="00786914" w:rsidP="0006743B">
      <w:pPr>
        <w:rPr>
          <w:rFonts w:cs="Arial"/>
          <w:szCs w:val="24"/>
        </w:rPr>
      </w:pPr>
      <w:r w:rsidRPr="004E1EFC">
        <w:rPr>
          <w:rFonts w:cs="Arial"/>
          <w:szCs w:val="24"/>
        </w:rPr>
        <w:t>The procedure is performed by an urologist with the assistance of nursing staff and an anaesthetist. Standard inpatient pathways requiring ward and recovery staff also apply.</w:t>
      </w:r>
    </w:p>
    <w:p w:rsidR="00786914" w:rsidRDefault="00786914" w:rsidP="0006743B">
      <w:pPr>
        <w:tabs>
          <w:tab w:val="left" w:pos="720"/>
          <w:tab w:val="left" w:pos="1140"/>
        </w:tabs>
        <w:spacing w:before="120" w:after="0"/>
        <w:rPr>
          <w:rFonts w:cs="Arial"/>
          <w:szCs w:val="24"/>
        </w:rPr>
      </w:pPr>
      <w:r w:rsidRPr="004E1EFC">
        <w:rPr>
          <w:rFonts w:cs="Arial"/>
          <w:szCs w:val="24"/>
        </w:rPr>
        <w:t xml:space="preserve">The </w:t>
      </w:r>
      <w:r>
        <w:rPr>
          <w:rFonts w:cs="Arial"/>
          <w:szCs w:val="24"/>
        </w:rPr>
        <w:t>MBS item descriptors for TURP are:</w:t>
      </w:r>
    </w:p>
    <w:p w:rsidR="00786914" w:rsidRPr="004E1EFC" w:rsidRDefault="00786914" w:rsidP="0006743B">
      <w:pPr>
        <w:tabs>
          <w:tab w:val="left" w:pos="720"/>
          <w:tab w:val="left" w:pos="1140"/>
        </w:tabs>
        <w:spacing w:before="120" w:after="0"/>
        <w:rPr>
          <w:rFonts w:cs="Arial"/>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5"/>
      </w:tblGrid>
      <w:tr w:rsidR="00786914" w:rsidRPr="002B5B6B">
        <w:tc>
          <w:tcPr>
            <w:tcW w:w="8930" w:type="dxa"/>
          </w:tcPr>
          <w:p w:rsidR="00786914" w:rsidRPr="00C60ED1" w:rsidRDefault="00786914" w:rsidP="0006743B">
            <w:pPr>
              <w:pStyle w:val="TableText"/>
            </w:pPr>
            <w:r w:rsidRPr="006F775C">
              <w:t>Category 3 – THERAPUTIC PROCEDURES</w:t>
            </w:r>
          </w:p>
        </w:tc>
      </w:tr>
      <w:tr w:rsidR="00786914" w:rsidRPr="002B5B6B">
        <w:tc>
          <w:tcPr>
            <w:tcW w:w="8930" w:type="dxa"/>
          </w:tcPr>
          <w:p w:rsidR="00786914" w:rsidRPr="00C60ED1" w:rsidRDefault="00786914" w:rsidP="0006743B">
            <w:pPr>
              <w:pStyle w:val="TableText"/>
            </w:pPr>
            <w:r w:rsidRPr="006F775C">
              <w:t>MBS 37203</w:t>
            </w:r>
          </w:p>
          <w:p w:rsidR="00786914" w:rsidRPr="00C60ED1" w:rsidRDefault="00786914" w:rsidP="0006743B">
            <w:pPr>
              <w:pStyle w:val="TableText"/>
            </w:pPr>
            <w:r w:rsidRPr="006F775C">
              <w:t>PROSTATECTOMY (endoscopic, using diathermy or cold punch), with or without cystoscopy and with or without urethroscopy, and including services to which item 36854, 37201, 37202, 37207, 37208, 37303, 37321 or 37324 applies (Anaes.)</w:t>
            </w:r>
          </w:p>
          <w:p w:rsidR="00786914" w:rsidRPr="00C60ED1" w:rsidRDefault="00D40A83" w:rsidP="0006743B">
            <w:pPr>
              <w:pStyle w:val="TableText"/>
            </w:pPr>
            <w:r>
              <w:t xml:space="preserve">Fee: $1,002.70 </w:t>
            </w:r>
            <w:r w:rsidR="00786914" w:rsidRPr="006F775C">
              <w:t xml:space="preserve"> Benefit: 75% = $752.00</w:t>
            </w:r>
          </w:p>
        </w:tc>
      </w:tr>
    </w:tbl>
    <w:p w:rsidR="00786914" w:rsidRDefault="00786914" w:rsidP="0006743B"/>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5"/>
      </w:tblGrid>
      <w:tr w:rsidR="00786914" w:rsidRPr="002B5B6B">
        <w:tc>
          <w:tcPr>
            <w:tcW w:w="8930" w:type="dxa"/>
            <w:tcBorders>
              <w:top w:val="single" w:sz="4" w:space="0" w:color="000000"/>
              <w:left w:val="single" w:sz="4" w:space="0" w:color="000000"/>
              <w:bottom w:val="single" w:sz="4" w:space="0" w:color="000000"/>
              <w:right w:val="single" w:sz="4" w:space="0" w:color="000000"/>
            </w:tcBorders>
          </w:tcPr>
          <w:p w:rsidR="00786914" w:rsidRPr="00C60ED1" w:rsidRDefault="00786914" w:rsidP="0006743B">
            <w:pPr>
              <w:pStyle w:val="TableText"/>
            </w:pPr>
            <w:r w:rsidRPr="006F775C">
              <w:t>Category 3 – THERAPUTIC PROCEDURES</w:t>
            </w:r>
          </w:p>
        </w:tc>
      </w:tr>
      <w:tr w:rsidR="00786914" w:rsidRPr="002B5B6B">
        <w:tc>
          <w:tcPr>
            <w:tcW w:w="8930" w:type="dxa"/>
            <w:tcBorders>
              <w:top w:val="single" w:sz="4" w:space="0" w:color="000000"/>
              <w:left w:val="single" w:sz="4" w:space="0" w:color="000000"/>
              <w:bottom w:val="single" w:sz="4" w:space="0" w:color="000000"/>
              <w:right w:val="single" w:sz="4" w:space="0" w:color="000000"/>
            </w:tcBorders>
          </w:tcPr>
          <w:p w:rsidR="00786914" w:rsidRPr="00C60ED1" w:rsidRDefault="00786914" w:rsidP="0006743B">
            <w:pPr>
              <w:pStyle w:val="TableText"/>
            </w:pPr>
            <w:r w:rsidRPr="006F775C">
              <w:t>MBS 37206</w:t>
            </w:r>
          </w:p>
          <w:p w:rsidR="00786914" w:rsidRPr="00C60ED1" w:rsidRDefault="00786914" w:rsidP="0006743B">
            <w:pPr>
              <w:pStyle w:val="TableText"/>
            </w:pPr>
            <w:r w:rsidRPr="006F775C">
              <w:t>PROSTATECTOMY (endoscopic, using diathermy or cold punch), with or without cystoscopy and with or without urethroscopy, and including services to which item 36854, 37303, 37321 or 37324 applies, continuation of, within 10 days of the procedure described by item 37201, 37203 or 37207 or which had to be discontinued for medical reasons (Anaes.)</w:t>
            </w:r>
          </w:p>
          <w:p w:rsidR="00786914" w:rsidRPr="00C60ED1" w:rsidRDefault="00786914" w:rsidP="0006743B">
            <w:pPr>
              <w:pStyle w:val="TableText"/>
            </w:pPr>
            <w:r w:rsidRPr="006F775C">
              <w:t>Fee: $536.95 Benefit: 75% = $402.75</w:t>
            </w:r>
          </w:p>
        </w:tc>
      </w:tr>
    </w:tbl>
    <w:p w:rsidR="00786914" w:rsidRDefault="00786914" w:rsidP="0006743B"/>
    <w:p w:rsidR="00786914" w:rsidRPr="004E1EFC" w:rsidRDefault="00786914" w:rsidP="0006743B">
      <w:pPr>
        <w:rPr>
          <w:rFonts w:cs="Arial"/>
          <w:szCs w:val="24"/>
        </w:rPr>
      </w:pPr>
      <w:r>
        <w:rPr>
          <w:rFonts w:cs="Arial"/>
          <w:szCs w:val="24"/>
        </w:rPr>
        <w:t>OP</w:t>
      </w:r>
      <w:r w:rsidRPr="004E1EFC">
        <w:rPr>
          <w:rFonts w:cs="Arial"/>
          <w:szCs w:val="24"/>
        </w:rPr>
        <w:t xml:space="preserve"> is performed in men with large prostates or those for whom hip or other medical conditions preclude the physical positioning required for TURP. </w:t>
      </w:r>
      <w:r>
        <w:rPr>
          <w:rFonts w:cs="Arial"/>
          <w:szCs w:val="24"/>
        </w:rPr>
        <w:t>OP</w:t>
      </w:r>
      <w:r w:rsidRPr="004E1EFC">
        <w:rPr>
          <w:rFonts w:cs="Arial"/>
          <w:szCs w:val="24"/>
        </w:rPr>
        <w:t xml:space="preserve"> is performed through a lower abdominal incision, and either through the bladder or through the capsule of the prostate. It involves a longer hospital stay and increased risk of bleeding in comparison to TURP. It does however have lower </w:t>
      </w:r>
      <w:r>
        <w:rPr>
          <w:rFonts w:cs="Arial"/>
          <w:szCs w:val="24"/>
        </w:rPr>
        <w:t>re-treatment</w:t>
      </w:r>
      <w:r w:rsidRPr="004E1EFC">
        <w:rPr>
          <w:rFonts w:cs="Arial"/>
          <w:szCs w:val="24"/>
        </w:rPr>
        <w:t xml:space="preserve"> rates and no risk of TUR. A general or spinal anaesthetic is required.</w:t>
      </w:r>
    </w:p>
    <w:p w:rsidR="00786914" w:rsidRDefault="00786914" w:rsidP="0006743B">
      <w:pPr>
        <w:tabs>
          <w:tab w:val="left" w:pos="720"/>
          <w:tab w:val="left" w:pos="1140"/>
        </w:tabs>
        <w:spacing w:before="120" w:after="0"/>
        <w:rPr>
          <w:rFonts w:cs="Arial"/>
          <w:szCs w:val="24"/>
        </w:rPr>
      </w:pPr>
      <w:r w:rsidRPr="004E1EFC">
        <w:rPr>
          <w:rFonts w:cs="Arial"/>
          <w:szCs w:val="24"/>
        </w:rPr>
        <w:lastRenderedPageBreak/>
        <w:t xml:space="preserve">The </w:t>
      </w:r>
      <w:r>
        <w:rPr>
          <w:rFonts w:cs="Arial"/>
          <w:szCs w:val="24"/>
        </w:rPr>
        <w:t>MBS item descriptor for OP is:</w:t>
      </w:r>
    </w:p>
    <w:p w:rsidR="00786914" w:rsidRDefault="00786914" w:rsidP="0006743B"/>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5"/>
      </w:tblGrid>
      <w:tr w:rsidR="00786914" w:rsidRPr="00F10F05">
        <w:tc>
          <w:tcPr>
            <w:tcW w:w="8930" w:type="dxa"/>
          </w:tcPr>
          <w:p w:rsidR="00786914" w:rsidRPr="00C60ED1" w:rsidRDefault="00786914" w:rsidP="0006743B">
            <w:pPr>
              <w:pStyle w:val="TableText"/>
              <w:rPr>
                <w:lang w:eastAsia="ja-JP"/>
              </w:rPr>
            </w:pPr>
            <w:r w:rsidRPr="006F775C">
              <w:t>Category 3 – THERAPUTIC PROCEDURES</w:t>
            </w:r>
          </w:p>
        </w:tc>
      </w:tr>
      <w:tr w:rsidR="00786914" w:rsidRPr="00F10F05">
        <w:tc>
          <w:tcPr>
            <w:tcW w:w="8930" w:type="dxa"/>
          </w:tcPr>
          <w:p w:rsidR="00786914" w:rsidRPr="00C60ED1" w:rsidRDefault="00786914" w:rsidP="0006743B">
            <w:pPr>
              <w:pStyle w:val="TableText"/>
            </w:pPr>
            <w:r w:rsidRPr="006F775C">
              <w:t>MBS 37200</w:t>
            </w:r>
          </w:p>
          <w:p w:rsidR="00786914" w:rsidRPr="00C60ED1" w:rsidRDefault="00786914" w:rsidP="0006743B">
            <w:pPr>
              <w:pStyle w:val="TableText"/>
            </w:pPr>
            <w:r w:rsidRPr="006F775C">
              <w:t>PROSTATECTOMY, open (Anaes.) (Assist.)</w:t>
            </w:r>
          </w:p>
          <w:p w:rsidR="00786914" w:rsidRPr="00C60ED1" w:rsidRDefault="00786914" w:rsidP="0006743B">
            <w:pPr>
              <w:pStyle w:val="TableText"/>
              <w:rPr>
                <w:lang w:val="en-US" w:eastAsia="ja-JP"/>
              </w:rPr>
            </w:pPr>
            <w:r w:rsidRPr="006F775C">
              <w:t>Fee: $977.80 Benefit: 75% = $733.35</w:t>
            </w:r>
          </w:p>
        </w:tc>
      </w:tr>
    </w:tbl>
    <w:p w:rsidR="00786914" w:rsidRDefault="00786914" w:rsidP="0006743B"/>
    <w:p w:rsidR="00786914" w:rsidRDefault="00786914" w:rsidP="0006743B">
      <w:pPr>
        <w:pStyle w:val="Normalbold"/>
      </w:pPr>
      <w:bookmarkStart w:id="38" w:name="_Toc327877831"/>
      <w:r w:rsidRPr="00630A98">
        <w:t>Scientific basis of comparison</w:t>
      </w:r>
      <w:bookmarkEnd w:id="38"/>
      <w:r w:rsidRPr="00630A98">
        <w:t xml:space="preserve"> </w:t>
      </w:r>
    </w:p>
    <w:p w:rsidR="00786914" w:rsidRPr="004E1EFC" w:rsidRDefault="00786914" w:rsidP="0006743B">
      <w:r w:rsidRPr="004E1EFC">
        <w:t xml:space="preserve">Searches of literature databases as well as </w:t>
      </w:r>
      <w:r>
        <w:t>health technology assessment (</w:t>
      </w:r>
      <w:r w:rsidRPr="004E1EFC">
        <w:t>HTA</w:t>
      </w:r>
      <w:r>
        <w:t>)</w:t>
      </w:r>
      <w:r w:rsidRPr="004E1EFC">
        <w:t xml:space="preserve"> websites yielded </w:t>
      </w:r>
      <w:r>
        <w:t>nine</w:t>
      </w:r>
      <w:r w:rsidRPr="004E1EFC">
        <w:t xml:space="preserve"> HTAs and systematic reviews that compared HoLEP with TURP and OP. </w:t>
      </w:r>
      <w:r>
        <w:t>Four</w:t>
      </w:r>
      <w:r w:rsidRPr="004E1EFC">
        <w:t xml:space="preserve"> of these </w:t>
      </w:r>
      <w:r>
        <w:t>systematic reviews</w:t>
      </w:r>
      <w:r w:rsidRPr="004E1EFC">
        <w:t xml:space="preserve"> and HTAs compared HoLEP with TURP, and five compared HoLEP with TURP and OP. </w:t>
      </w:r>
    </w:p>
    <w:p w:rsidR="00786914" w:rsidRPr="00187DC6" w:rsidRDefault="00786914" w:rsidP="0006743B">
      <w:r w:rsidRPr="00187DC6">
        <w:t>The report of Lourenco et al (2008), providing a direct comparison of HoLEP with TURP in men with BPH, was chosen by the evaluation group for updating. This is a high</w:t>
      </w:r>
      <w:r>
        <w:t>-</w:t>
      </w:r>
      <w:r w:rsidRPr="00187DC6">
        <w:t xml:space="preserve">quality systematic review, developed as part of the UK National Institute for Health </w:t>
      </w:r>
      <w:r>
        <w:t xml:space="preserve">(NIHR) </w:t>
      </w:r>
      <w:r w:rsidRPr="00187DC6">
        <w:t xml:space="preserve">Research Health Technology Assessment </w:t>
      </w:r>
      <w:r>
        <w:t>p</w:t>
      </w:r>
      <w:r w:rsidRPr="00187DC6">
        <w:t>rogramme, which had the objective of determining the clinical and cost-effectiveness of surgical treatment alternative</w:t>
      </w:r>
      <w:r>
        <w:t>s</w:t>
      </w:r>
      <w:r w:rsidRPr="00187DC6">
        <w:t xml:space="preserve"> to TURP. This review identified five randomised controlled trials (RCTs) from which data on comparative safety and effectiveness were extracted and analysed by the authors.</w:t>
      </w:r>
    </w:p>
    <w:p w:rsidR="00786914" w:rsidRPr="00187DC6" w:rsidRDefault="00786914" w:rsidP="0006743B">
      <w:r w:rsidRPr="00187DC6">
        <w:t xml:space="preserve">A systematic review undertaken by the Australian and New Zealand Horizon Scanning Network (ANZHSN) was chosen for updating in the evaluation of HoLEP versus OP. Two </w:t>
      </w:r>
      <w:r>
        <w:t>RCTs</w:t>
      </w:r>
      <w:r w:rsidRPr="00187DC6">
        <w:t xml:space="preserve"> (four publications) were reported on in this review. Three other non</w:t>
      </w:r>
      <w:r>
        <w:t>-</w:t>
      </w:r>
      <w:r w:rsidRPr="00187DC6">
        <w:t xml:space="preserve">randomised comparative studies were also reported. These however did not meet the inclusion criteria. </w:t>
      </w:r>
    </w:p>
    <w:p w:rsidR="00786914" w:rsidRPr="00187DC6" w:rsidRDefault="00786914" w:rsidP="0006743B">
      <w:r w:rsidRPr="00187DC6">
        <w:t xml:space="preserve">Five further RCTs comparing HoLEP with TURP that were published subsequent to the Lourenco </w:t>
      </w:r>
      <w:r>
        <w:t xml:space="preserve">et al </w:t>
      </w:r>
      <w:r w:rsidRPr="00187DC6">
        <w:t xml:space="preserve">systematic review </w:t>
      </w:r>
      <w:r>
        <w:t xml:space="preserve">(2008) </w:t>
      </w:r>
      <w:r w:rsidRPr="00187DC6">
        <w:t xml:space="preserve">were identified by the evaluation group. Three of these were follow-up reports of existing studies that had been included in the </w:t>
      </w:r>
      <w:r>
        <w:t>systematic review</w:t>
      </w:r>
      <w:r w:rsidRPr="00187DC6">
        <w:t>, and two were more recently published studies that would not have been included.</w:t>
      </w:r>
    </w:p>
    <w:p w:rsidR="00786914" w:rsidRPr="004E1EFC" w:rsidRDefault="00786914" w:rsidP="0006743B">
      <w:r w:rsidRPr="00187DC6">
        <w:t>No additional studies comparing HoLEP with OP were identified. The RCTs reported on in the ANZHSN therefore comprise the evidence base for the comparative safety and effectiveness of these interventions.</w:t>
      </w:r>
    </w:p>
    <w:p w:rsidR="00786914" w:rsidRPr="004E1EFC" w:rsidRDefault="00786914" w:rsidP="0006743B">
      <w:r w:rsidRPr="004E1EFC">
        <w:t xml:space="preserve">In comparing safety and effectiveness outcomes for HoLEP versus TURP, meta-analysis of data from the studies identified in the Lourenco </w:t>
      </w:r>
      <w:r>
        <w:t xml:space="preserve">et al </w:t>
      </w:r>
      <w:r w:rsidRPr="004E1EFC">
        <w:t xml:space="preserve">report </w:t>
      </w:r>
      <w:r>
        <w:t xml:space="preserve">(2008) </w:t>
      </w:r>
      <w:r w:rsidRPr="004E1EFC">
        <w:t>together with data from the two more recent studies was undertaken where appropriate. Meta-analysed results from the Lourenco study are reported for some outcomes when no additional data w</w:t>
      </w:r>
      <w:r>
        <w:t>ere</w:t>
      </w:r>
      <w:r w:rsidRPr="004E1EFC">
        <w:t xml:space="preserve"> extracted from the newer studies. Narrative description of some outcomes is provided when meta-analysis of the data was not possible.</w:t>
      </w:r>
    </w:p>
    <w:p w:rsidR="00786914" w:rsidRPr="004E1EFC" w:rsidRDefault="00786914" w:rsidP="0006743B">
      <w:r w:rsidRPr="004E1EFC">
        <w:t>In comparing HoLEP with OP, meta-analysis of data from the two RCTs identified in the ANZHSN report was undertaken where feasible</w:t>
      </w:r>
      <w:r>
        <w:t>.</w:t>
      </w:r>
      <w:r w:rsidRPr="004E1EFC">
        <w:t xml:space="preserve"> Narrative description of other outcomes is provided when meta-analysis of the data was not possible.</w:t>
      </w:r>
    </w:p>
    <w:p w:rsidR="00786914" w:rsidRDefault="00786914">
      <w:pPr>
        <w:spacing w:after="0"/>
        <w:ind w:left="0"/>
        <w:rPr>
          <w:b/>
        </w:rPr>
      </w:pPr>
      <w:bookmarkStart w:id="39" w:name="_Toc327877832"/>
      <w:r>
        <w:br w:type="page"/>
      </w:r>
    </w:p>
    <w:p w:rsidR="00786914" w:rsidRDefault="00786914" w:rsidP="0006743B">
      <w:pPr>
        <w:pStyle w:val="Heading2"/>
      </w:pPr>
      <w:bookmarkStart w:id="40" w:name="_Toc365900556"/>
      <w:r>
        <w:lastRenderedPageBreak/>
        <w:t>Comparative safety</w:t>
      </w:r>
      <w:bookmarkEnd w:id="39"/>
      <w:bookmarkEnd w:id="40"/>
    </w:p>
    <w:p w:rsidR="00786914" w:rsidRDefault="00786914" w:rsidP="0006743B">
      <w:pPr>
        <w:pStyle w:val="Normalbold"/>
        <w:rPr>
          <w:rFonts w:ascii="Arial" w:hAnsi="Arial" w:cs="Arial"/>
          <w:szCs w:val="24"/>
        </w:rPr>
      </w:pPr>
      <w:r w:rsidRPr="00C26059">
        <w:t>Key results</w:t>
      </w:r>
      <w:r>
        <w:t xml:space="preserve"> of safety </w:t>
      </w:r>
      <w:r w:rsidRPr="00C26059">
        <w:t xml:space="preserve">comparison </w:t>
      </w:r>
      <w:r>
        <w:t xml:space="preserve">of </w:t>
      </w:r>
      <w:r w:rsidRPr="00C26059">
        <w:t>HoLEP with TURP</w:t>
      </w:r>
    </w:p>
    <w:p w:rsidR="00786914" w:rsidRDefault="00786914" w:rsidP="0006743B">
      <w:pPr>
        <w:tabs>
          <w:tab w:val="left" w:pos="720"/>
          <w:tab w:val="left" w:pos="1140"/>
        </w:tabs>
        <w:spacing w:before="120" w:after="0"/>
        <w:rPr>
          <w:rFonts w:cs="Arial"/>
          <w:szCs w:val="24"/>
        </w:rPr>
      </w:pPr>
      <w:r w:rsidRPr="004E1EFC">
        <w:rPr>
          <w:rFonts w:cs="Arial"/>
          <w:szCs w:val="24"/>
        </w:rPr>
        <w:t>A summary of the main results</w:t>
      </w:r>
      <w:r>
        <w:rPr>
          <w:rFonts w:cs="Arial"/>
          <w:szCs w:val="24"/>
        </w:rPr>
        <w:t xml:space="preserve"> of the comparison</w:t>
      </w:r>
      <w:r w:rsidRPr="004E1EFC">
        <w:rPr>
          <w:rFonts w:cs="Arial"/>
          <w:szCs w:val="24"/>
        </w:rPr>
        <w:t xml:space="preserve"> are shown in </w:t>
      </w:r>
      <w:r w:rsidR="00F0137E">
        <w:rPr>
          <w:rFonts w:cs="Arial"/>
          <w:szCs w:val="24"/>
        </w:rPr>
        <w:fldChar w:fldCharType="begin"/>
      </w:r>
      <w:r>
        <w:rPr>
          <w:rFonts w:cs="Arial"/>
          <w:szCs w:val="24"/>
        </w:rPr>
        <w:instrText xml:space="preserve"> REF _Ref323639754 \h </w:instrText>
      </w:r>
      <w:r w:rsidR="00F0137E">
        <w:rPr>
          <w:rFonts w:cs="Arial"/>
          <w:szCs w:val="24"/>
        </w:rPr>
      </w:r>
      <w:r w:rsidR="00F0137E">
        <w:rPr>
          <w:rFonts w:cs="Arial"/>
          <w:szCs w:val="24"/>
        </w:rPr>
        <w:fldChar w:fldCharType="separate"/>
      </w:r>
      <w:r w:rsidR="00F45C43">
        <w:t xml:space="preserve">Table </w:t>
      </w:r>
      <w:r w:rsidR="00F45C43">
        <w:rPr>
          <w:noProof/>
        </w:rPr>
        <w:t>1</w:t>
      </w:r>
      <w:r w:rsidR="00F0137E">
        <w:rPr>
          <w:rFonts w:cs="Arial"/>
          <w:szCs w:val="24"/>
        </w:rPr>
        <w:fldChar w:fldCharType="end"/>
      </w:r>
      <w:r>
        <w:rPr>
          <w:rFonts w:cs="Arial"/>
          <w:szCs w:val="24"/>
        </w:rPr>
        <w:t xml:space="preserve"> </w:t>
      </w:r>
      <w:r w:rsidRPr="004E1EFC">
        <w:rPr>
          <w:rFonts w:cs="Arial"/>
          <w:szCs w:val="24"/>
        </w:rPr>
        <w:t>below.</w:t>
      </w:r>
    </w:p>
    <w:p w:rsidR="00786914" w:rsidRPr="004E1EFC" w:rsidRDefault="00786914" w:rsidP="0006743B">
      <w:pPr>
        <w:tabs>
          <w:tab w:val="left" w:pos="720"/>
          <w:tab w:val="left" w:pos="1140"/>
        </w:tabs>
        <w:spacing w:before="120" w:after="0"/>
        <w:rPr>
          <w:rFonts w:cs="Arial"/>
          <w:szCs w:val="24"/>
        </w:rPr>
      </w:pPr>
    </w:p>
    <w:p w:rsidR="00786914" w:rsidRDefault="00786914" w:rsidP="0006743B">
      <w:pPr>
        <w:pStyle w:val="Caption"/>
      </w:pPr>
      <w:bookmarkStart w:id="41" w:name="_Ref323639754"/>
      <w:bookmarkStart w:id="42" w:name="_Toc327803248"/>
      <w:bookmarkStart w:id="43" w:name="_Toc327881538"/>
      <w:r>
        <w:t xml:space="preserve">Table </w:t>
      </w:r>
      <w:fldSimple w:instr=" SEQ Table \* ARABIC ">
        <w:r w:rsidR="00F45C43">
          <w:rPr>
            <w:noProof/>
          </w:rPr>
          <w:t>1</w:t>
        </w:r>
      </w:fldSimple>
      <w:bookmarkEnd w:id="41"/>
      <w:r>
        <w:t>:</w:t>
      </w:r>
      <w:r>
        <w:tab/>
        <w:t>Safety of HoLEP compared with TURP</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979"/>
        <w:gridCol w:w="1315"/>
        <w:gridCol w:w="752"/>
        <w:gridCol w:w="774"/>
        <w:gridCol w:w="1447"/>
        <w:gridCol w:w="873"/>
        <w:gridCol w:w="610"/>
        <w:gridCol w:w="733"/>
      </w:tblGrid>
      <w:tr w:rsidR="00786914" w:rsidRPr="00602C71" w:rsidTr="0006743B">
        <w:trPr>
          <w:trHeight w:val="255"/>
        </w:trPr>
        <w:tc>
          <w:tcPr>
            <w:tcW w:w="952" w:type="pct"/>
            <w:shd w:val="clear" w:color="auto" w:fill="auto"/>
            <w:noWrap/>
            <w:vAlign w:val="bottom"/>
          </w:tcPr>
          <w:p w:rsidR="00786914" w:rsidRPr="007D562C" w:rsidRDefault="00786914" w:rsidP="0006743B">
            <w:pPr>
              <w:pStyle w:val="Tableheading"/>
            </w:pPr>
            <w:r w:rsidRPr="007D562C">
              <w:t> Outcome</w:t>
            </w:r>
          </w:p>
        </w:tc>
        <w:tc>
          <w:tcPr>
            <w:tcW w:w="530" w:type="pct"/>
            <w:shd w:val="clear" w:color="auto" w:fill="auto"/>
            <w:noWrap/>
            <w:vAlign w:val="bottom"/>
          </w:tcPr>
          <w:p w:rsidR="00786914" w:rsidRPr="007D562C" w:rsidRDefault="00786914" w:rsidP="0006743B">
            <w:pPr>
              <w:pStyle w:val="Tableheading"/>
            </w:pPr>
            <w:r w:rsidRPr="007D562C">
              <w:t>Studies (n)</w:t>
            </w:r>
          </w:p>
        </w:tc>
        <w:tc>
          <w:tcPr>
            <w:tcW w:w="711" w:type="pct"/>
            <w:shd w:val="clear" w:color="auto" w:fill="auto"/>
            <w:noWrap/>
            <w:vAlign w:val="bottom"/>
          </w:tcPr>
          <w:p w:rsidR="00786914" w:rsidRPr="007D562C" w:rsidRDefault="00786914" w:rsidP="0006743B">
            <w:pPr>
              <w:pStyle w:val="Tableheading"/>
            </w:pPr>
            <w:r w:rsidRPr="007D562C">
              <w:t>Patients HoLEP</w:t>
            </w:r>
          </w:p>
          <w:p w:rsidR="00786914" w:rsidRPr="007D562C" w:rsidRDefault="00786914" w:rsidP="0006743B">
            <w:pPr>
              <w:pStyle w:val="Tableheading"/>
            </w:pPr>
            <w:r w:rsidRPr="007D562C">
              <w:t>/TURP</w:t>
            </w:r>
          </w:p>
          <w:p w:rsidR="00786914" w:rsidRPr="007D562C" w:rsidRDefault="00786914" w:rsidP="0006743B">
            <w:pPr>
              <w:pStyle w:val="Tableheading"/>
            </w:pPr>
            <w:r w:rsidRPr="007D562C">
              <w:t xml:space="preserve"> (n)</w:t>
            </w:r>
          </w:p>
        </w:tc>
        <w:tc>
          <w:tcPr>
            <w:tcW w:w="407" w:type="pct"/>
            <w:shd w:val="clear" w:color="auto" w:fill="auto"/>
            <w:vAlign w:val="bottom"/>
          </w:tcPr>
          <w:p w:rsidR="00786914" w:rsidRPr="007D562C" w:rsidRDefault="00786914" w:rsidP="0006743B">
            <w:pPr>
              <w:pStyle w:val="Tableheading"/>
            </w:pPr>
            <w:r w:rsidRPr="007D562C">
              <w:t>HoLEP</w:t>
            </w:r>
          </w:p>
          <w:p w:rsidR="00786914" w:rsidRPr="007D562C" w:rsidRDefault="00786914" w:rsidP="0006743B">
            <w:pPr>
              <w:pStyle w:val="Tableheading"/>
            </w:pPr>
            <w:r w:rsidRPr="007D562C">
              <w:t>(total events)</w:t>
            </w:r>
          </w:p>
        </w:tc>
        <w:tc>
          <w:tcPr>
            <w:tcW w:w="419" w:type="pct"/>
            <w:shd w:val="clear" w:color="auto" w:fill="auto"/>
            <w:vAlign w:val="bottom"/>
          </w:tcPr>
          <w:p w:rsidR="00786914" w:rsidRPr="007D562C" w:rsidRDefault="00786914" w:rsidP="0006743B">
            <w:pPr>
              <w:pStyle w:val="Tableheading"/>
            </w:pPr>
            <w:r w:rsidRPr="007D562C">
              <w:t>TURP (total events)</w:t>
            </w:r>
          </w:p>
        </w:tc>
        <w:tc>
          <w:tcPr>
            <w:tcW w:w="783" w:type="pct"/>
            <w:shd w:val="clear" w:color="auto" w:fill="auto"/>
            <w:noWrap/>
            <w:vAlign w:val="bottom"/>
          </w:tcPr>
          <w:p w:rsidR="00786914" w:rsidRPr="007D562C" w:rsidRDefault="00786914" w:rsidP="0006743B">
            <w:pPr>
              <w:pStyle w:val="Tableheading"/>
            </w:pPr>
            <w:r w:rsidRPr="007D562C">
              <w:t>Estimate of effect</w:t>
            </w:r>
          </w:p>
        </w:tc>
        <w:tc>
          <w:tcPr>
            <w:tcW w:w="472" w:type="pct"/>
            <w:shd w:val="clear" w:color="auto" w:fill="auto"/>
            <w:noWrap/>
            <w:vAlign w:val="bottom"/>
          </w:tcPr>
          <w:p w:rsidR="00786914" w:rsidRPr="007D562C" w:rsidRDefault="00786914" w:rsidP="0006743B">
            <w:pPr>
              <w:pStyle w:val="Tableheading"/>
            </w:pPr>
            <w:r w:rsidRPr="007D562C">
              <w:t>Range</w:t>
            </w:r>
          </w:p>
          <w:p w:rsidR="00786914" w:rsidRPr="007D562C" w:rsidRDefault="00786914" w:rsidP="0006743B">
            <w:pPr>
              <w:pStyle w:val="Tableheading"/>
            </w:pPr>
            <w:r w:rsidRPr="007D562C">
              <w:t>(95% CI)*</w:t>
            </w:r>
          </w:p>
        </w:tc>
        <w:tc>
          <w:tcPr>
            <w:tcW w:w="330" w:type="pct"/>
            <w:shd w:val="clear" w:color="auto" w:fill="auto"/>
            <w:noWrap/>
            <w:vAlign w:val="bottom"/>
          </w:tcPr>
          <w:p w:rsidR="00786914" w:rsidRPr="007D562C" w:rsidRDefault="00786914" w:rsidP="0006743B">
            <w:pPr>
              <w:pStyle w:val="Tableheading"/>
            </w:pPr>
            <w:r w:rsidRPr="007D562C">
              <w:t>I2 (%)</w:t>
            </w:r>
          </w:p>
        </w:tc>
        <w:tc>
          <w:tcPr>
            <w:tcW w:w="397" w:type="pct"/>
            <w:shd w:val="clear" w:color="auto" w:fill="auto"/>
            <w:noWrap/>
            <w:vAlign w:val="bottom"/>
          </w:tcPr>
          <w:p w:rsidR="00786914" w:rsidRPr="007D562C" w:rsidRDefault="00786914" w:rsidP="0006743B">
            <w:pPr>
              <w:pStyle w:val="Tableheading"/>
            </w:pPr>
            <w:r w:rsidRPr="007D562C">
              <w:t>p-value</w:t>
            </w:r>
          </w:p>
        </w:tc>
      </w:tr>
      <w:tr w:rsidR="00786914" w:rsidRPr="00602C71" w:rsidTr="0006743B">
        <w:trPr>
          <w:trHeight w:val="255"/>
        </w:trPr>
        <w:tc>
          <w:tcPr>
            <w:tcW w:w="952" w:type="pct"/>
            <w:shd w:val="clear" w:color="auto" w:fill="auto"/>
            <w:noWrap/>
            <w:vAlign w:val="bottom"/>
          </w:tcPr>
          <w:p w:rsidR="00786914" w:rsidRPr="007D562C" w:rsidRDefault="00786914" w:rsidP="0006743B">
            <w:pPr>
              <w:pStyle w:val="TableText"/>
              <w:ind w:left="709" w:hanging="709"/>
            </w:pPr>
            <w:r w:rsidRPr="007D562C">
              <w:t>Blood transfusion rates</w:t>
            </w:r>
          </w:p>
        </w:tc>
        <w:tc>
          <w:tcPr>
            <w:tcW w:w="530" w:type="pct"/>
            <w:shd w:val="clear" w:color="auto" w:fill="auto"/>
            <w:noWrap/>
            <w:vAlign w:val="bottom"/>
          </w:tcPr>
          <w:p w:rsidR="00786914" w:rsidRPr="007D562C" w:rsidRDefault="00786914" w:rsidP="0006743B">
            <w:pPr>
              <w:pStyle w:val="TableText"/>
              <w:ind w:left="709" w:hanging="709"/>
            </w:pPr>
            <w:r w:rsidRPr="007D562C">
              <w:t>7</w:t>
            </w:r>
          </w:p>
        </w:tc>
        <w:tc>
          <w:tcPr>
            <w:tcW w:w="711" w:type="pct"/>
            <w:shd w:val="clear" w:color="auto" w:fill="auto"/>
            <w:noWrap/>
            <w:vAlign w:val="bottom"/>
          </w:tcPr>
          <w:p w:rsidR="00786914" w:rsidRPr="007D562C" w:rsidRDefault="00786914" w:rsidP="0006743B">
            <w:pPr>
              <w:pStyle w:val="TableText"/>
              <w:ind w:left="709" w:hanging="709"/>
            </w:pPr>
            <w:r w:rsidRPr="007D562C">
              <w:t>348/342</w:t>
            </w:r>
          </w:p>
        </w:tc>
        <w:tc>
          <w:tcPr>
            <w:tcW w:w="407" w:type="pct"/>
            <w:shd w:val="clear" w:color="auto" w:fill="auto"/>
            <w:vAlign w:val="bottom"/>
          </w:tcPr>
          <w:p w:rsidR="00786914" w:rsidRPr="007D562C" w:rsidRDefault="00786914" w:rsidP="0006743B">
            <w:pPr>
              <w:pStyle w:val="TableText"/>
              <w:ind w:left="709" w:hanging="709"/>
            </w:pPr>
            <w:r w:rsidRPr="007D562C">
              <w:t>1</w:t>
            </w:r>
          </w:p>
        </w:tc>
        <w:tc>
          <w:tcPr>
            <w:tcW w:w="419" w:type="pct"/>
            <w:shd w:val="clear" w:color="auto" w:fill="auto"/>
            <w:vAlign w:val="bottom"/>
          </w:tcPr>
          <w:p w:rsidR="00786914" w:rsidRPr="007D562C" w:rsidRDefault="00786914" w:rsidP="0006743B">
            <w:pPr>
              <w:pStyle w:val="TableText"/>
              <w:ind w:left="709" w:hanging="709"/>
            </w:pPr>
            <w:r w:rsidRPr="007D562C">
              <w:t>13</w:t>
            </w:r>
          </w:p>
        </w:tc>
        <w:tc>
          <w:tcPr>
            <w:tcW w:w="783" w:type="pct"/>
            <w:shd w:val="clear" w:color="auto" w:fill="auto"/>
            <w:noWrap/>
            <w:vAlign w:val="bottom"/>
          </w:tcPr>
          <w:p w:rsidR="00786914" w:rsidRPr="007D562C" w:rsidRDefault="00786914" w:rsidP="0006743B">
            <w:pPr>
              <w:pStyle w:val="TableText"/>
              <w:ind w:left="709" w:hanging="709"/>
            </w:pPr>
            <w:r w:rsidRPr="007D562C">
              <w:t>RR 0.27</w:t>
            </w:r>
          </w:p>
        </w:tc>
        <w:tc>
          <w:tcPr>
            <w:tcW w:w="472" w:type="pct"/>
            <w:shd w:val="clear" w:color="auto" w:fill="auto"/>
            <w:noWrap/>
            <w:vAlign w:val="bottom"/>
          </w:tcPr>
          <w:p w:rsidR="00786914" w:rsidRPr="007D562C" w:rsidRDefault="00786914" w:rsidP="0006743B">
            <w:pPr>
              <w:pStyle w:val="TableText"/>
              <w:ind w:left="709" w:hanging="709"/>
            </w:pPr>
            <w:r w:rsidRPr="007D562C">
              <w:t>0.09–0.85</w:t>
            </w:r>
          </w:p>
        </w:tc>
        <w:tc>
          <w:tcPr>
            <w:tcW w:w="330" w:type="pct"/>
            <w:shd w:val="clear" w:color="auto" w:fill="auto"/>
            <w:noWrap/>
            <w:vAlign w:val="bottom"/>
          </w:tcPr>
          <w:p w:rsidR="00786914" w:rsidRPr="007D562C" w:rsidRDefault="00786914" w:rsidP="0006743B">
            <w:pPr>
              <w:pStyle w:val="TableText"/>
              <w:ind w:left="709" w:hanging="709"/>
            </w:pPr>
            <w:r w:rsidRPr="007D562C">
              <w:t>0</w:t>
            </w:r>
          </w:p>
        </w:tc>
        <w:tc>
          <w:tcPr>
            <w:tcW w:w="397" w:type="pct"/>
            <w:shd w:val="clear" w:color="auto" w:fill="auto"/>
            <w:noWrap/>
            <w:vAlign w:val="bottom"/>
          </w:tcPr>
          <w:p w:rsidR="00786914" w:rsidRPr="007D562C" w:rsidRDefault="00786914" w:rsidP="0006743B">
            <w:pPr>
              <w:pStyle w:val="TableText"/>
              <w:ind w:left="709" w:hanging="709"/>
            </w:pPr>
            <w:r w:rsidRPr="007D562C">
              <w:t>0.02</w:t>
            </w:r>
          </w:p>
        </w:tc>
      </w:tr>
      <w:tr w:rsidR="00786914" w:rsidRPr="00602C71" w:rsidTr="0006743B">
        <w:trPr>
          <w:trHeight w:val="255"/>
        </w:trPr>
        <w:tc>
          <w:tcPr>
            <w:tcW w:w="952" w:type="pct"/>
            <w:shd w:val="clear" w:color="auto" w:fill="auto"/>
            <w:noWrap/>
            <w:vAlign w:val="bottom"/>
          </w:tcPr>
          <w:p w:rsidR="00786914" w:rsidRPr="007D562C" w:rsidRDefault="00786914" w:rsidP="0006743B">
            <w:pPr>
              <w:pStyle w:val="TableText"/>
              <w:ind w:left="709" w:hanging="709"/>
            </w:pPr>
            <w:r w:rsidRPr="007D562C">
              <w:t>Urethral stricture</w:t>
            </w:r>
          </w:p>
        </w:tc>
        <w:tc>
          <w:tcPr>
            <w:tcW w:w="530" w:type="pct"/>
            <w:shd w:val="clear" w:color="auto" w:fill="auto"/>
            <w:noWrap/>
            <w:vAlign w:val="bottom"/>
          </w:tcPr>
          <w:p w:rsidR="00786914" w:rsidRPr="007D562C" w:rsidRDefault="00786914" w:rsidP="0006743B">
            <w:pPr>
              <w:pStyle w:val="TableText"/>
              <w:ind w:left="709" w:hanging="709"/>
            </w:pPr>
            <w:r w:rsidRPr="007D562C">
              <w:t>7</w:t>
            </w:r>
          </w:p>
        </w:tc>
        <w:tc>
          <w:tcPr>
            <w:tcW w:w="711" w:type="pct"/>
            <w:shd w:val="clear" w:color="auto" w:fill="auto"/>
            <w:noWrap/>
            <w:vAlign w:val="bottom"/>
          </w:tcPr>
          <w:p w:rsidR="00786914" w:rsidRPr="007D562C" w:rsidRDefault="00786914" w:rsidP="0006743B">
            <w:pPr>
              <w:pStyle w:val="TableText"/>
              <w:ind w:left="709" w:hanging="709"/>
            </w:pPr>
            <w:r w:rsidRPr="007D562C">
              <w:t>322/309</w:t>
            </w:r>
          </w:p>
        </w:tc>
        <w:tc>
          <w:tcPr>
            <w:tcW w:w="407" w:type="pct"/>
            <w:shd w:val="clear" w:color="auto" w:fill="auto"/>
            <w:vAlign w:val="bottom"/>
          </w:tcPr>
          <w:p w:rsidR="00786914" w:rsidRPr="007D562C" w:rsidRDefault="00786914" w:rsidP="0006743B">
            <w:pPr>
              <w:pStyle w:val="TableText"/>
              <w:ind w:left="709" w:hanging="709"/>
            </w:pPr>
            <w:r w:rsidRPr="007D562C">
              <w:t>14</w:t>
            </w:r>
          </w:p>
        </w:tc>
        <w:tc>
          <w:tcPr>
            <w:tcW w:w="419" w:type="pct"/>
            <w:shd w:val="clear" w:color="auto" w:fill="auto"/>
            <w:vAlign w:val="bottom"/>
          </w:tcPr>
          <w:p w:rsidR="00786914" w:rsidRPr="007D562C" w:rsidRDefault="00786914" w:rsidP="0006743B">
            <w:pPr>
              <w:pStyle w:val="TableText"/>
              <w:ind w:left="709" w:hanging="709"/>
            </w:pPr>
            <w:r w:rsidRPr="007D562C">
              <w:t>23</w:t>
            </w:r>
          </w:p>
        </w:tc>
        <w:tc>
          <w:tcPr>
            <w:tcW w:w="783" w:type="pct"/>
            <w:shd w:val="clear" w:color="auto" w:fill="auto"/>
            <w:noWrap/>
            <w:vAlign w:val="bottom"/>
          </w:tcPr>
          <w:p w:rsidR="00786914" w:rsidRPr="007D562C" w:rsidRDefault="00786914" w:rsidP="0006743B">
            <w:pPr>
              <w:pStyle w:val="TableText"/>
              <w:ind w:left="709" w:hanging="709"/>
            </w:pPr>
            <w:r w:rsidRPr="007D562C">
              <w:t>RR 0.65</w:t>
            </w:r>
          </w:p>
        </w:tc>
        <w:tc>
          <w:tcPr>
            <w:tcW w:w="472" w:type="pct"/>
            <w:shd w:val="clear" w:color="auto" w:fill="auto"/>
            <w:noWrap/>
            <w:vAlign w:val="bottom"/>
          </w:tcPr>
          <w:p w:rsidR="00786914" w:rsidRPr="007D562C" w:rsidRDefault="00786914" w:rsidP="0006743B">
            <w:pPr>
              <w:pStyle w:val="TableText"/>
              <w:ind w:left="709" w:hanging="709"/>
            </w:pPr>
            <w:r w:rsidRPr="007D562C">
              <w:t>0.33-1.27</w:t>
            </w:r>
          </w:p>
        </w:tc>
        <w:tc>
          <w:tcPr>
            <w:tcW w:w="330" w:type="pct"/>
            <w:shd w:val="clear" w:color="auto" w:fill="auto"/>
            <w:noWrap/>
            <w:vAlign w:val="bottom"/>
          </w:tcPr>
          <w:p w:rsidR="00786914" w:rsidRPr="007D562C" w:rsidRDefault="00786914" w:rsidP="0006743B">
            <w:pPr>
              <w:pStyle w:val="TableText"/>
              <w:ind w:left="709" w:hanging="709"/>
            </w:pPr>
            <w:r w:rsidRPr="007D562C">
              <w:t>0</w:t>
            </w:r>
          </w:p>
        </w:tc>
        <w:tc>
          <w:tcPr>
            <w:tcW w:w="397" w:type="pct"/>
            <w:shd w:val="clear" w:color="auto" w:fill="auto"/>
            <w:noWrap/>
            <w:vAlign w:val="bottom"/>
          </w:tcPr>
          <w:p w:rsidR="00786914" w:rsidRPr="007D562C" w:rsidRDefault="00786914" w:rsidP="0006743B">
            <w:pPr>
              <w:pStyle w:val="TableText"/>
              <w:ind w:left="709" w:hanging="709"/>
            </w:pPr>
            <w:r w:rsidRPr="007D562C">
              <w:t>0.21</w:t>
            </w:r>
          </w:p>
        </w:tc>
      </w:tr>
      <w:tr w:rsidR="00786914" w:rsidRPr="00602C71" w:rsidTr="0006743B">
        <w:trPr>
          <w:trHeight w:val="80"/>
        </w:trPr>
        <w:tc>
          <w:tcPr>
            <w:tcW w:w="952" w:type="pct"/>
            <w:shd w:val="clear" w:color="auto" w:fill="auto"/>
            <w:noWrap/>
            <w:vAlign w:val="bottom"/>
          </w:tcPr>
          <w:p w:rsidR="00786914" w:rsidRPr="007D562C" w:rsidRDefault="00786914" w:rsidP="0006743B">
            <w:pPr>
              <w:pStyle w:val="TableText"/>
              <w:ind w:left="709" w:hanging="709"/>
            </w:pPr>
            <w:r w:rsidRPr="007D562C">
              <w:t>Incontinence</w:t>
            </w:r>
          </w:p>
        </w:tc>
        <w:tc>
          <w:tcPr>
            <w:tcW w:w="530" w:type="pct"/>
            <w:shd w:val="clear" w:color="auto" w:fill="auto"/>
            <w:noWrap/>
            <w:vAlign w:val="bottom"/>
          </w:tcPr>
          <w:p w:rsidR="00786914" w:rsidRPr="007D562C" w:rsidRDefault="00786914" w:rsidP="0006743B">
            <w:pPr>
              <w:pStyle w:val="TableText"/>
              <w:ind w:left="709" w:hanging="709"/>
            </w:pPr>
            <w:r w:rsidRPr="007D562C">
              <w:t>6</w:t>
            </w:r>
          </w:p>
        </w:tc>
        <w:tc>
          <w:tcPr>
            <w:tcW w:w="711" w:type="pct"/>
            <w:shd w:val="clear" w:color="auto" w:fill="auto"/>
            <w:noWrap/>
            <w:vAlign w:val="bottom"/>
          </w:tcPr>
          <w:p w:rsidR="00786914" w:rsidRPr="007D562C" w:rsidRDefault="00786914" w:rsidP="0006743B">
            <w:pPr>
              <w:pStyle w:val="TableText"/>
              <w:ind w:left="709" w:hanging="709"/>
            </w:pPr>
            <w:r w:rsidRPr="007D562C">
              <w:t>306/296</w:t>
            </w:r>
          </w:p>
        </w:tc>
        <w:tc>
          <w:tcPr>
            <w:tcW w:w="407" w:type="pct"/>
            <w:shd w:val="clear" w:color="auto" w:fill="auto"/>
            <w:vAlign w:val="bottom"/>
          </w:tcPr>
          <w:p w:rsidR="00786914" w:rsidRPr="007D562C" w:rsidRDefault="00786914" w:rsidP="0006743B">
            <w:pPr>
              <w:pStyle w:val="TableText"/>
              <w:ind w:left="709" w:hanging="709"/>
            </w:pPr>
            <w:r w:rsidRPr="007D562C">
              <w:t>7</w:t>
            </w:r>
          </w:p>
        </w:tc>
        <w:tc>
          <w:tcPr>
            <w:tcW w:w="419" w:type="pct"/>
            <w:shd w:val="clear" w:color="auto" w:fill="auto"/>
            <w:vAlign w:val="bottom"/>
          </w:tcPr>
          <w:p w:rsidR="00786914" w:rsidRPr="007D562C" w:rsidRDefault="00786914" w:rsidP="0006743B">
            <w:pPr>
              <w:pStyle w:val="TableText"/>
              <w:ind w:left="709" w:hanging="709"/>
            </w:pPr>
            <w:r w:rsidRPr="007D562C">
              <w:t>8</w:t>
            </w:r>
          </w:p>
        </w:tc>
        <w:tc>
          <w:tcPr>
            <w:tcW w:w="783" w:type="pct"/>
            <w:shd w:val="clear" w:color="auto" w:fill="auto"/>
            <w:noWrap/>
            <w:vAlign w:val="bottom"/>
          </w:tcPr>
          <w:p w:rsidR="00786914" w:rsidRPr="007D562C" w:rsidRDefault="00786914" w:rsidP="0006743B">
            <w:pPr>
              <w:pStyle w:val="TableText"/>
              <w:ind w:left="709" w:hanging="709"/>
            </w:pPr>
            <w:r w:rsidRPr="007D562C">
              <w:t>RR 0.84</w:t>
            </w:r>
          </w:p>
        </w:tc>
        <w:tc>
          <w:tcPr>
            <w:tcW w:w="472" w:type="pct"/>
            <w:shd w:val="clear" w:color="auto" w:fill="auto"/>
            <w:noWrap/>
            <w:vAlign w:val="bottom"/>
          </w:tcPr>
          <w:p w:rsidR="00786914" w:rsidRPr="007D562C" w:rsidRDefault="00786914" w:rsidP="0006743B">
            <w:pPr>
              <w:pStyle w:val="TableText"/>
              <w:ind w:left="709" w:hanging="709"/>
            </w:pPr>
            <w:r w:rsidRPr="007D562C">
              <w:t>0.31–2.28</w:t>
            </w:r>
          </w:p>
        </w:tc>
        <w:tc>
          <w:tcPr>
            <w:tcW w:w="330" w:type="pct"/>
            <w:shd w:val="clear" w:color="auto" w:fill="auto"/>
            <w:noWrap/>
            <w:vAlign w:val="bottom"/>
          </w:tcPr>
          <w:p w:rsidR="00786914" w:rsidRPr="007D562C" w:rsidRDefault="00786914" w:rsidP="0006743B">
            <w:pPr>
              <w:pStyle w:val="TableText"/>
              <w:ind w:left="709" w:hanging="709"/>
            </w:pPr>
            <w:r w:rsidRPr="007D562C">
              <w:t>0</w:t>
            </w:r>
          </w:p>
        </w:tc>
        <w:tc>
          <w:tcPr>
            <w:tcW w:w="397" w:type="pct"/>
            <w:shd w:val="clear" w:color="auto" w:fill="auto"/>
            <w:noWrap/>
            <w:vAlign w:val="bottom"/>
          </w:tcPr>
          <w:p w:rsidR="00786914" w:rsidRPr="007D562C" w:rsidRDefault="00786914" w:rsidP="0006743B">
            <w:pPr>
              <w:pStyle w:val="TableText"/>
              <w:ind w:left="709" w:hanging="709"/>
            </w:pPr>
            <w:r w:rsidRPr="007D562C">
              <w:t>0.97</w:t>
            </w:r>
          </w:p>
        </w:tc>
      </w:tr>
      <w:tr w:rsidR="00786914" w:rsidRPr="00602C71" w:rsidTr="0006743B">
        <w:trPr>
          <w:trHeight w:val="80"/>
        </w:trPr>
        <w:tc>
          <w:tcPr>
            <w:tcW w:w="952" w:type="pct"/>
            <w:shd w:val="clear" w:color="auto" w:fill="auto"/>
            <w:noWrap/>
            <w:vAlign w:val="bottom"/>
          </w:tcPr>
          <w:p w:rsidR="00786914" w:rsidRPr="007D562C" w:rsidRDefault="00786914" w:rsidP="0006743B">
            <w:pPr>
              <w:pStyle w:val="TableText"/>
              <w:ind w:left="709" w:hanging="709"/>
            </w:pPr>
            <w:r w:rsidRPr="007D562C">
              <w:t>Acute urinary retention*</w:t>
            </w:r>
          </w:p>
        </w:tc>
        <w:tc>
          <w:tcPr>
            <w:tcW w:w="530" w:type="pct"/>
            <w:shd w:val="clear" w:color="auto" w:fill="auto"/>
            <w:noWrap/>
            <w:vAlign w:val="bottom"/>
          </w:tcPr>
          <w:p w:rsidR="00786914" w:rsidRPr="007D562C" w:rsidRDefault="00786914" w:rsidP="0006743B">
            <w:pPr>
              <w:pStyle w:val="TableText"/>
              <w:ind w:left="709" w:hanging="709"/>
            </w:pPr>
            <w:r w:rsidRPr="007D562C">
              <w:t>5</w:t>
            </w:r>
          </w:p>
        </w:tc>
        <w:tc>
          <w:tcPr>
            <w:tcW w:w="711" w:type="pct"/>
            <w:shd w:val="clear" w:color="auto" w:fill="auto"/>
            <w:noWrap/>
            <w:vAlign w:val="bottom"/>
          </w:tcPr>
          <w:p w:rsidR="00786914" w:rsidRPr="007D562C" w:rsidRDefault="00786914" w:rsidP="0006743B">
            <w:pPr>
              <w:pStyle w:val="TableText"/>
              <w:ind w:left="709" w:hanging="709"/>
            </w:pPr>
            <w:r w:rsidRPr="007D562C">
              <w:t>293/287</w:t>
            </w:r>
          </w:p>
        </w:tc>
        <w:tc>
          <w:tcPr>
            <w:tcW w:w="407" w:type="pct"/>
            <w:shd w:val="clear" w:color="auto" w:fill="auto"/>
            <w:vAlign w:val="bottom"/>
          </w:tcPr>
          <w:p w:rsidR="00786914" w:rsidRPr="007D562C" w:rsidRDefault="00786914" w:rsidP="0006743B">
            <w:pPr>
              <w:pStyle w:val="TableText"/>
              <w:ind w:left="709" w:hanging="709"/>
            </w:pPr>
            <w:r w:rsidRPr="007D562C">
              <w:t>15</w:t>
            </w:r>
          </w:p>
        </w:tc>
        <w:tc>
          <w:tcPr>
            <w:tcW w:w="419" w:type="pct"/>
            <w:shd w:val="clear" w:color="auto" w:fill="auto"/>
            <w:vAlign w:val="bottom"/>
          </w:tcPr>
          <w:p w:rsidR="00786914" w:rsidRPr="007D562C" w:rsidRDefault="00786914" w:rsidP="0006743B">
            <w:pPr>
              <w:pStyle w:val="TableText"/>
              <w:ind w:left="709" w:hanging="709"/>
            </w:pPr>
            <w:r w:rsidRPr="007D562C">
              <w:t>21</w:t>
            </w:r>
          </w:p>
        </w:tc>
        <w:tc>
          <w:tcPr>
            <w:tcW w:w="783" w:type="pct"/>
            <w:shd w:val="clear" w:color="auto" w:fill="auto"/>
            <w:noWrap/>
            <w:vAlign w:val="bottom"/>
          </w:tcPr>
          <w:p w:rsidR="00786914" w:rsidRPr="007D562C" w:rsidRDefault="00786914" w:rsidP="0006743B">
            <w:pPr>
              <w:pStyle w:val="TableText"/>
              <w:ind w:left="709" w:hanging="709"/>
            </w:pPr>
            <w:r w:rsidRPr="007D562C">
              <w:t>RR 0.71</w:t>
            </w:r>
          </w:p>
        </w:tc>
        <w:tc>
          <w:tcPr>
            <w:tcW w:w="472" w:type="pct"/>
            <w:shd w:val="clear" w:color="auto" w:fill="auto"/>
            <w:noWrap/>
            <w:vAlign w:val="bottom"/>
          </w:tcPr>
          <w:p w:rsidR="00786914" w:rsidRPr="007D562C" w:rsidRDefault="00786914" w:rsidP="0006743B">
            <w:pPr>
              <w:pStyle w:val="TableText"/>
              <w:ind w:left="709" w:hanging="709"/>
            </w:pPr>
            <w:r w:rsidRPr="007D562C">
              <w:t>0.38–1.32</w:t>
            </w:r>
          </w:p>
        </w:tc>
        <w:tc>
          <w:tcPr>
            <w:tcW w:w="330" w:type="pct"/>
            <w:shd w:val="clear" w:color="auto" w:fill="auto"/>
            <w:noWrap/>
            <w:vAlign w:val="bottom"/>
          </w:tcPr>
          <w:p w:rsidR="00786914" w:rsidRPr="007D562C" w:rsidRDefault="00786914" w:rsidP="0006743B">
            <w:pPr>
              <w:pStyle w:val="TableText"/>
              <w:ind w:left="709" w:hanging="709"/>
            </w:pPr>
            <w:r w:rsidRPr="007D562C">
              <w:t>8</w:t>
            </w:r>
          </w:p>
        </w:tc>
        <w:tc>
          <w:tcPr>
            <w:tcW w:w="397" w:type="pct"/>
            <w:shd w:val="clear" w:color="auto" w:fill="auto"/>
            <w:noWrap/>
            <w:vAlign w:val="bottom"/>
          </w:tcPr>
          <w:p w:rsidR="00786914" w:rsidRPr="007D562C" w:rsidRDefault="00786914" w:rsidP="0006743B">
            <w:pPr>
              <w:pStyle w:val="TableText"/>
              <w:ind w:left="709" w:hanging="709"/>
            </w:pPr>
            <w:r w:rsidRPr="007D562C">
              <w:t>0.28</w:t>
            </w:r>
          </w:p>
        </w:tc>
      </w:tr>
      <w:tr w:rsidR="00786914" w:rsidRPr="00602C71" w:rsidTr="0006743B">
        <w:trPr>
          <w:trHeight w:val="80"/>
        </w:trPr>
        <w:tc>
          <w:tcPr>
            <w:tcW w:w="952" w:type="pct"/>
            <w:shd w:val="clear" w:color="auto" w:fill="auto"/>
            <w:noWrap/>
            <w:vAlign w:val="bottom"/>
          </w:tcPr>
          <w:p w:rsidR="00786914" w:rsidRPr="007D562C" w:rsidRDefault="00786914" w:rsidP="0006743B">
            <w:pPr>
              <w:pStyle w:val="TableText"/>
              <w:ind w:left="709" w:hanging="709"/>
            </w:pPr>
            <w:r w:rsidRPr="007D562C">
              <w:t>Urinary tract infection*</w:t>
            </w:r>
          </w:p>
        </w:tc>
        <w:tc>
          <w:tcPr>
            <w:tcW w:w="530" w:type="pct"/>
            <w:shd w:val="clear" w:color="auto" w:fill="auto"/>
            <w:noWrap/>
            <w:vAlign w:val="bottom"/>
          </w:tcPr>
          <w:p w:rsidR="00786914" w:rsidRPr="007D562C" w:rsidRDefault="00786914" w:rsidP="0006743B">
            <w:pPr>
              <w:pStyle w:val="TableText"/>
              <w:ind w:left="709" w:hanging="709"/>
            </w:pPr>
            <w:r w:rsidRPr="007D562C">
              <w:t>2</w:t>
            </w:r>
          </w:p>
        </w:tc>
        <w:tc>
          <w:tcPr>
            <w:tcW w:w="711" w:type="pct"/>
            <w:shd w:val="clear" w:color="auto" w:fill="auto"/>
            <w:noWrap/>
            <w:vAlign w:val="bottom"/>
          </w:tcPr>
          <w:p w:rsidR="00786914" w:rsidRPr="007D562C" w:rsidRDefault="00786914" w:rsidP="0006743B">
            <w:pPr>
              <w:pStyle w:val="TableText"/>
              <w:ind w:left="709" w:hanging="709"/>
            </w:pPr>
            <w:r w:rsidRPr="007D562C">
              <w:t>91/89</w:t>
            </w:r>
          </w:p>
        </w:tc>
        <w:tc>
          <w:tcPr>
            <w:tcW w:w="407" w:type="pct"/>
            <w:shd w:val="clear" w:color="auto" w:fill="auto"/>
            <w:vAlign w:val="bottom"/>
          </w:tcPr>
          <w:p w:rsidR="00786914" w:rsidRPr="007D562C" w:rsidRDefault="00786914" w:rsidP="0006743B">
            <w:pPr>
              <w:pStyle w:val="TableText"/>
              <w:ind w:left="709" w:hanging="709"/>
            </w:pPr>
            <w:r w:rsidRPr="007D562C">
              <w:t>5</w:t>
            </w:r>
          </w:p>
        </w:tc>
        <w:tc>
          <w:tcPr>
            <w:tcW w:w="419" w:type="pct"/>
            <w:shd w:val="clear" w:color="auto" w:fill="auto"/>
            <w:vAlign w:val="bottom"/>
          </w:tcPr>
          <w:p w:rsidR="00786914" w:rsidRPr="007D562C" w:rsidRDefault="00786914" w:rsidP="0006743B">
            <w:pPr>
              <w:pStyle w:val="TableText"/>
              <w:ind w:left="709" w:hanging="709"/>
            </w:pPr>
            <w:r w:rsidRPr="007D562C">
              <w:t>5</w:t>
            </w:r>
          </w:p>
        </w:tc>
        <w:tc>
          <w:tcPr>
            <w:tcW w:w="783" w:type="pct"/>
            <w:shd w:val="clear" w:color="auto" w:fill="auto"/>
            <w:noWrap/>
            <w:vAlign w:val="bottom"/>
          </w:tcPr>
          <w:p w:rsidR="00786914" w:rsidRPr="007D562C" w:rsidRDefault="00786914" w:rsidP="0006743B">
            <w:pPr>
              <w:pStyle w:val="TableText"/>
              <w:ind w:left="709" w:hanging="709"/>
            </w:pPr>
            <w:r w:rsidRPr="007D562C">
              <w:t>RR 0.98</w:t>
            </w:r>
          </w:p>
        </w:tc>
        <w:tc>
          <w:tcPr>
            <w:tcW w:w="472" w:type="pct"/>
            <w:shd w:val="clear" w:color="auto" w:fill="auto"/>
            <w:noWrap/>
            <w:vAlign w:val="bottom"/>
          </w:tcPr>
          <w:p w:rsidR="00786914" w:rsidRPr="007D562C" w:rsidRDefault="00786914" w:rsidP="0006743B">
            <w:pPr>
              <w:pStyle w:val="TableText"/>
              <w:ind w:left="709" w:hanging="709"/>
            </w:pPr>
            <w:r w:rsidRPr="007D562C">
              <w:t>0.31–3.09</w:t>
            </w:r>
          </w:p>
        </w:tc>
        <w:tc>
          <w:tcPr>
            <w:tcW w:w="330" w:type="pct"/>
            <w:shd w:val="clear" w:color="auto" w:fill="auto"/>
            <w:noWrap/>
            <w:vAlign w:val="bottom"/>
          </w:tcPr>
          <w:p w:rsidR="00786914" w:rsidRPr="007D562C" w:rsidRDefault="00786914" w:rsidP="0006743B">
            <w:pPr>
              <w:pStyle w:val="TableText"/>
              <w:ind w:left="709" w:hanging="709"/>
            </w:pPr>
            <w:r w:rsidRPr="007D562C">
              <w:t>37</w:t>
            </w:r>
          </w:p>
        </w:tc>
        <w:tc>
          <w:tcPr>
            <w:tcW w:w="397" w:type="pct"/>
            <w:shd w:val="clear" w:color="auto" w:fill="auto"/>
            <w:noWrap/>
            <w:vAlign w:val="bottom"/>
          </w:tcPr>
          <w:p w:rsidR="00786914" w:rsidRPr="007D562C" w:rsidRDefault="00786914" w:rsidP="0006743B">
            <w:pPr>
              <w:pStyle w:val="TableText"/>
              <w:ind w:left="709" w:hanging="709"/>
            </w:pPr>
            <w:r w:rsidRPr="007D562C">
              <w:t>0.97</w:t>
            </w:r>
          </w:p>
        </w:tc>
      </w:tr>
    </w:tbl>
    <w:p w:rsidR="00786914" w:rsidRPr="00565A10" w:rsidRDefault="00786914" w:rsidP="0006743B">
      <w:pPr>
        <w:pStyle w:val="TableNotes"/>
      </w:pPr>
      <w:r w:rsidRPr="008508D8">
        <w:t>RR= relat</w:t>
      </w:r>
      <w:r>
        <w:t>ive risk; * Results are from Lour</w:t>
      </w:r>
      <w:r w:rsidRPr="008508D8">
        <w:t>en</w:t>
      </w:r>
      <w:r>
        <w:t>c</w:t>
      </w:r>
      <w:r w:rsidRPr="008508D8">
        <w:t>o et al (2008)</w:t>
      </w:r>
      <w:r>
        <w:t xml:space="preserve"> as no additional data were reported in the more recent studies</w:t>
      </w:r>
      <w:r w:rsidRPr="008508D8">
        <w:t>.</w:t>
      </w:r>
    </w:p>
    <w:p w:rsidR="00786914" w:rsidRDefault="00786914" w:rsidP="0006743B">
      <w:pPr>
        <w:tabs>
          <w:tab w:val="left" w:pos="720"/>
          <w:tab w:val="left" w:pos="1140"/>
        </w:tabs>
        <w:spacing w:before="120" w:after="0"/>
        <w:rPr>
          <w:rFonts w:cs="Arial"/>
          <w:szCs w:val="24"/>
        </w:rPr>
      </w:pPr>
      <w:r w:rsidRPr="004E1EFC">
        <w:rPr>
          <w:rFonts w:cs="Arial"/>
          <w:szCs w:val="24"/>
        </w:rPr>
        <w:t>It was not possible to meta-analyse data for a number of other safety outcomes listed in the DAP</w:t>
      </w:r>
      <w:r>
        <w:rPr>
          <w:rFonts w:cs="Arial"/>
          <w:szCs w:val="24"/>
        </w:rPr>
        <w:t>,</w:t>
      </w:r>
      <w:r w:rsidRPr="004E1EFC">
        <w:rPr>
          <w:rFonts w:cs="Arial"/>
          <w:szCs w:val="24"/>
        </w:rPr>
        <w:t xml:space="preserve"> including dysuria, TUR syndrome, erectile dysfunction and overall mortality. Individual studies did include these, although statistically significant differences between the two interventions were not reported.</w:t>
      </w:r>
    </w:p>
    <w:p w:rsidR="00786914" w:rsidRDefault="00786914" w:rsidP="0006743B">
      <w:pPr>
        <w:tabs>
          <w:tab w:val="left" w:pos="720"/>
          <w:tab w:val="left" w:pos="1140"/>
        </w:tabs>
        <w:spacing w:before="120" w:after="0"/>
        <w:rPr>
          <w:rFonts w:cs="Arial"/>
          <w:szCs w:val="24"/>
        </w:rPr>
      </w:pPr>
    </w:p>
    <w:p w:rsidR="00786914" w:rsidRDefault="00786914" w:rsidP="0006743B">
      <w:pPr>
        <w:pStyle w:val="Normalbold"/>
      </w:pPr>
      <w:r w:rsidRPr="00C26059">
        <w:t xml:space="preserve">Key results </w:t>
      </w:r>
      <w:r>
        <w:t xml:space="preserve">of safety </w:t>
      </w:r>
      <w:r w:rsidRPr="00C26059">
        <w:t xml:space="preserve">comparison </w:t>
      </w:r>
      <w:r>
        <w:t xml:space="preserve">of </w:t>
      </w:r>
      <w:r w:rsidRPr="00C26059">
        <w:t>HoLEP with OP</w:t>
      </w:r>
    </w:p>
    <w:p w:rsidR="00786914" w:rsidRPr="004E1EFC" w:rsidRDefault="00786914" w:rsidP="0006743B">
      <w:pPr>
        <w:tabs>
          <w:tab w:val="left" w:pos="720"/>
          <w:tab w:val="left" w:pos="1140"/>
        </w:tabs>
        <w:spacing w:before="120" w:after="0"/>
        <w:rPr>
          <w:rFonts w:cs="Arial"/>
          <w:szCs w:val="24"/>
        </w:rPr>
      </w:pPr>
      <w:r w:rsidRPr="004E1EFC">
        <w:rPr>
          <w:rFonts w:cs="Arial"/>
          <w:szCs w:val="24"/>
        </w:rPr>
        <w:t xml:space="preserve">A summary of the main results are shown in </w:t>
      </w:r>
      <w:r w:rsidR="00F0137E">
        <w:rPr>
          <w:rFonts w:cs="Arial"/>
          <w:szCs w:val="24"/>
        </w:rPr>
        <w:fldChar w:fldCharType="begin"/>
      </w:r>
      <w:r>
        <w:rPr>
          <w:rFonts w:cs="Arial"/>
          <w:szCs w:val="24"/>
        </w:rPr>
        <w:instrText xml:space="preserve"> REF _Ref323637347 \h </w:instrText>
      </w:r>
      <w:r w:rsidR="00F0137E">
        <w:rPr>
          <w:rFonts w:cs="Arial"/>
          <w:szCs w:val="24"/>
        </w:rPr>
      </w:r>
      <w:r w:rsidR="00F0137E">
        <w:rPr>
          <w:rFonts w:cs="Arial"/>
          <w:szCs w:val="24"/>
        </w:rPr>
        <w:fldChar w:fldCharType="separate"/>
      </w:r>
      <w:r w:rsidR="00F45C43">
        <w:t xml:space="preserve">Table </w:t>
      </w:r>
      <w:r w:rsidR="00F45C43">
        <w:rPr>
          <w:noProof/>
        </w:rPr>
        <w:t>2</w:t>
      </w:r>
      <w:r w:rsidR="00F0137E">
        <w:rPr>
          <w:rFonts w:cs="Arial"/>
          <w:szCs w:val="24"/>
        </w:rPr>
        <w:fldChar w:fldCharType="end"/>
      </w:r>
      <w:r>
        <w:rPr>
          <w:rFonts w:cs="Arial"/>
          <w:szCs w:val="24"/>
        </w:rPr>
        <w:t xml:space="preserve"> </w:t>
      </w:r>
      <w:r w:rsidRPr="004E1EFC">
        <w:rPr>
          <w:rFonts w:cs="Arial"/>
          <w:szCs w:val="24"/>
        </w:rPr>
        <w:t>below.</w:t>
      </w:r>
    </w:p>
    <w:p w:rsidR="00786914" w:rsidRDefault="00786914" w:rsidP="0006743B">
      <w:pPr>
        <w:pStyle w:val="Caption"/>
      </w:pPr>
    </w:p>
    <w:p w:rsidR="00786914" w:rsidRDefault="00786914" w:rsidP="0006743B">
      <w:pPr>
        <w:pStyle w:val="Caption"/>
      </w:pPr>
      <w:bookmarkStart w:id="44" w:name="_Ref323637347"/>
      <w:bookmarkStart w:id="45" w:name="_Toc327803249"/>
      <w:bookmarkStart w:id="46" w:name="_Toc327881539"/>
      <w:r>
        <w:t xml:space="preserve">Table </w:t>
      </w:r>
      <w:fldSimple w:instr=" SEQ Table \* ARABIC ">
        <w:r w:rsidR="00F45C43">
          <w:rPr>
            <w:noProof/>
          </w:rPr>
          <w:t>2</w:t>
        </w:r>
      </w:fldSimple>
      <w:bookmarkEnd w:id="44"/>
      <w:r>
        <w:t>:</w:t>
      </w:r>
      <w:r>
        <w:tab/>
        <w:t>Safety of HoLEP compared with OP</w:t>
      </w:r>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954"/>
        <w:gridCol w:w="1277"/>
        <w:gridCol w:w="715"/>
        <w:gridCol w:w="715"/>
        <w:gridCol w:w="1745"/>
        <w:gridCol w:w="850"/>
        <w:gridCol w:w="596"/>
        <w:gridCol w:w="715"/>
      </w:tblGrid>
      <w:tr w:rsidR="00786914" w:rsidRPr="00083C4B" w:rsidTr="0006743B">
        <w:trPr>
          <w:trHeight w:val="300"/>
        </w:trPr>
        <w:tc>
          <w:tcPr>
            <w:tcW w:w="916" w:type="pct"/>
            <w:shd w:val="clear" w:color="auto" w:fill="auto"/>
            <w:noWrap/>
            <w:vAlign w:val="bottom"/>
          </w:tcPr>
          <w:p w:rsidR="00786914" w:rsidRPr="00083C4B" w:rsidRDefault="00786914" w:rsidP="0006743B">
            <w:pPr>
              <w:pStyle w:val="Tableheading"/>
            </w:pPr>
            <w:r w:rsidRPr="00083C4B">
              <w:t>Outcome</w:t>
            </w:r>
          </w:p>
        </w:tc>
        <w:tc>
          <w:tcPr>
            <w:tcW w:w="434" w:type="pct"/>
            <w:shd w:val="clear" w:color="auto" w:fill="auto"/>
            <w:noWrap/>
            <w:vAlign w:val="bottom"/>
          </w:tcPr>
          <w:p w:rsidR="00786914" w:rsidRPr="00083C4B" w:rsidRDefault="00786914" w:rsidP="0006743B">
            <w:pPr>
              <w:pStyle w:val="Tableheading"/>
            </w:pPr>
            <w:r w:rsidRPr="00083C4B">
              <w:t>Studies (n)</w:t>
            </w:r>
          </w:p>
        </w:tc>
        <w:tc>
          <w:tcPr>
            <w:tcW w:w="774" w:type="pct"/>
            <w:shd w:val="clear" w:color="auto" w:fill="auto"/>
            <w:noWrap/>
            <w:vAlign w:val="bottom"/>
          </w:tcPr>
          <w:p w:rsidR="00786914" w:rsidRPr="00083C4B" w:rsidRDefault="00786914" w:rsidP="0006743B">
            <w:pPr>
              <w:pStyle w:val="Tableheading"/>
            </w:pPr>
            <w:r w:rsidRPr="00083C4B">
              <w:t>Patients HoLEP</w:t>
            </w:r>
          </w:p>
          <w:p w:rsidR="00786914" w:rsidRPr="00083C4B" w:rsidRDefault="00786914" w:rsidP="0006743B">
            <w:pPr>
              <w:pStyle w:val="Tableheading"/>
            </w:pPr>
            <w:r w:rsidRPr="00083C4B">
              <w:t>/OP (n)</w:t>
            </w:r>
          </w:p>
        </w:tc>
        <w:tc>
          <w:tcPr>
            <w:tcW w:w="634" w:type="pct"/>
            <w:shd w:val="clear" w:color="auto" w:fill="auto"/>
            <w:vAlign w:val="bottom"/>
          </w:tcPr>
          <w:p w:rsidR="00786914" w:rsidRPr="00083C4B" w:rsidRDefault="00786914" w:rsidP="0006743B">
            <w:pPr>
              <w:pStyle w:val="Tableheading"/>
            </w:pPr>
            <w:r w:rsidRPr="00083C4B">
              <w:t>HoLEP</w:t>
            </w:r>
          </w:p>
          <w:p w:rsidR="00786914" w:rsidRPr="00083C4B" w:rsidRDefault="00786914" w:rsidP="0006743B">
            <w:pPr>
              <w:pStyle w:val="Tableheading"/>
            </w:pPr>
            <w:r w:rsidRPr="00083C4B">
              <w:t>(total events)</w:t>
            </w:r>
          </w:p>
        </w:tc>
        <w:tc>
          <w:tcPr>
            <w:tcW w:w="563" w:type="pct"/>
            <w:shd w:val="clear" w:color="auto" w:fill="auto"/>
            <w:vAlign w:val="bottom"/>
          </w:tcPr>
          <w:p w:rsidR="00786914" w:rsidRPr="00083C4B" w:rsidRDefault="00786914" w:rsidP="0006743B">
            <w:pPr>
              <w:pStyle w:val="Tableheading"/>
            </w:pPr>
            <w:r w:rsidRPr="00083C4B">
              <w:t>OP</w:t>
            </w:r>
          </w:p>
          <w:p w:rsidR="00786914" w:rsidRPr="00083C4B" w:rsidRDefault="00786914" w:rsidP="0006743B">
            <w:pPr>
              <w:pStyle w:val="Tableheading"/>
            </w:pPr>
            <w:r w:rsidRPr="00083C4B">
              <w:t>(total events)</w:t>
            </w:r>
          </w:p>
        </w:tc>
        <w:tc>
          <w:tcPr>
            <w:tcW w:w="493" w:type="pct"/>
            <w:shd w:val="clear" w:color="auto" w:fill="auto"/>
            <w:noWrap/>
            <w:vAlign w:val="bottom"/>
          </w:tcPr>
          <w:p w:rsidR="00786914" w:rsidRPr="00083C4B" w:rsidRDefault="00786914" w:rsidP="0006743B">
            <w:pPr>
              <w:pStyle w:val="Tableheading"/>
            </w:pPr>
            <w:r w:rsidRPr="00083C4B">
              <w:t>Estimate of effect (RR)</w:t>
            </w:r>
          </w:p>
        </w:tc>
        <w:tc>
          <w:tcPr>
            <w:tcW w:w="493" w:type="pct"/>
            <w:shd w:val="clear" w:color="auto" w:fill="auto"/>
            <w:noWrap/>
            <w:vAlign w:val="bottom"/>
          </w:tcPr>
          <w:p w:rsidR="00786914" w:rsidRPr="00083C4B" w:rsidRDefault="00786914" w:rsidP="0006743B">
            <w:pPr>
              <w:pStyle w:val="Tableheading"/>
            </w:pPr>
            <w:r w:rsidRPr="00083C4B">
              <w:t>Range</w:t>
            </w:r>
          </w:p>
          <w:p w:rsidR="00786914" w:rsidRPr="00083C4B" w:rsidRDefault="00786914" w:rsidP="0006743B">
            <w:pPr>
              <w:pStyle w:val="Tableheading"/>
            </w:pPr>
            <w:r w:rsidRPr="00083C4B">
              <w:t>(95% CI)*</w:t>
            </w:r>
          </w:p>
        </w:tc>
        <w:tc>
          <w:tcPr>
            <w:tcW w:w="270" w:type="pct"/>
            <w:shd w:val="clear" w:color="auto" w:fill="auto"/>
            <w:noWrap/>
            <w:vAlign w:val="bottom"/>
          </w:tcPr>
          <w:p w:rsidR="00786914" w:rsidRPr="00083C4B" w:rsidRDefault="00786914" w:rsidP="0006743B">
            <w:pPr>
              <w:pStyle w:val="Tableheading"/>
            </w:pPr>
            <w:r w:rsidRPr="00083C4B">
              <w:t>I2 (%)</w:t>
            </w:r>
          </w:p>
        </w:tc>
        <w:tc>
          <w:tcPr>
            <w:tcW w:w="423" w:type="pct"/>
            <w:shd w:val="clear" w:color="auto" w:fill="auto"/>
            <w:noWrap/>
            <w:vAlign w:val="bottom"/>
          </w:tcPr>
          <w:p w:rsidR="00786914" w:rsidRPr="00083C4B" w:rsidRDefault="00786914" w:rsidP="0006743B">
            <w:pPr>
              <w:pStyle w:val="Tableheading"/>
            </w:pPr>
            <w:r w:rsidRPr="00083C4B">
              <w:t>p-value</w:t>
            </w:r>
          </w:p>
        </w:tc>
      </w:tr>
      <w:tr w:rsidR="00786914" w:rsidRPr="00083C4B" w:rsidTr="0006743B">
        <w:trPr>
          <w:trHeight w:val="255"/>
        </w:trPr>
        <w:tc>
          <w:tcPr>
            <w:tcW w:w="916" w:type="pct"/>
            <w:shd w:val="clear" w:color="auto" w:fill="auto"/>
            <w:noWrap/>
            <w:vAlign w:val="bottom"/>
          </w:tcPr>
          <w:p w:rsidR="00786914" w:rsidRPr="00083C4B" w:rsidRDefault="00786914" w:rsidP="0006743B">
            <w:pPr>
              <w:pStyle w:val="TableText"/>
            </w:pPr>
            <w:r w:rsidRPr="00083C4B">
              <w:t>Blood transfusion rates</w:t>
            </w:r>
          </w:p>
        </w:tc>
        <w:tc>
          <w:tcPr>
            <w:tcW w:w="434" w:type="pct"/>
            <w:shd w:val="clear" w:color="auto" w:fill="auto"/>
            <w:noWrap/>
            <w:vAlign w:val="bottom"/>
          </w:tcPr>
          <w:p w:rsidR="00786914" w:rsidRPr="00083C4B" w:rsidRDefault="00786914" w:rsidP="0006743B">
            <w:pPr>
              <w:pStyle w:val="TableText"/>
            </w:pPr>
            <w:r w:rsidRPr="00083C4B">
              <w:t>2</w:t>
            </w:r>
          </w:p>
        </w:tc>
        <w:tc>
          <w:tcPr>
            <w:tcW w:w="774" w:type="pct"/>
            <w:shd w:val="clear" w:color="auto" w:fill="auto"/>
            <w:noWrap/>
            <w:vAlign w:val="bottom"/>
          </w:tcPr>
          <w:p w:rsidR="00786914" w:rsidRPr="00083C4B" w:rsidRDefault="00786914" w:rsidP="0006743B">
            <w:pPr>
              <w:pStyle w:val="TableText"/>
            </w:pPr>
            <w:r w:rsidRPr="00083C4B">
              <w:t>101/99</w:t>
            </w:r>
          </w:p>
        </w:tc>
        <w:tc>
          <w:tcPr>
            <w:tcW w:w="634" w:type="pct"/>
            <w:shd w:val="clear" w:color="auto" w:fill="auto"/>
            <w:vAlign w:val="bottom"/>
          </w:tcPr>
          <w:p w:rsidR="00786914" w:rsidRPr="00083C4B" w:rsidRDefault="00786914" w:rsidP="0006743B">
            <w:pPr>
              <w:pStyle w:val="TableText"/>
            </w:pPr>
            <w:r w:rsidRPr="00083C4B">
              <w:t>2</w:t>
            </w:r>
          </w:p>
        </w:tc>
        <w:tc>
          <w:tcPr>
            <w:tcW w:w="563" w:type="pct"/>
            <w:shd w:val="clear" w:color="auto" w:fill="auto"/>
            <w:vAlign w:val="bottom"/>
          </w:tcPr>
          <w:p w:rsidR="00786914" w:rsidRPr="00083C4B" w:rsidRDefault="00786914" w:rsidP="0006743B">
            <w:pPr>
              <w:pStyle w:val="TableText"/>
            </w:pPr>
            <w:r w:rsidRPr="00083C4B">
              <w:t>15</w:t>
            </w:r>
          </w:p>
        </w:tc>
        <w:tc>
          <w:tcPr>
            <w:tcW w:w="493" w:type="pct"/>
            <w:shd w:val="clear" w:color="auto" w:fill="auto"/>
            <w:noWrap/>
            <w:vAlign w:val="bottom"/>
          </w:tcPr>
          <w:p w:rsidR="00786914" w:rsidRPr="00083C4B" w:rsidRDefault="00786914" w:rsidP="0006743B">
            <w:pPr>
              <w:pStyle w:val="TableText"/>
            </w:pPr>
            <w:r w:rsidRPr="00083C4B">
              <w:t>0.19</w:t>
            </w:r>
          </w:p>
        </w:tc>
        <w:tc>
          <w:tcPr>
            <w:tcW w:w="493" w:type="pct"/>
            <w:shd w:val="clear" w:color="auto" w:fill="auto"/>
            <w:noWrap/>
            <w:vAlign w:val="bottom"/>
          </w:tcPr>
          <w:p w:rsidR="00786914" w:rsidRPr="00083C4B" w:rsidRDefault="00786914" w:rsidP="0006743B">
            <w:pPr>
              <w:pStyle w:val="TableText"/>
            </w:pPr>
            <w:r w:rsidRPr="00083C4B">
              <w:t>0.05–0.73</w:t>
            </w:r>
          </w:p>
        </w:tc>
        <w:tc>
          <w:tcPr>
            <w:tcW w:w="270" w:type="pct"/>
            <w:shd w:val="clear" w:color="auto" w:fill="auto"/>
            <w:noWrap/>
            <w:vAlign w:val="bottom"/>
          </w:tcPr>
          <w:p w:rsidR="00786914" w:rsidRPr="00083C4B" w:rsidRDefault="00786914" w:rsidP="0006743B">
            <w:pPr>
              <w:pStyle w:val="TableText"/>
            </w:pPr>
            <w:r w:rsidRPr="00083C4B">
              <w:t>0</w:t>
            </w:r>
          </w:p>
        </w:tc>
        <w:tc>
          <w:tcPr>
            <w:tcW w:w="423" w:type="pct"/>
            <w:shd w:val="clear" w:color="auto" w:fill="auto"/>
            <w:noWrap/>
            <w:vAlign w:val="bottom"/>
          </w:tcPr>
          <w:p w:rsidR="00786914" w:rsidRPr="00083C4B" w:rsidRDefault="00786914" w:rsidP="0006743B">
            <w:pPr>
              <w:pStyle w:val="TableText"/>
            </w:pPr>
            <w:r w:rsidRPr="00083C4B">
              <w:t>p=0.02</w:t>
            </w:r>
          </w:p>
        </w:tc>
      </w:tr>
      <w:tr w:rsidR="00786914" w:rsidRPr="00083C4B" w:rsidTr="0006743B">
        <w:trPr>
          <w:trHeight w:val="255"/>
        </w:trPr>
        <w:tc>
          <w:tcPr>
            <w:tcW w:w="916" w:type="pct"/>
            <w:shd w:val="clear" w:color="auto" w:fill="auto"/>
            <w:noWrap/>
            <w:vAlign w:val="bottom"/>
          </w:tcPr>
          <w:p w:rsidR="00786914" w:rsidRPr="00083C4B" w:rsidRDefault="00786914" w:rsidP="0006743B">
            <w:pPr>
              <w:pStyle w:val="TableText"/>
            </w:pPr>
            <w:r w:rsidRPr="00083C4B">
              <w:t>Urethral stricture</w:t>
            </w:r>
          </w:p>
        </w:tc>
        <w:tc>
          <w:tcPr>
            <w:tcW w:w="434" w:type="pct"/>
            <w:shd w:val="clear" w:color="auto" w:fill="auto"/>
            <w:noWrap/>
            <w:vAlign w:val="bottom"/>
          </w:tcPr>
          <w:p w:rsidR="00786914" w:rsidRPr="00083C4B" w:rsidRDefault="00786914" w:rsidP="0006743B">
            <w:pPr>
              <w:pStyle w:val="TableText"/>
            </w:pPr>
            <w:r w:rsidRPr="00083C4B">
              <w:t>2</w:t>
            </w:r>
          </w:p>
        </w:tc>
        <w:tc>
          <w:tcPr>
            <w:tcW w:w="774" w:type="pct"/>
            <w:shd w:val="clear" w:color="auto" w:fill="auto"/>
            <w:noWrap/>
            <w:vAlign w:val="bottom"/>
          </w:tcPr>
          <w:p w:rsidR="00786914" w:rsidRPr="00083C4B" w:rsidRDefault="00786914" w:rsidP="0006743B">
            <w:pPr>
              <w:pStyle w:val="TableText"/>
            </w:pPr>
            <w:r w:rsidRPr="00083C4B">
              <w:t>101/88</w:t>
            </w:r>
          </w:p>
        </w:tc>
        <w:tc>
          <w:tcPr>
            <w:tcW w:w="634" w:type="pct"/>
            <w:shd w:val="clear" w:color="auto" w:fill="auto"/>
            <w:vAlign w:val="bottom"/>
          </w:tcPr>
          <w:p w:rsidR="00786914" w:rsidRPr="00083C4B" w:rsidRDefault="00786914" w:rsidP="0006743B">
            <w:pPr>
              <w:pStyle w:val="TableText"/>
            </w:pPr>
            <w:r w:rsidRPr="00083C4B">
              <w:t>5</w:t>
            </w:r>
          </w:p>
        </w:tc>
        <w:tc>
          <w:tcPr>
            <w:tcW w:w="563" w:type="pct"/>
            <w:shd w:val="clear" w:color="auto" w:fill="auto"/>
            <w:vAlign w:val="bottom"/>
          </w:tcPr>
          <w:p w:rsidR="00786914" w:rsidRPr="00083C4B" w:rsidRDefault="00786914" w:rsidP="0006743B">
            <w:pPr>
              <w:pStyle w:val="TableText"/>
            </w:pPr>
            <w:r w:rsidRPr="00083C4B">
              <w:t>4</w:t>
            </w:r>
          </w:p>
        </w:tc>
        <w:tc>
          <w:tcPr>
            <w:tcW w:w="493" w:type="pct"/>
            <w:shd w:val="clear" w:color="auto" w:fill="auto"/>
            <w:noWrap/>
            <w:vAlign w:val="bottom"/>
          </w:tcPr>
          <w:p w:rsidR="00786914" w:rsidRPr="00083C4B" w:rsidRDefault="00786914" w:rsidP="0006743B">
            <w:pPr>
              <w:pStyle w:val="TableText"/>
            </w:pPr>
            <w:r w:rsidRPr="00083C4B">
              <w:t>1.12</w:t>
            </w:r>
          </w:p>
        </w:tc>
        <w:tc>
          <w:tcPr>
            <w:tcW w:w="493" w:type="pct"/>
            <w:shd w:val="clear" w:color="auto" w:fill="auto"/>
            <w:noWrap/>
            <w:vAlign w:val="bottom"/>
          </w:tcPr>
          <w:p w:rsidR="00786914" w:rsidRPr="00083C4B" w:rsidRDefault="00786914" w:rsidP="0006743B">
            <w:pPr>
              <w:pStyle w:val="TableText"/>
            </w:pPr>
            <w:r w:rsidRPr="00083C4B">
              <w:t>0.31–4.06</w:t>
            </w:r>
          </w:p>
        </w:tc>
        <w:tc>
          <w:tcPr>
            <w:tcW w:w="270" w:type="pct"/>
            <w:shd w:val="clear" w:color="auto" w:fill="auto"/>
            <w:noWrap/>
            <w:vAlign w:val="bottom"/>
          </w:tcPr>
          <w:p w:rsidR="00786914" w:rsidRPr="00083C4B" w:rsidRDefault="00786914" w:rsidP="0006743B">
            <w:pPr>
              <w:pStyle w:val="TableText"/>
            </w:pPr>
            <w:r w:rsidRPr="00083C4B">
              <w:t>0</w:t>
            </w:r>
          </w:p>
        </w:tc>
        <w:tc>
          <w:tcPr>
            <w:tcW w:w="423" w:type="pct"/>
            <w:shd w:val="clear" w:color="auto" w:fill="auto"/>
            <w:noWrap/>
            <w:vAlign w:val="bottom"/>
          </w:tcPr>
          <w:p w:rsidR="00786914" w:rsidRPr="00083C4B" w:rsidRDefault="00786914" w:rsidP="0006743B">
            <w:pPr>
              <w:pStyle w:val="TableText"/>
            </w:pPr>
            <w:r w:rsidRPr="00083C4B">
              <w:t>p=0.87</w:t>
            </w:r>
          </w:p>
        </w:tc>
      </w:tr>
      <w:tr w:rsidR="00786914" w:rsidRPr="00083C4B" w:rsidTr="0006743B">
        <w:trPr>
          <w:trHeight w:val="80"/>
        </w:trPr>
        <w:tc>
          <w:tcPr>
            <w:tcW w:w="916" w:type="pct"/>
            <w:shd w:val="clear" w:color="auto" w:fill="auto"/>
            <w:noWrap/>
            <w:vAlign w:val="bottom"/>
          </w:tcPr>
          <w:p w:rsidR="00786914" w:rsidRPr="00083C4B" w:rsidRDefault="00786914" w:rsidP="0006743B">
            <w:pPr>
              <w:pStyle w:val="TableText"/>
            </w:pPr>
            <w:r w:rsidRPr="00083C4B">
              <w:t>Incontinence</w:t>
            </w:r>
          </w:p>
        </w:tc>
        <w:tc>
          <w:tcPr>
            <w:tcW w:w="434" w:type="pct"/>
            <w:shd w:val="clear" w:color="auto" w:fill="auto"/>
            <w:noWrap/>
            <w:vAlign w:val="bottom"/>
          </w:tcPr>
          <w:p w:rsidR="00786914" w:rsidRPr="00083C4B" w:rsidRDefault="00786914" w:rsidP="0006743B">
            <w:pPr>
              <w:pStyle w:val="TableText"/>
            </w:pPr>
            <w:r w:rsidRPr="00083C4B">
              <w:t>2</w:t>
            </w:r>
          </w:p>
        </w:tc>
        <w:tc>
          <w:tcPr>
            <w:tcW w:w="774" w:type="pct"/>
            <w:shd w:val="clear" w:color="auto" w:fill="auto"/>
            <w:noWrap/>
            <w:vAlign w:val="bottom"/>
          </w:tcPr>
          <w:p w:rsidR="00786914" w:rsidRPr="00083C4B" w:rsidRDefault="00786914" w:rsidP="0006743B">
            <w:pPr>
              <w:pStyle w:val="TableText"/>
            </w:pPr>
            <w:r w:rsidRPr="00083C4B">
              <w:t>97/99</w:t>
            </w:r>
          </w:p>
        </w:tc>
        <w:tc>
          <w:tcPr>
            <w:tcW w:w="634" w:type="pct"/>
            <w:shd w:val="clear" w:color="auto" w:fill="auto"/>
            <w:vAlign w:val="bottom"/>
          </w:tcPr>
          <w:p w:rsidR="00786914" w:rsidRPr="00083C4B" w:rsidRDefault="00786914" w:rsidP="0006743B">
            <w:pPr>
              <w:pStyle w:val="TableText"/>
            </w:pPr>
            <w:r w:rsidRPr="00083C4B">
              <w:t>7</w:t>
            </w:r>
          </w:p>
        </w:tc>
        <w:tc>
          <w:tcPr>
            <w:tcW w:w="563" w:type="pct"/>
            <w:shd w:val="clear" w:color="auto" w:fill="auto"/>
            <w:vAlign w:val="bottom"/>
          </w:tcPr>
          <w:p w:rsidR="00786914" w:rsidRPr="00083C4B" w:rsidRDefault="00786914" w:rsidP="0006743B">
            <w:pPr>
              <w:pStyle w:val="TableText"/>
            </w:pPr>
            <w:r w:rsidRPr="00083C4B">
              <w:t>9</w:t>
            </w:r>
          </w:p>
        </w:tc>
        <w:tc>
          <w:tcPr>
            <w:tcW w:w="493" w:type="pct"/>
            <w:shd w:val="clear" w:color="auto" w:fill="auto"/>
            <w:noWrap/>
            <w:vAlign w:val="bottom"/>
          </w:tcPr>
          <w:p w:rsidR="00786914" w:rsidRPr="00083C4B" w:rsidRDefault="00786914" w:rsidP="0006743B">
            <w:pPr>
              <w:pStyle w:val="TableText"/>
            </w:pPr>
            <w:r w:rsidRPr="00083C4B">
              <w:t>0.79</w:t>
            </w:r>
          </w:p>
        </w:tc>
        <w:tc>
          <w:tcPr>
            <w:tcW w:w="493" w:type="pct"/>
            <w:shd w:val="clear" w:color="auto" w:fill="auto"/>
            <w:noWrap/>
            <w:vAlign w:val="bottom"/>
          </w:tcPr>
          <w:p w:rsidR="00786914" w:rsidRPr="00083C4B" w:rsidRDefault="00786914" w:rsidP="0006743B">
            <w:pPr>
              <w:pStyle w:val="TableText"/>
            </w:pPr>
            <w:r w:rsidRPr="00083C4B">
              <w:t>0.31–2.04</w:t>
            </w:r>
          </w:p>
        </w:tc>
        <w:tc>
          <w:tcPr>
            <w:tcW w:w="270" w:type="pct"/>
            <w:shd w:val="clear" w:color="auto" w:fill="auto"/>
            <w:noWrap/>
            <w:vAlign w:val="bottom"/>
          </w:tcPr>
          <w:p w:rsidR="00786914" w:rsidRPr="00083C4B" w:rsidRDefault="00786914" w:rsidP="0006743B">
            <w:pPr>
              <w:pStyle w:val="TableText"/>
            </w:pPr>
            <w:r w:rsidRPr="00083C4B">
              <w:t>0</w:t>
            </w:r>
          </w:p>
        </w:tc>
        <w:tc>
          <w:tcPr>
            <w:tcW w:w="423" w:type="pct"/>
            <w:shd w:val="clear" w:color="auto" w:fill="auto"/>
            <w:noWrap/>
            <w:vAlign w:val="bottom"/>
          </w:tcPr>
          <w:p w:rsidR="00786914" w:rsidRPr="00083C4B" w:rsidRDefault="00786914" w:rsidP="0006743B">
            <w:pPr>
              <w:pStyle w:val="TableText"/>
            </w:pPr>
            <w:r w:rsidRPr="00083C4B">
              <w:t>p=0.63</w:t>
            </w:r>
          </w:p>
        </w:tc>
      </w:tr>
    </w:tbl>
    <w:p w:rsidR="00786914" w:rsidRPr="00565A10" w:rsidRDefault="00786914" w:rsidP="0006743B">
      <w:pPr>
        <w:pStyle w:val="TableNotes"/>
      </w:pPr>
      <w:r w:rsidRPr="008508D8">
        <w:t>RR= relat</w:t>
      </w:r>
      <w:r>
        <w:t>ive risk.</w:t>
      </w:r>
    </w:p>
    <w:p w:rsidR="00786914" w:rsidRPr="004E1EFC" w:rsidRDefault="00786914" w:rsidP="0006743B">
      <w:pPr>
        <w:tabs>
          <w:tab w:val="left" w:pos="720"/>
          <w:tab w:val="left" w:pos="1140"/>
        </w:tabs>
        <w:spacing w:before="120" w:after="0"/>
        <w:rPr>
          <w:rFonts w:cs="Arial"/>
          <w:szCs w:val="24"/>
        </w:rPr>
      </w:pPr>
      <w:r w:rsidRPr="004E1EFC">
        <w:rPr>
          <w:rFonts w:cs="Arial"/>
          <w:szCs w:val="24"/>
        </w:rPr>
        <w:t>A number of other outcomes, listed in the DAP, were reported on in either of the studies and were not meta-analysed. These include erectile dysfunction, acute urinary retention and dysuria. Statistically significant differences were not reported between the interventions.</w:t>
      </w:r>
    </w:p>
    <w:p w:rsidR="00786914" w:rsidRDefault="00786914" w:rsidP="0006743B">
      <w:pPr>
        <w:pStyle w:val="Normalbold"/>
      </w:pPr>
    </w:p>
    <w:p w:rsidR="00786914" w:rsidRDefault="00786914" w:rsidP="0006743B">
      <w:pPr>
        <w:pStyle w:val="Normalbold"/>
      </w:pPr>
      <w:r w:rsidRPr="00574983">
        <w:t>Key uncertainties</w:t>
      </w:r>
    </w:p>
    <w:p w:rsidR="00786914" w:rsidRPr="008B41E2" w:rsidRDefault="00786914" w:rsidP="0006743B">
      <w:r>
        <w:t>A</w:t>
      </w:r>
      <w:r w:rsidRPr="008B41E2">
        <w:t>reas of uncertainty can arise in the interpretation of safety outcomes that are extracted only from RCTs. Less frequently observed complications that may be reported in larg</w:t>
      </w:r>
      <w:r>
        <w:t>e</w:t>
      </w:r>
      <w:r w:rsidRPr="008B41E2">
        <w:t xml:space="preserve"> </w:t>
      </w:r>
      <w:r w:rsidRPr="008B41E2">
        <w:lastRenderedPageBreak/>
        <w:t xml:space="preserve">cohort studies may not be identified. </w:t>
      </w:r>
      <w:r>
        <w:t xml:space="preserve">It is possible therefore that different estimates of safety may be obtained by reviewing data from non-randomised or cohort studies. </w:t>
      </w:r>
      <w:r w:rsidRPr="008B41E2">
        <w:t>Longer term, or less frequently observed, complications also may not be reported in short term trials. In this assessment, follow</w:t>
      </w:r>
      <w:r>
        <w:t>-</w:t>
      </w:r>
      <w:r w:rsidRPr="008B41E2">
        <w:t xml:space="preserve">up data published subsequent to the original RCTs </w:t>
      </w:r>
      <w:r>
        <w:t xml:space="preserve">does however </w:t>
      </w:r>
      <w:r w:rsidRPr="008B41E2">
        <w:t xml:space="preserve">provide more robust estimates of complications. </w:t>
      </w:r>
    </w:p>
    <w:p w:rsidR="00786914" w:rsidRDefault="00786914" w:rsidP="0006743B">
      <w:pPr>
        <w:rPr>
          <w:szCs w:val="24"/>
        </w:rPr>
      </w:pPr>
      <w:r>
        <w:t>Surgeon experience was also not noted in the majority of the studies. It is possible that complication rates that would be observed in current clinical practice may be different.</w:t>
      </w:r>
    </w:p>
    <w:p w:rsidR="00786914" w:rsidRPr="009D4D21" w:rsidRDefault="00786914" w:rsidP="0006743B">
      <w:r w:rsidRPr="009D4D21">
        <w:t>The time point of recording of some of the adverse events (urinary stricture and urinary incontinence) was not specified. The Lourenco</w:t>
      </w:r>
      <w:r>
        <w:t xml:space="preserve"> et al</w:t>
      </w:r>
      <w:r w:rsidRPr="009D4D21">
        <w:t xml:space="preserve"> report for example note</w:t>
      </w:r>
      <w:r>
        <w:t>s</w:t>
      </w:r>
      <w:r w:rsidRPr="009D4D21">
        <w:t xml:space="preserve"> that these complications could not be separated into those reported in the immediate postoperative period and those experienced over the course of the trials. These adverse events were pooled together in this assessment despite this limitation. The results reported should be interpreted within this context.</w:t>
      </w:r>
    </w:p>
    <w:p w:rsidR="00786914" w:rsidRDefault="00786914" w:rsidP="0006743B">
      <w:pPr>
        <w:pStyle w:val="Normalbold"/>
      </w:pPr>
      <w:r w:rsidRPr="00C26059">
        <w:t>Overall conclusion with respect to comparative safety</w:t>
      </w:r>
    </w:p>
    <w:p w:rsidR="00786914" w:rsidRDefault="00786914" w:rsidP="0006743B">
      <w:r w:rsidRPr="004E1EFC">
        <w:t>HoLEP appears to be as safe as TURP across the range of outcomes assessed. There would appear to be statistically significant advantages over TURP in relation to blood transfusion rates post</w:t>
      </w:r>
      <w:r>
        <w:t xml:space="preserve"> </w:t>
      </w:r>
      <w:r w:rsidRPr="004E1EFC">
        <w:t>procedure. The evidence from the systematic review and two additional RCTs suggests that differences in the rates of other adverse events are not statistically significant. Some caution should be exercised in the interpretation of this information given the wide confidence intervals that exist around some of the outcomes.</w:t>
      </w:r>
    </w:p>
    <w:p w:rsidR="00786914" w:rsidRDefault="00786914" w:rsidP="0006743B">
      <w:r>
        <w:t xml:space="preserve">HoLEP also appears to be as safe as OP across the range of outcomes assessed, although this information is analysed from fewer studies and with a smaller number of patients. </w:t>
      </w:r>
      <w:r w:rsidRPr="00A2525E">
        <w:t>In a meta-analysis of the two studies, patients allocated to HoLEP were less likely to have a blood transfusion that than those allocated to TURP.</w:t>
      </w:r>
      <w:r>
        <w:t xml:space="preserve"> </w:t>
      </w:r>
      <w:r w:rsidRPr="00852FE2">
        <w:t>Other complications, such as incontinence and stricture,</w:t>
      </w:r>
      <w:r w:rsidRPr="00295011">
        <w:t xml:space="preserve"> were comparable between the groups</w:t>
      </w:r>
      <w:r>
        <w:t>.</w:t>
      </w:r>
    </w:p>
    <w:p w:rsidR="00786914" w:rsidRPr="00D37631" w:rsidRDefault="00786914" w:rsidP="0006743B">
      <w:pPr>
        <w:pStyle w:val="Normalbold"/>
      </w:pPr>
      <w:bookmarkStart w:id="47" w:name="_Toc327877833"/>
      <w:r w:rsidRPr="00D37631">
        <w:t>Comparative effectiveness</w:t>
      </w:r>
      <w:bookmarkEnd w:id="47"/>
    </w:p>
    <w:p w:rsidR="00786914" w:rsidRDefault="00786914" w:rsidP="0006743B">
      <w:pPr>
        <w:pStyle w:val="Normalbold"/>
      </w:pPr>
      <w:r>
        <w:t xml:space="preserve">Key results of effectiveness </w:t>
      </w:r>
      <w:r w:rsidRPr="00282685">
        <w:t xml:space="preserve">comparison </w:t>
      </w:r>
      <w:r>
        <w:t xml:space="preserve">of </w:t>
      </w:r>
      <w:r w:rsidRPr="00282685">
        <w:t>HoLEP with TURP</w:t>
      </w:r>
    </w:p>
    <w:p w:rsidR="00786914" w:rsidRPr="004E1EFC" w:rsidRDefault="00786914" w:rsidP="0006743B">
      <w:pPr>
        <w:tabs>
          <w:tab w:val="left" w:pos="720"/>
          <w:tab w:val="left" w:pos="1140"/>
        </w:tabs>
        <w:spacing w:before="120" w:after="0"/>
        <w:rPr>
          <w:rFonts w:cs="Arial"/>
          <w:szCs w:val="24"/>
        </w:rPr>
      </w:pPr>
      <w:r w:rsidRPr="004E1EFC">
        <w:rPr>
          <w:rFonts w:cs="Arial"/>
          <w:szCs w:val="24"/>
        </w:rPr>
        <w:t>Evidence informing an assessment of the comparative effectiveness of the two interventions was obtained from the same systematic searches described above.</w:t>
      </w:r>
    </w:p>
    <w:p w:rsidR="00F45C43" w:rsidRDefault="00786914">
      <w:pPr>
        <w:spacing w:after="0"/>
        <w:ind w:left="0"/>
        <w:rPr>
          <w:rFonts w:ascii="Arial" w:hAnsi="Arial"/>
          <w:bCs/>
          <w:sz w:val="18"/>
        </w:rPr>
      </w:pPr>
      <w:r w:rsidRPr="004E1EFC">
        <w:rPr>
          <w:rFonts w:cs="Arial"/>
          <w:szCs w:val="24"/>
        </w:rPr>
        <w:t>A summary of the main results are shown in</w:t>
      </w:r>
      <w:r>
        <w:rPr>
          <w:rFonts w:cs="Arial"/>
          <w:szCs w:val="24"/>
        </w:rPr>
        <w:t xml:space="preserve"> </w:t>
      </w:r>
      <w:r w:rsidR="00F0137E">
        <w:rPr>
          <w:rFonts w:cs="Arial"/>
          <w:szCs w:val="24"/>
        </w:rPr>
        <w:fldChar w:fldCharType="begin"/>
      </w:r>
      <w:r>
        <w:rPr>
          <w:rFonts w:cs="Arial"/>
          <w:szCs w:val="24"/>
        </w:rPr>
        <w:instrText xml:space="preserve"> REF _Ref323639707 \h </w:instrText>
      </w:r>
      <w:r w:rsidR="00F0137E">
        <w:rPr>
          <w:rFonts w:cs="Arial"/>
          <w:szCs w:val="24"/>
        </w:rPr>
      </w:r>
      <w:r w:rsidR="00F0137E">
        <w:rPr>
          <w:rFonts w:cs="Arial"/>
          <w:szCs w:val="24"/>
        </w:rPr>
        <w:fldChar w:fldCharType="separate"/>
      </w:r>
    </w:p>
    <w:p w:rsidR="00786914" w:rsidRPr="004E1EFC" w:rsidRDefault="00F45C43" w:rsidP="0006743B">
      <w:pPr>
        <w:tabs>
          <w:tab w:val="left" w:pos="720"/>
          <w:tab w:val="left" w:pos="1140"/>
        </w:tabs>
        <w:spacing w:before="120" w:after="0"/>
        <w:rPr>
          <w:rFonts w:cs="Arial"/>
          <w:szCs w:val="24"/>
        </w:rPr>
      </w:pPr>
      <w:r>
        <w:t xml:space="preserve">Table </w:t>
      </w:r>
      <w:r>
        <w:rPr>
          <w:noProof/>
        </w:rPr>
        <w:t>3</w:t>
      </w:r>
      <w:r w:rsidR="00F0137E">
        <w:rPr>
          <w:rFonts w:cs="Arial"/>
          <w:szCs w:val="24"/>
        </w:rPr>
        <w:fldChar w:fldCharType="end"/>
      </w:r>
      <w:r w:rsidR="00786914">
        <w:rPr>
          <w:rFonts w:cs="Arial"/>
          <w:szCs w:val="24"/>
        </w:rPr>
        <w:t xml:space="preserve"> </w:t>
      </w:r>
      <w:r w:rsidR="00786914" w:rsidRPr="004E1EFC">
        <w:rPr>
          <w:rFonts w:cs="Arial"/>
          <w:szCs w:val="24"/>
        </w:rPr>
        <w:t>below.</w:t>
      </w:r>
    </w:p>
    <w:p w:rsidR="008D2B47" w:rsidRDefault="008D2B47">
      <w:pPr>
        <w:spacing w:after="200" w:line="276" w:lineRule="auto"/>
        <w:ind w:left="0"/>
      </w:pPr>
      <w:r>
        <w:br w:type="page"/>
      </w:r>
    </w:p>
    <w:p w:rsidR="00786914" w:rsidRDefault="00786914">
      <w:pPr>
        <w:spacing w:after="0"/>
        <w:ind w:left="0"/>
        <w:rPr>
          <w:rFonts w:ascii="Arial" w:hAnsi="Arial"/>
          <w:bCs/>
          <w:sz w:val="18"/>
        </w:rPr>
      </w:pPr>
      <w:bookmarkStart w:id="48" w:name="_Ref323639707"/>
      <w:bookmarkStart w:id="49" w:name="_Toc327803250"/>
      <w:bookmarkStart w:id="50" w:name="_Toc327881540"/>
    </w:p>
    <w:p w:rsidR="00786914" w:rsidRDefault="00786914" w:rsidP="0006743B">
      <w:pPr>
        <w:pStyle w:val="Caption"/>
      </w:pPr>
      <w:r>
        <w:t xml:space="preserve">Table </w:t>
      </w:r>
      <w:fldSimple w:instr=" SEQ Table \* ARABIC ">
        <w:r w:rsidR="00F45C43">
          <w:rPr>
            <w:noProof/>
          </w:rPr>
          <w:t>3</w:t>
        </w:r>
      </w:fldSimple>
      <w:bookmarkEnd w:id="48"/>
      <w:r>
        <w:t>:</w:t>
      </w:r>
      <w:r>
        <w:tab/>
        <w:t>Effectiveness of HoLEP compared with TURP</w:t>
      </w:r>
      <w:bookmarkEnd w:id="49"/>
      <w:bookmarkEnd w:id="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800"/>
        <w:gridCol w:w="993"/>
        <w:gridCol w:w="708"/>
        <w:gridCol w:w="801"/>
        <w:gridCol w:w="1184"/>
        <w:gridCol w:w="1276"/>
        <w:gridCol w:w="676"/>
        <w:gridCol w:w="661"/>
      </w:tblGrid>
      <w:tr w:rsidR="00786914" w:rsidRPr="0001050B" w:rsidTr="0006743B">
        <w:trPr>
          <w:trHeight w:val="255"/>
        </w:trPr>
        <w:tc>
          <w:tcPr>
            <w:tcW w:w="2035" w:type="dxa"/>
            <w:shd w:val="clear" w:color="auto" w:fill="auto"/>
            <w:noWrap/>
            <w:vAlign w:val="bottom"/>
          </w:tcPr>
          <w:p w:rsidR="00786914" w:rsidRPr="0001050B" w:rsidRDefault="00786914" w:rsidP="0006743B">
            <w:pPr>
              <w:pStyle w:val="Tableheading"/>
              <w:rPr>
                <w:lang w:val="en-IE"/>
              </w:rPr>
            </w:pPr>
            <w:r w:rsidRPr="0001050B">
              <w:rPr>
                <w:lang w:val="en-IE"/>
              </w:rPr>
              <w:t>Outcome</w:t>
            </w:r>
          </w:p>
        </w:tc>
        <w:tc>
          <w:tcPr>
            <w:tcW w:w="800" w:type="dxa"/>
            <w:shd w:val="clear" w:color="auto" w:fill="auto"/>
            <w:noWrap/>
            <w:vAlign w:val="bottom"/>
          </w:tcPr>
          <w:p w:rsidR="00786914" w:rsidRPr="0001050B" w:rsidRDefault="00786914" w:rsidP="0006743B">
            <w:pPr>
              <w:pStyle w:val="Tableheading"/>
              <w:rPr>
                <w:lang w:val="en-IE"/>
              </w:rPr>
            </w:pPr>
            <w:r w:rsidRPr="0001050B">
              <w:rPr>
                <w:lang w:val="en-IE"/>
              </w:rPr>
              <w:t>Studies (n)</w:t>
            </w:r>
          </w:p>
        </w:tc>
        <w:tc>
          <w:tcPr>
            <w:tcW w:w="993" w:type="dxa"/>
            <w:shd w:val="clear" w:color="auto" w:fill="auto"/>
            <w:noWrap/>
            <w:vAlign w:val="bottom"/>
          </w:tcPr>
          <w:p w:rsidR="00786914" w:rsidRPr="0001050B" w:rsidRDefault="00786914" w:rsidP="0006743B">
            <w:pPr>
              <w:pStyle w:val="Tableheading"/>
              <w:rPr>
                <w:lang w:val="en-IE"/>
              </w:rPr>
            </w:pPr>
            <w:r w:rsidRPr="0001050B">
              <w:rPr>
                <w:lang w:val="en-IE"/>
              </w:rPr>
              <w:t>Patients HoLEP</w:t>
            </w:r>
          </w:p>
          <w:p w:rsidR="00786914" w:rsidRPr="0001050B" w:rsidRDefault="00786914" w:rsidP="0006743B">
            <w:pPr>
              <w:pStyle w:val="Tableheading"/>
              <w:rPr>
                <w:lang w:val="en-IE"/>
              </w:rPr>
            </w:pPr>
            <w:r w:rsidRPr="0001050B">
              <w:rPr>
                <w:lang w:val="en-IE"/>
              </w:rPr>
              <w:t>/TURP</w:t>
            </w:r>
          </w:p>
          <w:p w:rsidR="00786914" w:rsidRPr="0001050B" w:rsidRDefault="00786914" w:rsidP="0006743B">
            <w:pPr>
              <w:pStyle w:val="Tableheading"/>
              <w:rPr>
                <w:lang w:val="en-IE"/>
              </w:rPr>
            </w:pPr>
            <w:r w:rsidRPr="0001050B">
              <w:rPr>
                <w:lang w:val="en-IE"/>
              </w:rPr>
              <w:t xml:space="preserve"> (n)</w:t>
            </w:r>
          </w:p>
        </w:tc>
        <w:tc>
          <w:tcPr>
            <w:tcW w:w="708" w:type="dxa"/>
            <w:shd w:val="clear" w:color="auto" w:fill="auto"/>
            <w:vAlign w:val="bottom"/>
          </w:tcPr>
          <w:p w:rsidR="00786914" w:rsidRPr="0001050B" w:rsidRDefault="00786914" w:rsidP="0006743B">
            <w:pPr>
              <w:pStyle w:val="Tableheading"/>
              <w:rPr>
                <w:lang w:val="en-IE"/>
              </w:rPr>
            </w:pPr>
            <w:r w:rsidRPr="0001050B">
              <w:rPr>
                <w:lang w:val="en-IE"/>
              </w:rPr>
              <w:t>HoLEP</w:t>
            </w:r>
          </w:p>
          <w:p w:rsidR="00786914" w:rsidRPr="0001050B" w:rsidRDefault="00786914" w:rsidP="0006743B">
            <w:pPr>
              <w:pStyle w:val="Tableheading"/>
              <w:rPr>
                <w:lang w:val="en-IE"/>
              </w:rPr>
            </w:pPr>
            <w:r w:rsidRPr="0001050B">
              <w:rPr>
                <w:lang w:val="en-IE"/>
              </w:rPr>
              <w:t>(mean)</w:t>
            </w:r>
          </w:p>
        </w:tc>
        <w:tc>
          <w:tcPr>
            <w:tcW w:w="801" w:type="dxa"/>
            <w:shd w:val="clear" w:color="auto" w:fill="auto"/>
            <w:vAlign w:val="bottom"/>
          </w:tcPr>
          <w:p w:rsidR="00786914" w:rsidRPr="0001050B" w:rsidRDefault="00786914" w:rsidP="0006743B">
            <w:pPr>
              <w:pStyle w:val="Tableheading"/>
              <w:rPr>
                <w:lang w:val="en-IE"/>
              </w:rPr>
            </w:pPr>
            <w:r w:rsidRPr="0001050B">
              <w:rPr>
                <w:lang w:val="en-IE"/>
              </w:rPr>
              <w:t>TURP (mean)</w:t>
            </w:r>
          </w:p>
        </w:tc>
        <w:tc>
          <w:tcPr>
            <w:tcW w:w="1184" w:type="dxa"/>
            <w:shd w:val="clear" w:color="auto" w:fill="auto"/>
            <w:noWrap/>
            <w:vAlign w:val="bottom"/>
          </w:tcPr>
          <w:p w:rsidR="00786914" w:rsidRPr="0001050B" w:rsidRDefault="00786914" w:rsidP="0006743B">
            <w:pPr>
              <w:pStyle w:val="Tableheading"/>
              <w:rPr>
                <w:lang w:val="en-IE"/>
              </w:rPr>
            </w:pPr>
            <w:r w:rsidRPr="0001050B">
              <w:rPr>
                <w:lang w:val="en-IE"/>
              </w:rPr>
              <w:t>Estimate of effect (MD)</w:t>
            </w:r>
          </w:p>
        </w:tc>
        <w:tc>
          <w:tcPr>
            <w:tcW w:w="1276" w:type="dxa"/>
            <w:shd w:val="clear" w:color="auto" w:fill="auto"/>
            <w:noWrap/>
            <w:vAlign w:val="bottom"/>
          </w:tcPr>
          <w:p w:rsidR="00786914" w:rsidRPr="0001050B" w:rsidRDefault="00786914" w:rsidP="0006743B">
            <w:pPr>
              <w:pStyle w:val="Tableheading"/>
              <w:rPr>
                <w:lang w:val="en-IE"/>
              </w:rPr>
            </w:pPr>
            <w:r w:rsidRPr="0001050B">
              <w:rPr>
                <w:lang w:val="en-IE"/>
              </w:rPr>
              <w:t>Range</w:t>
            </w:r>
          </w:p>
          <w:p w:rsidR="00786914" w:rsidRPr="0001050B" w:rsidRDefault="00786914" w:rsidP="0006743B">
            <w:pPr>
              <w:pStyle w:val="Tableheading"/>
              <w:rPr>
                <w:lang w:val="en-IE"/>
              </w:rPr>
            </w:pPr>
            <w:r w:rsidRPr="0001050B">
              <w:rPr>
                <w:lang w:val="en-IE"/>
              </w:rPr>
              <w:t>(95% CI)*</w:t>
            </w:r>
          </w:p>
        </w:tc>
        <w:tc>
          <w:tcPr>
            <w:tcW w:w="676" w:type="dxa"/>
            <w:shd w:val="clear" w:color="auto" w:fill="auto"/>
            <w:noWrap/>
            <w:vAlign w:val="bottom"/>
          </w:tcPr>
          <w:p w:rsidR="00786914" w:rsidRPr="0001050B" w:rsidRDefault="00786914" w:rsidP="0006743B">
            <w:pPr>
              <w:pStyle w:val="Tableheading"/>
              <w:rPr>
                <w:lang w:val="en-IE"/>
              </w:rPr>
            </w:pPr>
            <w:r>
              <w:rPr>
                <w:lang w:val="en-IE"/>
              </w:rPr>
              <w:t>I</w:t>
            </w:r>
            <w:r w:rsidRPr="009B281C">
              <w:rPr>
                <w:vertAlign w:val="superscript"/>
                <w:lang w:val="en-IE"/>
              </w:rPr>
              <w:t>2</w:t>
            </w:r>
            <w:r w:rsidRPr="0001050B">
              <w:rPr>
                <w:lang w:val="en-IE"/>
              </w:rPr>
              <w:t xml:space="preserve"> (%)</w:t>
            </w:r>
          </w:p>
        </w:tc>
        <w:tc>
          <w:tcPr>
            <w:tcW w:w="661" w:type="dxa"/>
            <w:shd w:val="clear" w:color="auto" w:fill="auto"/>
            <w:noWrap/>
            <w:vAlign w:val="bottom"/>
          </w:tcPr>
          <w:p w:rsidR="00786914" w:rsidRPr="0001050B" w:rsidRDefault="00786914" w:rsidP="0006743B">
            <w:pPr>
              <w:pStyle w:val="Tableheading"/>
              <w:rPr>
                <w:lang w:val="en-IE"/>
              </w:rPr>
            </w:pPr>
            <w:r w:rsidRPr="0001050B">
              <w:rPr>
                <w:lang w:val="en-IE"/>
              </w:rPr>
              <w:t>p-value</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 xml:space="preserve">Qmax @ 6 months(ml/s)  </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6</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323/315</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24.2</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23.3</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0.99</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-0.81–2.80</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62</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0.28</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Qmax @ 12 months(ml/s)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6</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317/310</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25.0</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23.4</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1.39</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0.64–2.15</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9</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 xml:space="preserve"> 0.002</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Qmax @ 24 months (ml/s)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3</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147/142</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24.7</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23.1</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1.14</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-2.17–4.46</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41</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0.5</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IPSS/AUA @ 6 months (score)</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6</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323/315</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4.0</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4.4</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-0.66</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-1.34–-0.03</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71</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0.06</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IPSS/AUA @ 12 months (score)</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6</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295/296</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3.6</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4.4</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-0.96</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-1.73–-0.18</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80</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0.02</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IPSS/AUA @ 24 months (score)</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2</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125/116</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2.6</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3.8</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-1.49</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-3.29–0.32</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63</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0.11</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PVR volume @ 6 months (mls)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3</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160/158</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14.7</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28.7</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-11.9</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-14.74–-9.17</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0</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&lt;0.001</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PVR volume @ 12 months (mls)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2</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129/126</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5.3</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25.4</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-19.4</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-25.55–-13.16</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0</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&lt; 0.001</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Treatment failure/</w:t>
            </w:r>
            <w:r>
              <w:rPr>
                <w:lang w:val="en-IE"/>
              </w:rPr>
              <w:t>re-treatment</w:t>
            </w:r>
            <w:r w:rsidRPr="00083C4B">
              <w:rPr>
                <w:lang w:val="en-IE"/>
              </w:rPr>
              <w:t>**</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2</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91/89</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1**</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5**</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RR 0.27</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0.04–1.60</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0</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0.15</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Quality of life @ 6 months*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3</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139/136</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1.2</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1.2</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0.25</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0.05–0.44</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77.3</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0.01</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lang w:val="en-IE"/>
              </w:rPr>
            </w:pPr>
            <w:r w:rsidRPr="00083C4B">
              <w:rPr>
                <w:lang w:val="en-IE"/>
              </w:rPr>
              <w:t>Quality of life @ 12 months*</w:t>
            </w:r>
          </w:p>
        </w:tc>
        <w:tc>
          <w:tcPr>
            <w:tcW w:w="800" w:type="dxa"/>
            <w:shd w:val="clear" w:color="auto" w:fill="auto"/>
            <w:noWrap/>
            <w:vAlign w:val="bottom"/>
          </w:tcPr>
          <w:p w:rsidR="00786914" w:rsidRPr="00083C4B" w:rsidRDefault="00786914" w:rsidP="0006743B">
            <w:pPr>
              <w:pStyle w:val="TableText"/>
              <w:rPr>
                <w:lang w:val="en-IE"/>
              </w:rPr>
            </w:pPr>
            <w:r w:rsidRPr="00083C4B">
              <w:rPr>
                <w:lang w:val="en-IE"/>
              </w:rPr>
              <w:t>3</w:t>
            </w:r>
          </w:p>
        </w:tc>
        <w:tc>
          <w:tcPr>
            <w:tcW w:w="993" w:type="dxa"/>
            <w:shd w:val="clear" w:color="auto" w:fill="auto"/>
            <w:noWrap/>
            <w:vAlign w:val="bottom"/>
          </w:tcPr>
          <w:p w:rsidR="00786914" w:rsidRPr="00083C4B" w:rsidRDefault="00786914" w:rsidP="0006743B">
            <w:pPr>
              <w:pStyle w:val="TableText"/>
              <w:rPr>
                <w:lang w:val="en-IE"/>
              </w:rPr>
            </w:pPr>
            <w:r w:rsidRPr="00083C4B">
              <w:rPr>
                <w:lang w:val="en-IE"/>
              </w:rPr>
              <w:t>138/134</w:t>
            </w:r>
          </w:p>
        </w:tc>
        <w:tc>
          <w:tcPr>
            <w:tcW w:w="708" w:type="dxa"/>
            <w:shd w:val="clear" w:color="auto" w:fill="auto"/>
            <w:vAlign w:val="bottom"/>
          </w:tcPr>
          <w:p w:rsidR="00786914" w:rsidRPr="00083C4B" w:rsidRDefault="00786914" w:rsidP="0006743B">
            <w:pPr>
              <w:pStyle w:val="TableText"/>
              <w:rPr>
                <w:lang w:val="en-IE"/>
              </w:rPr>
            </w:pPr>
            <w:r w:rsidRPr="00083C4B">
              <w:rPr>
                <w:lang w:val="en-IE"/>
              </w:rPr>
              <w:t>1.3</w:t>
            </w:r>
          </w:p>
        </w:tc>
        <w:tc>
          <w:tcPr>
            <w:tcW w:w="801" w:type="dxa"/>
            <w:shd w:val="clear" w:color="auto" w:fill="auto"/>
            <w:vAlign w:val="bottom"/>
          </w:tcPr>
          <w:p w:rsidR="00786914" w:rsidRPr="00083C4B" w:rsidRDefault="00786914" w:rsidP="0006743B">
            <w:pPr>
              <w:pStyle w:val="TableText"/>
              <w:rPr>
                <w:lang w:val="en-IE"/>
              </w:rPr>
            </w:pPr>
            <w:r w:rsidRPr="00083C4B">
              <w:rPr>
                <w:lang w:val="en-IE"/>
              </w:rPr>
              <w:t>1.3</w:t>
            </w:r>
          </w:p>
        </w:tc>
        <w:tc>
          <w:tcPr>
            <w:tcW w:w="1184" w:type="dxa"/>
            <w:shd w:val="clear" w:color="auto" w:fill="auto"/>
            <w:noWrap/>
            <w:vAlign w:val="bottom"/>
          </w:tcPr>
          <w:p w:rsidR="00786914" w:rsidRPr="00083C4B" w:rsidRDefault="00786914" w:rsidP="0006743B">
            <w:pPr>
              <w:pStyle w:val="TableText"/>
              <w:rPr>
                <w:lang w:val="en-IE"/>
              </w:rPr>
            </w:pPr>
            <w:r w:rsidRPr="00083C4B">
              <w:rPr>
                <w:lang w:val="en-IE"/>
              </w:rPr>
              <w:t>0.06</w:t>
            </w:r>
          </w:p>
        </w:tc>
        <w:tc>
          <w:tcPr>
            <w:tcW w:w="1276" w:type="dxa"/>
            <w:shd w:val="clear" w:color="auto" w:fill="auto"/>
            <w:noWrap/>
            <w:vAlign w:val="bottom"/>
          </w:tcPr>
          <w:p w:rsidR="00786914" w:rsidRPr="00083C4B" w:rsidRDefault="00786914" w:rsidP="0006743B">
            <w:pPr>
              <w:pStyle w:val="TableText"/>
              <w:rPr>
                <w:lang w:val="en-IE"/>
              </w:rPr>
            </w:pPr>
            <w:r w:rsidRPr="00083C4B">
              <w:rPr>
                <w:lang w:val="en-IE"/>
              </w:rPr>
              <w:t>-0.26–0.38</w:t>
            </w:r>
          </w:p>
        </w:tc>
        <w:tc>
          <w:tcPr>
            <w:tcW w:w="676" w:type="dxa"/>
            <w:shd w:val="clear" w:color="auto" w:fill="auto"/>
            <w:noWrap/>
            <w:vAlign w:val="bottom"/>
          </w:tcPr>
          <w:p w:rsidR="00786914" w:rsidRPr="00083C4B" w:rsidRDefault="00786914" w:rsidP="0006743B">
            <w:pPr>
              <w:pStyle w:val="TableText"/>
              <w:rPr>
                <w:lang w:val="en-IE"/>
              </w:rPr>
            </w:pPr>
            <w:r w:rsidRPr="00083C4B">
              <w:rPr>
                <w:lang w:val="en-IE"/>
              </w:rPr>
              <w:t>86.2</w:t>
            </w:r>
          </w:p>
        </w:tc>
        <w:tc>
          <w:tcPr>
            <w:tcW w:w="661" w:type="dxa"/>
            <w:shd w:val="clear" w:color="auto" w:fill="auto"/>
            <w:noWrap/>
            <w:vAlign w:val="bottom"/>
          </w:tcPr>
          <w:p w:rsidR="00786914" w:rsidRPr="00083C4B" w:rsidRDefault="00786914" w:rsidP="0006743B">
            <w:pPr>
              <w:pStyle w:val="TableText"/>
              <w:rPr>
                <w:lang w:val="en-IE"/>
              </w:rPr>
            </w:pPr>
            <w:r w:rsidRPr="00083C4B">
              <w:rPr>
                <w:lang w:val="en-IE"/>
              </w:rPr>
              <w:t>0.73</w:t>
            </w:r>
          </w:p>
        </w:tc>
      </w:tr>
      <w:tr w:rsidR="00786914" w:rsidRPr="0001050B" w:rsidTr="0006743B">
        <w:trPr>
          <w:trHeight w:val="255"/>
        </w:trPr>
        <w:tc>
          <w:tcPr>
            <w:tcW w:w="2035"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Quality of life @ 24 months*</w:t>
            </w:r>
          </w:p>
        </w:tc>
        <w:tc>
          <w:tcPr>
            <w:tcW w:w="800"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2</w:t>
            </w:r>
          </w:p>
        </w:tc>
        <w:tc>
          <w:tcPr>
            <w:tcW w:w="993"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67/67</w:t>
            </w:r>
          </w:p>
        </w:tc>
        <w:tc>
          <w:tcPr>
            <w:tcW w:w="708" w:type="dxa"/>
            <w:shd w:val="clear" w:color="auto" w:fill="auto"/>
            <w:vAlign w:val="bottom"/>
          </w:tcPr>
          <w:p w:rsidR="00786914" w:rsidRPr="00083C4B" w:rsidRDefault="00786914" w:rsidP="0006743B">
            <w:pPr>
              <w:pStyle w:val="TableText"/>
              <w:rPr>
                <w:rFonts w:cs="Tahoma"/>
                <w:bCs/>
                <w:szCs w:val="18"/>
                <w:lang w:val="en-IE"/>
              </w:rPr>
            </w:pPr>
            <w:r w:rsidRPr="00083C4B">
              <w:rPr>
                <w:rFonts w:cs="Tahoma"/>
                <w:bCs/>
                <w:szCs w:val="18"/>
                <w:lang w:val="en-IE"/>
              </w:rPr>
              <w:t>1.1</w:t>
            </w:r>
          </w:p>
        </w:tc>
        <w:tc>
          <w:tcPr>
            <w:tcW w:w="801" w:type="dxa"/>
            <w:shd w:val="clear" w:color="auto" w:fill="auto"/>
            <w:vAlign w:val="bottom"/>
          </w:tcPr>
          <w:p w:rsidR="00786914" w:rsidRPr="00083C4B" w:rsidRDefault="00786914" w:rsidP="0006743B">
            <w:pPr>
              <w:pStyle w:val="TableText"/>
              <w:rPr>
                <w:rFonts w:cs="Tahoma"/>
                <w:bCs/>
                <w:szCs w:val="18"/>
                <w:lang w:val="en-IE"/>
              </w:rPr>
            </w:pPr>
            <w:r w:rsidRPr="00083C4B">
              <w:rPr>
                <w:rFonts w:cs="Tahoma"/>
                <w:bCs/>
                <w:szCs w:val="18"/>
                <w:lang w:val="en-IE"/>
              </w:rPr>
              <w:t>1.1</w:t>
            </w:r>
          </w:p>
        </w:tc>
        <w:tc>
          <w:tcPr>
            <w:tcW w:w="1184"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-0.01</w:t>
            </w:r>
          </w:p>
        </w:tc>
        <w:tc>
          <w:tcPr>
            <w:tcW w:w="1276"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-0.40–0.38</w:t>
            </w:r>
          </w:p>
        </w:tc>
        <w:tc>
          <w:tcPr>
            <w:tcW w:w="676"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0</w:t>
            </w:r>
          </w:p>
        </w:tc>
        <w:tc>
          <w:tcPr>
            <w:tcW w:w="661" w:type="dxa"/>
            <w:shd w:val="clear" w:color="auto" w:fill="auto"/>
            <w:noWrap/>
            <w:vAlign w:val="bottom"/>
          </w:tcPr>
          <w:p w:rsidR="00786914" w:rsidRPr="00083C4B" w:rsidRDefault="00786914" w:rsidP="0006743B">
            <w:pPr>
              <w:pStyle w:val="TableText"/>
              <w:rPr>
                <w:rFonts w:cs="Tahoma"/>
                <w:bCs/>
                <w:szCs w:val="18"/>
                <w:lang w:val="en-IE"/>
              </w:rPr>
            </w:pPr>
            <w:r w:rsidRPr="00083C4B">
              <w:rPr>
                <w:rFonts w:cs="Tahoma"/>
                <w:bCs/>
                <w:szCs w:val="18"/>
                <w:lang w:val="en-IE"/>
              </w:rPr>
              <w:t>0.96</w:t>
            </w:r>
          </w:p>
        </w:tc>
      </w:tr>
    </w:tbl>
    <w:p w:rsidR="00786914" w:rsidRPr="00EE4B3D" w:rsidRDefault="00786914" w:rsidP="0006743B">
      <w:pPr>
        <w:pStyle w:val="TableNotes"/>
        <w:ind w:left="709" w:firstLine="11"/>
        <w:rPr>
          <w:lang w:val="en-IE"/>
        </w:rPr>
      </w:pPr>
      <w:r>
        <w:rPr>
          <w:lang w:val="en-IE"/>
        </w:rPr>
        <w:t xml:space="preserve">Qmax = peak flow; PVR = post-void residual volume; </w:t>
      </w:r>
      <w:r w:rsidRPr="006F775C">
        <w:rPr>
          <w:lang w:val="en-IE"/>
        </w:rPr>
        <w:t>MD = mean difference; RR = relative risk; * Results are from Lourenco et al (2008) as no additional data w</w:t>
      </w:r>
      <w:r>
        <w:rPr>
          <w:lang w:val="en-IE"/>
        </w:rPr>
        <w:t>ere</w:t>
      </w:r>
      <w:r w:rsidRPr="006F775C">
        <w:rPr>
          <w:lang w:val="en-IE"/>
        </w:rPr>
        <w:t xml:space="preserve"> reported in the more recent studies; ** Total number of events, rather than mean.</w:t>
      </w:r>
    </w:p>
    <w:p w:rsidR="00786914" w:rsidRPr="00083C4B" w:rsidRDefault="00786914" w:rsidP="0006743B">
      <w:r w:rsidRPr="00083C4B">
        <w:t xml:space="preserve">Some statistically significant differences between HoLEP and TURP are demonstrated from this data, including Qmax (peak flow) at 12 months, symptom scores at 6 and 12 months as well as post-void residual volume (PVR). Caution should be exercised in interpreting these results however due to the wide confidence bounds and significant heterogeneity across the studies. </w:t>
      </w:r>
    </w:p>
    <w:p w:rsidR="00786914" w:rsidRPr="00083C4B" w:rsidRDefault="00786914" w:rsidP="0006743B">
      <w:r w:rsidRPr="00083C4B">
        <w:t xml:space="preserve">No significant differences were reported in respect to treatment failure or </w:t>
      </w:r>
      <w:r>
        <w:t>re-operation</w:t>
      </w:r>
      <w:r w:rsidRPr="00083C4B">
        <w:t xml:space="preserve"> rates. Pooled quality of life results from the Lourenco et al systematic review indicate that there are no significant differences between the interventions at 12 and 24 months. Longer term follow-up recently published also shows no significant differences. It was not possible to pool results for prostate volume. </w:t>
      </w:r>
    </w:p>
    <w:p w:rsidR="00786914" w:rsidRPr="00083C4B" w:rsidRDefault="00786914" w:rsidP="0006743B">
      <w:r w:rsidRPr="00083C4B">
        <w:t>Bother scores were included in the DAP as an effectiveness outcome to be assessed. However, none of the studies included in this review reported on this outcome.</w:t>
      </w:r>
    </w:p>
    <w:p w:rsidR="00786914" w:rsidRPr="00083C4B" w:rsidRDefault="00786914" w:rsidP="0006743B">
      <w:r w:rsidRPr="00083C4B">
        <w:t xml:space="preserve">A number of secondary effectiveness outcomes including duration of procedure, duration of catheterisation and duration of hospital stay were also analysed in this review. These are summarised in </w:t>
      </w:r>
      <w:r w:rsidR="00766F46">
        <w:fldChar w:fldCharType="begin"/>
      </w:r>
      <w:r w:rsidR="00766F46">
        <w:instrText xml:space="preserve"> REF _Ref323639811 \h  \* MERGEFORMAT </w:instrText>
      </w:r>
      <w:r w:rsidR="00766F46">
        <w:fldChar w:fldCharType="separate"/>
      </w:r>
      <w:r w:rsidR="00F45C43">
        <w:t xml:space="preserve">Table </w:t>
      </w:r>
      <w:r w:rsidR="00F45C43">
        <w:rPr>
          <w:noProof/>
        </w:rPr>
        <w:t>4</w:t>
      </w:r>
      <w:r w:rsidR="00766F46">
        <w:fldChar w:fldCharType="end"/>
      </w:r>
      <w:r w:rsidRPr="00083C4B">
        <w:t xml:space="preserve"> below.</w:t>
      </w:r>
    </w:p>
    <w:p w:rsidR="00786914" w:rsidRDefault="00786914" w:rsidP="008D2B47">
      <w:pPr>
        <w:pStyle w:val="Caption"/>
      </w:pPr>
      <w:bookmarkStart w:id="51" w:name="_Ref323639811"/>
      <w:bookmarkStart w:id="52" w:name="_Toc327803251"/>
      <w:bookmarkStart w:id="53" w:name="_Toc327881541"/>
      <w:r>
        <w:t xml:space="preserve">Table </w:t>
      </w:r>
      <w:fldSimple w:instr=" SEQ Table \* ARABIC ">
        <w:r w:rsidR="00F45C43">
          <w:rPr>
            <w:noProof/>
          </w:rPr>
          <w:t>4</w:t>
        </w:r>
      </w:fldSimple>
      <w:bookmarkEnd w:id="51"/>
      <w:r>
        <w:t>:</w:t>
      </w:r>
      <w:r>
        <w:tab/>
        <w:t>Secondary effectiveness outcomes: HoLEP compared with TURP</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865"/>
        <w:gridCol w:w="1152"/>
        <w:gridCol w:w="628"/>
        <w:gridCol w:w="628"/>
        <w:gridCol w:w="1384"/>
        <w:gridCol w:w="1107"/>
        <w:gridCol w:w="551"/>
        <w:gridCol w:w="811"/>
      </w:tblGrid>
      <w:tr w:rsidR="00786914" w:rsidRPr="00540350" w:rsidTr="0006743B">
        <w:trPr>
          <w:trHeight w:val="255"/>
        </w:trPr>
        <w:tc>
          <w:tcPr>
            <w:tcW w:w="1144" w:type="pct"/>
            <w:shd w:val="clear" w:color="auto" w:fill="auto"/>
            <w:noWrap/>
            <w:vAlign w:val="bottom"/>
          </w:tcPr>
          <w:p w:rsidR="00786914" w:rsidRPr="00540350" w:rsidRDefault="00786914" w:rsidP="0006743B">
            <w:pPr>
              <w:pStyle w:val="Tableheading"/>
            </w:pPr>
            <w:r w:rsidRPr="00540350">
              <w:lastRenderedPageBreak/>
              <w:t>Outcome</w:t>
            </w:r>
          </w:p>
        </w:tc>
        <w:tc>
          <w:tcPr>
            <w:tcW w:w="468" w:type="pct"/>
            <w:shd w:val="clear" w:color="auto" w:fill="auto"/>
            <w:noWrap/>
            <w:vAlign w:val="bottom"/>
          </w:tcPr>
          <w:p w:rsidR="00786914" w:rsidRPr="00540350" w:rsidRDefault="00786914" w:rsidP="0006743B">
            <w:pPr>
              <w:pStyle w:val="Tableheading"/>
            </w:pPr>
            <w:r w:rsidRPr="00540350">
              <w:t>Studies (n)</w:t>
            </w:r>
          </w:p>
        </w:tc>
        <w:tc>
          <w:tcPr>
            <w:tcW w:w="623" w:type="pct"/>
            <w:shd w:val="clear" w:color="auto" w:fill="auto"/>
            <w:noWrap/>
            <w:vAlign w:val="bottom"/>
          </w:tcPr>
          <w:p w:rsidR="00786914" w:rsidRPr="00540350" w:rsidRDefault="00786914" w:rsidP="0006743B">
            <w:pPr>
              <w:pStyle w:val="Tableheading"/>
            </w:pPr>
            <w:r w:rsidRPr="00540350">
              <w:t>Patients HoLEP</w:t>
            </w:r>
          </w:p>
          <w:p w:rsidR="00786914" w:rsidRPr="00540350" w:rsidRDefault="00786914" w:rsidP="0006743B">
            <w:pPr>
              <w:pStyle w:val="Tableheading"/>
            </w:pPr>
            <w:r w:rsidRPr="00540350">
              <w:t>/TURP</w:t>
            </w:r>
          </w:p>
          <w:p w:rsidR="00786914" w:rsidRPr="00540350" w:rsidRDefault="00786914" w:rsidP="0006743B">
            <w:pPr>
              <w:pStyle w:val="Tableheading"/>
            </w:pPr>
            <w:r w:rsidRPr="00540350">
              <w:t xml:space="preserve"> (n)</w:t>
            </w:r>
          </w:p>
        </w:tc>
        <w:tc>
          <w:tcPr>
            <w:tcW w:w="340" w:type="pct"/>
            <w:shd w:val="clear" w:color="auto" w:fill="auto"/>
            <w:vAlign w:val="bottom"/>
          </w:tcPr>
          <w:p w:rsidR="00786914" w:rsidRPr="00540350" w:rsidRDefault="00786914" w:rsidP="0006743B">
            <w:pPr>
              <w:pStyle w:val="Tableheading"/>
            </w:pPr>
            <w:r w:rsidRPr="00540350">
              <w:t>HoLEP</w:t>
            </w:r>
          </w:p>
          <w:p w:rsidR="00786914" w:rsidRPr="00540350" w:rsidRDefault="00786914" w:rsidP="0006743B">
            <w:pPr>
              <w:pStyle w:val="Tableheading"/>
            </w:pPr>
            <w:r w:rsidRPr="00540350">
              <w:t>(mean)</w:t>
            </w:r>
          </w:p>
        </w:tc>
        <w:tc>
          <w:tcPr>
            <w:tcW w:w="340" w:type="pct"/>
            <w:shd w:val="clear" w:color="auto" w:fill="auto"/>
            <w:vAlign w:val="bottom"/>
          </w:tcPr>
          <w:p w:rsidR="00786914" w:rsidRPr="00540350" w:rsidRDefault="00786914" w:rsidP="0006743B">
            <w:pPr>
              <w:pStyle w:val="Tableheading"/>
            </w:pPr>
            <w:r w:rsidRPr="00540350">
              <w:t>TURP (mean)</w:t>
            </w:r>
          </w:p>
        </w:tc>
        <w:tc>
          <w:tcPr>
            <w:tcW w:w="749" w:type="pct"/>
            <w:shd w:val="clear" w:color="auto" w:fill="auto"/>
            <w:noWrap/>
            <w:vAlign w:val="bottom"/>
          </w:tcPr>
          <w:p w:rsidR="00786914" w:rsidRPr="00540350" w:rsidRDefault="00786914" w:rsidP="0006743B">
            <w:pPr>
              <w:pStyle w:val="Tableheading"/>
            </w:pPr>
            <w:r w:rsidRPr="00540350">
              <w:t>Estimate of effect (MD)</w:t>
            </w:r>
          </w:p>
        </w:tc>
        <w:tc>
          <w:tcPr>
            <w:tcW w:w="599" w:type="pct"/>
            <w:shd w:val="clear" w:color="auto" w:fill="auto"/>
            <w:noWrap/>
            <w:vAlign w:val="bottom"/>
          </w:tcPr>
          <w:p w:rsidR="00786914" w:rsidRPr="00540350" w:rsidRDefault="00786914" w:rsidP="0006743B">
            <w:pPr>
              <w:pStyle w:val="Tableheading"/>
            </w:pPr>
            <w:r w:rsidRPr="00540350">
              <w:t>Range</w:t>
            </w:r>
          </w:p>
          <w:p w:rsidR="00786914" w:rsidRPr="00540350" w:rsidRDefault="00786914" w:rsidP="0006743B">
            <w:pPr>
              <w:pStyle w:val="Tableheading"/>
            </w:pPr>
            <w:r w:rsidRPr="00540350">
              <w:t>(95% CI)*</w:t>
            </w:r>
          </w:p>
        </w:tc>
        <w:tc>
          <w:tcPr>
            <w:tcW w:w="298" w:type="pct"/>
            <w:shd w:val="clear" w:color="auto" w:fill="auto"/>
            <w:noWrap/>
            <w:vAlign w:val="bottom"/>
          </w:tcPr>
          <w:p w:rsidR="00786914" w:rsidRPr="00540350" w:rsidRDefault="00786914" w:rsidP="0006743B">
            <w:pPr>
              <w:pStyle w:val="Tableheading"/>
            </w:pPr>
            <w:r w:rsidRPr="00540350">
              <w:t>I2 (%)</w:t>
            </w:r>
          </w:p>
        </w:tc>
        <w:tc>
          <w:tcPr>
            <w:tcW w:w="440" w:type="pct"/>
            <w:shd w:val="clear" w:color="auto" w:fill="auto"/>
            <w:noWrap/>
            <w:vAlign w:val="bottom"/>
          </w:tcPr>
          <w:p w:rsidR="00786914" w:rsidRPr="00540350" w:rsidRDefault="00786914" w:rsidP="0006743B">
            <w:pPr>
              <w:pStyle w:val="Tableheading"/>
            </w:pPr>
            <w:r w:rsidRPr="00540350">
              <w:t>p-value</w:t>
            </w:r>
          </w:p>
        </w:tc>
      </w:tr>
      <w:tr w:rsidR="00786914" w:rsidRPr="00540350" w:rsidTr="0006743B">
        <w:trPr>
          <w:trHeight w:val="285"/>
        </w:trPr>
        <w:tc>
          <w:tcPr>
            <w:tcW w:w="1144" w:type="pct"/>
            <w:shd w:val="clear" w:color="auto" w:fill="auto"/>
            <w:noWrap/>
            <w:vAlign w:val="bottom"/>
          </w:tcPr>
          <w:p w:rsidR="00786914" w:rsidRPr="00540350" w:rsidRDefault="00786914" w:rsidP="0006743B">
            <w:pPr>
              <w:pStyle w:val="TableText"/>
            </w:pPr>
            <w:r w:rsidRPr="00540350">
              <w:t>Duration of operation (min)</w:t>
            </w:r>
          </w:p>
        </w:tc>
        <w:tc>
          <w:tcPr>
            <w:tcW w:w="468" w:type="pct"/>
            <w:shd w:val="clear" w:color="auto" w:fill="auto"/>
            <w:noWrap/>
            <w:vAlign w:val="bottom"/>
          </w:tcPr>
          <w:p w:rsidR="00786914" w:rsidRPr="00540350" w:rsidRDefault="00786914" w:rsidP="0006743B">
            <w:pPr>
              <w:pStyle w:val="TableText"/>
            </w:pPr>
            <w:r w:rsidRPr="00540350">
              <w:t>6</w:t>
            </w:r>
          </w:p>
        </w:tc>
        <w:tc>
          <w:tcPr>
            <w:tcW w:w="623" w:type="pct"/>
            <w:shd w:val="clear" w:color="auto" w:fill="auto"/>
            <w:noWrap/>
            <w:vAlign w:val="bottom"/>
          </w:tcPr>
          <w:p w:rsidR="00786914" w:rsidRPr="00540350" w:rsidRDefault="00786914" w:rsidP="0006743B">
            <w:pPr>
              <w:pStyle w:val="TableText"/>
            </w:pPr>
            <w:r w:rsidRPr="00540350">
              <w:t>331/336</w:t>
            </w:r>
          </w:p>
        </w:tc>
        <w:tc>
          <w:tcPr>
            <w:tcW w:w="340" w:type="pct"/>
            <w:shd w:val="clear" w:color="auto" w:fill="auto"/>
            <w:vAlign w:val="bottom"/>
          </w:tcPr>
          <w:p w:rsidR="00786914" w:rsidRPr="00540350" w:rsidRDefault="00786914" w:rsidP="0006743B">
            <w:pPr>
              <w:pStyle w:val="TableText"/>
            </w:pPr>
            <w:r w:rsidRPr="00540350">
              <w:t>70</w:t>
            </w:r>
          </w:p>
        </w:tc>
        <w:tc>
          <w:tcPr>
            <w:tcW w:w="340" w:type="pct"/>
            <w:shd w:val="clear" w:color="auto" w:fill="auto"/>
            <w:vAlign w:val="bottom"/>
          </w:tcPr>
          <w:p w:rsidR="00786914" w:rsidRPr="00540350" w:rsidRDefault="00786914" w:rsidP="0006743B">
            <w:pPr>
              <w:pStyle w:val="TableText"/>
            </w:pPr>
            <w:r w:rsidRPr="00540350">
              <w:t>54.6</w:t>
            </w:r>
          </w:p>
        </w:tc>
        <w:tc>
          <w:tcPr>
            <w:tcW w:w="749" w:type="pct"/>
            <w:shd w:val="clear" w:color="auto" w:fill="auto"/>
            <w:noWrap/>
            <w:vAlign w:val="bottom"/>
          </w:tcPr>
          <w:p w:rsidR="00786914" w:rsidRPr="00540350" w:rsidRDefault="00786914" w:rsidP="0006743B">
            <w:pPr>
              <w:pStyle w:val="TableText"/>
            </w:pPr>
            <w:r w:rsidRPr="00540350">
              <w:t>15.8</w:t>
            </w:r>
          </w:p>
        </w:tc>
        <w:tc>
          <w:tcPr>
            <w:tcW w:w="599" w:type="pct"/>
            <w:shd w:val="clear" w:color="auto" w:fill="auto"/>
            <w:noWrap/>
            <w:vAlign w:val="bottom"/>
          </w:tcPr>
          <w:p w:rsidR="00786914" w:rsidRPr="00540350" w:rsidRDefault="00786914" w:rsidP="0006743B">
            <w:pPr>
              <w:pStyle w:val="TableText"/>
            </w:pPr>
            <w:r w:rsidRPr="00540350">
              <w:t>8.70–21.46</w:t>
            </w:r>
          </w:p>
        </w:tc>
        <w:tc>
          <w:tcPr>
            <w:tcW w:w="298" w:type="pct"/>
            <w:shd w:val="clear" w:color="auto" w:fill="auto"/>
            <w:noWrap/>
            <w:vAlign w:val="bottom"/>
          </w:tcPr>
          <w:p w:rsidR="00786914" w:rsidRPr="00540350" w:rsidRDefault="00786914" w:rsidP="0006743B">
            <w:pPr>
              <w:pStyle w:val="TableText"/>
            </w:pPr>
            <w:r w:rsidRPr="00540350">
              <w:t>72</w:t>
            </w:r>
          </w:p>
        </w:tc>
        <w:tc>
          <w:tcPr>
            <w:tcW w:w="440" w:type="pct"/>
            <w:shd w:val="clear" w:color="auto" w:fill="auto"/>
            <w:noWrap/>
            <w:vAlign w:val="bottom"/>
          </w:tcPr>
          <w:p w:rsidR="00786914" w:rsidRPr="00540350" w:rsidRDefault="00786914" w:rsidP="0006743B">
            <w:pPr>
              <w:pStyle w:val="TableText"/>
            </w:pPr>
            <w:r w:rsidRPr="00540350">
              <w:t>p&lt;0.00001</w:t>
            </w:r>
          </w:p>
        </w:tc>
      </w:tr>
      <w:tr w:rsidR="00786914" w:rsidRPr="00540350" w:rsidTr="0006743B">
        <w:trPr>
          <w:trHeight w:val="276"/>
        </w:trPr>
        <w:tc>
          <w:tcPr>
            <w:tcW w:w="1144" w:type="pct"/>
            <w:shd w:val="clear" w:color="auto" w:fill="auto"/>
            <w:noWrap/>
            <w:vAlign w:val="bottom"/>
          </w:tcPr>
          <w:p w:rsidR="00786914" w:rsidRPr="00540350" w:rsidRDefault="00786914" w:rsidP="0006743B">
            <w:pPr>
              <w:pStyle w:val="TableText"/>
            </w:pPr>
            <w:r w:rsidRPr="00540350">
              <w:t>Duration of catheterisation (hours)</w:t>
            </w:r>
          </w:p>
        </w:tc>
        <w:tc>
          <w:tcPr>
            <w:tcW w:w="468" w:type="pct"/>
            <w:shd w:val="clear" w:color="auto" w:fill="auto"/>
            <w:noWrap/>
            <w:vAlign w:val="center"/>
          </w:tcPr>
          <w:p w:rsidR="00786914" w:rsidRPr="00540350" w:rsidRDefault="00786914" w:rsidP="0006743B">
            <w:pPr>
              <w:pStyle w:val="TableText"/>
            </w:pPr>
            <w:r w:rsidRPr="00540350">
              <w:t>6</w:t>
            </w:r>
          </w:p>
        </w:tc>
        <w:tc>
          <w:tcPr>
            <w:tcW w:w="623" w:type="pct"/>
            <w:shd w:val="clear" w:color="auto" w:fill="auto"/>
            <w:noWrap/>
            <w:vAlign w:val="bottom"/>
          </w:tcPr>
          <w:p w:rsidR="00786914" w:rsidRPr="00540350" w:rsidRDefault="00786914" w:rsidP="0006743B">
            <w:pPr>
              <w:pStyle w:val="TableText"/>
            </w:pPr>
            <w:r w:rsidRPr="00540350">
              <w:t>285/282</w:t>
            </w:r>
          </w:p>
        </w:tc>
        <w:tc>
          <w:tcPr>
            <w:tcW w:w="340" w:type="pct"/>
            <w:shd w:val="clear" w:color="auto" w:fill="auto"/>
            <w:vAlign w:val="bottom"/>
          </w:tcPr>
          <w:p w:rsidR="00786914" w:rsidRPr="00540350" w:rsidRDefault="00786914" w:rsidP="0006743B">
            <w:pPr>
              <w:pStyle w:val="TableText"/>
            </w:pPr>
            <w:r w:rsidRPr="00540350">
              <w:t>31.1</w:t>
            </w:r>
          </w:p>
        </w:tc>
        <w:tc>
          <w:tcPr>
            <w:tcW w:w="340" w:type="pct"/>
            <w:shd w:val="clear" w:color="auto" w:fill="auto"/>
            <w:vAlign w:val="bottom"/>
          </w:tcPr>
          <w:p w:rsidR="00786914" w:rsidRPr="00540350" w:rsidRDefault="00786914" w:rsidP="0006743B">
            <w:pPr>
              <w:pStyle w:val="TableText"/>
            </w:pPr>
            <w:r w:rsidRPr="00540350">
              <w:t>53.4</w:t>
            </w:r>
          </w:p>
        </w:tc>
        <w:tc>
          <w:tcPr>
            <w:tcW w:w="749" w:type="pct"/>
            <w:shd w:val="clear" w:color="auto" w:fill="auto"/>
            <w:noWrap/>
            <w:vAlign w:val="bottom"/>
          </w:tcPr>
          <w:p w:rsidR="00786914" w:rsidRPr="00540350" w:rsidRDefault="00786914" w:rsidP="0006743B">
            <w:pPr>
              <w:pStyle w:val="TableText"/>
            </w:pPr>
            <w:r w:rsidRPr="00540350">
              <w:t>22.39</w:t>
            </w:r>
          </w:p>
        </w:tc>
        <w:tc>
          <w:tcPr>
            <w:tcW w:w="599" w:type="pct"/>
            <w:shd w:val="clear" w:color="auto" w:fill="auto"/>
            <w:noWrap/>
            <w:vAlign w:val="bottom"/>
          </w:tcPr>
          <w:p w:rsidR="00786914" w:rsidRPr="00540350" w:rsidRDefault="00786914" w:rsidP="0006743B">
            <w:pPr>
              <w:pStyle w:val="TableText"/>
            </w:pPr>
            <w:r w:rsidRPr="00540350">
              <w:t>28.18–16.60</w:t>
            </w:r>
          </w:p>
        </w:tc>
        <w:tc>
          <w:tcPr>
            <w:tcW w:w="298" w:type="pct"/>
            <w:shd w:val="clear" w:color="auto" w:fill="auto"/>
            <w:noWrap/>
            <w:vAlign w:val="bottom"/>
          </w:tcPr>
          <w:p w:rsidR="00786914" w:rsidRPr="00540350" w:rsidRDefault="00786914" w:rsidP="0006743B">
            <w:pPr>
              <w:pStyle w:val="TableText"/>
            </w:pPr>
            <w:r w:rsidRPr="00540350">
              <w:t>80</w:t>
            </w:r>
          </w:p>
        </w:tc>
        <w:tc>
          <w:tcPr>
            <w:tcW w:w="440" w:type="pct"/>
            <w:shd w:val="clear" w:color="auto" w:fill="auto"/>
            <w:noWrap/>
            <w:vAlign w:val="center"/>
          </w:tcPr>
          <w:p w:rsidR="00786914" w:rsidRPr="00540350" w:rsidRDefault="00786914" w:rsidP="0006743B">
            <w:pPr>
              <w:pStyle w:val="TableText"/>
            </w:pPr>
            <w:r w:rsidRPr="00540350">
              <w:t>p&lt;0.00001</w:t>
            </w:r>
          </w:p>
        </w:tc>
      </w:tr>
      <w:tr w:rsidR="00786914" w:rsidRPr="00540350" w:rsidTr="0006743B">
        <w:trPr>
          <w:trHeight w:val="255"/>
        </w:trPr>
        <w:tc>
          <w:tcPr>
            <w:tcW w:w="1144" w:type="pct"/>
            <w:shd w:val="clear" w:color="auto" w:fill="auto"/>
            <w:noWrap/>
            <w:vAlign w:val="bottom"/>
          </w:tcPr>
          <w:p w:rsidR="00786914" w:rsidRPr="00540350" w:rsidRDefault="00786914" w:rsidP="0006743B">
            <w:pPr>
              <w:pStyle w:val="TableText"/>
            </w:pPr>
            <w:r w:rsidRPr="00540350">
              <w:t>Duration of hospital stay (days)</w:t>
            </w:r>
          </w:p>
        </w:tc>
        <w:tc>
          <w:tcPr>
            <w:tcW w:w="468" w:type="pct"/>
            <w:shd w:val="clear" w:color="auto" w:fill="auto"/>
            <w:noWrap/>
            <w:vAlign w:val="bottom"/>
          </w:tcPr>
          <w:p w:rsidR="00786914" w:rsidRPr="00540350" w:rsidRDefault="00786914" w:rsidP="0006743B">
            <w:pPr>
              <w:pStyle w:val="TableText"/>
            </w:pPr>
            <w:r w:rsidRPr="00540350">
              <w:t>5</w:t>
            </w:r>
          </w:p>
        </w:tc>
        <w:tc>
          <w:tcPr>
            <w:tcW w:w="623" w:type="pct"/>
            <w:shd w:val="clear" w:color="auto" w:fill="auto"/>
            <w:noWrap/>
            <w:vAlign w:val="bottom"/>
          </w:tcPr>
          <w:p w:rsidR="00786914" w:rsidRPr="00540350" w:rsidRDefault="00786914" w:rsidP="0006743B">
            <w:pPr>
              <w:pStyle w:val="TableText"/>
            </w:pPr>
            <w:r w:rsidRPr="00540350">
              <w:t>281/276</w:t>
            </w:r>
          </w:p>
        </w:tc>
        <w:tc>
          <w:tcPr>
            <w:tcW w:w="340" w:type="pct"/>
            <w:shd w:val="clear" w:color="auto" w:fill="auto"/>
            <w:vAlign w:val="bottom"/>
          </w:tcPr>
          <w:p w:rsidR="00786914" w:rsidRPr="00540350" w:rsidRDefault="00786914" w:rsidP="0006743B">
            <w:pPr>
              <w:pStyle w:val="TableText"/>
            </w:pPr>
            <w:r w:rsidRPr="00540350">
              <w:t>1.9</w:t>
            </w:r>
          </w:p>
        </w:tc>
        <w:tc>
          <w:tcPr>
            <w:tcW w:w="340" w:type="pct"/>
            <w:shd w:val="clear" w:color="auto" w:fill="auto"/>
            <w:vAlign w:val="bottom"/>
          </w:tcPr>
          <w:p w:rsidR="00786914" w:rsidRPr="00540350" w:rsidRDefault="00786914" w:rsidP="0006743B">
            <w:pPr>
              <w:pStyle w:val="TableText"/>
            </w:pPr>
            <w:r w:rsidRPr="00540350">
              <w:t>3.0</w:t>
            </w:r>
          </w:p>
        </w:tc>
        <w:tc>
          <w:tcPr>
            <w:tcW w:w="749" w:type="pct"/>
            <w:shd w:val="clear" w:color="auto" w:fill="auto"/>
            <w:noWrap/>
            <w:vAlign w:val="bottom"/>
          </w:tcPr>
          <w:p w:rsidR="00786914" w:rsidRPr="00540350" w:rsidRDefault="00786914" w:rsidP="0006743B">
            <w:pPr>
              <w:pStyle w:val="TableText"/>
            </w:pPr>
            <w:r w:rsidRPr="00540350">
              <w:t>1.08</w:t>
            </w:r>
          </w:p>
        </w:tc>
        <w:tc>
          <w:tcPr>
            <w:tcW w:w="599" w:type="pct"/>
            <w:shd w:val="clear" w:color="auto" w:fill="auto"/>
            <w:noWrap/>
            <w:vAlign w:val="bottom"/>
          </w:tcPr>
          <w:p w:rsidR="00786914" w:rsidRPr="00540350" w:rsidRDefault="00786914" w:rsidP="0006743B">
            <w:pPr>
              <w:pStyle w:val="TableText"/>
            </w:pPr>
            <w:r w:rsidRPr="00540350">
              <w:t>1.26–0.89</w:t>
            </w:r>
          </w:p>
        </w:tc>
        <w:tc>
          <w:tcPr>
            <w:tcW w:w="298" w:type="pct"/>
            <w:shd w:val="clear" w:color="auto" w:fill="auto"/>
            <w:noWrap/>
            <w:vAlign w:val="bottom"/>
          </w:tcPr>
          <w:p w:rsidR="00786914" w:rsidRPr="00540350" w:rsidRDefault="00786914" w:rsidP="0006743B">
            <w:pPr>
              <w:pStyle w:val="TableText"/>
            </w:pPr>
            <w:r w:rsidRPr="00540350">
              <w:t>28</w:t>
            </w:r>
          </w:p>
        </w:tc>
        <w:tc>
          <w:tcPr>
            <w:tcW w:w="440" w:type="pct"/>
            <w:shd w:val="clear" w:color="auto" w:fill="auto"/>
            <w:noWrap/>
            <w:vAlign w:val="center"/>
          </w:tcPr>
          <w:p w:rsidR="00786914" w:rsidRPr="00540350" w:rsidRDefault="00786914" w:rsidP="0006743B">
            <w:pPr>
              <w:pStyle w:val="TableText"/>
            </w:pPr>
            <w:r w:rsidRPr="00540350">
              <w:t>p&lt;0.00001</w:t>
            </w:r>
          </w:p>
        </w:tc>
      </w:tr>
    </w:tbl>
    <w:p w:rsidR="00786914" w:rsidRPr="00111C3B" w:rsidRDefault="00786914" w:rsidP="0006743B">
      <w:pPr>
        <w:pStyle w:val="TableNotes"/>
      </w:pPr>
      <w:r>
        <w:t>MD=mean difference.</w:t>
      </w:r>
    </w:p>
    <w:p w:rsidR="00786914" w:rsidRDefault="00786914" w:rsidP="0006743B">
      <w:pPr>
        <w:pStyle w:val="Normalbold"/>
        <w:rPr>
          <w:u w:val="single"/>
        </w:rPr>
      </w:pPr>
      <w:r>
        <w:t xml:space="preserve">Key results of effectiveness </w:t>
      </w:r>
      <w:r w:rsidRPr="00282685">
        <w:t xml:space="preserve">comparison </w:t>
      </w:r>
      <w:r>
        <w:t xml:space="preserve">of </w:t>
      </w:r>
      <w:r w:rsidRPr="00282685">
        <w:t xml:space="preserve">HoLEP with </w:t>
      </w:r>
      <w:r>
        <w:t>OP</w:t>
      </w:r>
    </w:p>
    <w:p w:rsidR="00786914" w:rsidRDefault="00786914" w:rsidP="0006743B">
      <w:pPr>
        <w:tabs>
          <w:tab w:val="left" w:pos="720"/>
          <w:tab w:val="left" w:pos="1140"/>
        </w:tabs>
        <w:spacing w:before="120" w:after="0"/>
        <w:rPr>
          <w:rFonts w:cs="Arial"/>
          <w:szCs w:val="24"/>
        </w:rPr>
      </w:pPr>
      <w:r w:rsidRPr="004E1EFC">
        <w:rPr>
          <w:rFonts w:cs="Arial"/>
          <w:szCs w:val="24"/>
        </w:rPr>
        <w:t xml:space="preserve">A summary of the main results are shown in </w:t>
      </w:r>
      <w:r w:rsidR="00F0137E">
        <w:rPr>
          <w:rFonts w:cs="Arial"/>
          <w:szCs w:val="24"/>
        </w:rPr>
        <w:fldChar w:fldCharType="begin"/>
      </w:r>
      <w:r>
        <w:rPr>
          <w:rFonts w:cs="Arial"/>
          <w:szCs w:val="24"/>
        </w:rPr>
        <w:instrText xml:space="preserve"> REF _Ref323639825 \h </w:instrText>
      </w:r>
      <w:r w:rsidR="00F0137E">
        <w:rPr>
          <w:rFonts w:cs="Arial"/>
          <w:szCs w:val="24"/>
        </w:rPr>
      </w:r>
      <w:r w:rsidR="00F0137E">
        <w:rPr>
          <w:rFonts w:cs="Arial"/>
          <w:szCs w:val="24"/>
        </w:rPr>
        <w:fldChar w:fldCharType="separate"/>
      </w:r>
      <w:r w:rsidR="00F45C43">
        <w:t xml:space="preserve">Table </w:t>
      </w:r>
      <w:r w:rsidR="00F45C43">
        <w:rPr>
          <w:noProof/>
        </w:rPr>
        <w:t>5</w:t>
      </w:r>
      <w:r w:rsidR="00F0137E">
        <w:rPr>
          <w:rFonts w:cs="Arial"/>
          <w:szCs w:val="24"/>
        </w:rPr>
        <w:fldChar w:fldCharType="end"/>
      </w:r>
      <w:r>
        <w:rPr>
          <w:rFonts w:cs="Arial"/>
          <w:szCs w:val="24"/>
        </w:rPr>
        <w:t xml:space="preserve"> </w:t>
      </w:r>
      <w:r w:rsidRPr="004E1EFC">
        <w:rPr>
          <w:rFonts w:cs="Arial"/>
          <w:szCs w:val="24"/>
        </w:rPr>
        <w:t>below.</w:t>
      </w:r>
    </w:p>
    <w:p w:rsidR="00786914" w:rsidRPr="004E1EFC" w:rsidRDefault="00786914" w:rsidP="0006743B">
      <w:pPr>
        <w:tabs>
          <w:tab w:val="left" w:pos="720"/>
          <w:tab w:val="left" w:pos="1140"/>
        </w:tabs>
        <w:spacing w:before="120" w:after="0"/>
        <w:rPr>
          <w:rFonts w:cs="Arial"/>
          <w:szCs w:val="24"/>
        </w:rPr>
      </w:pPr>
    </w:p>
    <w:p w:rsidR="00786914" w:rsidRDefault="00786914" w:rsidP="0006743B">
      <w:pPr>
        <w:pStyle w:val="Caption"/>
      </w:pPr>
      <w:bookmarkStart w:id="54" w:name="_Ref323639825"/>
      <w:bookmarkStart w:id="55" w:name="_Toc327803252"/>
      <w:bookmarkStart w:id="56" w:name="_Toc327881542"/>
      <w:r>
        <w:t xml:space="preserve">Table </w:t>
      </w:r>
      <w:fldSimple w:instr=" SEQ Table \* ARABIC ">
        <w:r w:rsidR="00F45C43">
          <w:rPr>
            <w:noProof/>
          </w:rPr>
          <w:t>5</w:t>
        </w:r>
      </w:fldSimple>
      <w:bookmarkEnd w:id="54"/>
      <w:r>
        <w:t>:</w:t>
      </w:r>
      <w:r>
        <w:tab/>
        <w:t>Effectiveness of HoLEP compared with OP</w:t>
      </w:r>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906"/>
        <w:gridCol w:w="1209"/>
        <w:gridCol w:w="652"/>
        <w:gridCol w:w="652"/>
        <w:gridCol w:w="1233"/>
        <w:gridCol w:w="1240"/>
        <w:gridCol w:w="547"/>
        <w:gridCol w:w="684"/>
      </w:tblGrid>
      <w:tr w:rsidR="00786914" w:rsidRPr="0001050B" w:rsidTr="0006743B">
        <w:trPr>
          <w:trHeight w:val="255"/>
        </w:trPr>
        <w:tc>
          <w:tcPr>
            <w:tcW w:w="1146" w:type="pct"/>
            <w:shd w:val="clear" w:color="auto" w:fill="auto"/>
            <w:noWrap/>
            <w:vAlign w:val="bottom"/>
          </w:tcPr>
          <w:p w:rsidR="00786914" w:rsidRPr="0001050B" w:rsidRDefault="00786914" w:rsidP="0006743B">
            <w:pPr>
              <w:pStyle w:val="Tableheading"/>
              <w:rPr>
                <w:lang w:val="en-IE"/>
              </w:rPr>
            </w:pPr>
            <w:r w:rsidRPr="0001050B">
              <w:rPr>
                <w:lang w:val="en-IE"/>
              </w:rPr>
              <w:t>Outcome</w:t>
            </w:r>
          </w:p>
        </w:tc>
        <w:tc>
          <w:tcPr>
            <w:tcW w:w="490" w:type="pct"/>
            <w:shd w:val="clear" w:color="auto" w:fill="auto"/>
            <w:noWrap/>
            <w:vAlign w:val="bottom"/>
          </w:tcPr>
          <w:p w:rsidR="00786914" w:rsidRPr="0001050B" w:rsidRDefault="00786914" w:rsidP="0006743B">
            <w:pPr>
              <w:pStyle w:val="Tableheading"/>
              <w:rPr>
                <w:lang w:val="en-IE"/>
              </w:rPr>
            </w:pPr>
            <w:r w:rsidRPr="0001050B">
              <w:rPr>
                <w:lang w:val="en-IE"/>
              </w:rPr>
              <w:t>Studies (n)</w:t>
            </w:r>
          </w:p>
        </w:tc>
        <w:tc>
          <w:tcPr>
            <w:tcW w:w="654" w:type="pct"/>
            <w:shd w:val="clear" w:color="auto" w:fill="auto"/>
            <w:noWrap/>
            <w:vAlign w:val="bottom"/>
          </w:tcPr>
          <w:p w:rsidR="00786914" w:rsidRPr="0001050B" w:rsidRDefault="00786914" w:rsidP="0006743B">
            <w:pPr>
              <w:pStyle w:val="Tableheading"/>
              <w:rPr>
                <w:lang w:val="en-IE"/>
              </w:rPr>
            </w:pPr>
            <w:r w:rsidRPr="0001050B">
              <w:rPr>
                <w:lang w:val="en-IE"/>
              </w:rPr>
              <w:t>Patients HoLEP</w:t>
            </w:r>
          </w:p>
          <w:p w:rsidR="00786914" w:rsidRPr="0001050B" w:rsidRDefault="00786914" w:rsidP="0006743B">
            <w:pPr>
              <w:pStyle w:val="Tableheading"/>
              <w:rPr>
                <w:lang w:val="en-IE"/>
              </w:rPr>
            </w:pPr>
            <w:r w:rsidRPr="0001050B">
              <w:rPr>
                <w:lang w:val="en-IE"/>
              </w:rPr>
              <w:t>/</w:t>
            </w:r>
            <w:r>
              <w:rPr>
                <w:lang w:val="en-IE"/>
              </w:rPr>
              <w:t>OP</w:t>
            </w:r>
          </w:p>
          <w:p w:rsidR="00786914" w:rsidRPr="0001050B" w:rsidRDefault="00786914" w:rsidP="0006743B">
            <w:pPr>
              <w:pStyle w:val="Tableheading"/>
              <w:rPr>
                <w:lang w:val="en-IE"/>
              </w:rPr>
            </w:pPr>
            <w:r w:rsidRPr="0001050B">
              <w:rPr>
                <w:lang w:val="en-IE"/>
              </w:rPr>
              <w:t xml:space="preserve"> (n)</w:t>
            </w:r>
          </w:p>
        </w:tc>
        <w:tc>
          <w:tcPr>
            <w:tcW w:w="353" w:type="pct"/>
            <w:shd w:val="clear" w:color="auto" w:fill="auto"/>
            <w:vAlign w:val="bottom"/>
          </w:tcPr>
          <w:p w:rsidR="00786914" w:rsidRPr="0001050B" w:rsidRDefault="00786914" w:rsidP="0006743B">
            <w:pPr>
              <w:pStyle w:val="Tableheading"/>
              <w:rPr>
                <w:lang w:val="en-IE"/>
              </w:rPr>
            </w:pPr>
            <w:r w:rsidRPr="0001050B">
              <w:rPr>
                <w:lang w:val="en-IE"/>
              </w:rPr>
              <w:t>HoLEP</w:t>
            </w:r>
          </w:p>
          <w:p w:rsidR="00786914" w:rsidRPr="0001050B" w:rsidRDefault="00786914" w:rsidP="0006743B">
            <w:pPr>
              <w:pStyle w:val="Tableheading"/>
              <w:rPr>
                <w:lang w:val="en-IE"/>
              </w:rPr>
            </w:pPr>
            <w:r w:rsidRPr="0001050B">
              <w:rPr>
                <w:lang w:val="en-IE"/>
              </w:rPr>
              <w:t>(mean)</w:t>
            </w:r>
          </w:p>
        </w:tc>
        <w:tc>
          <w:tcPr>
            <w:tcW w:w="353" w:type="pct"/>
            <w:shd w:val="clear" w:color="auto" w:fill="auto"/>
            <w:vAlign w:val="bottom"/>
          </w:tcPr>
          <w:p w:rsidR="00786914" w:rsidRPr="0001050B" w:rsidRDefault="00786914" w:rsidP="0006743B">
            <w:pPr>
              <w:pStyle w:val="Tableheading"/>
              <w:rPr>
                <w:lang w:val="en-IE"/>
              </w:rPr>
            </w:pPr>
            <w:r>
              <w:rPr>
                <w:lang w:val="en-IE"/>
              </w:rPr>
              <w:t>OP</w:t>
            </w:r>
            <w:r w:rsidRPr="0001050B">
              <w:rPr>
                <w:lang w:val="en-IE"/>
              </w:rPr>
              <w:t xml:space="preserve"> (mean)</w:t>
            </w:r>
          </w:p>
        </w:tc>
        <w:tc>
          <w:tcPr>
            <w:tcW w:w="667" w:type="pct"/>
            <w:shd w:val="clear" w:color="auto" w:fill="auto"/>
            <w:noWrap/>
            <w:vAlign w:val="bottom"/>
          </w:tcPr>
          <w:p w:rsidR="00786914" w:rsidRPr="0001050B" w:rsidRDefault="00786914" w:rsidP="0006743B">
            <w:pPr>
              <w:pStyle w:val="Tableheading"/>
              <w:rPr>
                <w:lang w:val="en-IE"/>
              </w:rPr>
            </w:pPr>
            <w:r>
              <w:rPr>
                <w:lang w:val="en-IE"/>
              </w:rPr>
              <w:t>Estimate of effect (</w:t>
            </w:r>
            <w:r w:rsidRPr="0001050B">
              <w:rPr>
                <w:lang w:val="en-IE"/>
              </w:rPr>
              <w:t>MD)</w:t>
            </w:r>
          </w:p>
        </w:tc>
        <w:tc>
          <w:tcPr>
            <w:tcW w:w="671" w:type="pct"/>
            <w:shd w:val="clear" w:color="auto" w:fill="auto"/>
            <w:noWrap/>
            <w:vAlign w:val="bottom"/>
          </w:tcPr>
          <w:p w:rsidR="00786914" w:rsidRPr="0001050B" w:rsidRDefault="00786914" w:rsidP="0006743B">
            <w:pPr>
              <w:pStyle w:val="Tableheading"/>
              <w:rPr>
                <w:lang w:val="en-IE"/>
              </w:rPr>
            </w:pPr>
            <w:r w:rsidRPr="0001050B">
              <w:rPr>
                <w:lang w:val="en-IE"/>
              </w:rPr>
              <w:t>Range</w:t>
            </w:r>
          </w:p>
          <w:p w:rsidR="00786914" w:rsidRPr="0001050B" w:rsidRDefault="00786914" w:rsidP="0006743B">
            <w:pPr>
              <w:pStyle w:val="Tableheading"/>
              <w:rPr>
                <w:lang w:val="en-IE"/>
              </w:rPr>
            </w:pPr>
            <w:r w:rsidRPr="0001050B">
              <w:rPr>
                <w:lang w:val="en-IE"/>
              </w:rPr>
              <w:t>(95% CI)*</w:t>
            </w:r>
          </w:p>
        </w:tc>
        <w:tc>
          <w:tcPr>
            <w:tcW w:w="296" w:type="pct"/>
            <w:shd w:val="clear" w:color="auto" w:fill="auto"/>
            <w:noWrap/>
            <w:vAlign w:val="bottom"/>
          </w:tcPr>
          <w:p w:rsidR="00786914" w:rsidRPr="0001050B" w:rsidRDefault="00786914" w:rsidP="0006743B">
            <w:pPr>
              <w:pStyle w:val="Tableheading"/>
              <w:rPr>
                <w:lang w:val="en-IE"/>
              </w:rPr>
            </w:pPr>
            <w:r>
              <w:rPr>
                <w:lang w:val="en-IE"/>
              </w:rPr>
              <w:t>I</w:t>
            </w:r>
            <w:r w:rsidRPr="009B281C">
              <w:rPr>
                <w:vertAlign w:val="superscript"/>
                <w:lang w:val="en-IE"/>
              </w:rPr>
              <w:t>2</w:t>
            </w:r>
            <w:r w:rsidRPr="0001050B">
              <w:rPr>
                <w:lang w:val="en-IE"/>
              </w:rPr>
              <w:t xml:space="preserve"> (%)</w:t>
            </w:r>
          </w:p>
        </w:tc>
        <w:tc>
          <w:tcPr>
            <w:tcW w:w="370" w:type="pct"/>
            <w:shd w:val="clear" w:color="auto" w:fill="auto"/>
            <w:noWrap/>
            <w:vAlign w:val="bottom"/>
          </w:tcPr>
          <w:p w:rsidR="00786914" w:rsidRPr="0001050B" w:rsidRDefault="00786914" w:rsidP="0006743B">
            <w:pPr>
              <w:spacing w:after="0"/>
              <w:ind w:left="0"/>
              <w:jc w:val="center"/>
              <w:rPr>
                <w:rFonts w:ascii="Arial Narrow" w:hAnsi="Arial Narrow" w:cs="Tahoma"/>
                <w:b/>
                <w:bCs/>
                <w:sz w:val="18"/>
                <w:szCs w:val="18"/>
                <w:lang w:val="en-IE" w:eastAsia="en-US"/>
              </w:rPr>
            </w:pPr>
            <w:r w:rsidRPr="0001050B">
              <w:rPr>
                <w:rFonts w:ascii="Arial Narrow" w:hAnsi="Arial Narrow" w:cs="Tahoma"/>
                <w:b/>
                <w:bCs/>
                <w:sz w:val="18"/>
                <w:szCs w:val="18"/>
                <w:lang w:val="en-IE" w:eastAsia="en-US"/>
              </w:rPr>
              <w:t>p-value</w:t>
            </w:r>
          </w:p>
        </w:tc>
      </w:tr>
      <w:tr w:rsidR="00786914" w:rsidRPr="0001050B" w:rsidTr="0006743B">
        <w:trPr>
          <w:trHeight w:val="255"/>
        </w:trPr>
        <w:tc>
          <w:tcPr>
            <w:tcW w:w="1146" w:type="pct"/>
            <w:shd w:val="clear" w:color="auto" w:fill="auto"/>
            <w:noWrap/>
            <w:vAlign w:val="bottom"/>
          </w:tcPr>
          <w:p w:rsidR="00786914" w:rsidRPr="0001050B" w:rsidRDefault="00786914" w:rsidP="0006743B">
            <w:pPr>
              <w:pStyle w:val="TableText"/>
              <w:rPr>
                <w:lang w:val="en-IE"/>
              </w:rPr>
            </w:pPr>
            <w:r w:rsidRPr="0001050B">
              <w:rPr>
                <w:lang w:val="en-IE"/>
              </w:rPr>
              <w:t>Qmax @ 12 months(ml/s)</w:t>
            </w:r>
          </w:p>
        </w:tc>
        <w:tc>
          <w:tcPr>
            <w:tcW w:w="490" w:type="pct"/>
            <w:shd w:val="clear" w:color="auto" w:fill="auto"/>
            <w:noWrap/>
            <w:vAlign w:val="bottom"/>
          </w:tcPr>
          <w:p w:rsidR="00786914" w:rsidRPr="0001050B" w:rsidRDefault="00786914" w:rsidP="0006743B">
            <w:pPr>
              <w:pStyle w:val="TableText"/>
              <w:rPr>
                <w:lang w:val="en-IE"/>
              </w:rPr>
            </w:pPr>
            <w:r>
              <w:rPr>
                <w:lang w:val="en-IE"/>
              </w:rPr>
              <w:t>2</w:t>
            </w:r>
          </w:p>
        </w:tc>
        <w:tc>
          <w:tcPr>
            <w:tcW w:w="654" w:type="pct"/>
            <w:shd w:val="clear" w:color="auto" w:fill="auto"/>
            <w:noWrap/>
            <w:vAlign w:val="bottom"/>
          </w:tcPr>
          <w:p w:rsidR="00786914" w:rsidRPr="0001050B" w:rsidRDefault="00786914" w:rsidP="0006743B">
            <w:pPr>
              <w:pStyle w:val="TableText"/>
              <w:rPr>
                <w:lang w:val="en-IE"/>
              </w:rPr>
            </w:pPr>
            <w:r>
              <w:rPr>
                <w:lang w:val="en-IE"/>
              </w:rPr>
              <w:t>93/84</w:t>
            </w:r>
          </w:p>
        </w:tc>
        <w:tc>
          <w:tcPr>
            <w:tcW w:w="353" w:type="pct"/>
            <w:shd w:val="clear" w:color="auto" w:fill="auto"/>
            <w:vAlign w:val="bottom"/>
          </w:tcPr>
          <w:p w:rsidR="00786914" w:rsidRPr="0001050B" w:rsidRDefault="00786914" w:rsidP="0006743B">
            <w:pPr>
              <w:pStyle w:val="TableText"/>
              <w:rPr>
                <w:lang w:val="en-IE"/>
              </w:rPr>
            </w:pPr>
            <w:r>
              <w:rPr>
                <w:lang w:val="en-IE"/>
              </w:rPr>
              <w:t>24.9</w:t>
            </w:r>
          </w:p>
        </w:tc>
        <w:tc>
          <w:tcPr>
            <w:tcW w:w="353" w:type="pct"/>
            <w:shd w:val="clear" w:color="auto" w:fill="auto"/>
            <w:vAlign w:val="bottom"/>
          </w:tcPr>
          <w:p w:rsidR="00786914" w:rsidRPr="0001050B" w:rsidRDefault="00786914" w:rsidP="0006743B">
            <w:pPr>
              <w:pStyle w:val="TableText"/>
              <w:rPr>
                <w:lang w:val="en-IE"/>
              </w:rPr>
            </w:pPr>
            <w:r>
              <w:rPr>
                <w:lang w:val="en-IE"/>
              </w:rPr>
              <w:t>26.3</w:t>
            </w:r>
          </w:p>
        </w:tc>
        <w:tc>
          <w:tcPr>
            <w:tcW w:w="667" w:type="pct"/>
            <w:shd w:val="clear" w:color="auto" w:fill="auto"/>
            <w:noWrap/>
            <w:vAlign w:val="bottom"/>
          </w:tcPr>
          <w:p w:rsidR="00786914" w:rsidRPr="0001050B" w:rsidRDefault="00786914" w:rsidP="0006743B">
            <w:pPr>
              <w:pStyle w:val="TableText"/>
              <w:rPr>
                <w:lang w:val="en-IE"/>
              </w:rPr>
            </w:pPr>
            <w:r>
              <w:rPr>
                <w:lang w:val="en-IE"/>
              </w:rPr>
              <w:t>1.53</w:t>
            </w:r>
          </w:p>
        </w:tc>
        <w:tc>
          <w:tcPr>
            <w:tcW w:w="671" w:type="pct"/>
            <w:shd w:val="clear" w:color="auto" w:fill="auto"/>
            <w:noWrap/>
            <w:vAlign w:val="bottom"/>
          </w:tcPr>
          <w:p w:rsidR="00786914" w:rsidRPr="0001050B" w:rsidRDefault="00786914" w:rsidP="0006743B">
            <w:pPr>
              <w:pStyle w:val="TableText"/>
              <w:rPr>
                <w:lang w:val="en-IE"/>
              </w:rPr>
            </w:pPr>
            <w:r>
              <w:rPr>
                <w:lang w:val="en-IE"/>
              </w:rPr>
              <w:t>3.51–0.45</w:t>
            </w:r>
          </w:p>
        </w:tc>
        <w:tc>
          <w:tcPr>
            <w:tcW w:w="296" w:type="pct"/>
            <w:shd w:val="clear" w:color="auto" w:fill="auto"/>
            <w:noWrap/>
            <w:vAlign w:val="bottom"/>
          </w:tcPr>
          <w:p w:rsidR="00786914" w:rsidRPr="0001050B" w:rsidRDefault="00786914" w:rsidP="0006743B">
            <w:pPr>
              <w:pStyle w:val="TableText"/>
              <w:rPr>
                <w:lang w:val="en-IE"/>
              </w:rPr>
            </w:pPr>
            <w:r>
              <w:rPr>
                <w:lang w:val="en-IE"/>
              </w:rPr>
              <w:t>0</w:t>
            </w:r>
          </w:p>
        </w:tc>
        <w:tc>
          <w:tcPr>
            <w:tcW w:w="370" w:type="pct"/>
            <w:shd w:val="clear" w:color="auto" w:fill="auto"/>
            <w:noWrap/>
            <w:vAlign w:val="bottom"/>
          </w:tcPr>
          <w:p w:rsidR="00786914" w:rsidRPr="0001050B" w:rsidRDefault="00786914" w:rsidP="0006743B">
            <w:pPr>
              <w:spacing w:after="0"/>
              <w:ind w:left="0"/>
              <w:jc w:val="center"/>
              <w:rPr>
                <w:rFonts w:ascii="Arial Narrow" w:hAnsi="Arial Narrow" w:cs="Tahoma"/>
                <w:bCs/>
                <w:sz w:val="18"/>
                <w:szCs w:val="18"/>
                <w:lang w:val="en-IE" w:eastAsia="en-US"/>
              </w:rPr>
            </w:pPr>
            <w:r>
              <w:rPr>
                <w:rFonts w:ascii="Arial Narrow" w:hAnsi="Arial Narrow" w:cs="Tahoma"/>
                <w:bCs/>
                <w:sz w:val="18"/>
                <w:szCs w:val="18"/>
                <w:lang w:val="en-IE" w:eastAsia="en-US"/>
              </w:rPr>
              <w:t>p=0.13</w:t>
            </w:r>
          </w:p>
        </w:tc>
      </w:tr>
      <w:tr w:rsidR="00786914" w:rsidRPr="0001050B" w:rsidTr="0006743B">
        <w:trPr>
          <w:trHeight w:val="255"/>
        </w:trPr>
        <w:tc>
          <w:tcPr>
            <w:tcW w:w="1146" w:type="pct"/>
            <w:shd w:val="clear" w:color="auto" w:fill="auto"/>
            <w:noWrap/>
            <w:vAlign w:val="bottom"/>
          </w:tcPr>
          <w:p w:rsidR="00786914" w:rsidRPr="0001050B" w:rsidRDefault="00786914" w:rsidP="0006743B">
            <w:pPr>
              <w:pStyle w:val="TableText"/>
              <w:rPr>
                <w:lang w:val="en-IE"/>
              </w:rPr>
            </w:pPr>
            <w:r w:rsidRPr="0001050B">
              <w:rPr>
                <w:lang w:val="en-IE"/>
              </w:rPr>
              <w:t>Qmax @ 24 months (ml/s)</w:t>
            </w:r>
          </w:p>
        </w:tc>
        <w:tc>
          <w:tcPr>
            <w:tcW w:w="490" w:type="pct"/>
            <w:shd w:val="clear" w:color="auto" w:fill="auto"/>
            <w:noWrap/>
            <w:vAlign w:val="bottom"/>
          </w:tcPr>
          <w:p w:rsidR="00786914" w:rsidRPr="0001050B" w:rsidRDefault="00786914" w:rsidP="0006743B">
            <w:pPr>
              <w:pStyle w:val="TableText"/>
              <w:rPr>
                <w:lang w:val="en-IE"/>
              </w:rPr>
            </w:pPr>
            <w:r>
              <w:rPr>
                <w:lang w:val="en-IE"/>
              </w:rPr>
              <w:t>2</w:t>
            </w:r>
          </w:p>
        </w:tc>
        <w:tc>
          <w:tcPr>
            <w:tcW w:w="654" w:type="pct"/>
            <w:shd w:val="clear" w:color="auto" w:fill="auto"/>
            <w:noWrap/>
            <w:vAlign w:val="bottom"/>
          </w:tcPr>
          <w:p w:rsidR="00786914" w:rsidRPr="0001050B" w:rsidRDefault="00786914" w:rsidP="0006743B">
            <w:pPr>
              <w:pStyle w:val="TableText"/>
              <w:rPr>
                <w:lang w:val="en-IE"/>
              </w:rPr>
            </w:pPr>
            <w:r>
              <w:rPr>
                <w:lang w:val="en-IE"/>
              </w:rPr>
              <w:t>88/79</w:t>
            </w:r>
          </w:p>
        </w:tc>
        <w:tc>
          <w:tcPr>
            <w:tcW w:w="353" w:type="pct"/>
            <w:shd w:val="clear" w:color="auto" w:fill="auto"/>
            <w:vAlign w:val="bottom"/>
          </w:tcPr>
          <w:p w:rsidR="00786914" w:rsidRPr="0001050B" w:rsidRDefault="00786914" w:rsidP="0006743B">
            <w:pPr>
              <w:pStyle w:val="TableText"/>
              <w:rPr>
                <w:lang w:val="en-IE"/>
              </w:rPr>
            </w:pPr>
            <w:r>
              <w:rPr>
                <w:lang w:val="en-IE"/>
              </w:rPr>
              <w:t>23.0</w:t>
            </w:r>
          </w:p>
        </w:tc>
        <w:tc>
          <w:tcPr>
            <w:tcW w:w="353" w:type="pct"/>
            <w:shd w:val="clear" w:color="auto" w:fill="auto"/>
            <w:vAlign w:val="bottom"/>
          </w:tcPr>
          <w:p w:rsidR="00786914" w:rsidRPr="0001050B" w:rsidRDefault="00786914" w:rsidP="0006743B">
            <w:pPr>
              <w:pStyle w:val="TableText"/>
              <w:rPr>
                <w:lang w:val="en-IE"/>
              </w:rPr>
            </w:pPr>
            <w:r>
              <w:rPr>
                <w:lang w:val="en-IE"/>
              </w:rPr>
              <w:t>23.8</w:t>
            </w:r>
          </w:p>
        </w:tc>
        <w:tc>
          <w:tcPr>
            <w:tcW w:w="667" w:type="pct"/>
            <w:shd w:val="clear" w:color="auto" w:fill="auto"/>
            <w:noWrap/>
            <w:vAlign w:val="bottom"/>
          </w:tcPr>
          <w:p w:rsidR="00786914" w:rsidRPr="0001050B" w:rsidRDefault="00786914" w:rsidP="0006743B">
            <w:pPr>
              <w:pStyle w:val="TableText"/>
              <w:rPr>
                <w:lang w:val="en-IE"/>
              </w:rPr>
            </w:pPr>
            <w:r>
              <w:rPr>
                <w:lang w:val="en-IE"/>
              </w:rPr>
              <w:t>0.78</w:t>
            </w:r>
          </w:p>
        </w:tc>
        <w:tc>
          <w:tcPr>
            <w:tcW w:w="671" w:type="pct"/>
            <w:shd w:val="clear" w:color="auto" w:fill="auto"/>
            <w:noWrap/>
            <w:vAlign w:val="bottom"/>
          </w:tcPr>
          <w:p w:rsidR="00786914" w:rsidRPr="0001050B" w:rsidRDefault="00786914" w:rsidP="0006743B">
            <w:pPr>
              <w:pStyle w:val="TableText"/>
              <w:rPr>
                <w:lang w:val="en-IE"/>
              </w:rPr>
            </w:pPr>
            <w:r>
              <w:rPr>
                <w:lang w:val="en-IE"/>
              </w:rPr>
              <w:t>3.10–1.54</w:t>
            </w:r>
          </w:p>
        </w:tc>
        <w:tc>
          <w:tcPr>
            <w:tcW w:w="296" w:type="pct"/>
            <w:shd w:val="clear" w:color="auto" w:fill="auto"/>
            <w:noWrap/>
            <w:vAlign w:val="bottom"/>
          </w:tcPr>
          <w:p w:rsidR="00786914" w:rsidRPr="0001050B" w:rsidRDefault="00786914" w:rsidP="0006743B">
            <w:pPr>
              <w:pStyle w:val="TableText"/>
              <w:rPr>
                <w:lang w:val="en-IE"/>
              </w:rPr>
            </w:pPr>
            <w:r>
              <w:rPr>
                <w:lang w:val="en-IE"/>
              </w:rPr>
              <w:t>0</w:t>
            </w:r>
          </w:p>
        </w:tc>
        <w:tc>
          <w:tcPr>
            <w:tcW w:w="370" w:type="pct"/>
            <w:shd w:val="clear" w:color="auto" w:fill="auto"/>
            <w:noWrap/>
            <w:vAlign w:val="bottom"/>
          </w:tcPr>
          <w:p w:rsidR="00786914" w:rsidRPr="0001050B" w:rsidRDefault="00786914" w:rsidP="0006743B">
            <w:pPr>
              <w:spacing w:after="0"/>
              <w:ind w:left="0"/>
              <w:jc w:val="center"/>
              <w:rPr>
                <w:rFonts w:ascii="Arial Narrow" w:hAnsi="Arial Narrow" w:cs="Tahoma"/>
                <w:bCs/>
                <w:sz w:val="18"/>
                <w:szCs w:val="18"/>
                <w:lang w:val="en-IE" w:eastAsia="en-US"/>
              </w:rPr>
            </w:pPr>
            <w:r>
              <w:rPr>
                <w:rFonts w:ascii="Arial Narrow" w:hAnsi="Arial Narrow" w:cs="Tahoma"/>
                <w:bCs/>
                <w:sz w:val="18"/>
                <w:szCs w:val="18"/>
                <w:lang w:val="en-IE" w:eastAsia="en-US"/>
              </w:rPr>
              <w:t>p=0.51</w:t>
            </w:r>
          </w:p>
        </w:tc>
      </w:tr>
      <w:tr w:rsidR="00786914" w:rsidRPr="0001050B" w:rsidTr="0006743B">
        <w:trPr>
          <w:trHeight w:val="255"/>
        </w:trPr>
        <w:tc>
          <w:tcPr>
            <w:tcW w:w="1146" w:type="pct"/>
            <w:shd w:val="clear" w:color="auto" w:fill="auto"/>
            <w:noWrap/>
            <w:vAlign w:val="bottom"/>
          </w:tcPr>
          <w:p w:rsidR="00786914" w:rsidRPr="0001050B" w:rsidRDefault="00786914" w:rsidP="0006743B">
            <w:pPr>
              <w:pStyle w:val="TableText"/>
              <w:rPr>
                <w:lang w:val="en-IE"/>
              </w:rPr>
            </w:pPr>
            <w:r w:rsidRPr="0001050B">
              <w:rPr>
                <w:lang w:val="en-IE"/>
              </w:rPr>
              <w:t>IPSS/AUA @ 12 months (score)</w:t>
            </w:r>
          </w:p>
        </w:tc>
        <w:tc>
          <w:tcPr>
            <w:tcW w:w="490" w:type="pct"/>
            <w:shd w:val="clear" w:color="auto" w:fill="auto"/>
            <w:noWrap/>
            <w:vAlign w:val="bottom"/>
          </w:tcPr>
          <w:p w:rsidR="00786914" w:rsidRPr="0001050B" w:rsidRDefault="00786914" w:rsidP="0006743B">
            <w:pPr>
              <w:pStyle w:val="TableText"/>
              <w:rPr>
                <w:lang w:val="en-IE"/>
              </w:rPr>
            </w:pPr>
            <w:r>
              <w:rPr>
                <w:lang w:val="en-IE"/>
              </w:rPr>
              <w:t>2</w:t>
            </w:r>
          </w:p>
        </w:tc>
        <w:tc>
          <w:tcPr>
            <w:tcW w:w="654" w:type="pct"/>
            <w:shd w:val="clear" w:color="auto" w:fill="auto"/>
            <w:noWrap/>
            <w:vAlign w:val="bottom"/>
          </w:tcPr>
          <w:p w:rsidR="00786914" w:rsidRPr="0001050B" w:rsidRDefault="00786914" w:rsidP="0006743B">
            <w:pPr>
              <w:pStyle w:val="TableText"/>
              <w:rPr>
                <w:lang w:val="en-IE"/>
              </w:rPr>
            </w:pPr>
            <w:r>
              <w:rPr>
                <w:lang w:val="en-IE"/>
              </w:rPr>
              <w:t>93/84</w:t>
            </w:r>
          </w:p>
        </w:tc>
        <w:tc>
          <w:tcPr>
            <w:tcW w:w="353" w:type="pct"/>
            <w:shd w:val="clear" w:color="auto" w:fill="auto"/>
            <w:vAlign w:val="bottom"/>
          </w:tcPr>
          <w:p w:rsidR="00786914" w:rsidRPr="0001050B" w:rsidRDefault="00786914" w:rsidP="0006743B">
            <w:pPr>
              <w:pStyle w:val="TableText"/>
              <w:rPr>
                <w:lang w:val="en-IE"/>
              </w:rPr>
            </w:pPr>
            <w:r>
              <w:rPr>
                <w:lang w:val="en-IE"/>
              </w:rPr>
              <w:t>5.4</w:t>
            </w:r>
          </w:p>
        </w:tc>
        <w:tc>
          <w:tcPr>
            <w:tcW w:w="353" w:type="pct"/>
            <w:shd w:val="clear" w:color="auto" w:fill="auto"/>
            <w:vAlign w:val="bottom"/>
          </w:tcPr>
          <w:p w:rsidR="00786914" w:rsidRPr="0001050B" w:rsidRDefault="00786914" w:rsidP="0006743B">
            <w:pPr>
              <w:pStyle w:val="TableText"/>
              <w:rPr>
                <w:lang w:val="en-IE"/>
              </w:rPr>
            </w:pPr>
            <w:r>
              <w:rPr>
                <w:lang w:val="en-IE"/>
              </w:rPr>
              <w:t>5.4</w:t>
            </w:r>
          </w:p>
        </w:tc>
        <w:tc>
          <w:tcPr>
            <w:tcW w:w="667" w:type="pct"/>
            <w:shd w:val="clear" w:color="auto" w:fill="auto"/>
            <w:noWrap/>
            <w:vAlign w:val="bottom"/>
          </w:tcPr>
          <w:p w:rsidR="00786914" w:rsidRPr="0001050B" w:rsidRDefault="00786914" w:rsidP="0006743B">
            <w:pPr>
              <w:pStyle w:val="TableText"/>
              <w:rPr>
                <w:lang w:val="en-IE"/>
              </w:rPr>
            </w:pPr>
            <w:r>
              <w:rPr>
                <w:lang w:val="en-IE"/>
              </w:rPr>
              <w:t>0.01</w:t>
            </w:r>
          </w:p>
        </w:tc>
        <w:tc>
          <w:tcPr>
            <w:tcW w:w="671" w:type="pct"/>
            <w:shd w:val="clear" w:color="auto" w:fill="auto"/>
            <w:noWrap/>
            <w:vAlign w:val="bottom"/>
          </w:tcPr>
          <w:p w:rsidR="00786914" w:rsidRPr="0001050B" w:rsidRDefault="00786914" w:rsidP="0006743B">
            <w:pPr>
              <w:pStyle w:val="TableText"/>
              <w:rPr>
                <w:lang w:val="en-IE"/>
              </w:rPr>
            </w:pPr>
            <w:r>
              <w:rPr>
                <w:lang w:val="en-IE"/>
              </w:rPr>
              <w:t>0.79–0.81</w:t>
            </w:r>
          </w:p>
        </w:tc>
        <w:tc>
          <w:tcPr>
            <w:tcW w:w="296" w:type="pct"/>
            <w:shd w:val="clear" w:color="auto" w:fill="auto"/>
            <w:noWrap/>
            <w:vAlign w:val="bottom"/>
          </w:tcPr>
          <w:p w:rsidR="00786914" w:rsidRPr="0001050B" w:rsidRDefault="00786914" w:rsidP="0006743B">
            <w:pPr>
              <w:pStyle w:val="TableText"/>
              <w:rPr>
                <w:lang w:val="en-IE"/>
              </w:rPr>
            </w:pPr>
            <w:r>
              <w:rPr>
                <w:lang w:val="en-IE"/>
              </w:rPr>
              <w:t>0</w:t>
            </w:r>
          </w:p>
        </w:tc>
        <w:tc>
          <w:tcPr>
            <w:tcW w:w="370" w:type="pct"/>
            <w:shd w:val="clear" w:color="auto" w:fill="auto"/>
            <w:noWrap/>
            <w:vAlign w:val="bottom"/>
          </w:tcPr>
          <w:p w:rsidR="00786914" w:rsidRPr="0001050B" w:rsidRDefault="00786914" w:rsidP="0006743B">
            <w:pPr>
              <w:spacing w:after="0"/>
              <w:ind w:left="0"/>
              <w:jc w:val="center"/>
              <w:rPr>
                <w:rFonts w:ascii="Arial Narrow" w:hAnsi="Arial Narrow" w:cs="Tahoma"/>
                <w:bCs/>
                <w:sz w:val="18"/>
                <w:szCs w:val="18"/>
                <w:lang w:val="en-IE" w:eastAsia="en-US"/>
              </w:rPr>
            </w:pPr>
            <w:r>
              <w:rPr>
                <w:rFonts w:ascii="Arial Narrow" w:hAnsi="Arial Narrow" w:cs="Tahoma"/>
                <w:bCs/>
                <w:sz w:val="18"/>
                <w:szCs w:val="18"/>
                <w:lang w:val="en-IE" w:eastAsia="en-US"/>
              </w:rPr>
              <w:t>p=0.99</w:t>
            </w:r>
          </w:p>
        </w:tc>
      </w:tr>
      <w:tr w:rsidR="00786914" w:rsidRPr="0001050B" w:rsidTr="0006743B">
        <w:trPr>
          <w:trHeight w:val="255"/>
        </w:trPr>
        <w:tc>
          <w:tcPr>
            <w:tcW w:w="1146" w:type="pct"/>
            <w:shd w:val="clear" w:color="auto" w:fill="auto"/>
            <w:noWrap/>
            <w:vAlign w:val="bottom"/>
          </w:tcPr>
          <w:p w:rsidR="00786914" w:rsidRPr="0001050B" w:rsidRDefault="00786914" w:rsidP="0006743B">
            <w:pPr>
              <w:pStyle w:val="TableText"/>
              <w:rPr>
                <w:lang w:val="en-IE"/>
              </w:rPr>
            </w:pPr>
            <w:r w:rsidRPr="0001050B">
              <w:rPr>
                <w:lang w:val="en-IE"/>
              </w:rPr>
              <w:t>IPSS/AUA @ 24 months (score)</w:t>
            </w:r>
          </w:p>
        </w:tc>
        <w:tc>
          <w:tcPr>
            <w:tcW w:w="490" w:type="pct"/>
            <w:shd w:val="clear" w:color="auto" w:fill="auto"/>
            <w:noWrap/>
            <w:vAlign w:val="bottom"/>
          </w:tcPr>
          <w:p w:rsidR="00786914" w:rsidRPr="0001050B" w:rsidRDefault="00786914" w:rsidP="0006743B">
            <w:pPr>
              <w:pStyle w:val="TableText"/>
              <w:rPr>
                <w:lang w:val="en-IE"/>
              </w:rPr>
            </w:pPr>
            <w:r w:rsidRPr="0001050B">
              <w:rPr>
                <w:lang w:val="en-IE"/>
              </w:rPr>
              <w:t>2</w:t>
            </w:r>
          </w:p>
        </w:tc>
        <w:tc>
          <w:tcPr>
            <w:tcW w:w="654" w:type="pct"/>
            <w:shd w:val="clear" w:color="auto" w:fill="auto"/>
            <w:noWrap/>
            <w:vAlign w:val="bottom"/>
          </w:tcPr>
          <w:p w:rsidR="00786914" w:rsidRPr="0001050B" w:rsidRDefault="00786914" w:rsidP="0006743B">
            <w:pPr>
              <w:pStyle w:val="TableText"/>
              <w:rPr>
                <w:lang w:val="en-IE"/>
              </w:rPr>
            </w:pPr>
            <w:r>
              <w:rPr>
                <w:lang w:val="en-IE"/>
              </w:rPr>
              <w:t>88/79</w:t>
            </w:r>
          </w:p>
        </w:tc>
        <w:tc>
          <w:tcPr>
            <w:tcW w:w="353" w:type="pct"/>
            <w:shd w:val="clear" w:color="auto" w:fill="auto"/>
            <w:vAlign w:val="bottom"/>
          </w:tcPr>
          <w:p w:rsidR="00786914" w:rsidRPr="0001050B" w:rsidRDefault="00786914" w:rsidP="0006743B">
            <w:pPr>
              <w:pStyle w:val="TableText"/>
              <w:rPr>
                <w:lang w:val="en-IE"/>
              </w:rPr>
            </w:pPr>
            <w:r>
              <w:rPr>
                <w:lang w:val="en-IE"/>
              </w:rPr>
              <w:t>5.1</w:t>
            </w:r>
          </w:p>
        </w:tc>
        <w:tc>
          <w:tcPr>
            <w:tcW w:w="353" w:type="pct"/>
            <w:shd w:val="clear" w:color="auto" w:fill="auto"/>
            <w:vAlign w:val="bottom"/>
          </w:tcPr>
          <w:p w:rsidR="00786914" w:rsidRPr="0001050B" w:rsidRDefault="00786914" w:rsidP="0006743B">
            <w:pPr>
              <w:pStyle w:val="TableText"/>
              <w:rPr>
                <w:lang w:val="en-IE"/>
              </w:rPr>
            </w:pPr>
            <w:r>
              <w:rPr>
                <w:lang w:val="en-IE"/>
              </w:rPr>
              <w:t>5.3</w:t>
            </w:r>
          </w:p>
        </w:tc>
        <w:tc>
          <w:tcPr>
            <w:tcW w:w="667" w:type="pct"/>
            <w:shd w:val="clear" w:color="auto" w:fill="auto"/>
            <w:noWrap/>
            <w:vAlign w:val="bottom"/>
          </w:tcPr>
          <w:p w:rsidR="00786914" w:rsidRPr="0001050B" w:rsidRDefault="00786914" w:rsidP="0006743B">
            <w:pPr>
              <w:pStyle w:val="TableText"/>
              <w:rPr>
                <w:lang w:val="en-IE"/>
              </w:rPr>
            </w:pPr>
            <w:r>
              <w:rPr>
                <w:lang w:val="en-IE"/>
              </w:rPr>
              <w:t>0.11</w:t>
            </w:r>
          </w:p>
        </w:tc>
        <w:tc>
          <w:tcPr>
            <w:tcW w:w="671" w:type="pct"/>
            <w:shd w:val="clear" w:color="auto" w:fill="auto"/>
            <w:noWrap/>
            <w:vAlign w:val="bottom"/>
          </w:tcPr>
          <w:p w:rsidR="00786914" w:rsidRPr="0001050B" w:rsidRDefault="00786914" w:rsidP="0006743B">
            <w:pPr>
              <w:pStyle w:val="TableText"/>
              <w:rPr>
                <w:lang w:val="en-IE"/>
              </w:rPr>
            </w:pPr>
            <w:r>
              <w:rPr>
                <w:lang w:val="en-IE"/>
              </w:rPr>
              <w:t>0.98–0.76</w:t>
            </w:r>
          </w:p>
        </w:tc>
        <w:tc>
          <w:tcPr>
            <w:tcW w:w="296" w:type="pct"/>
            <w:shd w:val="clear" w:color="auto" w:fill="auto"/>
            <w:noWrap/>
            <w:vAlign w:val="bottom"/>
          </w:tcPr>
          <w:p w:rsidR="00786914" w:rsidRPr="0001050B" w:rsidRDefault="00786914" w:rsidP="0006743B">
            <w:pPr>
              <w:pStyle w:val="TableText"/>
              <w:rPr>
                <w:lang w:val="en-IE"/>
              </w:rPr>
            </w:pPr>
            <w:r>
              <w:rPr>
                <w:lang w:val="en-IE"/>
              </w:rPr>
              <w:t>0</w:t>
            </w:r>
          </w:p>
        </w:tc>
        <w:tc>
          <w:tcPr>
            <w:tcW w:w="370" w:type="pct"/>
            <w:shd w:val="clear" w:color="auto" w:fill="auto"/>
            <w:noWrap/>
            <w:vAlign w:val="bottom"/>
          </w:tcPr>
          <w:p w:rsidR="00786914" w:rsidRPr="0001050B" w:rsidRDefault="00786914" w:rsidP="0006743B">
            <w:pPr>
              <w:spacing w:after="0"/>
              <w:ind w:left="0"/>
              <w:jc w:val="center"/>
              <w:rPr>
                <w:rFonts w:ascii="Arial Narrow" w:hAnsi="Arial Narrow" w:cs="Tahoma"/>
                <w:bCs/>
                <w:sz w:val="18"/>
                <w:szCs w:val="18"/>
                <w:lang w:val="en-IE" w:eastAsia="en-US"/>
              </w:rPr>
            </w:pPr>
            <w:r>
              <w:rPr>
                <w:rFonts w:ascii="Arial Narrow" w:hAnsi="Arial Narrow" w:cs="Tahoma"/>
                <w:bCs/>
                <w:sz w:val="18"/>
                <w:szCs w:val="18"/>
                <w:lang w:val="en-IE" w:eastAsia="en-US"/>
              </w:rPr>
              <w:t>p=0.80</w:t>
            </w:r>
          </w:p>
        </w:tc>
      </w:tr>
      <w:tr w:rsidR="00786914" w:rsidRPr="0001050B" w:rsidTr="0006743B">
        <w:trPr>
          <w:trHeight w:val="255"/>
        </w:trPr>
        <w:tc>
          <w:tcPr>
            <w:tcW w:w="1146" w:type="pct"/>
            <w:shd w:val="clear" w:color="auto" w:fill="auto"/>
            <w:noWrap/>
            <w:vAlign w:val="bottom"/>
          </w:tcPr>
          <w:p w:rsidR="00786914" w:rsidRPr="0001050B" w:rsidRDefault="00786914" w:rsidP="0006743B">
            <w:pPr>
              <w:pStyle w:val="TableText"/>
              <w:rPr>
                <w:lang w:val="en-IE"/>
              </w:rPr>
            </w:pPr>
            <w:r>
              <w:rPr>
                <w:lang w:val="en-IE"/>
              </w:rPr>
              <w:t>Treatment failure/re-operation</w:t>
            </w:r>
          </w:p>
        </w:tc>
        <w:tc>
          <w:tcPr>
            <w:tcW w:w="490" w:type="pct"/>
            <w:shd w:val="clear" w:color="auto" w:fill="auto"/>
            <w:noWrap/>
            <w:vAlign w:val="bottom"/>
          </w:tcPr>
          <w:p w:rsidR="00786914" w:rsidRPr="0001050B" w:rsidRDefault="00786914" w:rsidP="0006743B">
            <w:pPr>
              <w:pStyle w:val="TableText"/>
              <w:rPr>
                <w:lang w:val="en-IE"/>
              </w:rPr>
            </w:pPr>
            <w:r>
              <w:rPr>
                <w:lang w:val="en-IE"/>
              </w:rPr>
              <w:t>2</w:t>
            </w:r>
          </w:p>
        </w:tc>
        <w:tc>
          <w:tcPr>
            <w:tcW w:w="654" w:type="pct"/>
            <w:shd w:val="clear" w:color="auto" w:fill="auto"/>
            <w:noWrap/>
            <w:vAlign w:val="bottom"/>
          </w:tcPr>
          <w:p w:rsidR="00786914" w:rsidRPr="0001050B" w:rsidRDefault="00786914" w:rsidP="0006743B">
            <w:pPr>
              <w:pStyle w:val="TableText"/>
              <w:rPr>
                <w:lang w:val="en-IE"/>
              </w:rPr>
            </w:pPr>
            <w:r>
              <w:rPr>
                <w:lang w:val="en-IE"/>
              </w:rPr>
              <w:t>97/95</w:t>
            </w:r>
          </w:p>
        </w:tc>
        <w:tc>
          <w:tcPr>
            <w:tcW w:w="353" w:type="pct"/>
            <w:shd w:val="clear" w:color="auto" w:fill="auto"/>
            <w:vAlign w:val="bottom"/>
          </w:tcPr>
          <w:p w:rsidR="00786914" w:rsidRPr="0001050B" w:rsidRDefault="00786914" w:rsidP="0006743B">
            <w:pPr>
              <w:pStyle w:val="TableText"/>
              <w:rPr>
                <w:lang w:val="en-IE"/>
              </w:rPr>
            </w:pPr>
            <w:r>
              <w:rPr>
                <w:lang w:val="en-IE"/>
              </w:rPr>
              <w:t>5*</w:t>
            </w:r>
          </w:p>
        </w:tc>
        <w:tc>
          <w:tcPr>
            <w:tcW w:w="353" w:type="pct"/>
            <w:shd w:val="clear" w:color="auto" w:fill="auto"/>
            <w:vAlign w:val="bottom"/>
          </w:tcPr>
          <w:p w:rsidR="00786914" w:rsidRPr="0001050B" w:rsidRDefault="00786914" w:rsidP="0006743B">
            <w:pPr>
              <w:pStyle w:val="TableText"/>
              <w:rPr>
                <w:lang w:val="en-IE"/>
              </w:rPr>
            </w:pPr>
            <w:r>
              <w:rPr>
                <w:lang w:val="en-IE"/>
              </w:rPr>
              <w:t>6*</w:t>
            </w:r>
          </w:p>
        </w:tc>
        <w:tc>
          <w:tcPr>
            <w:tcW w:w="667" w:type="pct"/>
            <w:shd w:val="clear" w:color="auto" w:fill="auto"/>
            <w:noWrap/>
            <w:vAlign w:val="bottom"/>
          </w:tcPr>
          <w:p w:rsidR="00786914" w:rsidRPr="0001050B" w:rsidRDefault="00786914" w:rsidP="0006743B">
            <w:pPr>
              <w:pStyle w:val="TableText"/>
              <w:rPr>
                <w:lang w:val="en-IE"/>
              </w:rPr>
            </w:pPr>
            <w:r>
              <w:rPr>
                <w:lang w:val="en-IE"/>
              </w:rPr>
              <w:t>RR 0.82</w:t>
            </w:r>
          </w:p>
        </w:tc>
        <w:tc>
          <w:tcPr>
            <w:tcW w:w="671" w:type="pct"/>
            <w:shd w:val="clear" w:color="auto" w:fill="auto"/>
            <w:noWrap/>
            <w:vAlign w:val="bottom"/>
          </w:tcPr>
          <w:p w:rsidR="00786914" w:rsidRPr="0001050B" w:rsidRDefault="00786914" w:rsidP="0006743B">
            <w:pPr>
              <w:pStyle w:val="TableText"/>
              <w:rPr>
                <w:lang w:val="en-IE"/>
              </w:rPr>
            </w:pPr>
            <w:r>
              <w:rPr>
                <w:lang w:val="en-IE"/>
              </w:rPr>
              <w:t>0.26–2.59</w:t>
            </w:r>
          </w:p>
        </w:tc>
        <w:tc>
          <w:tcPr>
            <w:tcW w:w="296" w:type="pct"/>
            <w:shd w:val="clear" w:color="auto" w:fill="auto"/>
            <w:noWrap/>
            <w:vAlign w:val="bottom"/>
          </w:tcPr>
          <w:p w:rsidR="00786914" w:rsidRPr="0001050B" w:rsidRDefault="00786914" w:rsidP="0006743B">
            <w:pPr>
              <w:pStyle w:val="TableText"/>
              <w:rPr>
                <w:lang w:val="en-IE"/>
              </w:rPr>
            </w:pPr>
            <w:r>
              <w:rPr>
                <w:lang w:val="en-IE"/>
              </w:rPr>
              <w:t>0</w:t>
            </w:r>
          </w:p>
        </w:tc>
        <w:tc>
          <w:tcPr>
            <w:tcW w:w="370" w:type="pct"/>
            <w:shd w:val="clear" w:color="auto" w:fill="auto"/>
            <w:noWrap/>
            <w:vAlign w:val="bottom"/>
          </w:tcPr>
          <w:p w:rsidR="00786914" w:rsidRPr="0001050B" w:rsidRDefault="00786914" w:rsidP="0006743B">
            <w:pPr>
              <w:spacing w:after="0"/>
              <w:ind w:left="0"/>
              <w:jc w:val="center"/>
              <w:rPr>
                <w:rFonts w:cs="Tahoma"/>
                <w:bCs/>
                <w:szCs w:val="18"/>
                <w:lang w:val="en-IE" w:eastAsia="en-US"/>
              </w:rPr>
            </w:pPr>
            <w:r w:rsidRPr="00CB0316">
              <w:rPr>
                <w:rFonts w:ascii="Arial Narrow" w:hAnsi="Arial Narrow" w:cs="Tahoma"/>
                <w:bCs/>
                <w:sz w:val="18"/>
                <w:szCs w:val="18"/>
                <w:lang w:val="en-IE" w:eastAsia="en-US"/>
              </w:rPr>
              <w:t>P=0.73</w:t>
            </w:r>
          </w:p>
        </w:tc>
      </w:tr>
    </w:tbl>
    <w:p w:rsidR="00786914" w:rsidRPr="00111C3B" w:rsidRDefault="00786914" w:rsidP="0006743B">
      <w:pPr>
        <w:pStyle w:val="TableNotes"/>
      </w:pPr>
      <w:r>
        <w:t>MD= mean difference; RR = relative risk; * total number of events rather than mean.</w:t>
      </w:r>
    </w:p>
    <w:p w:rsidR="00786914" w:rsidRPr="004E1EFC" w:rsidRDefault="00786914" w:rsidP="0006743B">
      <w:r w:rsidRPr="004E1EFC">
        <w:t>Statistically significant differences associated with either intervention were not demonstrated at any time period in any of the three outcomes listed above.</w:t>
      </w:r>
    </w:p>
    <w:p w:rsidR="00786914" w:rsidRDefault="00786914" w:rsidP="0006743B">
      <w:r w:rsidRPr="004E1EFC">
        <w:t xml:space="preserve">Other outcomes listed in the DAP were included in either of the RCTs identified. These include </w:t>
      </w:r>
      <w:r>
        <w:t>PVR</w:t>
      </w:r>
      <w:r w:rsidRPr="004E1EFC">
        <w:t>, prostate volume and quality of life scores. No statistically significant differences between the interventions were reported. Bother scores were listed in the DAP as an effectiveness outcome. These however were not reported in either study.</w:t>
      </w:r>
    </w:p>
    <w:p w:rsidR="00786914" w:rsidRPr="004E1EFC" w:rsidRDefault="00786914" w:rsidP="0006743B">
      <w:r w:rsidRPr="004E1EFC">
        <w:t>A number of secondary effectiveness outcomes including duration of procedure, duration of catheterisation and duration of hospital stay were also analysed in this review. None of the studies included reported on training, equipment or staffing costs</w:t>
      </w:r>
      <w:r>
        <w:t xml:space="preserve">. </w:t>
      </w:r>
      <w:r w:rsidRPr="004E1EFC">
        <w:t>Both studies reported on length of operation, catheterisation and hospital stay. Due to the clinical heterogeneity of these studies in terms of the intervention, results were not pooled. A HoLEP procedure may take longer to complete than an OP procedure. It may be associated with a shorter hospital stay and shorter catheterisation times. These data must however be interpreted with caution.</w:t>
      </w:r>
    </w:p>
    <w:p w:rsidR="00786914" w:rsidRPr="00540350" w:rsidRDefault="00786914" w:rsidP="008D2B47">
      <w:pPr>
        <w:pStyle w:val="Normalbold"/>
      </w:pPr>
      <w:r w:rsidRPr="00540350">
        <w:t>Key uncertainties</w:t>
      </w:r>
    </w:p>
    <w:p w:rsidR="00786914" w:rsidRPr="00C5722F" w:rsidRDefault="00786914" w:rsidP="0006743B">
      <w:r w:rsidRPr="00C5722F">
        <w:lastRenderedPageBreak/>
        <w:t>There are wide confidence intervals across the reported results. Where statistically significant differences between the interventions occur, these differences may be small and may not be clinically relevant. Pooling of results indicates significant heterogeneity across the studies, particularly in relation to symptom scores and quality of life measures. This could, in part, be explained the lack of blinding in the trials</w:t>
      </w:r>
      <w:r>
        <w:t xml:space="preserve">. </w:t>
      </w:r>
    </w:p>
    <w:p w:rsidR="00786914" w:rsidRPr="00C5722F" w:rsidRDefault="00786914" w:rsidP="0006743B">
      <w:r w:rsidRPr="00C5722F">
        <w:t>Surgeon experience was often not noted in the studies. As HoLEP requires highly specialised skills it is possible that data on operative time and catheterisation may be an overestimate.</w:t>
      </w:r>
    </w:p>
    <w:p w:rsidR="00786914" w:rsidRDefault="00786914" w:rsidP="0006743B">
      <w:pPr>
        <w:pStyle w:val="Normalbold"/>
        <w:rPr>
          <w:bCs/>
        </w:rPr>
      </w:pPr>
      <w:r w:rsidRPr="007317EA">
        <w:t>Overall conclusion with respect to comparative effectiveness</w:t>
      </w:r>
    </w:p>
    <w:p w:rsidR="00786914" w:rsidRPr="004E1EFC" w:rsidRDefault="00786914" w:rsidP="0006743B">
      <w:r w:rsidRPr="004E1EFC">
        <w:t xml:space="preserve">HoLEP appears to be as effective, or more effective, than TURP across a range of effectiveness outcomes. These include peak flow (Qmax), symptom scores </w:t>
      </w:r>
      <w:r>
        <w:t>PVR</w:t>
      </w:r>
      <w:r w:rsidRPr="004E1EFC">
        <w:t>. Caution should however be exercised in the interpretation of these findings given wide confidence intervals and significant heterogeneity across the studies. Quality of life differences and differences between the two interventions in respect of treatment failure/</w:t>
      </w:r>
      <w:r>
        <w:t>re-treatment</w:t>
      </w:r>
      <w:r w:rsidRPr="004E1EFC">
        <w:t xml:space="preserve"> rates were not significa</w:t>
      </w:r>
      <w:r>
        <w:t xml:space="preserve">nt. </w:t>
      </w:r>
    </w:p>
    <w:p w:rsidR="00786914" w:rsidRPr="004E1EFC" w:rsidRDefault="00786914" w:rsidP="0006743B">
      <w:r w:rsidRPr="004E1EFC">
        <w:t>A HoLEP procedure takes longer to complete than a TURP procedure, but is associated with a statistically significant shorter hospital stay. Catheterisation times are also shorter.</w:t>
      </w:r>
      <w:r>
        <w:t xml:space="preserve"> </w:t>
      </w:r>
      <w:r w:rsidRPr="004E1EFC">
        <w:t>Surgeon experience was often not noted in the studies and so it difficult to ascertain whether these results would reflect current operative times.</w:t>
      </w:r>
      <w:r>
        <w:t xml:space="preserve"> </w:t>
      </w:r>
      <w:r w:rsidRPr="004E1EFC">
        <w:t>There is also significant heterogeneity across studies that assessed duration of operation and duration of catheterisation.</w:t>
      </w:r>
    </w:p>
    <w:p w:rsidR="00786914" w:rsidRDefault="00786914" w:rsidP="0006743B">
      <w:r w:rsidRPr="004E1EFC">
        <w:t>Based on the evidence from these two randomised controlled trials, HoLEP appears to be as effective as OP across a range of effectiveness outcomes. These include Qmax,</w:t>
      </w:r>
      <w:r>
        <w:t xml:space="preserve"> </w:t>
      </w:r>
      <w:r w:rsidRPr="004E1EFC">
        <w:t xml:space="preserve">symptom scores and </w:t>
      </w:r>
      <w:r>
        <w:t>PVRs</w:t>
      </w:r>
      <w:r w:rsidRPr="004E1EFC">
        <w:t xml:space="preserve">. No evidence of superiority for HoLEP (or OP) was demonstrated </w:t>
      </w:r>
      <w:r>
        <w:t xml:space="preserve">in </w:t>
      </w:r>
      <w:r w:rsidRPr="004E1EFC">
        <w:t xml:space="preserve">either of the studies. </w:t>
      </w:r>
    </w:p>
    <w:p w:rsidR="00786914" w:rsidRDefault="00786914" w:rsidP="0006743B">
      <w:r w:rsidRPr="004E1EFC">
        <w:t>A HoLEP procedure may</w:t>
      </w:r>
      <w:r>
        <w:t xml:space="preserve"> take longer to complete than an OP </w:t>
      </w:r>
      <w:r w:rsidRPr="004E1EFC">
        <w:t>procedure, but may be associated with a shorter hospital stay and shorter catheterisation times. Th</w:t>
      </w:r>
      <w:r>
        <w:t>ese</w:t>
      </w:r>
      <w:r w:rsidRPr="004E1EFC">
        <w:t xml:space="preserve"> data must, as noted above, be interpreted with caution.</w:t>
      </w:r>
    </w:p>
    <w:p w:rsidR="00786914" w:rsidRPr="00D37631" w:rsidRDefault="00786914" w:rsidP="0006743B">
      <w:pPr>
        <w:pStyle w:val="Normalbold"/>
      </w:pPr>
      <w:bookmarkStart w:id="57" w:name="_Toc327877834"/>
      <w:r w:rsidRPr="00D37631">
        <w:t>Economic evaluation</w:t>
      </w:r>
      <w:bookmarkEnd w:id="57"/>
    </w:p>
    <w:p w:rsidR="00786914" w:rsidRPr="0019625F" w:rsidRDefault="00786914" w:rsidP="0006743B">
      <w:r w:rsidRPr="0019625F">
        <w:t>A cost utility analysis was undertaken that examined the costs and benefits of a number of surgical treatment strategies for BPH that included either HoLEP and</w:t>
      </w:r>
      <w:r>
        <w:t>/or</w:t>
      </w:r>
      <w:r w:rsidRPr="0019625F">
        <w:t xml:space="preserve"> TURP for men with prostate sizes of less than 80-100g or HoLEP and</w:t>
      </w:r>
      <w:r>
        <w:t>/or</w:t>
      </w:r>
      <w:r w:rsidRPr="0019625F">
        <w:t xml:space="preserve"> OP for men with larger prostates. </w:t>
      </w:r>
    </w:p>
    <w:p w:rsidR="00786914" w:rsidRPr="0019625F" w:rsidRDefault="00786914" w:rsidP="0006743B">
      <w:r w:rsidRPr="0019625F">
        <w:t>A Markov model was developed, allowing patients transition through health states over a time horizon of five years. Individual cycle lengths were six months with half-cycle correction employed to account for the continuous nature of transition probabilities within a cycle. Five years was chosen based on the availability of clinical effectiveness data used in the meta-analysis. In accordance with the DAP, patients who failed an initial HoLEP procedure could be re-treated with either HoLEP or TURP. Patients who failed a TURP procedure would be re-treated with TURP. In the OP comparison, patients who failed an initial HoLEP could be re-treated with either HoLEP or OP. There was no treatment alternative to a failed OP.</w:t>
      </w:r>
    </w:p>
    <w:p w:rsidR="00786914" w:rsidRPr="0019625F" w:rsidRDefault="00786914" w:rsidP="0006743B">
      <w:r w:rsidRPr="0019625F">
        <w:lastRenderedPageBreak/>
        <w:t>The model included health states of: initial treatment (with or without adverse events); well; long-term side effects; treatment failure; repeat treatment (with or without adverse events); treatment for urethral stricture; and death (all cause mortality). The transition through these health states was determined from the result of the literature review and meta-analysis.</w:t>
      </w:r>
    </w:p>
    <w:p w:rsidR="00786914" w:rsidRPr="0019625F" w:rsidRDefault="00786914" w:rsidP="0006743B">
      <w:r w:rsidRPr="0019625F">
        <w:t xml:space="preserve">Costs of TURP and OP procedures were taken from the private hospital weighted AR-DRG costs (with or without complications). Costs for HoLEP procedures were derived based on the TURP AR-DRG codes and also incorporating the additional MBS fees that were proposed with a reduced length of hospital stay. </w:t>
      </w:r>
    </w:p>
    <w:p w:rsidR="00786914" w:rsidRPr="0019625F" w:rsidRDefault="00786914" w:rsidP="0006743B">
      <w:r w:rsidRPr="0019625F">
        <w:t xml:space="preserve">In both economic evaluations HoLEP treatment was demonstrated to be associated with lower average per-patient treatment costs than treatment options including either TURP or OP, with equivalent or near equivalent effectiveness. This lower cost was driven by the reduced length of stay required for HoLEP treatment, as well as reduced rates of adverse events, long-term incontinence and treatment failure. </w:t>
      </w:r>
    </w:p>
    <w:p w:rsidR="00786914" w:rsidRPr="0019625F" w:rsidRDefault="00786914" w:rsidP="0006743B">
      <w:r w:rsidRPr="0019625F">
        <w:t xml:space="preserve">In the base case analysis, there was a marginal increase in effectiveness for TURP (with repeat TURP upon failure) of 0.008 QALYs. This was considered to be an artefact of the calculation of patient progression through the model, and the two treatments could be considered equally effective. </w:t>
      </w:r>
      <w:r>
        <w:t>T</w:t>
      </w:r>
      <w:r w:rsidRPr="0019625F">
        <w:t xml:space="preserve">he incremental cost-effectiveness ratio of </w:t>
      </w:r>
      <w:r>
        <w:t xml:space="preserve">HoLEP (with HoLEP up failure) </w:t>
      </w:r>
      <w:r w:rsidRPr="0019625F">
        <w:t>was modelled to be $179,725/QALY</w:t>
      </w:r>
      <w:r>
        <w:t xml:space="preserve"> over TURP (with TURP upon failure)</w:t>
      </w:r>
      <w:r w:rsidRPr="0019625F">
        <w:t>.</w:t>
      </w:r>
      <w:r>
        <w:t xml:space="preserve"> The high ICER value is driven by the marginal difference in effectiveness between the treatment options. Overall, HoLEP treatment is associated with lower average per-patient costs with near equivalent effectiveness.</w:t>
      </w:r>
    </w:p>
    <w:p w:rsidR="00786914" w:rsidRPr="0019625F" w:rsidRDefault="00786914" w:rsidP="0006743B">
      <w:r w:rsidRPr="0019625F">
        <w:t>HoLEP treatment pathways were marginally more effective than those employing OP with a marginal increase of ~0.006 QALYs compared to OP treatment alone. HoLEP treatment (with either HoLEP or OP upon treatment failure dominated OP treatment in that they were less costly and more effective.</w:t>
      </w:r>
    </w:p>
    <w:p w:rsidR="00786914" w:rsidRPr="0019625F" w:rsidRDefault="00786914" w:rsidP="0006743B">
      <w:r w:rsidRPr="0019625F">
        <w:t xml:space="preserve">Treatment pathways that included HoLEP remained cost-effective against either TURP or OP across a range of variables tested in sensitivity analysis. TURP (with TURP for </w:t>
      </w:r>
      <w:r>
        <w:t>re-treatment</w:t>
      </w:r>
      <w:r w:rsidRPr="0019625F">
        <w:t xml:space="preserve">) was more cost-effective than HoLEP in one scenario only. This was with an increased cost of HoLEP associated with a longer length of stay coupled with the highest confidence interval relative risk of HoLEP </w:t>
      </w:r>
      <w:r>
        <w:t>re-treatment</w:t>
      </w:r>
      <w:r w:rsidRPr="0019625F">
        <w:t xml:space="preserve"> for failure.</w:t>
      </w:r>
      <w:r w:rsidRPr="0019625F" w:rsidDel="002776D4">
        <w:t xml:space="preserve"> </w:t>
      </w:r>
    </w:p>
    <w:p w:rsidR="00786914" w:rsidRPr="0019625F" w:rsidRDefault="00786914" w:rsidP="0006743B">
      <w:r w:rsidRPr="0019625F">
        <w:t>A number of potential MBS fees were listed in the DAP. The maximum of these fees was used in the base case. Reducing the fee from this rendered the treatment more cost-effective.</w:t>
      </w:r>
    </w:p>
    <w:p w:rsidR="00786914" w:rsidRDefault="00786914" w:rsidP="0006743B">
      <w:pPr>
        <w:pStyle w:val="Normalbold"/>
      </w:pPr>
      <w:r>
        <w:t>Overall conclusion with respect to comparative cost-effectiveness</w:t>
      </w:r>
    </w:p>
    <w:p w:rsidR="00786914" w:rsidRDefault="00786914" w:rsidP="0006743B">
      <w:r w:rsidRPr="0019625F">
        <w:t>HoLEP is considered to be a highly cost-effective alternative to either TURP or OP in the surgical management of men with BPH. This is primarily due to the reduced costs that are associated with the procedure, in turn driven by reduced lengths of stay in hospital and reduced complications. Scenarios that would reduce the cost-effectiveness of the procedure would include increased lengths of hospital stay or increased rates of re-operations required for the re-treating BPH.</w:t>
      </w:r>
    </w:p>
    <w:p w:rsidR="00786914" w:rsidRDefault="00786914" w:rsidP="0006743B">
      <w:pPr>
        <w:pStyle w:val="Normalbold"/>
      </w:pPr>
      <w:bookmarkStart w:id="58" w:name="_Toc327877835"/>
      <w:r>
        <w:t>Financial/budgetary impacts</w:t>
      </w:r>
      <w:bookmarkEnd w:id="58"/>
    </w:p>
    <w:p w:rsidR="00786914" w:rsidRPr="0019625F" w:rsidRDefault="00786914" w:rsidP="0006743B">
      <w:r w:rsidRPr="0019625F">
        <w:lastRenderedPageBreak/>
        <w:t>There is a learning curve to develop skills in the procedure. It is likely therefore that uptake of the procedure following positive listing would initially be slow, and increase gradually over time. It is assumed in this assessment that by year 3 the uptake would be equivalent to 5% of the total number of TURP procedures that are undertaken annually; by year 5 the corresponding figure would be 10%. These assumptions would project that by year 3 there would be 625 procedures performed annually, rising to 1250 by year 5.</w:t>
      </w:r>
    </w:p>
    <w:p w:rsidR="00786914" w:rsidRPr="0019625F" w:rsidRDefault="00786914" w:rsidP="0006743B">
      <w:r w:rsidRPr="0019625F">
        <w:t xml:space="preserve">The listing of HoLEP would have an additional direct cost to </w:t>
      </w:r>
      <w:r w:rsidR="00773F60">
        <w:t>the MBS</w:t>
      </w:r>
      <w:r w:rsidRPr="0019625F">
        <w:t xml:space="preserve"> on an annual basis as a result of the increased fee for the item. The indirect cost savings that occur – through reduced length of stay and reduced complications – would accrue to hospitals, to health insurers and to patients.</w:t>
      </w:r>
    </w:p>
    <w:p w:rsidR="00786914" w:rsidRPr="0019625F" w:rsidRDefault="00786914" w:rsidP="0006743B">
      <w:r w:rsidRPr="0019625F">
        <w:t xml:space="preserve">Based on the projections outlined in this assessment, it is estimated that the additional cost to </w:t>
      </w:r>
      <w:r w:rsidR="00773F60">
        <w:t>the MBS</w:t>
      </w:r>
      <w:r w:rsidRPr="0019625F">
        <w:t xml:space="preserve"> as a result of positive listing of this procedure would be $201,465 by year 3 and rising to $398,589 by year 5. These costs reflect only the 75% Medicare benefit for the item and it is expected that any additional costs would be out-of-pocket.</w:t>
      </w:r>
    </w:p>
    <w:p w:rsidR="00786914" w:rsidRDefault="00786914"/>
    <w:p w:rsidR="00786914" w:rsidRPr="004C6B15" w:rsidRDefault="00786914">
      <w:pPr>
        <w:sectPr w:rsidR="00786914" w:rsidRPr="004C6B15" w:rsidSect="006E4C11">
          <w:footerReference w:type="default" r:id="rId12"/>
          <w:type w:val="oddPage"/>
          <w:pgSz w:w="11906" w:h="16838"/>
          <w:pgMar w:top="1440" w:right="1440" w:bottom="1440" w:left="1440" w:header="720" w:footer="720" w:gutter="0"/>
          <w:paperSrc w:first="2" w:other="2"/>
          <w:pgNumType w:fmt="lowerRoman"/>
          <w:cols w:space="720"/>
        </w:sectPr>
      </w:pPr>
    </w:p>
    <w:p w:rsidR="00786914" w:rsidRPr="00776777" w:rsidRDefault="00786914" w:rsidP="0006743B">
      <w:pPr>
        <w:pStyle w:val="Heading1"/>
      </w:pPr>
      <w:bookmarkStart w:id="59" w:name="_Toc451749499"/>
      <w:bookmarkStart w:id="60" w:name="_Toc323642265"/>
      <w:bookmarkStart w:id="61" w:name="_Toc327877836"/>
      <w:bookmarkStart w:id="62" w:name="_Toc365900557"/>
      <w:r w:rsidRPr="00776777">
        <w:lastRenderedPageBreak/>
        <w:t>Introduction</w:t>
      </w:r>
      <w:bookmarkEnd w:id="59"/>
      <w:bookmarkEnd w:id="60"/>
      <w:bookmarkEnd w:id="61"/>
      <w:bookmarkEnd w:id="62"/>
    </w:p>
    <w:p w:rsidR="00786914" w:rsidRPr="00A12E71" w:rsidRDefault="00786914" w:rsidP="0006743B">
      <w:r w:rsidRPr="00A12E71">
        <w:t>The Medical Services Advisory Committee (MSAC) has reviewe</w:t>
      </w:r>
      <w:r w:rsidRPr="009E0DAA">
        <w:t xml:space="preserve">d the use of </w:t>
      </w:r>
      <w:r>
        <w:t>h</w:t>
      </w:r>
      <w:r w:rsidRPr="009E0DAA">
        <w:t>olmium:YAG</w:t>
      </w:r>
      <w:r>
        <w:t xml:space="preserve"> l</w:t>
      </w:r>
      <w:r w:rsidRPr="009E0DAA">
        <w:t xml:space="preserve">aser </w:t>
      </w:r>
      <w:r>
        <w:t>e</w:t>
      </w:r>
      <w:r w:rsidRPr="009E0DAA">
        <w:t xml:space="preserve">nucleation of the </w:t>
      </w:r>
      <w:r>
        <w:t>p</w:t>
      </w:r>
      <w:r w:rsidRPr="009E0DAA">
        <w:t xml:space="preserve">rostate (HoLEP) </w:t>
      </w:r>
      <w:r>
        <w:t xml:space="preserve">(with or without tissue morcellation), </w:t>
      </w:r>
      <w:r w:rsidRPr="00A12E71">
        <w:t xml:space="preserve">a </w:t>
      </w:r>
      <w:r>
        <w:t xml:space="preserve">therapeutic intervention </w:t>
      </w:r>
      <w:r w:rsidRPr="00A12E71">
        <w:t xml:space="preserve">for </w:t>
      </w:r>
      <w:r w:rsidRPr="009E0DAA">
        <w:t xml:space="preserve">the treatment of </w:t>
      </w:r>
      <w:r>
        <w:t>b</w:t>
      </w:r>
      <w:r w:rsidRPr="009E0DAA">
        <w:t xml:space="preserve">enign </w:t>
      </w:r>
      <w:r>
        <w:t>p</w:t>
      </w:r>
      <w:r w:rsidRPr="009E0DAA">
        <w:t xml:space="preserve">rostatic </w:t>
      </w:r>
      <w:r>
        <w:t>h</w:t>
      </w:r>
      <w:r w:rsidRPr="009E0DAA">
        <w:t>yperplasia. MSAC</w:t>
      </w:r>
      <w:r w:rsidRPr="00A12E71">
        <w:t xml:space="preserve"> evaluates new and existing health technologies and procedures for which funding is sought under the Medicare Benefits </w:t>
      </w:r>
      <w:r w:rsidR="00B51E39">
        <w:t>Schedule</w:t>
      </w:r>
      <w:r w:rsidRPr="00A12E71">
        <w:t xml:space="preserve"> </w:t>
      </w:r>
      <w:r>
        <w:t xml:space="preserve">(MBS) </w:t>
      </w:r>
      <w:r w:rsidRPr="00A12E71">
        <w:t>in terms of their safety, effectiveness and cost-effectiveness, while taking into account other issues such as access and equity. MSAC adopts an evidence-based approach to its assessments, based on reviews of the scientific literature and other information sources, including clinical expertise.</w:t>
      </w:r>
    </w:p>
    <w:p w:rsidR="00786914" w:rsidRPr="00A12E71" w:rsidRDefault="00786914" w:rsidP="0006743B">
      <w:r w:rsidRPr="00A12E71">
        <w:t>. MSAC is a multidisciplinary expert body, comprising members drawn from such disciplines as</w:t>
      </w:r>
      <w:r>
        <w:t>:</w:t>
      </w:r>
      <w:r w:rsidRPr="00A12E71">
        <w:t xml:space="preserve"> diagnostic imaging, pathology, surgery, internal medicine and general practice, clinical epidemiology, health economics, consumer health and health administration.</w:t>
      </w:r>
    </w:p>
    <w:p w:rsidR="00786914" w:rsidRDefault="00786914" w:rsidP="0006743B">
      <w:r w:rsidRPr="00A12E71">
        <w:t xml:space="preserve">This report </w:t>
      </w:r>
      <w:r w:rsidR="00C17F0B">
        <w:t xml:space="preserve">for MSAC consideration, </w:t>
      </w:r>
      <w:r w:rsidRPr="00A12E71">
        <w:t>summarises the assessment</w:t>
      </w:r>
      <w:r w:rsidR="00846970">
        <w:t xml:space="preserve"> by </w:t>
      </w:r>
      <w:r w:rsidR="00846970" w:rsidRPr="00846970">
        <w:rPr>
          <w:szCs w:val="24"/>
        </w:rPr>
        <w:t>the NHMRC Clinical Trials Centre</w:t>
      </w:r>
      <w:r w:rsidRPr="00A12E71">
        <w:t xml:space="preserve"> of </w:t>
      </w:r>
      <w:r w:rsidR="00D70B58">
        <w:t xml:space="preserve">the available </w:t>
      </w:r>
      <w:r w:rsidR="00267978">
        <w:t xml:space="preserve">clinical </w:t>
      </w:r>
      <w:r w:rsidRPr="00A12E71">
        <w:t xml:space="preserve">evidence </w:t>
      </w:r>
      <w:r w:rsidR="00267978">
        <w:t xml:space="preserve">at the time of the assessment </w:t>
      </w:r>
      <w:r w:rsidRPr="00A12E71">
        <w:t xml:space="preserve">for </w:t>
      </w:r>
      <w:r w:rsidRPr="009E0DAA">
        <w:t>HoLEP</w:t>
      </w:r>
      <w:r>
        <w:t>, with or without t</w:t>
      </w:r>
      <w:r w:rsidRPr="009E0DAA">
        <w:t xml:space="preserve">issue </w:t>
      </w:r>
      <w:r>
        <w:t>m</w:t>
      </w:r>
      <w:r w:rsidRPr="009E0DAA">
        <w:t>orcellation</w:t>
      </w:r>
      <w:r>
        <w:t>, for the treatment of benign prostatic hyperplasia (BPH).</w:t>
      </w:r>
    </w:p>
    <w:p w:rsidR="00786914" w:rsidRPr="00776777" w:rsidRDefault="00786914" w:rsidP="0006743B">
      <w:pPr>
        <w:pStyle w:val="Heading1"/>
      </w:pPr>
      <w:bookmarkStart w:id="63" w:name="_Toc451749500"/>
      <w:bookmarkStart w:id="64" w:name="_Toc323642266"/>
      <w:bookmarkStart w:id="65" w:name="_Toc327877837"/>
      <w:bookmarkStart w:id="66" w:name="_Toc365900558"/>
      <w:r w:rsidRPr="00776777">
        <w:lastRenderedPageBreak/>
        <w:t>Background</w:t>
      </w:r>
      <w:bookmarkEnd w:id="63"/>
      <w:bookmarkEnd w:id="64"/>
      <w:bookmarkEnd w:id="65"/>
      <w:bookmarkEnd w:id="66"/>
    </w:p>
    <w:p w:rsidR="00786914" w:rsidRDefault="00786914" w:rsidP="0006743B">
      <w:pPr>
        <w:pStyle w:val="Heading2"/>
        <w:rPr>
          <w:bCs/>
        </w:rPr>
      </w:pPr>
      <w:bookmarkStart w:id="67" w:name="_Toc323642267"/>
      <w:bookmarkStart w:id="68" w:name="_Toc327877838"/>
      <w:bookmarkStart w:id="69" w:name="_Toc365900559"/>
      <w:r>
        <w:rPr>
          <w:bCs/>
        </w:rPr>
        <w:t>Holmium:</w:t>
      </w:r>
      <w:r w:rsidR="00C17F0B">
        <w:rPr>
          <w:bCs/>
        </w:rPr>
        <w:t xml:space="preserve"> </w:t>
      </w:r>
      <w:r>
        <w:rPr>
          <w:bCs/>
        </w:rPr>
        <w:t>YAG laser enucleation of the prostate</w:t>
      </w:r>
      <w:bookmarkEnd w:id="67"/>
      <w:bookmarkEnd w:id="68"/>
      <w:bookmarkEnd w:id="69"/>
    </w:p>
    <w:p w:rsidR="00786914" w:rsidRDefault="00786914" w:rsidP="0006743B">
      <w:r>
        <w:t>Holmium:</w:t>
      </w:r>
      <w:r w:rsidR="00C17F0B">
        <w:t xml:space="preserve"> </w:t>
      </w:r>
      <w:r>
        <w:t xml:space="preserve">YAG lasers contain an active medium of yttrium, aluminium and garnet (YAG), doped with holmium. The crystals from this combination are used to produce laser light which has a defined wavelength (2140nm) and can produce unique effects upon targeted tissue due to the particular absorption co-efficient produced by the wavelength. </w:t>
      </w:r>
      <w:r w:rsidRPr="00C058C1">
        <w:t xml:space="preserve">Holmium:YAG lasers can be used in several different surgical applications. </w:t>
      </w:r>
      <w:r>
        <w:t>L</w:t>
      </w:r>
      <w:r w:rsidRPr="00C058C1">
        <w:t>ow</w:t>
      </w:r>
      <w:r>
        <w:t>-</w:t>
      </w:r>
      <w:r w:rsidRPr="00C058C1">
        <w:t xml:space="preserve">powered </w:t>
      </w:r>
      <w:r>
        <w:t>h</w:t>
      </w:r>
      <w:r w:rsidRPr="00C058C1">
        <w:t>olmium:YAG lasers (5W to 30W)</w:t>
      </w:r>
      <w:r>
        <w:t>, for example,</w:t>
      </w:r>
      <w:r w:rsidRPr="00C058C1">
        <w:t xml:space="preserve"> are used for endoscopic destruction of stones occurring in the bladder or ureter. The </w:t>
      </w:r>
      <w:r>
        <w:t>h</w:t>
      </w:r>
      <w:r w:rsidRPr="00C058C1">
        <w:t xml:space="preserve">olmium:YAG lasers used for cutting soft tissue such as prostatic adenoma are generally considered </w:t>
      </w:r>
      <w:r>
        <w:t>‘</w:t>
      </w:r>
      <w:r w:rsidRPr="00C058C1">
        <w:t>high-powered</w:t>
      </w:r>
      <w:r>
        <w:t xml:space="preserve">’, that is </w:t>
      </w:r>
      <w:r w:rsidRPr="00C058C1">
        <w:t>capable of delivering 100W of power. End</w:t>
      </w:r>
      <w:r>
        <w:t>-</w:t>
      </w:r>
      <w:r w:rsidRPr="00C058C1">
        <w:t>firing lasers (as opposed to side-firing) allow for more precise thermal ablation of the tissue and hence more accurate cutting</w:t>
      </w:r>
      <w:r>
        <w:t xml:space="preserve"> </w:t>
      </w:r>
      <w:r>
        <w:rPr>
          <w:noProof/>
        </w:rPr>
        <w:t>(Tooher 2003)</w:t>
      </w:r>
    </w:p>
    <w:p w:rsidR="00786914" w:rsidRDefault="00786914" w:rsidP="0006743B">
      <w:r>
        <w:t>T</w:t>
      </w:r>
      <w:r w:rsidRPr="00C058C1">
        <w:t xml:space="preserve">he term </w:t>
      </w:r>
      <w:r>
        <w:t>‘</w:t>
      </w:r>
      <w:r w:rsidRPr="00C058C1">
        <w:t>HoLEP</w:t>
      </w:r>
      <w:r>
        <w:t>’</w:t>
      </w:r>
      <w:r w:rsidRPr="00C058C1">
        <w:t xml:space="preserve"> refers to </w:t>
      </w:r>
      <w:r>
        <w:rPr>
          <w:u w:val="single"/>
        </w:rPr>
        <w:t>h</w:t>
      </w:r>
      <w:r w:rsidRPr="00B6197D">
        <w:rPr>
          <w:u w:val="single"/>
        </w:rPr>
        <w:t>o</w:t>
      </w:r>
      <w:r w:rsidRPr="00C058C1">
        <w:t>lmium</w:t>
      </w:r>
      <w:r>
        <w:t>:</w:t>
      </w:r>
      <w:r w:rsidRPr="00C058C1">
        <w:t>YAG</w:t>
      </w:r>
      <w:r>
        <w:t xml:space="preserve"> </w:t>
      </w:r>
      <w:r w:rsidRPr="00910022">
        <w:rPr>
          <w:u w:val="single"/>
        </w:rPr>
        <w:t>l</w:t>
      </w:r>
      <w:r w:rsidRPr="00B6197D">
        <w:t xml:space="preserve">aser </w:t>
      </w:r>
      <w:r>
        <w:rPr>
          <w:u w:val="single"/>
        </w:rPr>
        <w:t>e</w:t>
      </w:r>
      <w:r w:rsidRPr="00C058C1">
        <w:t xml:space="preserve">nucleation of the </w:t>
      </w:r>
      <w:r>
        <w:rPr>
          <w:u w:val="single"/>
        </w:rPr>
        <w:t>p</w:t>
      </w:r>
      <w:r w:rsidRPr="00C058C1">
        <w:t>rostate, using high powered lasers that are end</w:t>
      </w:r>
      <w:r>
        <w:t>-</w:t>
      </w:r>
      <w:r w:rsidRPr="00C058C1">
        <w:t xml:space="preserve">firing. </w:t>
      </w:r>
      <w:r>
        <w:t>During the HoLEP procedure, t</w:t>
      </w:r>
      <w:r w:rsidRPr="00F815E5">
        <w:t xml:space="preserve">he </w:t>
      </w:r>
      <w:r>
        <w:t>h</w:t>
      </w:r>
      <w:r w:rsidRPr="00F815E5">
        <w:t xml:space="preserve">olmium laser </w:t>
      </w:r>
      <w:r>
        <w:t xml:space="preserve">is used to dissect the </w:t>
      </w:r>
      <w:r w:rsidRPr="00F815E5">
        <w:t xml:space="preserve">median and lateral lobes of the prostatic capsule. The procedure can be used to efficiently enucleate both small and large prostate glands. </w:t>
      </w:r>
      <w:r>
        <w:t>It is performed using a continuous flow rectoscope with a video system, and saline irrigation to maintain a clear view. Tissue n</w:t>
      </w:r>
      <w:r w:rsidRPr="00F815E5">
        <w:t xml:space="preserve">ecrosis is minimal, and the procedure is </w:t>
      </w:r>
      <w:r>
        <w:t xml:space="preserve">considered to be </w:t>
      </w:r>
      <w:r w:rsidRPr="00F815E5">
        <w:t xml:space="preserve">relatively bloodless. </w:t>
      </w:r>
      <w:r>
        <w:t xml:space="preserve">Once the tissue is enucleated, a tissue morcellator may be applied </w:t>
      </w:r>
      <w:r w:rsidRPr="00F815E5">
        <w:t>either trans-urethrally or supra-pubically,</w:t>
      </w:r>
      <w:r>
        <w:t xml:space="preserve"> in order to aspirate the enucleated tissue </w:t>
      </w:r>
      <w:r w:rsidRPr="00F815E5">
        <w:t xml:space="preserve">from the bladder </w:t>
      </w:r>
      <w:r>
        <w:rPr>
          <w:noProof/>
        </w:rPr>
        <w:t>(Gilling &amp; Fraundorfer 1998)</w:t>
      </w:r>
      <w:r w:rsidRPr="00F815E5">
        <w:t>.</w:t>
      </w:r>
    </w:p>
    <w:p w:rsidR="00786914" w:rsidRDefault="00786914" w:rsidP="0006743B">
      <w:r w:rsidRPr="00C92B11">
        <w:t>An application requesting</w:t>
      </w:r>
      <w:r>
        <w:t xml:space="preserve"> </w:t>
      </w:r>
      <w:r w:rsidRPr="00C92B11">
        <w:t xml:space="preserve">MBS listing of </w:t>
      </w:r>
      <w:r>
        <w:t>HoLEP (</w:t>
      </w:r>
      <w:r w:rsidRPr="00C92B11">
        <w:t>with tissue morcellation</w:t>
      </w:r>
      <w:r>
        <w:t>)</w:t>
      </w:r>
      <w:r w:rsidRPr="00C92B11">
        <w:t xml:space="preserve"> for the treatment of </w:t>
      </w:r>
      <w:r>
        <w:t>BPH</w:t>
      </w:r>
      <w:r w:rsidRPr="00C92B11">
        <w:t xml:space="preserve"> was received from MD Solutions Pty Ltd by the Department of Health and Ageing in May 2010.A team from </w:t>
      </w:r>
      <w:r>
        <w:t>National Health and Medical Research Council (</w:t>
      </w:r>
      <w:r w:rsidRPr="00C92B11">
        <w:t>NHMRC</w:t>
      </w:r>
      <w:r>
        <w:t>)</w:t>
      </w:r>
      <w:r w:rsidRPr="00C92B11">
        <w:t xml:space="preserve"> Clinical Trials Centre, University of Sydney was engaged to conduct </w:t>
      </w:r>
      <w:r>
        <w:t xml:space="preserve">a systematic review </w:t>
      </w:r>
      <w:r w:rsidRPr="00C92B11">
        <w:t xml:space="preserve">of </w:t>
      </w:r>
      <w:r>
        <w:t xml:space="preserve">safety, effectiveness and cost-effectiveness of this </w:t>
      </w:r>
      <w:r w:rsidRPr="00C92B11">
        <w:t>procedure in the treatment of BPH</w:t>
      </w:r>
      <w:r>
        <w:t xml:space="preserve"> in order to inform a decision as to whether it should be listed.</w:t>
      </w:r>
    </w:p>
    <w:p w:rsidR="00786914" w:rsidRDefault="00786914" w:rsidP="0006743B">
      <w:r>
        <w:t>The proposed MBS listing is:</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786914" w:rsidRPr="004E1EFC" w:rsidTr="0006743B">
        <w:tc>
          <w:tcPr>
            <w:tcW w:w="9111" w:type="dxa"/>
          </w:tcPr>
          <w:p w:rsidR="00786914" w:rsidRPr="006806C1" w:rsidRDefault="00786914" w:rsidP="0006743B">
            <w:pPr>
              <w:pStyle w:val="TableText"/>
            </w:pPr>
            <w:r w:rsidRPr="006806C1">
              <w:t>Category 3 –THERAPEUTIC PROCEDURES</w:t>
            </w:r>
          </w:p>
        </w:tc>
      </w:tr>
      <w:tr w:rsidR="00786914" w:rsidRPr="004E1EFC" w:rsidTr="0006743B">
        <w:tc>
          <w:tcPr>
            <w:tcW w:w="9111" w:type="dxa"/>
          </w:tcPr>
          <w:p w:rsidR="00786914" w:rsidRPr="006806C1" w:rsidRDefault="00786914" w:rsidP="0006743B">
            <w:pPr>
              <w:pStyle w:val="TableText"/>
            </w:pPr>
            <w:r w:rsidRPr="006806C1">
              <w:t>MBS [item number]</w:t>
            </w:r>
          </w:p>
          <w:p w:rsidR="00786914" w:rsidRPr="006806C1" w:rsidRDefault="00786914" w:rsidP="0006743B">
            <w:pPr>
              <w:pStyle w:val="TableText"/>
            </w:pPr>
          </w:p>
          <w:p w:rsidR="00786914" w:rsidRPr="006806C1" w:rsidRDefault="00786914" w:rsidP="0006743B">
            <w:pPr>
              <w:pStyle w:val="TableText"/>
            </w:pPr>
            <w:r w:rsidRPr="006806C1">
              <w:t>Endoscopic enucleation of the prostate using high powered (&gt;= 100W) laser and an end-firing, non-contact fibre with or without tissue morcellation (Anaes)</w:t>
            </w:r>
          </w:p>
          <w:p w:rsidR="00786914" w:rsidRPr="006806C1" w:rsidRDefault="00786914" w:rsidP="0006743B">
            <w:pPr>
              <w:pStyle w:val="TableText"/>
            </w:pPr>
          </w:p>
        </w:tc>
      </w:tr>
      <w:tr w:rsidR="00786914" w:rsidRPr="004E1EFC" w:rsidTr="0006743B">
        <w:tc>
          <w:tcPr>
            <w:tcW w:w="9111" w:type="dxa"/>
          </w:tcPr>
          <w:p w:rsidR="00786914" w:rsidRPr="006806C1" w:rsidRDefault="00786914" w:rsidP="0006743B">
            <w:pPr>
              <w:pStyle w:val="TableText"/>
            </w:pPr>
            <w:r w:rsidRPr="006806C1">
              <w:t>Fee: $1423.18</w:t>
            </w:r>
          </w:p>
        </w:tc>
      </w:tr>
    </w:tbl>
    <w:p w:rsidR="00786914" w:rsidRDefault="00786914" w:rsidP="0006743B"/>
    <w:p w:rsidR="00786914" w:rsidRDefault="00786914" w:rsidP="0006743B">
      <w:r>
        <w:t xml:space="preserve">A decision analytic protocol (DAP) was developed prior to the commencement of the assessment, and was approved by the Protocol Advisory Sub-Committee of MSAC </w:t>
      </w:r>
      <w:r>
        <w:rPr>
          <w:noProof/>
        </w:rPr>
        <w:t>(MSAC 2011)</w:t>
      </w:r>
      <w:r>
        <w:t xml:space="preserve">. The purpose of a DAP is to describe in detail a limited set of decision option(s) associated with the possible public funding of a proposed new medical service. ADAP </w:t>
      </w:r>
      <w:r w:rsidRPr="009D318F">
        <w:t>also capture</w:t>
      </w:r>
      <w:r>
        <w:t xml:space="preserve">s the </w:t>
      </w:r>
      <w:r w:rsidRPr="009D318F">
        <w:t>current clinical practice and reflect</w:t>
      </w:r>
      <w:r>
        <w:t xml:space="preserve">s the </w:t>
      </w:r>
      <w:r w:rsidRPr="009D318F">
        <w:t xml:space="preserve">likely future practice </w:t>
      </w:r>
      <w:r w:rsidRPr="009D318F">
        <w:lastRenderedPageBreak/>
        <w:t xml:space="preserve">with the proposed new medical </w:t>
      </w:r>
      <w:r>
        <w:t>service,</w:t>
      </w:r>
      <w:r w:rsidRPr="009D318F">
        <w:t xml:space="preserve"> and </w:t>
      </w:r>
      <w:r>
        <w:t>describes</w:t>
      </w:r>
      <w:r w:rsidRPr="009D318F">
        <w:t xml:space="preserve"> all potentially impacted healthcare resources. The guiding framework of the DAP has been used throughout this assessment.</w:t>
      </w:r>
    </w:p>
    <w:p w:rsidR="00786914" w:rsidRDefault="00786914" w:rsidP="0006743B">
      <w:r>
        <w:t>The item descriptor included in the final DAP proposes that HoLEP would be employed with tissue morcellation, that is ‘</w:t>
      </w:r>
      <w:r w:rsidRPr="00AD4954">
        <w:t>Endoscopic enucleation of the prostate using high powered (&gt;= 100W) laser and an end-firing, non-contact fibre with tissue morcellation (Anaes)</w:t>
      </w:r>
      <w:r>
        <w:t>’.</w:t>
      </w:r>
      <w:r w:rsidRPr="00AD4954">
        <w:t xml:space="preserve"> It was noted by </w:t>
      </w:r>
      <w:r>
        <w:t xml:space="preserve">the Protocol </w:t>
      </w:r>
      <w:r w:rsidRPr="00AD4954">
        <w:t>A</w:t>
      </w:r>
      <w:r>
        <w:t xml:space="preserve">dvisory </w:t>
      </w:r>
      <w:r w:rsidRPr="00AD4954">
        <w:t>S</w:t>
      </w:r>
      <w:r>
        <w:t>ub-</w:t>
      </w:r>
      <w:r w:rsidRPr="00AD4954">
        <w:t>C</w:t>
      </w:r>
      <w:r>
        <w:t>ommittee (PASC) of MSAC</w:t>
      </w:r>
      <w:r w:rsidRPr="00AD4954">
        <w:t xml:space="preserve"> however that morcellation does not occur in every case, and this could lead to compliance issues if the prescriptive wording </w:t>
      </w:r>
      <w:r>
        <w:t>‘</w:t>
      </w:r>
      <w:r w:rsidRPr="00AD4954">
        <w:t>with tissue morcellation</w:t>
      </w:r>
      <w:r>
        <w:t>’</w:t>
      </w:r>
      <w:r w:rsidRPr="00AD4954">
        <w:t xml:space="preserve"> were retained. The alternate descriptor –</w:t>
      </w:r>
      <w:r>
        <w:t>‘with o</w:t>
      </w:r>
      <w:r w:rsidRPr="00AD4954">
        <w:t>r without tissue morcellation</w:t>
      </w:r>
      <w:r>
        <w:t>’</w:t>
      </w:r>
      <w:r w:rsidRPr="00AD4954">
        <w:t xml:space="preserve"> – is provided instead. </w:t>
      </w:r>
    </w:p>
    <w:p w:rsidR="00786914" w:rsidRPr="006806C1" w:rsidRDefault="00786914" w:rsidP="0006743B">
      <w:pPr>
        <w:pStyle w:val="Normalbold"/>
      </w:pPr>
      <w:bookmarkStart w:id="70" w:name="_Toc323642268"/>
      <w:bookmarkStart w:id="71" w:name="_Toc327877839"/>
      <w:r w:rsidRPr="006806C1">
        <w:t>Intended purpose</w:t>
      </w:r>
      <w:bookmarkEnd w:id="70"/>
      <w:bookmarkEnd w:id="71"/>
    </w:p>
    <w:p w:rsidR="00786914" w:rsidRDefault="00786914" w:rsidP="0006743B">
      <w:r w:rsidRPr="000A03BC">
        <w:t>HoLEP (with or without tissue morcellation) is intended to be used as an option for men with</w:t>
      </w:r>
      <w:r>
        <w:t xml:space="preserve"> b</w:t>
      </w:r>
      <w:r w:rsidRPr="00F815E5">
        <w:t xml:space="preserve">enign </w:t>
      </w:r>
      <w:r>
        <w:t>p</w:t>
      </w:r>
      <w:r w:rsidRPr="00F815E5">
        <w:t xml:space="preserve">rostatic </w:t>
      </w:r>
      <w:r>
        <w:t>h</w:t>
      </w:r>
      <w:r w:rsidRPr="00F815E5">
        <w:t>yperplasia</w:t>
      </w:r>
      <w:r>
        <w:t xml:space="preserve"> (BPH) for whom surgery is indicated</w:t>
      </w:r>
      <w:r w:rsidRPr="00F815E5">
        <w:t xml:space="preserve">. </w:t>
      </w:r>
      <w:r>
        <w:t xml:space="preserve">Surgery is usually considered as a second-line option in these patients, and a number of procedures are available. HoLEP may offer clinical advantages over these. In some men, it is claimed, it may reduce the number of post-operative complications and reduce the risk of bleeding </w:t>
      </w:r>
      <w:r>
        <w:rPr>
          <w:noProof/>
        </w:rPr>
        <w:t>(Tooher 2003)</w:t>
      </w:r>
      <w:r>
        <w:t>. This would make it a more suitable alternative for those men with cardiovascular disease, those on anti-coagulants or those who are elderly and infirm.(Larner et al 2003).</w:t>
      </w:r>
    </w:p>
    <w:p w:rsidR="00786914" w:rsidRDefault="00786914" w:rsidP="0006743B">
      <w:pPr>
        <w:pStyle w:val="Normalbold"/>
      </w:pPr>
      <w:bookmarkStart w:id="72" w:name="_Toc323642269"/>
      <w:bookmarkStart w:id="73" w:name="_Toc327877840"/>
      <w:r>
        <w:t>Benign prostatic hyperplasia</w:t>
      </w:r>
      <w:bookmarkEnd w:id="72"/>
      <w:bookmarkEnd w:id="73"/>
    </w:p>
    <w:p w:rsidR="00786914" w:rsidRPr="00DE515A" w:rsidRDefault="00786914" w:rsidP="0006743B">
      <w:pPr>
        <w:rPr>
          <w:lang w:bidi="en-US"/>
        </w:rPr>
      </w:pPr>
      <w:r>
        <w:t xml:space="preserve">BPH is a non-malignant overgrowth of the prostate gland. </w:t>
      </w:r>
      <w:r>
        <w:rPr>
          <w:lang w:bidi="en-US"/>
        </w:rPr>
        <w:t xml:space="preserve">This overgrowth </w:t>
      </w:r>
      <w:r w:rsidRPr="00DE515A">
        <w:rPr>
          <w:lang w:bidi="en-US"/>
        </w:rPr>
        <w:t xml:space="preserve">is experienced to some degree by the majority of men over 50 years of age. BPH can arise </w:t>
      </w:r>
      <w:r>
        <w:rPr>
          <w:lang w:bidi="en-US"/>
        </w:rPr>
        <w:t>as a result of</w:t>
      </w:r>
      <w:r w:rsidRPr="00DE515A">
        <w:rPr>
          <w:lang w:bidi="en-US"/>
        </w:rPr>
        <w:t xml:space="preserve"> physiological dysfunction or anatomical obstruction of the urinary tract (or a combination of these factors)</w:t>
      </w:r>
      <w:r>
        <w:rPr>
          <w:lang w:bidi="en-US"/>
        </w:rPr>
        <w:t xml:space="preserve">, and typically </w:t>
      </w:r>
      <w:r w:rsidRPr="00DE515A">
        <w:rPr>
          <w:lang w:bidi="en-US"/>
        </w:rPr>
        <w:t>involves:</w:t>
      </w:r>
    </w:p>
    <w:p w:rsidR="00786914" w:rsidRPr="00DE515A" w:rsidRDefault="00786914" w:rsidP="0006743B">
      <w:pPr>
        <w:pStyle w:val="Bullet"/>
        <w:rPr>
          <w:lang w:bidi="en-US"/>
        </w:rPr>
      </w:pPr>
      <w:r>
        <w:rPr>
          <w:lang w:bidi="en-US"/>
        </w:rPr>
        <w:t>a</w:t>
      </w:r>
      <w:r w:rsidRPr="00DE515A">
        <w:rPr>
          <w:lang w:bidi="en-US"/>
        </w:rPr>
        <w:t xml:space="preserve"> histological change of hyperplasia within the gland</w:t>
      </w:r>
    </w:p>
    <w:p w:rsidR="00786914" w:rsidRPr="00DE515A" w:rsidRDefault="00786914" w:rsidP="0006743B">
      <w:pPr>
        <w:pStyle w:val="Bullet"/>
        <w:rPr>
          <w:lang w:bidi="en-US"/>
        </w:rPr>
      </w:pPr>
      <w:r>
        <w:rPr>
          <w:lang w:bidi="en-US"/>
        </w:rPr>
        <w:t>a c</w:t>
      </w:r>
      <w:r w:rsidRPr="00DE515A">
        <w:rPr>
          <w:lang w:bidi="en-US"/>
        </w:rPr>
        <w:t>linically determined enlargement of the prostate gland</w:t>
      </w:r>
    </w:p>
    <w:p w:rsidR="00786914" w:rsidRDefault="00786914" w:rsidP="0006743B">
      <w:pPr>
        <w:pStyle w:val="Bullet"/>
        <w:rPr>
          <w:lang w:bidi="en-US"/>
        </w:rPr>
      </w:pPr>
      <w:r>
        <w:rPr>
          <w:lang w:bidi="en-US"/>
        </w:rPr>
        <w:t>t</w:t>
      </w:r>
      <w:r w:rsidRPr="00DE515A">
        <w:rPr>
          <w:lang w:bidi="en-US"/>
        </w:rPr>
        <w:t>he clinical syndrome of lower urinary tract symptoms (LUTS)</w:t>
      </w:r>
      <w:r>
        <w:rPr>
          <w:lang w:bidi="en-US"/>
        </w:rPr>
        <w:t>.</w:t>
      </w:r>
    </w:p>
    <w:p w:rsidR="00786914" w:rsidRPr="00C058C1" w:rsidRDefault="00786914" w:rsidP="0006743B">
      <w:r w:rsidRPr="00C058C1">
        <w:t xml:space="preserve">Clinical BPH is very common in the ageing man and is most often associated with various LUTS which can cause urinary obstruction or irritation. Moderate to severe symptoms </w:t>
      </w:r>
      <w:r>
        <w:t xml:space="preserve">significantly impact </w:t>
      </w:r>
      <w:r w:rsidRPr="00C058C1">
        <w:t>on quality of life. The first-line management for men with BPH includes a variety of pharmaceuticals, including a</w:t>
      </w:r>
      <w:r>
        <w:t>l</w:t>
      </w:r>
      <w:r w:rsidRPr="00C058C1">
        <w:t xml:space="preserve">pha receptor blockers, 5-alpha reductase inhibitors and anti-cholinergic drugs. </w:t>
      </w:r>
      <w:r>
        <w:t>However, t</w:t>
      </w:r>
      <w:r w:rsidRPr="00C058C1">
        <w:t>hese pharmaceuticals have both high failure and high discontinuation rates (the latter due to side</w:t>
      </w:r>
      <w:r>
        <w:t xml:space="preserve"> </w:t>
      </w:r>
      <w:r w:rsidRPr="00C058C1">
        <w:t xml:space="preserve">effects), and the BPH symptoms in the majority of men will progress. Many of these men will eventually undergo second-line surgical treatments. In addition, some men may not opt for initial </w:t>
      </w:r>
      <w:r>
        <w:t xml:space="preserve">pharmaceutical management </w:t>
      </w:r>
      <w:r>
        <w:rPr>
          <w:noProof/>
        </w:rPr>
        <w:t>(Gallegos &amp; Frazee 2008)</w:t>
      </w:r>
      <w:r>
        <w:t>.</w:t>
      </w:r>
    </w:p>
    <w:p w:rsidR="00786914" w:rsidRPr="00C058C1" w:rsidRDefault="00786914" w:rsidP="0006743B">
      <w:r w:rsidRPr="00AD4954">
        <w:t>Transurethral resection of the prostate (TURP), MBS item n</w:t>
      </w:r>
      <w:r>
        <w:t>umber</w:t>
      </w:r>
      <w:r w:rsidRPr="00AD4954">
        <w:t xml:space="preserve"> 37203, is considered the gold standard for the treatment of bladder obstruction for men with moderate prostate sizes, estimated to be less than</w:t>
      </w:r>
      <w:r>
        <w:t xml:space="preserve"> </w:t>
      </w:r>
      <w:r w:rsidRPr="00AD4954">
        <w:t>80</w:t>
      </w:r>
      <w:r>
        <w:t>–</w:t>
      </w:r>
      <w:r w:rsidRPr="00AD4954">
        <w:t>100</w:t>
      </w:r>
      <w:r>
        <w:t>g</w:t>
      </w:r>
      <w:r w:rsidRPr="00AD4954">
        <w:t>. Open prostatectomy</w:t>
      </w:r>
      <w:r>
        <w:t xml:space="preserve"> (OP) </w:t>
      </w:r>
      <w:r w:rsidRPr="00AD4954">
        <w:t>or two-stage TURP, MBS item 37200</w:t>
      </w:r>
      <w:r>
        <w:t>,</w:t>
      </w:r>
      <w:r w:rsidRPr="00AD4954">
        <w:t xml:space="preserve"> is considered the gold standard in men with larger prostates,</w:t>
      </w:r>
      <w:r w:rsidRPr="00C058C1">
        <w:t xml:space="preserve"> </w:t>
      </w:r>
      <w:r w:rsidRPr="00C058C1">
        <w:lastRenderedPageBreak/>
        <w:t xml:space="preserve">estimated at greater than </w:t>
      </w:r>
      <w:r>
        <w:t>80–</w:t>
      </w:r>
      <w:r w:rsidRPr="00C058C1">
        <w:t>10</w:t>
      </w:r>
      <w:r>
        <w:t>0 g</w:t>
      </w:r>
      <w:r w:rsidRPr="00C058C1">
        <w:t xml:space="preserve">. Other surgical interventions for BPH have been previously assessed by MSAC and recommended for </w:t>
      </w:r>
      <w:r>
        <w:t xml:space="preserve">public </w:t>
      </w:r>
      <w:r w:rsidRPr="00C058C1">
        <w:t>funding. These include</w:t>
      </w:r>
      <w:r>
        <w:t xml:space="preserve"> t</w:t>
      </w:r>
      <w:r w:rsidRPr="00C058C1">
        <w:t>rans</w:t>
      </w:r>
      <w:r>
        <w:t>u</w:t>
      </w:r>
      <w:r w:rsidRPr="00C058C1">
        <w:t xml:space="preserve">rethral </w:t>
      </w:r>
      <w:r>
        <w:t>n</w:t>
      </w:r>
      <w:r w:rsidRPr="00C058C1">
        <w:t xml:space="preserve">eedle </w:t>
      </w:r>
      <w:r>
        <w:t>a</w:t>
      </w:r>
      <w:r w:rsidRPr="00C058C1">
        <w:t xml:space="preserve">blation (TUNA) for </w:t>
      </w:r>
      <w:r>
        <w:t>b</w:t>
      </w:r>
      <w:r w:rsidRPr="00C058C1">
        <w:t xml:space="preserve">enign </w:t>
      </w:r>
      <w:r>
        <w:t>p</w:t>
      </w:r>
      <w:r w:rsidRPr="00C058C1">
        <w:t xml:space="preserve">rostatic </w:t>
      </w:r>
      <w:r>
        <w:t>h</w:t>
      </w:r>
      <w:r w:rsidRPr="00C058C1">
        <w:t xml:space="preserve">yperplasia (MSAC report 1014, MBS item 37201) and </w:t>
      </w:r>
      <w:r>
        <w:t>h</w:t>
      </w:r>
      <w:r w:rsidRPr="00C058C1">
        <w:t xml:space="preserve">igh-energy </w:t>
      </w:r>
      <w:r>
        <w:t>t</w:t>
      </w:r>
      <w:r w:rsidRPr="00C058C1">
        <w:t xml:space="preserve">ransurethral </w:t>
      </w:r>
      <w:r>
        <w:t>m</w:t>
      </w:r>
      <w:r w:rsidRPr="00C058C1">
        <w:t xml:space="preserve">icrowave </w:t>
      </w:r>
      <w:r>
        <w:t>t</w:t>
      </w:r>
      <w:r w:rsidRPr="00C058C1">
        <w:t xml:space="preserve">herapy (TUMT) for </w:t>
      </w:r>
      <w:r>
        <w:t>b</w:t>
      </w:r>
      <w:r w:rsidRPr="00C058C1">
        <w:t xml:space="preserve">enign </w:t>
      </w:r>
      <w:r>
        <w:t>p</w:t>
      </w:r>
      <w:r w:rsidRPr="00C058C1">
        <w:t xml:space="preserve">rostatic </w:t>
      </w:r>
      <w:r>
        <w:t>h</w:t>
      </w:r>
      <w:r w:rsidRPr="00C058C1">
        <w:t>yperplasia (MSAC report 1076</w:t>
      </w:r>
      <w:r>
        <w:t xml:space="preserve">, </w:t>
      </w:r>
      <w:r w:rsidRPr="00C058C1">
        <w:t>MBS</w:t>
      </w:r>
      <w:r>
        <w:t xml:space="preserve"> item </w:t>
      </w:r>
      <w:r w:rsidRPr="00C058C1">
        <w:t xml:space="preserve">37230). </w:t>
      </w:r>
      <w:r>
        <w:t xml:space="preserve">Visual laser ablation of the prostate (VLAP), MBS items 32707 and 32708 has been MBS-listed since July 1995. </w:t>
      </w:r>
    </w:p>
    <w:p w:rsidR="00786914" w:rsidRPr="00DE1723" w:rsidRDefault="00786914" w:rsidP="0006743B">
      <w:pPr>
        <w:rPr>
          <w:highlight w:val="yellow"/>
          <w:lang w:bidi="en-US"/>
        </w:rPr>
      </w:pPr>
      <w:r w:rsidRPr="00DE1723">
        <w:rPr>
          <w:lang w:bidi="en-US"/>
        </w:rPr>
        <w:t>The number of men who undergo treatment for BPH annually in Australia can be estimated from the AI</w:t>
      </w:r>
      <w:r>
        <w:rPr>
          <w:lang w:bidi="en-US"/>
        </w:rPr>
        <w:t>H</w:t>
      </w:r>
      <w:r w:rsidRPr="00DE1723">
        <w:rPr>
          <w:lang w:bidi="en-US"/>
        </w:rPr>
        <w:t xml:space="preserve">W </w:t>
      </w:r>
      <w:r>
        <w:rPr>
          <w:lang w:bidi="en-US"/>
        </w:rPr>
        <w:t>N</w:t>
      </w:r>
      <w:r w:rsidRPr="00DE1723">
        <w:rPr>
          <w:lang w:bidi="en-US"/>
        </w:rPr>
        <w:t xml:space="preserve">ational </w:t>
      </w:r>
      <w:r>
        <w:rPr>
          <w:lang w:bidi="en-US"/>
        </w:rPr>
        <w:t>H</w:t>
      </w:r>
      <w:r w:rsidRPr="00DE1723">
        <w:rPr>
          <w:lang w:bidi="en-US"/>
        </w:rPr>
        <w:t xml:space="preserve">ospital </w:t>
      </w:r>
      <w:r>
        <w:rPr>
          <w:lang w:bidi="en-US"/>
        </w:rPr>
        <w:t>Morbidity D</w:t>
      </w:r>
      <w:r w:rsidRPr="00DE1723">
        <w:rPr>
          <w:lang w:bidi="en-US"/>
        </w:rPr>
        <w:t>ata</w:t>
      </w:r>
      <w:r>
        <w:rPr>
          <w:lang w:bidi="en-US"/>
        </w:rPr>
        <w:t>base</w:t>
      </w:r>
      <w:r w:rsidRPr="00DE1723">
        <w:rPr>
          <w:lang w:bidi="en-US"/>
        </w:rPr>
        <w:t xml:space="preserve"> using the ICD-10-AM classification for separations</w:t>
      </w:r>
      <w:r>
        <w:rPr>
          <w:lang w:bidi="en-US"/>
        </w:rPr>
        <w:t xml:space="preserve"> shown in </w:t>
      </w:r>
      <w:r w:rsidR="00766F46">
        <w:fldChar w:fldCharType="begin"/>
      </w:r>
      <w:r w:rsidR="00766F46">
        <w:instrText xml:space="preserve"> REF _Ref323306277 \h  \* MERGEFORMAT </w:instrText>
      </w:r>
      <w:r w:rsidR="00766F46">
        <w:fldChar w:fldCharType="separate"/>
      </w:r>
      <w:r w:rsidR="00F45C43">
        <w:t>Table 6</w:t>
      </w:r>
      <w:r w:rsidR="00766F46">
        <w:fldChar w:fldCharType="end"/>
      </w:r>
      <w:r>
        <w:rPr>
          <w:lang w:bidi="en-US"/>
        </w:rPr>
        <w:t>.</w:t>
      </w:r>
    </w:p>
    <w:p w:rsidR="00786914" w:rsidRDefault="00786914" w:rsidP="0006743B">
      <w:pPr>
        <w:pStyle w:val="Caption"/>
        <w:keepNext/>
      </w:pPr>
      <w:bookmarkStart w:id="74" w:name="_Ref323306277"/>
      <w:bookmarkStart w:id="75" w:name="_Toc327803253"/>
      <w:bookmarkStart w:id="76" w:name="_Toc327881543"/>
      <w:r>
        <w:t xml:space="preserve">Table </w:t>
      </w:r>
      <w:fldSimple w:instr=" SEQ Table \* ARABIC ">
        <w:r w:rsidR="00F45C43">
          <w:rPr>
            <w:noProof/>
          </w:rPr>
          <w:t>6</w:t>
        </w:r>
      </w:fldSimple>
      <w:bookmarkEnd w:id="74"/>
      <w:r>
        <w:t>:</w:t>
      </w:r>
      <w:r>
        <w:tab/>
        <w:t>Separations for principal diagnosis of BPH 1998-2010</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74"/>
        <w:gridCol w:w="676"/>
        <w:gridCol w:w="677"/>
        <w:gridCol w:w="677"/>
        <w:gridCol w:w="675"/>
        <w:gridCol w:w="677"/>
        <w:gridCol w:w="677"/>
        <w:gridCol w:w="677"/>
        <w:gridCol w:w="675"/>
        <w:gridCol w:w="677"/>
        <w:gridCol w:w="677"/>
        <w:gridCol w:w="677"/>
      </w:tblGrid>
      <w:tr w:rsidR="00786914" w:rsidRPr="00DE1723" w:rsidTr="0006743B">
        <w:trPr>
          <w:trHeight w:val="291"/>
        </w:trPr>
        <w:tc>
          <w:tcPr>
            <w:tcW w:w="611" w:type="pct"/>
            <w:vMerge w:val="restart"/>
            <w:vAlign w:val="center"/>
          </w:tcPr>
          <w:p w:rsidR="00786914" w:rsidRPr="001C2208" w:rsidRDefault="00786914" w:rsidP="0006743B">
            <w:pPr>
              <w:pStyle w:val="TableText"/>
            </w:pPr>
          </w:p>
        </w:tc>
        <w:tc>
          <w:tcPr>
            <w:tcW w:w="4389" w:type="pct"/>
            <w:gridSpan w:val="12"/>
            <w:vAlign w:val="bottom"/>
          </w:tcPr>
          <w:p w:rsidR="00786914" w:rsidRPr="001C2208" w:rsidRDefault="00786914" w:rsidP="0006743B">
            <w:pPr>
              <w:pStyle w:val="Tableheading"/>
              <w:jc w:val="center"/>
            </w:pPr>
            <w:r w:rsidRPr="001C2208">
              <w:t>Year</w:t>
            </w:r>
          </w:p>
        </w:tc>
      </w:tr>
      <w:tr w:rsidR="00786914" w:rsidRPr="00DE1723" w:rsidTr="0006743B">
        <w:trPr>
          <w:trHeight w:val="280"/>
        </w:trPr>
        <w:tc>
          <w:tcPr>
            <w:tcW w:w="611" w:type="pct"/>
            <w:vMerge/>
            <w:vAlign w:val="center"/>
          </w:tcPr>
          <w:p w:rsidR="00786914" w:rsidRPr="001C2208" w:rsidRDefault="00786914" w:rsidP="0006743B">
            <w:pPr>
              <w:pStyle w:val="TableText"/>
            </w:pPr>
          </w:p>
        </w:tc>
        <w:tc>
          <w:tcPr>
            <w:tcW w:w="365" w:type="pct"/>
            <w:vAlign w:val="center"/>
          </w:tcPr>
          <w:p w:rsidR="00786914" w:rsidRPr="001C2208" w:rsidRDefault="00786914" w:rsidP="0006743B">
            <w:pPr>
              <w:pStyle w:val="Tableheading"/>
            </w:pPr>
            <w:r w:rsidRPr="00F77AA8">
              <w:t>98</w:t>
            </w:r>
            <w:r>
              <w:t>–</w:t>
            </w:r>
            <w:r w:rsidRPr="00F77AA8">
              <w:t>99</w:t>
            </w:r>
          </w:p>
        </w:tc>
        <w:tc>
          <w:tcPr>
            <w:tcW w:w="366" w:type="pct"/>
            <w:vAlign w:val="center"/>
          </w:tcPr>
          <w:p w:rsidR="00786914" w:rsidRPr="001C2208" w:rsidRDefault="00786914" w:rsidP="0006743B">
            <w:pPr>
              <w:pStyle w:val="Tableheading"/>
            </w:pPr>
            <w:r w:rsidRPr="00F77AA8">
              <w:t>99</w:t>
            </w:r>
            <w:r>
              <w:t>–</w:t>
            </w:r>
            <w:r w:rsidRPr="00F77AA8">
              <w:t>00</w:t>
            </w:r>
          </w:p>
        </w:tc>
        <w:tc>
          <w:tcPr>
            <w:tcW w:w="366" w:type="pct"/>
            <w:vAlign w:val="center"/>
          </w:tcPr>
          <w:p w:rsidR="00786914" w:rsidRPr="001C2208" w:rsidRDefault="00786914" w:rsidP="0006743B">
            <w:pPr>
              <w:pStyle w:val="Tableheading"/>
            </w:pPr>
            <w:r w:rsidRPr="00F77AA8">
              <w:t>00</w:t>
            </w:r>
            <w:r>
              <w:t>–</w:t>
            </w:r>
            <w:r w:rsidRPr="00F77AA8">
              <w:t>01</w:t>
            </w:r>
          </w:p>
        </w:tc>
        <w:tc>
          <w:tcPr>
            <w:tcW w:w="366" w:type="pct"/>
            <w:vAlign w:val="center"/>
          </w:tcPr>
          <w:p w:rsidR="00786914" w:rsidRPr="001C2208" w:rsidRDefault="00786914" w:rsidP="0006743B">
            <w:pPr>
              <w:pStyle w:val="Tableheading"/>
            </w:pPr>
            <w:r w:rsidRPr="00F77AA8">
              <w:t>01</w:t>
            </w:r>
            <w:r>
              <w:t>–</w:t>
            </w:r>
            <w:r w:rsidRPr="00F77AA8">
              <w:t>02</w:t>
            </w:r>
          </w:p>
        </w:tc>
        <w:tc>
          <w:tcPr>
            <w:tcW w:w="365" w:type="pct"/>
            <w:vAlign w:val="center"/>
          </w:tcPr>
          <w:p w:rsidR="00786914" w:rsidRPr="001C2208" w:rsidRDefault="00786914" w:rsidP="0006743B">
            <w:pPr>
              <w:pStyle w:val="Tableheading"/>
            </w:pPr>
            <w:r w:rsidRPr="00F77AA8">
              <w:t>02</w:t>
            </w:r>
            <w:r>
              <w:t>–</w:t>
            </w:r>
            <w:r w:rsidRPr="00F77AA8">
              <w:t>03</w:t>
            </w:r>
          </w:p>
        </w:tc>
        <w:tc>
          <w:tcPr>
            <w:tcW w:w="366" w:type="pct"/>
            <w:vAlign w:val="center"/>
          </w:tcPr>
          <w:p w:rsidR="00786914" w:rsidRPr="001C2208" w:rsidRDefault="00786914" w:rsidP="0006743B">
            <w:pPr>
              <w:pStyle w:val="Tableheading"/>
            </w:pPr>
            <w:r w:rsidRPr="00F77AA8">
              <w:t>03</w:t>
            </w:r>
            <w:r>
              <w:t>–</w:t>
            </w:r>
            <w:r w:rsidRPr="00F77AA8">
              <w:t>04</w:t>
            </w:r>
          </w:p>
        </w:tc>
        <w:tc>
          <w:tcPr>
            <w:tcW w:w="366" w:type="pct"/>
            <w:vAlign w:val="center"/>
          </w:tcPr>
          <w:p w:rsidR="00786914" w:rsidRPr="001C2208" w:rsidRDefault="00786914" w:rsidP="0006743B">
            <w:pPr>
              <w:pStyle w:val="Tableheading"/>
            </w:pPr>
            <w:r w:rsidRPr="00F77AA8">
              <w:t>04</w:t>
            </w:r>
            <w:r>
              <w:t>–</w:t>
            </w:r>
            <w:r w:rsidRPr="00F77AA8">
              <w:t>05</w:t>
            </w:r>
          </w:p>
        </w:tc>
        <w:tc>
          <w:tcPr>
            <w:tcW w:w="366" w:type="pct"/>
            <w:vAlign w:val="center"/>
          </w:tcPr>
          <w:p w:rsidR="00786914" w:rsidRPr="001C2208" w:rsidRDefault="00786914" w:rsidP="0006743B">
            <w:pPr>
              <w:pStyle w:val="Tableheading"/>
            </w:pPr>
            <w:r w:rsidRPr="00F77AA8">
              <w:t>05</w:t>
            </w:r>
            <w:r>
              <w:t>–</w:t>
            </w:r>
            <w:r w:rsidRPr="00F77AA8">
              <w:t>06</w:t>
            </w:r>
          </w:p>
        </w:tc>
        <w:tc>
          <w:tcPr>
            <w:tcW w:w="365" w:type="pct"/>
            <w:vAlign w:val="center"/>
          </w:tcPr>
          <w:p w:rsidR="00786914" w:rsidRPr="001C2208" w:rsidRDefault="00786914" w:rsidP="0006743B">
            <w:pPr>
              <w:pStyle w:val="Tableheading"/>
            </w:pPr>
            <w:r w:rsidRPr="00F77AA8">
              <w:t>06</w:t>
            </w:r>
            <w:r>
              <w:t>–</w:t>
            </w:r>
            <w:r w:rsidRPr="00F77AA8">
              <w:t>07</w:t>
            </w:r>
          </w:p>
        </w:tc>
        <w:tc>
          <w:tcPr>
            <w:tcW w:w="366" w:type="pct"/>
            <w:vAlign w:val="center"/>
          </w:tcPr>
          <w:p w:rsidR="00786914" w:rsidRPr="001C2208" w:rsidRDefault="00786914" w:rsidP="0006743B">
            <w:pPr>
              <w:pStyle w:val="Tableheading"/>
            </w:pPr>
            <w:r w:rsidRPr="00F77AA8">
              <w:t>07</w:t>
            </w:r>
            <w:r>
              <w:t>–</w:t>
            </w:r>
            <w:r w:rsidRPr="00F77AA8">
              <w:t>08</w:t>
            </w:r>
          </w:p>
        </w:tc>
        <w:tc>
          <w:tcPr>
            <w:tcW w:w="366" w:type="pct"/>
            <w:vAlign w:val="center"/>
          </w:tcPr>
          <w:p w:rsidR="00786914" w:rsidRPr="001C2208" w:rsidRDefault="00786914" w:rsidP="0006743B">
            <w:pPr>
              <w:pStyle w:val="Tableheading"/>
            </w:pPr>
            <w:r w:rsidRPr="00F77AA8">
              <w:t>08</w:t>
            </w:r>
            <w:r>
              <w:t>–</w:t>
            </w:r>
            <w:r w:rsidRPr="00F77AA8">
              <w:t>09</w:t>
            </w:r>
          </w:p>
        </w:tc>
        <w:tc>
          <w:tcPr>
            <w:tcW w:w="366" w:type="pct"/>
            <w:vAlign w:val="center"/>
          </w:tcPr>
          <w:p w:rsidR="00786914" w:rsidRPr="001C2208" w:rsidRDefault="00786914" w:rsidP="0006743B">
            <w:pPr>
              <w:pStyle w:val="Tableheading"/>
            </w:pPr>
            <w:r w:rsidRPr="00F77AA8">
              <w:t>09</w:t>
            </w:r>
            <w:r>
              <w:t>–</w:t>
            </w:r>
            <w:r w:rsidRPr="00F77AA8">
              <w:t>10</w:t>
            </w:r>
          </w:p>
        </w:tc>
      </w:tr>
      <w:tr w:rsidR="00786914" w:rsidRPr="00DE1723" w:rsidTr="0006743B">
        <w:trPr>
          <w:trHeight w:val="300"/>
        </w:trPr>
        <w:tc>
          <w:tcPr>
            <w:tcW w:w="611" w:type="pct"/>
            <w:vAlign w:val="center"/>
          </w:tcPr>
          <w:p w:rsidR="00786914" w:rsidRPr="001C2208" w:rsidRDefault="00786914" w:rsidP="0006743B">
            <w:pPr>
              <w:pStyle w:val="TableText"/>
            </w:pPr>
            <w:r w:rsidRPr="001C2208">
              <w:t xml:space="preserve">N40 Hyperplasia </w:t>
            </w:r>
          </w:p>
          <w:p w:rsidR="00786914" w:rsidRPr="001C2208" w:rsidRDefault="00786914" w:rsidP="0006743B">
            <w:pPr>
              <w:pStyle w:val="TableText"/>
            </w:pPr>
            <w:r w:rsidRPr="001C2208">
              <w:t xml:space="preserve">of prostate Hospital </w:t>
            </w:r>
            <w:r>
              <w:t>s</w:t>
            </w:r>
            <w:r w:rsidRPr="001C2208">
              <w:t>eparations</w:t>
            </w:r>
          </w:p>
        </w:tc>
        <w:tc>
          <w:tcPr>
            <w:tcW w:w="365" w:type="pct"/>
            <w:vAlign w:val="center"/>
          </w:tcPr>
          <w:p w:rsidR="00786914" w:rsidRPr="001C2208" w:rsidRDefault="00786914" w:rsidP="0006743B">
            <w:pPr>
              <w:pStyle w:val="TableText"/>
            </w:pPr>
            <w:r w:rsidRPr="001C2208">
              <w:t>20,907</w:t>
            </w:r>
          </w:p>
        </w:tc>
        <w:tc>
          <w:tcPr>
            <w:tcW w:w="366" w:type="pct"/>
            <w:vAlign w:val="center"/>
          </w:tcPr>
          <w:p w:rsidR="00786914" w:rsidRPr="001C2208" w:rsidRDefault="00786914" w:rsidP="0006743B">
            <w:pPr>
              <w:pStyle w:val="TableText"/>
            </w:pPr>
            <w:r w:rsidRPr="001C2208">
              <w:t>20,998</w:t>
            </w:r>
          </w:p>
        </w:tc>
        <w:tc>
          <w:tcPr>
            <w:tcW w:w="366" w:type="pct"/>
            <w:vAlign w:val="center"/>
          </w:tcPr>
          <w:p w:rsidR="00786914" w:rsidRPr="001C2208" w:rsidRDefault="00786914" w:rsidP="0006743B">
            <w:pPr>
              <w:pStyle w:val="TableText"/>
            </w:pPr>
            <w:r w:rsidRPr="001C2208">
              <w:t>21,476</w:t>
            </w:r>
          </w:p>
        </w:tc>
        <w:tc>
          <w:tcPr>
            <w:tcW w:w="366" w:type="pct"/>
            <w:vAlign w:val="center"/>
          </w:tcPr>
          <w:p w:rsidR="00786914" w:rsidRPr="001C2208" w:rsidRDefault="00786914" w:rsidP="0006743B">
            <w:pPr>
              <w:pStyle w:val="TableText"/>
            </w:pPr>
            <w:r w:rsidRPr="001C2208">
              <w:t>21,552</w:t>
            </w:r>
          </w:p>
        </w:tc>
        <w:tc>
          <w:tcPr>
            <w:tcW w:w="365" w:type="pct"/>
            <w:vAlign w:val="center"/>
          </w:tcPr>
          <w:p w:rsidR="00786914" w:rsidRPr="001C2208" w:rsidRDefault="00786914" w:rsidP="0006743B">
            <w:pPr>
              <w:pStyle w:val="TableText"/>
            </w:pPr>
            <w:r w:rsidRPr="001C2208">
              <w:t>21,449</w:t>
            </w:r>
          </w:p>
        </w:tc>
        <w:tc>
          <w:tcPr>
            <w:tcW w:w="366" w:type="pct"/>
            <w:vAlign w:val="center"/>
          </w:tcPr>
          <w:p w:rsidR="00786914" w:rsidRPr="001C2208" w:rsidRDefault="00786914" w:rsidP="0006743B">
            <w:pPr>
              <w:pStyle w:val="TableText"/>
            </w:pPr>
            <w:r w:rsidRPr="001C2208">
              <w:t>22,552</w:t>
            </w:r>
          </w:p>
        </w:tc>
        <w:tc>
          <w:tcPr>
            <w:tcW w:w="366" w:type="pct"/>
            <w:vAlign w:val="center"/>
          </w:tcPr>
          <w:p w:rsidR="00786914" w:rsidRPr="001C2208" w:rsidRDefault="00786914" w:rsidP="0006743B">
            <w:pPr>
              <w:pStyle w:val="TableText"/>
            </w:pPr>
            <w:r w:rsidRPr="001C2208">
              <w:t>23,721</w:t>
            </w:r>
          </w:p>
        </w:tc>
        <w:tc>
          <w:tcPr>
            <w:tcW w:w="366" w:type="pct"/>
            <w:vAlign w:val="center"/>
          </w:tcPr>
          <w:p w:rsidR="00786914" w:rsidRPr="001C2208" w:rsidRDefault="00786914" w:rsidP="0006743B">
            <w:pPr>
              <w:pStyle w:val="TableText"/>
            </w:pPr>
            <w:r w:rsidRPr="001C2208">
              <w:t>25,243</w:t>
            </w:r>
          </w:p>
        </w:tc>
        <w:tc>
          <w:tcPr>
            <w:tcW w:w="365" w:type="pct"/>
            <w:vAlign w:val="center"/>
          </w:tcPr>
          <w:p w:rsidR="00786914" w:rsidRPr="001C2208" w:rsidRDefault="00786914" w:rsidP="0006743B">
            <w:pPr>
              <w:pStyle w:val="TableText"/>
            </w:pPr>
            <w:r w:rsidRPr="001C2208">
              <w:t>25,226</w:t>
            </w:r>
          </w:p>
        </w:tc>
        <w:tc>
          <w:tcPr>
            <w:tcW w:w="366" w:type="pct"/>
            <w:vAlign w:val="center"/>
          </w:tcPr>
          <w:p w:rsidR="00786914" w:rsidRPr="001C2208" w:rsidRDefault="00786914" w:rsidP="0006743B">
            <w:pPr>
              <w:pStyle w:val="TableText"/>
            </w:pPr>
            <w:r w:rsidRPr="001C2208">
              <w:t>25,252</w:t>
            </w:r>
          </w:p>
        </w:tc>
        <w:tc>
          <w:tcPr>
            <w:tcW w:w="366" w:type="pct"/>
            <w:vAlign w:val="center"/>
          </w:tcPr>
          <w:p w:rsidR="00786914" w:rsidRPr="001C2208" w:rsidRDefault="00786914" w:rsidP="0006743B">
            <w:pPr>
              <w:pStyle w:val="TableText"/>
            </w:pPr>
            <w:r>
              <w:t>25,055</w:t>
            </w:r>
          </w:p>
        </w:tc>
        <w:tc>
          <w:tcPr>
            <w:tcW w:w="366" w:type="pct"/>
            <w:vAlign w:val="center"/>
          </w:tcPr>
          <w:p w:rsidR="00786914" w:rsidRPr="001C2208" w:rsidRDefault="00786914" w:rsidP="0006743B">
            <w:pPr>
              <w:pStyle w:val="TableText"/>
            </w:pPr>
            <w:r>
              <w:t>24,536</w:t>
            </w:r>
          </w:p>
        </w:tc>
      </w:tr>
    </w:tbl>
    <w:p w:rsidR="00786914" w:rsidRDefault="00786914" w:rsidP="0006743B">
      <w:pPr>
        <w:pStyle w:val="TableNotes"/>
        <w:rPr>
          <w:lang w:bidi="en-US"/>
        </w:rPr>
      </w:pPr>
      <w:r w:rsidRPr="00D508C2">
        <w:rPr>
          <w:lang w:bidi="en-US"/>
        </w:rPr>
        <w:t>Source: AIHW National Hospital Morbidity Database</w:t>
      </w:r>
      <w:r>
        <w:rPr>
          <w:lang w:bidi="en-US"/>
        </w:rPr>
        <w:t>.</w:t>
      </w:r>
    </w:p>
    <w:p w:rsidR="00786914" w:rsidRPr="00372C6C" w:rsidRDefault="00786914" w:rsidP="0006743B">
      <w:pPr>
        <w:rPr>
          <w:lang w:bidi="en-US"/>
        </w:rPr>
      </w:pPr>
      <w:r w:rsidRPr="00372C6C">
        <w:rPr>
          <w:lang w:bidi="en-US"/>
        </w:rPr>
        <w:t>The total number of Medicare items processed between July 2007 an</w:t>
      </w:r>
      <w:r>
        <w:rPr>
          <w:lang w:bidi="en-US"/>
        </w:rPr>
        <w:t>d June 2011 is shown in Table 7</w:t>
      </w:r>
      <w:r w:rsidR="00766F46">
        <w:fldChar w:fldCharType="begin"/>
      </w:r>
      <w:r w:rsidR="00766F46">
        <w:instrText xml:space="preserve"> REF _Ref323306357 \h  \* MERGEFORMAT </w:instrText>
      </w:r>
      <w:r w:rsidR="00766F46">
        <w:fldChar w:fldCharType="separate"/>
      </w:r>
      <w:r w:rsidR="00F45C43">
        <w:rPr>
          <w:b/>
          <w:bCs/>
          <w:lang w:val="en-US"/>
        </w:rPr>
        <w:t>Error! Reference source not found.</w:t>
      </w:r>
      <w:r w:rsidR="00766F46">
        <w:fldChar w:fldCharType="end"/>
      </w:r>
      <w:r w:rsidRPr="00372C6C">
        <w:rPr>
          <w:lang w:bidi="en-US"/>
        </w:rPr>
        <w:t>, and illustrate the casemix and costs to the Government of the different surgical procedures that may be used to treat the condition.</w:t>
      </w:r>
    </w:p>
    <w:p w:rsidR="00786914" w:rsidRDefault="00786914" w:rsidP="0006743B">
      <w:pPr>
        <w:pStyle w:val="Caption"/>
      </w:pPr>
      <w:bookmarkStart w:id="77" w:name="_Toc327803254"/>
      <w:bookmarkStart w:id="78" w:name="_Toc327881544"/>
      <w:bookmarkStart w:id="79" w:name="_Ref292367090"/>
      <w:r>
        <w:t xml:space="preserve">Table </w:t>
      </w:r>
      <w:fldSimple w:instr=" SEQ Table \* ARABIC ">
        <w:r w:rsidR="00F45C43">
          <w:rPr>
            <w:noProof/>
          </w:rPr>
          <w:t>7</w:t>
        </w:r>
      </w:fldSimple>
      <w:r>
        <w:t>:</w:t>
      </w:r>
      <w:r>
        <w:tab/>
        <w:t>Requested Medicare items processed from July 2007 to June 2011</w:t>
      </w:r>
      <w:bookmarkEnd w:id="77"/>
      <w:bookmarkEnd w:id="78"/>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260"/>
        <w:gridCol w:w="992"/>
        <w:gridCol w:w="992"/>
        <w:gridCol w:w="992"/>
        <w:gridCol w:w="992"/>
        <w:gridCol w:w="992"/>
      </w:tblGrid>
      <w:tr w:rsidR="00786914" w:rsidTr="0006743B">
        <w:tc>
          <w:tcPr>
            <w:tcW w:w="1123" w:type="dxa"/>
          </w:tcPr>
          <w:bookmarkEnd w:id="79"/>
          <w:p w:rsidR="00786914" w:rsidRPr="00AB527E" w:rsidRDefault="00786914" w:rsidP="0006743B">
            <w:pPr>
              <w:pStyle w:val="Tableheading"/>
              <w:rPr>
                <w:lang w:bidi="en-US"/>
              </w:rPr>
            </w:pPr>
            <w:r w:rsidRPr="00AB527E">
              <w:rPr>
                <w:lang w:bidi="en-US"/>
              </w:rPr>
              <w:t xml:space="preserve">MBS </w:t>
            </w:r>
            <w:r>
              <w:rPr>
                <w:lang w:bidi="en-US"/>
              </w:rPr>
              <w:t>i</w:t>
            </w:r>
            <w:r w:rsidRPr="00AB527E">
              <w:rPr>
                <w:lang w:bidi="en-US"/>
              </w:rPr>
              <w:t xml:space="preserve">tem </w:t>
            </w:r>
            <w:r>
              <w:rPr>
                <w:lang w:bidi="en-US"/>
              </w:rPr>
              <w:t>n</w:t>
            </w:r>
            <w:r w:rsidRPr="00AB527E">
              <w:rPr>
                <w:lang w:bidi="en-US"/>
              </w:rPr>
              <w:t>umber</w:t>
            </w:r>
          </w:p>
        </w:tc>
        <w:tc>
          <w:tcPr>
            <w:tcW w:w="3260" w:type="dxa"/>
          </w:tcPr>
          <w:p w:rsidR="00786914" w:rsidRPr="00AB527E" w:rsidRDefault="00786914" w:rsidP="0006743B">
            <w:pPr>
              <w:pStyle w:val="Tableheading"/>
              <w:rPr>
                <w:lang w:bidi="en-US"/>
              </w:rPr>
            </w:pPr>
            <w:r w:rsidRPr="00AB527E">
              <w:rPr>
                <w:lang w:bidi="en-US"/>
              </w:rPr>
              <w:t>Procedure</w:t>
            </w:r>
          </w:p>
        </w:tc>
        <w:tc>
          <w:tcPr>
            <w:tcW w:w="992" w:type="dxa"/>
          </w:tcPr>
          <w:p w:rsidR="00786914" w:rsidRPr="00AB527E" w:rsidRDefault="00786914" w:rsidP="0006743B">
            <w:pPr>
              <w:pStyle w:val="Tableheading"/>
              <w:rPr>
                <w:lang w:bidi="en-US"/>
              </w:rPr>
            </w:pPr>
            <w:r w:rsidRPr="00AB527E">
              <w:rPr>
                <w:lang w:bidi="en-US"/>
              </w:rPr>
              <w:t>Fee</w:t>
            </w:r>
          </w:p>
        </w:tc>
        <w:tc>
          <w:tcPr>
            <w:tcW w:w="992" w:type="dxa"/>
          </w:tcPr>
          <w:p w:rsidR="00786914" w:rsidRPr="00AB527E" w:rsidRDefault="00786914" w:rsidP="0006743B">
            <w:pPr>
              <w:pStyle w:val="Tableheading"/>
              <w:rPr>
                <w:lang w:bidi="en-US"/>
              </w:rPr>
            </w:pPr>
            <w:r w:rsidRPr="00AB527E">
              <w:rPr>
                <w:lang w:bidi="en-US"/>
              </w:rPr>
              <w:t>2007</w:t>
            </w:r>
            <w:r>
              <w:rPr>
                <w:lang w:bidi="en-US"/>
              </w:rPr>
              <w:t>–</w:t>
            </w:r>
            <w:r w:rsidRPr="00AB527E">
              <w:rPr>
                <w:lang w:bidi="en-US"/>
              </w:rPr>
              <w:t>08</w:t>
            </w:r>
          </w:p>
        </w:tc>
        <w:tc>
          <w:tcPr>
            <w:tcW w:w="992" w:type="dxa"/>
          </w:tcPr>
          <w:p w:rsidR="00786914" w:rsidRPr="00AB527E" w:rsidRDefault="00786914" w:rsidP="0006743B">
            <w:pPr>
              <w:pStyle w:val="Tableheading"/>
              <w:rPr>
                <w:lang w:bidi="en-US"/>
              </w:rPr>
            </w:pPr>
            <w:r w:rsidRPr="00AB527E">
              <w:rPr>
                <w:lang w:bidi="en-US"/>
              </w:rPr>
              <w:t>2008</w:t>
            </w:r>
            <w:r>
              <w:rPr>
                <w:lang w:bidi="en-US"/>
              </w:rPr>
              <w:t>–</w:t>
            </w:r>
            <w:r w:rsidRPr="00AB527E">
              <w:rPr>
                <w:lang w:bidi="en-US"/>
              </w:rPr>
              <w:t>09</w:t>
            </w:r>
          </w:p>
        </w:tc>
        <w:tc>
          <w:tcPr>
            <w:tcW w:w="992" w:type="dxa"/>
          </w:tcPr>
          <w:p w:rsidR="00786914" w:rsidRPr="00AB527E" w:rsidRDefault="00786914" w:rsidP="0006743B">
            <w:pPr>
              <w:pStyle w:val="Tableheading"/>
              <w:rPr>
                <w:lang w:bidi="en-US"/>
              </w:rPr>
            </w:pPr>
            <w:r w:rsidRPr="00AB527E">
              <w:rPr>
                <w:lang w:bidi="en-US"/>
              </w:rPr>
              <w:t>2009</w:t>
            </w:r>
            <w:r>
              <w:rPr>
                <w:lang w:bidi="en-US"/>
              </w:rPr>
              <w:t>–</w:t>
            </w:r>
            <w:r w:rsidRPr="00AB527E">
              <w:rPr>
                <w:lang w:bidi="en-US"/>
              </w:rPr>
              <w:t>10</w:t>
            </w:r>
          </w:p>
        </w:tc>
        <w:tc>
          <w:tcPr>
            <w:tcW w:w="992" w:type="dxa"/>
          </w:tcPr>
          <w:p w:rsidR="00786914" w:rsidRPr="00AB527E" w:rsidRDefault="00786914" w:rsidP="0006743B">
            <w:pPr>
              <w:pStyle w:val="Tableheading"/>
              <w:rPr>
                <w:lang w:bidi="en-US"/>
              </w:rPr>
            </w:pPr>
            <w:r w:rsidRPr="00AB527E">
              <w:rPr>
                <w:lang w:bidi="en-US"/>
              </w:rPr>
              <w:t>2010</w:t>
            </w:r>
            <w:r>
              <w:rPr>
                <w:lang w:bidi="en-US"/>
              </w:rPr>
              <w:t>–</w:t>
            </w:r>
            <w:r w:rsidRPr="00AB527E">
              <w:rPr>
                <w:lang w:bidi="en-US"/>
              </w:rPr>
              <w:t>11</w:t>
            </w:r>
          </w:p>
        </w:tc>
      </w:tr>
      <w:tr w:rsidR="00786914" w:rsidRPr="00593593" w:rsidTr="0006743B">
        <w:tc>
          <w:tcPr>
            <w:tcW w:w="1123" w:type="dxa"/>
          </w:tcPr>
          <w:p w:rsidR="00786914" w:rsidRPr="00976222" w:rsidRDefault="00786914" w:rsidP="0006743B">
            <w:pPr>
              <w:pStyle w:val="TableText"/>
            </w:pPr>
            <w:r w:rsidRPr="00976222">
              <w:t>37203</w:t>
            </w:r>
          </w:p>
        </w:tc>
        <w:tc>
          <w:tcPr>
            <w:tcW w:w="3260" w:type="dxa"/>
          </w:tcPr>
          <w:p w:rsidR="00786914" w:rsidRPr="00976222" w:rsidRDefault="00786914" w:rsidP="0006743B">
            <w:pPr>
              <w:pStyle w:val="TableText"/>
            </w:pPr>
            <w:r w:rsidRPr="00976222">
              <w:t>Transurethral resection of prostate [TURP]</w:t>
            </w:r>
          </w:p>
        </w:tc>
        <w:tc>
          <w:tcPr>
            <w:tcW w:w="992" w:type="dxa"/>
          </w:tcPr>
          <w:p w:rsidR="00786914" w:rsidRPr="00976222" w:rsidRDefault="00786914" w:rsidP="0006743B">
            <w:pPr>
              <w:pStyle w:val="TableText"/>
            </w:pPr>
            <w:r w:rsidRPr="00976222">
              <w:t>$1,022.70</w:t>
            </w:r>
          </w:p>
        </w:tc>
        <w:tc>
          <w:tcPr>
            <w:tcW w:w="992" w:type="dxa"/>
          </w:tcPr>
          <w:p w:rsidR="00786914" w:rsidRPr="00976222" w:rsidRDefault="00786914" w:rsidP="0006743B">
            <w:pPr>
              <w:pStyle w:val="TableText"/>
            </w:pPr>
            <w:r w:rsidRPr="00976222">
              <w:t>12,158</w:t>
            </w:r>
          </w:p>
        </w:tc>
        <w:tc>
          <w:tcPr>
            <w:tcW w:w="992" w:type="dxa"/>
          </w:tcPr>
          <w:p w:rsidR="00786914" w:rsidRPr="00976222" w:rsidRDefault="00786914" w:rsidP="0006743B">
            <w:pPr>
              <w:pStyle w:val="TableText"/>
            </w:pPr>
            <w:r w:rsidRPr="00976222">
              <w:t>12,557</w:t>
            </w:r>
          </w:p>
        </w:tc>
        <w:tc>
          <w:tcPr>
            <w:tcW w:w="992" w:type="dxa"/>
          </w:tcPr>
          <w:p w:rsidR="00786914" w:rsidRPr="00976222" w:rsidRDefault="00786914" w:rsidP="0006743B">
            <w:pPr>
              <w:pStyle w:val="TableText"/>
            </w:pPr>
            <w:r w:rsidRPr="00976222">
              <w:t>12,690</w:t>
            </w:r>
          </w:p>
        </w:tc>
        <w:tc>
          <w:tcPr>
            <w:tcW w:w="992" w:type="dxa"/>
          </w:tcPr>
          <w:p w:rsidR="00786914" w:rsidRPr="00976222" w:rsidRDefault="00786914" w:rsidP="0006743B">
            <w:pPr>
              <w:pStyle w:val="TableText"/>
            </w:pPr>
            <w:r w:rsidRPr="00976222">
              <w:t>12,673</w:t>
            </w:r>
          </w:p>
        </w:tc>
      </w:tr>
      <w:tr w:rsidR="00786914" w:rsidRPr="00593593" w:rsidTr="0006743B">
        <w:tc>
          <w:tcPr>
            <w:tcW w:w="1123" w:type="dxa"/>
          </w:tcPr>
          <w:p w:rsidR="00786914" w:rsidRPr="00976222" w:rsidRDefault="00786914" w:rsidP="0006743B">
            <w:pPr>
              <w:pStyle w:val="TableText"/>
            </w:pPr>
            <w:r w:rsidRPr="00976222">
              <w:t>37207</w:t>
            </w:r>
          </w:p>
        </w:tc>
        <w:tc>
          <w:tcPr>
            <w:tcW w:w="3260" w:type="dxa"/>
          </w:tcPr>
          <w:p w:rsidR="00786914" w:rsidRPr="00976222" w:rsidRDefault="00786914" w:rsidP="0006743B">
            <w:pPr>
              <w:pStyle w:val="TableText"/>
            </w:pPr>
            <w:r w:rsidRPr="00976222">
              <w:t>Visual laser ablation (VLAP)</w:t>
            </w:r>
          </w:p>
        </w:tc>
        <w:tc>
          <w:tcPr>
            <w:tcW w:w="992" w:type="dxa"/>
          </w:tcPr>
          <w:p w:rsidR="00786914" w:rsidRPr="00976222" w:rsidRDefault="00786914" w:rsidP="0006743B">
            <w:pPr>
              <w:pStyle w:val="TableText"/>
            </w:pPr>
            <w:r w:rsidRPr="00976222">
              <w:t>$850.30</w:t>
            </w:r>
          </w:p>
        </w:tc>
        <w:tc>
          <w:tcPr>
            <w:tcW w:w="992" w:type="dxa"/>
          </w:tcPr>
          <w:p w:rsidR="00786914" w:rsidRPr="00976222" w:rsidRDefault="00786914" w:rsidP="0006743B">
            <w:pPr>
              <w:pStyle w:val="TableText"/>
            </w:pPr>
            <w:r w:rsidRPr="00976222">
              <w:t>319</w:t>
            </w:r>
          </w:p>
        </w:tc>
        <w:tc>
          <w:tcPr>
            <w:tcW w:w="992" w:type="dxa"/>
          </w:tcPr>
          <w:p w:rsidR="00786914" w:rsidRPr="00976222" w:rsidRDefault="00786914" w:rsidP="0006743B">
            <w:pPr>
              <w:pStyle w:val="TableText"/>
            </w:pPr>
            <w:r w:rsidRPr="00976222">
              <w:t>460</w:t>
            </w:r>
          </w:p>
        </w:tc>
        <w:tc>
          <w:tcPr>
            <w:tcW w:w="992" w:type="dxa"/>
          </w:tcPr>
          <w:p w:rsidR="00786914" w:rsidRPr="00976222" w:rsidRDefault="00786914" w:rsidP="0006743B">
            <w:pPr>
              <w:pStyle w:val="TableText"/>
            </w:pPr>
            <w:r w:rsidRPr="00976222">
              <w:t>699</w:t>
            </w:r>
          </w:p>
        </w:tc>
        <w:tc>
          <w:tcPr>
            <w:tcW w:w="992" w:type="dxa"/>
          </w:tcPr>
          <w:p w:rsidR="00786914" w:rsidRPr="00976222" w:rsidRDefault="00786914" w:rsidP="0006743B">
            <w:pPr>
              <w:pStyle w:val="TableText"/>
            </w:pPr>
            <w:r w:rsidRPr="00976222">
              <w:t>938</w:t>
            </w:r>
          </w:p>
        </w:tc>
      </w:tr>
      <w:tr w:rsidR="00786914" w:rsidRPr="00593593" w:rsidTr="0006743B">
        <w:tc>
          <w:tcPr>
            <w:tcW w:w="1123" w:type="dxa"/>
          </w:tcPr>
          <w:p w:rsidR="00786914" w:rsidRPr="00976222" w:rsidRDefault="00786914" w:rsidP="0006743B">
            <w:pPr>
              <w:pStyle w:val="TableText"/>
            </w:pPr>
            <w:r w:rsidRPr="00976222">
              <w:t>37224</w:t>
            </w:r>
          </w:p>
        </w:tc>
        <w:tc>
          <w:tcPr>
            <w:tcW w:w="3260" w:type="dxa"/>
          </w:tcPr>
          <w:p w:rsidR="00786914" w:rsidRPr="00976222" w:rsidRDefault="00786914" w:rsidP="0006743B">
            <w:pPr>
              <w:pStyle w:val="TableText"/>
            </w:pPr>
            <w:r w:rsidRPr="00976222">
              <w:t>Diathermy or visual laser destruction</w:t>
            </w:r>
          </w:p>
        </w:tc>
        <w:tc>
          <w:tcPr>
            <w:tcW w:w="992" w:type="dxa"/>
          </w:tcPr>
          <w:p w:rsidR="00786914" w:rsidRPr="00976222" w:rsidRDefault="00786914" w:rsidP="0006743B">
            <w:pPr>
              <w:pStyle w:val="TableText"/>
            </w:pPr>
            <w:r w:rsidRPr="00976222">
              <w:t>$317.15</w:t>
            </w:r>
          </w:p>
        </w:tc>
        <w:tc>
          <w:tcPr>
            <w:tcW w:w="992" w:type="dxa"/>
          </w:tcPr>
          <w:p w:rsidR="00786914" w:rsidRPr="00976222" w:rsidRDefault="00786914" w:rsidP="0006743B">
            <w:pPr>
              <w:pStyle w:val="TableText"/>
            </w:pPr>
            <w:r w:rsidRPr="00976222">
              <w:t>240</w:t>
            </w:r>
          </w:p>
        </w:tc>
        <w:tc>
          <w:tcPr>
            <w:tcW w:w="992" w:type="dxa"/>
          </w:tcPr>
          <w:p w:rsidR="00786914" w:rsidRPr="00976222" w:rsidRDefault="00786914" w:rsidP="0006743B">
            <w:pPr>
              <w:pStyle w:val="TableText"/>
            </w:pPr>
            <w:r w:rsidRPr="00976222">
              <w:t>249</w:t>
            </w:r>
          </w:p>
        </w:tc>
        <w:tc>
          <w:tcPr>
            <w:tcW w:w="992" w:type="dxa"/>
          </w:tcPr>
          <w:p w:rsidR="00786914" w:rsidRPr="00976222" w:rsidRDefault="00786914" w:rsidP="0006743B">
            <w:pPr>
              <w:pStyle w:val="TableText"/>
            </w:pPr>
            <w:r w:rsidRPr="00976222">
              <w:t>232</w:t>
            </w:r>
          </w:p>
        </w:tc>
        <w:tc>
          <w:tcPr>
            <w:tcW w:w="992" w:type="dxa"/>
          </w:tcPr>
          <w:p w:rsidR="00786914" w:rsidRPr="00976222" w:rsidRDefault="00786914" w:rsidP="0006743B">
            <w:pPr>
              <w:pStyle w:val="TableText"/>
            </w:pPr>
            <w:r w:rsidRPr="00976222">
              <w:t>269</w:t>
            </w:r>
          </w:p>
        </w:tc>
      </w:tr>
      <w:tr w:rsidR="00786914" w:rsidRPr="00593593" w:rsidTr="0006743B">
        <w:tc>
          <w:tcPr>
            <w:tcW w:w="1123" w:type="dxa"/>
          </w:tcPr>
          <w:p w:rsidR="00786914" w:rsidRPr="00976222" w:rsidRDefault="00786914" w:rsidP="0006743B">
            <w:pPr>
              <w:pStyle w:val="TableText"/>
            </w:pPr>
            <w:r w:rsidRPr="00976222">
              <w:t>37200</w:t>
            </w:r>
          </w:p>
        </w:tc>
        <w:tc>
          <w:tcPr>
            <w:tcW w:w="3260" w:type="dxa"/>
          </w:tcPr>
          <w:p w:rsidR="00786914" w:rsidRPr="00976222" w:rsidRDefault="00786914" w:rsidP="0006743B">
            <w:pPr>
              <w:pStyle w:val="TableText"/>
            </w:pPr>
            <w:r w:rsidRPr="00976222">
              <w:t>Open prostatectomy</w:t>
            </w:r>
          </w:p>
        </w:tc>
        <w:tc>
          <w:tcPr>
            <w:tcW w:w="992" w:type="dxa"/>
          </w:tcPr>
          <w:p w:rsidR="00786914" w:rsidRPr="00976222" w:rsidRDefault="00786914" w:rsidP="0006743B">
            <w:pPr>
              <w:pStyle w:val="TableText"/>
            </w:pPr>
            <w:r w:rsidRPr="00976222">
              <w:t>$997.35</w:t>
            </w:r>
          </w:p>
        </w:tc>
        <w:tc>
          <w:tcPr>
            <w:tcW w:w="992" w:type="dxa"/>
          </w:tcPr>
          <w:p w:rsidR="00786914" w:rsidRPr="00976222" w:rsidRDefault="00786914" w:rsidP="0006743B">
            <w:pPr>
              <w:pStyle w:val="TableText"/>
            </w:pPr>
            <w:r w:rsidRPr="00976222">
              <w:t>141</w:t>
            </w:r>
          </w:p>
        </w:tc>
        <w:tc>
          <w:tcPr>
            <w:tcW w:w="992" w:type="dxa"/>
          </w:tcPr>
          <w:p w:rsidR="00786914" w:rsidRPr="00976222" w:rsidRDefault="00786914" w:rsidP="0006743B">
            <w:pPr>
              <w:pStyle w:val="TableText"/>
            </w:pPr>
            <w:r w:rsidRPr="00976222">
              <w:t>153</w:t>
            </w:r>
          </w:p>
        </w:tc>
        <w:tc>
          <w:tcPr>
            <w:tcW w:w="992" w:type="dxa"/>
          </w:tcPr>
          <w:p w:rsidR="00786914" w:rsidRPr="00976222" w:rsidRDefault="00786914" w:rsidP="0006743B">
            <w:pPr>
              <w:pStyle w:val="TableText"/>
            </w:pPr>
            <w:r w:rsidRPr="00976222">
              <w:t>142</w:t>
            </w:r>
          </w:p>
        </w:tc>
        <w:tc>
          <w:tcPr>
            <w:tcW w:w="992" w:type="dxa"/>
          </w:tcPr>
          <w:p w:rsidR="00786914" w:rsidRPr="00976222" w:rsidRDefault="00786914" w:rsidP="0006743B">
            <w:pPr>
              <w:pStyle w:val="TableText"/>
            </w:pPr>
            <w:r w:rsidRPr="00976222">
              <w:t>141</w:t>
            </w:r>
          </w:p>
        </w:tc>
      </w:tr>
      <w:tr w:rsidR="00786914" w:rsidRPr="00593593" w:rsidTr="0006743B">
        <w:tc>
          <w:tcPr>
            <w:tcW w:w="1123" w:type="dxa"/>
          </w:tcPr>
          <w:p w:rsidR="00786914" w:rsidRPr="00976222" w:rsidRDefault="00786914" w:rsidP="0006743B">
            <w:pPr>
              <w:pStyle w:val="TableText"/>
            </w:pPr>
            <w:r w:rsidRPr="00976222">
              <w:t>37206</w:t>
            </w:r>
          </w:p>
        </w:tc>
        <w:tc>
          <w:tcPr>
            <w:tcW w:w="3260" w:type="dxa"/>
          </w:tcPr>
          <w:p w:rsidR="00786914" w:rsidRPr="00976222" w:rsidRDefault="00786914" w:rsidP="0006743B">
            <w:pPr>
              <w:pStyle w:val="TableText"/>
            </w:pPr>
            <w:r w:rsidRPr="00976222">
              <w:t>Transurethral resection of prostate [TURP] (continuation within 10 days)</w:t>
            </w:r>
          </w:p>
        </w:tc>
        <w:tc>
          <w:tcPr>
            <w:tcW w:w="992" w:type="dxa"/>
          </w:tcPr>
          <w:p w:rsidR="00786914" w:rsidRPr="00976222" w:rsidRDefault="00786914" w:rsidP="0006743B">
            <w:pPr>
              <w:pStyle w:val="TableText"/>
            </w:pPr>
            <w:r w:rsidRPr="00976222">
              <w:t>$547.70</w:t>
            </w:r>
          </w:p>
        </w:tc>
        <w:tc>
          <w:tcPr>
            <w:tcW w:w="992" w:type="dxa"/>
          </w:tcPr>
          <w:p w:rsidR="00786914" w:rsidRPr="00976222" w:rsidRDefault="00786914" w:rsidP="0006743B">
            <w:pPr>
              <w:pStyle w:val="TableText"/>
            </w:pPr>
            <w:r w:rsidRPr="00976222">
              <w:t>24</w:t>
            </w:r>
          </w:p>
        </w:tc>
        <w:tc>
          <w:tcPr>
            <w:tcW w:w="992" w:type="dxa"/>
          </w:tcPr>
          <w:p w:rsidR="00786914" w:rsidRPr="00976222" w:rsidRDefault="00786914" w:rsidP="0006743B">
            <w:pPr>
              <w:pStyle w:val="TableText"/>
            </w:pPr>
            <w:r w:rsidRPr="00976222">
              <w:t>30</w:t>
            </w:r>
          </w:p>
        </w:tc>
        <w:tc>
          <w:tcPr>
            <w:tcW w:w="992" w:type="dxa"/>
          </w:tcPr>
          <w:p w:rsidR="00786914" w:rsidRPr="00976222" w:rsidRDefault="00786914" w:rsidP="0006743B">
            <w:pPr>
              <w:pStyle w:val="TableText"/>
            </w:pPr>
            <w:r w:rsidRPr="00976222">
              <w:t>33</w:t>
            </w:r>
          </w:p>
        </w:tc>
        <w:tc>
          <w:tcPr>
            <w:tcW w:w="992" w:type="dxa"/>
          </w:tcPr>
          <w:p w:rsidR="00786914" w:rsidRPr="00976222" w:rsidRDefault="00786914" w:rsidP="0006743B">
            <w:pPr>
              <w:pStyle w:val="TableText"/>
            </w:pPr>
            <w:r w:rsidRPr="00976222">
              <w:t>25</w:t>
            </w:r>
          </w:p>
        </w:tc>
      </w:tr>
      <w:tr w:rsidR="00786914" w:rsidRPr="00593593" w:rsidTr="0006743B">
        <w:trPr>
          <w:trHeight w:val="70"/>
        </w:trPr>
        <w:tc>
          <w:tcPr>
            <w:tcW w:w="1123" w:type="dxa"/>
          </w:tcPr>
          <w:p w:rsidR="00786914" w:rsidRPr="00976222" w:rsidRDefault="00786914" w:rsidP="0006743B">
            <w:pPr>
              <w:pStyle w:val="TableText"/>
            </w:pPr>
            <w:r w:rsidRPr="00976222">
              <w:t>37230</w:t>
            </w:r>
          </w:p>
        </w:tc>
        <w:tc>
          <w:tcPr>
            <w:tcW w:w="3260" w:type="dxa"/>
          </w:tcPr>
          <w:p w:rsidR="00786914" w:rsidRPr="00976222" w:rsidRDefault="00786914" w:rsidP="0006743B">
            <w:pPr>
              <w:pStyle w:val="TableText"/>
            </w:pPr>
            <w:r w:rsidRPr="00976222">
              <w:t>Transurethral microwave thermotherapy [TUMT]</w:t>
            </w:r>
          </w:p>
        </w:tc>
        <w:tc>
          <w:tcPr>
            <w:tcW w:w="992" w:type="dxa"/>
          </w:tcPr>
          <w:p w:rsidR="00786914" w:rsidRPr="00976222" w:rsidRDefault="00786914" w:rsidP="0006743B">
            <w:pPr>
              <w:pStyle w:val="TableText"/>
            </w:pPr>
            <w:r w:rsidRPr="00976222">
              <w:t>$1,022.70</w:t>
            </w:r>
          </w:p>
        </w:tc>
        <w:tc>
          <w:tcPr>
            <w:tcW w:w="992" w:type="dxa"/>
          </w:tcPr>
          <w:p w:rsidR="00786914" w:rsidRPr="00976222" w:rsidRDefault="00786914" w:rsidP="0006743B">
            <w:pPr>
              <w:pStyle w:val="TableText"/>
            </w:pPr>
            <w:r w:rsidRPr="00976222">
              <w:t>59</w:t>
            </w:r>
          </w:p>
        </w:tc>
        <w:tc>
          <w:tcPr>
            <w:tcW w:w="992" w:type="dxa"/>
          </w:tcPr>
          <w:p w:rsidR="00786914" w:rsidRPr="00976222" w:rsidRDefault="00786914" w:rsidP="0006743B">
            <w:pPr>
              <w:pStyle w:val="TableText"/>
            </w:pPr>
            <w:r w:rsidRPr="00976222">
              <w:t>62</w:t>
            </w:r>
          </w:p>
        </w:tc>
        <w:tc>
          <w:tcPr>
            <w:tcW w:w="992" w:type="dxa"/>
          </w:tcPr>
          <w:p w:rsidR="00786914" w:rsidRPr="00976222" w:rsidRDefault="00786914" w:rsidP="0006743B">
            <w:pPr>
              <w:pStyle w:val="TableText"/>
            </w:pPr>
            <w:r w:rsidRPr="00976222">
              <w:t>28</w:t>
            </w:r>
          </w:p>
        </w:tc>
        <w:tc>
          <w:tcPr>
            <w:tcW w:w="992" w:type="dxa"/>
          </w:tcPr>
          <w:p w:rsidR="00786914" w:rsidRPr="00976222" w:rsidRDefault="00786914" w:rsidP="0006743B">
            <w:pPr>
              <w:pStyle w:val="TableText"/>
            </w:pPr>
            <w:r w:rsidRPr="00976222">
              <w:t>43</w:t>
            </w:r>
          </w:p>
        </w:tc>
      </w:tr>
      <w:tr w:rsidR="00786914" w:rsidRPr="00593593" w:rsidTr="0006743B">
        <w:trPr>
          <w:trHeight w:val="70"/>
        </w:trPr>
        <w:tc>
          <w:tcPr>
            <w:tcW w:w="1123" w:type="dxa"/>
          </w:tcPr>
          <w:p w:rsidR="00786914" w:rsidRPr="00976222" w:rsidRDefault="00786914" w:rsidP="0006743B">
            <w:pPr>
              <w:pStyle w:val="TableText"/>
            </w:pPr>
            <w:r w:rsidRPr="00976222">
              <w:t>37201</w:t>
            </w:r>
          </w:p>
        </w:tc>
        <w:tc>
          <w:tcPr>
            <w:tcW w:w="3260" w:type="dxa"/>
          </w:tcPr>
          <w:p w:rsidR="00786914" w:rsidRPr="00976222" w:rsidRDefault="00786914" w:rsidP="0006743B">
            <w:pPr>
              <w:pStyle w:val="TableText"/>
            </w:pPr>
            <w:r w:rsidRPr="00976222">
              <w:t>Transurethral needle ablation [TUNA]</w:t>
            </w:r>
          </w:p>
        </w:tc>
        <w:tc>
          <w:tcPr>
            <w:tcW w:w="992" w:type="dxa"/>
          </w:tcPr>
          <w:p w:rsidR="00786914" w:rsidRPr="00976222" w:rsidRDefault="00786914" w:rsidP="0006743B">
            <w:pPr>
              <w:pStyle w:val="TableText"/>
            </w:pPr>
            <w:r w:rsidRPr="00976222">
              <w:t>$813.40</w:t>
            </w:r>
          </w:p>
        </w:tc>
        <w:tc>
          <w:tcPr>
            <w:tcW w:w="992" w:type="dxa"/>
          </w:tcPr>
          <w:p w:rsidR="00786914" w:rsidRPr="00976222" w:rsidRDefault="00786914" w:rsidP="0006743B">
            <w:pPr>
              <w:pStyle w:val="TableText"/>
            </w:pPr>
            <w:r w:rsidRPr="00976222">
              <w:t>37</w:t>
            </w:r>
          </w:p>
        </w:tc>
        <w:tc>
          <w:tcPr>
            <w:tcW w:w="992" w:type="dxa"/>
          </w:tcPr>
          <w:p w:rsidR="00786914" w:rsidRPr="00976222" w:rsidRDefault="00786914" w:rsidP="0006743B">
            <w:pPr>
              <w:pStyle w:val="TableText"/>
            </w:pPr>
            <w:r w:rsidRPr="00976222">
              <w:t>17</w:t>
            </w:r>
          </w:p>
        </w:tc>
        <w:tc>
          <w:tcPr>
            <w:tcW w:w="992" w:type="dxa"/>
          </w:tcPr>
          <w:p w:rsidR="00786914" w:rsidRPr="00976222" w:rsidRDefault="00786914" w:rsidP="0006743B">
            <w:pPr>
              <w:pStyle w:val="TableText"/>
            </w:pPr>
            <w:r w:rsidRPr="00976222">
              <w:t>13</w:t>
            </w:r>
          </w:p>
        </w:tc>
        <w:tc>
          <w:tcPr>
            <w:tcW w:w="992" w:type="dxa"/>
          </w:tcPr>
          <w:p w:rsidR="00786914" w:rsidRPr="00976222" w:rsidRDefault="00786914" w:rsidP="0006743B">
            <w:pPr>
              <w:pStyle w:val="TableText"/>
            </w:pPr>
            <w:r w:rsidRPr="00976222">
              <w:t>4</w:t>
            </w:r>
          </w:p>
        </w:tc>
      </w:tr>
      <w:tr w:rsidR="00786914" w:rsidRPr="00593593" w:rsidTr="0006743B">
        <w:trPr>
          <w:trHeight w:val="70"/>
        </w:trPr>
        <w:tc>
          <w:tcPr>
            <w:tcW w:w="1123" w:type="dxa"/>
          </w:tcPr>
          <w:p w:rsidR="00786914" w:rsidRPr="00976222" w:rsidRDefault="00786914" w:rsidP="0006743B">
            <w:pPr>
              <w:pStyle w:val="TableText"/>
            </w:pPr>
            <w:r w:rsidRPr="00976222">
              <w:t>37208</w:t>
            </w:r>
          </w:p>
        </w:tc>
        <w:tc>
          <w:tcPr>
            <w:tcW w:w="3260" w:type="dxa"/>
          </w:tcPr>
          <w:p w:rsidR="00786914" w:rsidRPr="00976222" w:rsidRDefault="00786914" w:rsidP="0006743B">
            <w:pPr>
              <w:pStyle w:val="TableText"/>
            </w:pPr>
            <w:r w:rsidRPr="00976222">
              <w:t>Visual laser ablation (continuation within 10 days)</w:t>
            </w:r>
          </w:p>
        </w:tc>
        <w:tc>
          <w:tcPr>
            <w:tcW w:w="992" w:type="dxa"/>
          </w:tcPr>
          <w:p w:rsidR="00786914" w:rsidRPr="00976222" w:rsidRDefault="00786914" w:rsidP="0006743B">
            <w:pPr>
              <w:pStyle w:val="TableText"/>
            </w:pPr>
            <w:r w:rsidRPr="00976222">
              <w:t>$408.30</w:t>
            </w:r>
          </w:p>
        </w:tc>
        <w:tc>
          <w:tcPr>
            <w:tcW w:w="992" w:type="dxa"/>
          </w:tcPr>
          <w:p w:rsidR="00786914" w:rsidRPr="00976222" w:rsidRDefault="00786914" w:rsidP="0006743B">
            <w:pPr>
              <w:pStyle w:val="TableText"/>
            </w:pPr>
            <w:r w:rsidRPr="00976222">
              <w:t>2</w:t>
            </w:r>
          </w:p>
        </w:tc>
        <w:tc>
          <w:tcPr>
            <w:tcW w:w="992" w:type="dxa"/>
          </w:tcPr>
          <w:p w:rsidR="00786914" w:rsidRPr="00976222" w:rsidRDefault="00786914" w:rsidP="0006743B">
            <w:pPr>
              <w:pStyle w:val="TableText"/>
            </w:pPr>
            <w:r w:rsidRPr="00976222">
              <w:t>2</w:t>
            </w:r>
          </w:p>
        </w:tc>
        <w:tc>
          <w:tcPr>
            <w:tcW w:w="992" w:type="dxa"/>
          </w:tcPr>
          <w:p w:rsidR="00786914" w:rsidRPr="00976222" w:rsidRDefault="00786914" w:rsidP="0006743B">
            <w:pPr>
              <w:pStyle w:val="TableText"/>
            </w:pPr>
            <w:r w:rsidRPr="00976222">
              <w:t>2</w:t>
            </w:r>
          </w:p>
        </w:tc>
        <w:tc>
          <w:tcPr>
            <w:tcW w:w="992" w:type="dxa"/>
          </w:tcPr>
          <w:p w:rsidR="00786914" w:rsidRPr="00976222" w:rsidRDefault="00786914" w:rsidP="0006743B">
            <w:pPr>
              <w:pStyle w:val="TableText"/>
            </w:pPr>
            <w:r w:rsidRPr="00976222">
              <w:t>1</w:t>
            </w:r>
          </w:p>
        </w:tc>
      </w:tr>
      <w:tr w:rsidR="00786914" w:rsidRPr="00593593" w:rsidTr="0006743B">
        <w:trPr>
          <w:trHeight w:val="70"/>
        </w:trPr>
        <w:tc>
          <w:tcPr>
            <w:tcW w:w="1123" w:type="dxa"/>
          </w:tcPr>
          <w:p w:rsidR="00786914" w:rsidRPr="00976222" w:rsidRDefault="00786914" w:rsidP="0006743B">
            <w:pPr>
              <w:pStyle w:val="TableText"/>
            </w:pPr>
            <w:r w:rsidRPr="00976222">
              <w:t>37202</w:t>
            </w:r>
          </w:p>
        </w:tc>
        <w:tc>
          <w:tcPr>
            <w:tcW w:w="3260" w:type="dxa"/>
          </w:tcPr>
          <w:p w:rsidR="00786914" w:rsidRPr="00976222" w:rsidRDefault="00786914" w:rsidP="0006743B">
            <w:pPr>
              <w:pStyle w:val="TableText"/>
            </w:pPr>
            <w:r w:rsidRPr="00976222">
              <w:t>Transurethral needle ablation [TUNA] (continuation within 10 days)</w:t>
            </w:r>
          </w:p>
        </w:tc>
        <w:tc>
          <w:tcPr>
            <w:tcW w:w="992" w:type="dxa"/>
          </w:tcPr>
          <w:p w:rsidR="00786914" w:rsidRPr="00976222" w:rsidRDefault="00786914" w:rsidP="0006743B">
            <w:pPr>
              <w:pStyle w:val="TableText"/>
            </w:pPr>
            <w:r w:rsidRPr="00976222">
              <w:t>$408.30</w:t>
            </w:r>
          </w:p>
        </w:tc>
        <w:tc>
          <w:tcPr>
            <w:tcW w:w="992" w:type="dxa"/>
          </w:tcPr>
          <w:p w:rsidR="00786914" w:rsidRPr="00976222" w:rsidRDefault="00786914" w:rsidP="0006743B">
            <w:pPr>
              <w:pStyle w:val="TableText"/>
            </w:pPr>
            <w:r w:rsidRPr="00976222">
              <w:t>3</w:t>
            </w:r>
          </w:p>
        </w:tc>
        <w:tc>
          <w:tcPr>
            <w:tcW w:w="992" w:type="dxa"/>
          </w:tcPr>
          <w:p w:rsidR="00786914" w:rsidRPr="00976222" w:rsidRDefault="00786914" w:rsidP="0006743B">
            <w:pPr>
              <w:pStyle w:val="TableText"/>
            </w:pPr>
            <w:r w:rsidRPr="00976222">
              <w:t>1</w:t>
            </w:r>
          </w:p>
        </w:tc>
        <w:tc>
          <w:tcPr>
            <w:tcW w:w="992" w:type="dxa"/>
          </w:tcPr>
          <w:p w:rsidR="00786914" w:rsidRPr="00976222" w:rsidRDefault="00786914" w:rsidP="0006743B">
            <w:pPr>
              <w:pStyle w:val="TableText"/>
            </w:pPr>
            <w:r w:rsidRPr="00976222">
              <w:t>1</w:t>
            </w:r>
          </w:p>
        </w:tc>
        <w:tc>
          <w:tcPr>
            <w:tcW w:w="992" w:type="dxa"/>
          </w:tcPr>
          <w:p w:rsidR="00786914" w:rsidRPr="00976222" w:rsidRDefault="00786914" w:rsidP="0006743B">
            <w:pPr>
              <w:pStyle w:val="TableText"/>
            </w:pPr>
            <w:r w:rsidRPr="00976222">
              <w:t>0</w:t>
            </w:r>
          </w:p>
        </w:tc>
      </w:tr>
      <w:tr w:rsidR="00786914" w:rsidRPr="00593593" w:rsidTr="0006743B">
        <w:trPr>
          <w:trHeight w:val="70"/>
        </w:trPr>
        <w:tc>
          <w:tcPr>
            <w:tcW w:w="1123" w:type="dxa"/>
          </w:tcPr>
          <w:p w:rsidR="00786914" w:rsidRPr="00976222" w:rsidRDefault="00786914" w:rsidP="0006743B">
            <w:pPr>
              <w:pStyle w:val="TableText"/>
            </w:pPr>
            <w:r w:rsidRPr="00976222">
              <w:t>37233</w:t>
            </w:r>
          </w:p>
        </w:tc>
        <w:tc>
          <w:tcPr>
            <w:tcW w:w="3260" w:type="dxa"/>
          </w:tcPr>
          <w:p w:rsidR="00786914" w:rsidRPr="00976222" w:rsidRDefault="00786914" w:rsidP="0006743B">
            <w:pPr>
              <w:pStyle w:val="TableText"/>
            </w:pPr>
            <w:r w:rsidRPr="00976222">
              <w:t>Transurethral microwave thermotherapy [TUMT] (continuation within 10 days)</w:t>
            </w:r>
          </w:p>
        </w:tc>
        <w:tc>
          <w:tcPr>
            <w:tcW w:w="992" w:type="dxa"/>
          </w:tcPr>
          <w:p w:rsidR="00786914" w:rsidRPr="00976222" w:rsidRDefault="00786914" w:rsidP="0006743B">
            <w:pPr>
              <w:pStyle w:val="TableText"/>
            </w:pPr>
            <w:r w:rsidRPr="00976222">
              <w:t>$547.70</w:t>
            </w:r>
          </w:p>
        </w:tc>
        <w:tc>
          <w:tcPr>
            <w:tcW w:w="992" w:type="dxa"/>
          </w:tcPr>
          <w:p w:rsidR="00786914" w:rsidRPr="00976222" w:rsidRDefault="00786914" w:rsidP="0006743B">
            <w:pPr>
              <w:pStyle w:val="TableText"/>
            </w:pPr>
            <w:r w:rsidRPr="00976222">
              <w:t>1</w:t>
            </w:r>
          </w:p>
        </w:tc>
        <w:tc>
          <w:tcPr>
            <w:tcW w:w="992" w:type="dxa"/>
          </w:tcPr>
          <w:p w:rsidR="00786914" w:rsidRPr="00976222" w:rsidRDefault="00786914" w:rsidP="0006743B">
            <w:pPr>
              <w:pStyle w:val="TableText"/>
            </w:pPr>
            <w:r w:rsidRPr="00976222">
              <w:t>0</w:t>
            </w:r>
          </w:p>
        </w:tc>
        <w:tc>
          <w:tcPr>
            <w:tcW w:w="992" w:type="dxa"/>
          </w:tcPr>
          <w:p w:rsidR="00786914" w:rsidRPr="00976222" w:rsidRDefault="00786914" w:rsidP="0006743B">
            <w:pPr>
              <w:pStyle w:val="TableText"/>
            </w:pPr>
            <w:r w:rsidRPr="00976222">
              <w:t>1</w:t>
            </w:r>
          </w:p>
        </w:tc>
        <w:tc>
          <w:tcPr>
            <w:tcW w:w="992" w:type="dxa"/>
          </w:tcPr>
          <w:p w:rsidR="00786914" w:rsidRPr="00976222" w:rsidRDefault="00786914" w:rsidP="0006743B">
            <w:pPr>
              <w:pStyle w:val="TableText"/>
            </w:pPr>
            <w:r w:rsidRPr="00976222">
              <w:t>0</w:t>
            </w:r>
          </w:p>
        </w:tc>
      </w:tr>
    </w:tbl>
    <w:p w:rsidR="00786914" w:rsidRPr="00D508C2" w:rsidRDefault="00786914" w:rsidP="0006743B">
      <w:pPr>
        <w:pStyle w:val="TableNotes"/>
        <w:rPr>
          <w:lang w:bidi="en-US"/>
        </w:rPr>
      </w:pPr>
      <w:r w:rsidRPr="00D508C2">
        <w:rPr>
          <w:lang w:bidi="en-US"/>
        </w:rPr>
        <w:t xml:space="preserve">Source: </w:t>
      </w:r>
      <w:r>
        <w:rPr>
          <w:lang w:bidi="en-US"/>
        </w:rPr>
        <w:t>Medicare Australia statistics.</w:t>
      </w:r>
    </w:p>
    <w:p w:rsidR="00786914" w:rsidRPr="00C058C1" w:rsidRDefault="00786914" w:rsidP="0006743B">
      <w:pPr>
        <w:rPr>
          <w:lang w:bidi="en-US"/>
        </w:rPr>
      </w:pPr>
      <w:r>
        <w:rPr>
          <w:lang w:bidi="en-US"/>
        </w:rPr>
        <w:t xml:space="preserve">In this report </w:t>
      </w:r>
      <w:r w:rsidRPr="00C058C1">
        <w:rPr>
          <w:lang w:bidi="en-US"/>
        </w:rPr>
        <w:t>HoLEP</w:t>
      </w:r>
      <w:r>
        <w:rPr>
          <w:lang w:bidi="en-US"/>
        </w:rPr>
        <w:t xml:space="preserve"> is evaluated </w:t>
      </w:r>
      <w:r w:rsidRPr="00C058C1">
        <w:rPr>
          <w:lang w:bidi="en-US"/>
        </w:rPr>
        <w:t>as an alternative procedure to TURP for men with moderately sized prostates (estimat</w:t>
      </w:r>
      <w:r>
        <w:rPr>
          <w:lang w:bidi="en-US"/>
        </w:rPr>
        <w:t>ed to be less than 80–100g).It is also evaluated as an alternative procedure to OP in men with larger estimated prostate sizes (greater than 80–100 g ).</w:t>
      </w:r>
    </w:p>
    <w:p w:rsidR="00786914" w:rsidRDefault="00786914" w:rsidP="0006743B">
      <w:pPr>
        <w:pStyle w:val="Heading2"/>
        <w:rPr>
          <w:bCs/>
        </w:rPr>
      </w:pPr>
      <w:bookmarkStart w:id="80" w:name="_Toc323642270"/>
      <w:bookmarkStart w:id="81" w:name="_Toc327877841"/>
      <w:bookmarkStart w:id="82" w:name="_Toc365900560"/>
      <w:r w:rsidRPr="004C6B15">
        <w:rPr>
          <w:bCs/>
        </w:rPr>
        <w:lastRenderedPageBreak/>
        <w:t>Existing procedures</w:t>
      </w:r>
      <w:bookmarkEnd w:id="80"/>
      <w:bookmarkEnd w:id="81"/>
      <w:bookmarkEnd w:id="82"/>
    </w:p>
    <w:p w:rsidR="00786914" w:rsidRDefault="00786914" w:rsidP="0006743B">
      <w:pPr>
        <w:pStyle w:val="Normalbold"/>
      </w:pPr>
      <w:bookmarkStart w:id="83" w:name="_Toc327877842"/>
      <w:r>
        <w:t>Alternate treatments</w:t>
      </w:r>
      <w:bookmarkEnd w:id="83"/>
    </w:p>
    <w:p w:rsidR="00786914" w:rsidRDefault="00786914" w:rsidP="0006743B">
      <w:r>
        <w:t xml:space="preserve">Two alternate surgical options for the surgical treatment of BPH are in widespread use. These are: </w:t>
      </w:r>
      <w:r w:rsidRPr="00E32834">
        <w:t>transurethral resection of the prostate (TURP) and open prostatectomy (OP</w:t>
      </w:r>
      <w:r>
        <w:t xml:space="preserve">). These are MBS listed. </w:t>
      </w:r>
    </w:p>
    <w:p w:rsidR="00786914" w:rsidRPr="00976222" w:rsidRDefault="00786914" w:rsidP="0006743B">
      <w:pPr>
        <w:pStyle w:val="Normalbold"/>
      </w:pPr>
      <w:r w:rsidRPr="00976222">
        <w:t>Transurethral resection of the prostate (TURP)</w:t>
      </w:r>
    </w:p>
    <w:p w:rsidR="00786914" w:rsidRDefault="00786914" w:rsidP="0006743B">
      <w:r>
        <w:t>TURP has traditionally been considered the surgical ‘gold standard’</w:t>
      </w:r>
      <w:r w:rsidRPr="00BA4379">
        <w:rPr>
          <w:noProof/>
        </w:rPr>
        <w:t>(Gordon et al 1997)</w:t>
      </w:r>
      <w:r w:rsidRPr="00BA4379">
        <w:t>.</w:t>
      </w:r>
      <w:r>
        <w:t xml:space="preserve"> In Australia, TURP is the most frequently used surgical procedure for BPH, representing the highest cost to the MBS for treatment of this patient group. In 2010–11 for example, the total cost of TURP to the MBS (including MBS items 37203 and 37206 – see Table 7 above) amounted to $12.97 million.</w:t>
      </w:r>
    </w:p>
    <w:p w:rsidR="00786914" w:rsidRDefault="00786914" w:rsidP="0006743B">
      <w:r>
        <w:t xml:space="preserve">During the TURP procedure, a small electric loop is introduced into the urethra via a rectoscope (while under general, epidural or spinal anaesthesia). Slivers of excess tissue are excised using the loop, and the electrical current is applied to cauterise the wound (Tooher 2003)(Tooher 2003). </w:t>
      </w:r>
    </w:p>
    <w:p w:rsidR="00786914" w:rsidRPr="00457104" w:rsidRDefault="00786914" w:rsidP="0006743B">
      <w:r>
        <w:t xml:space="preserve">TURP is indicated for patients with moderately sized prostates (estimated size less than 80–100g). Patients with larger prostate sizes are considered poor candidates for TURP. This is in part due to longer resection times, which can lead to higher complication rates. Resection time can be limited during the procedure so as to avoid complications, with patients returning for a second TURP if further resection is required. An indwelling catheter is usually required (for 12 to 24 hours) following the procedure, as is a hospital stay of one to three days. The procedure is performed by an urologist with the assistance of nursing staff and an anaesthetist. </w:t>
      </w:r>
      <w:r w:rsidRPr="00457104">
        <w:t>TURP requires full operating room facilities and utilises equipment such as a standard diathermy generator with cutting and coagulation outputs and standard video-endoscopic equipment.</w:t>
      </w:r>
    </w:p>
    <w:p w:rsidR="00786914" w:rsidRDefault="00786914" w:rsidP="0006743B">
      <w:r>
        <w:t>Complications of the procedure can include bleeding(requiring blood transfusion), acute urinary retention, infections and urethral stricture. Less frequently, a “TUR syndrome” may also occur. This is where intravascular absorption of the irrigant used during the surgery causing dilutional hyponatraemia leads to agitation, confusion, and potentially seizure and coma.</w:t>
      </w:r>
    </w:p>
    <w:p w:rsidR="00786914" w:rsidRPr="00457104" w:rsidRDefault="00786914" w:rsidP="0006743B">
      <w:r w:rsidRPr="00457104">
        <w:t>The current MBS item descriptors for TURP 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7"/>
      </w:tblGrid>
      <w:tr w:rsidR="00786914" w:rsidRPr="002B5B6B">
        <w:tc>
          <w:tcPr>
            <w:tcW w:w="9137" w:type="dxa"/>
          </w:tcPr>
          <w:p w:rsidR="00786914" w:rsidRPr="002B5B6B" w:rsidRDefault="00786914" w:rsidP="0006743B">
            <w:pPr>
              <w:pStyle w:val="TableText"/>
              <w:rPr>
                <w:rFonts w:ascii="Arial" w:hAnsi="Arial" w:cs="Arial"/>
                <w:sz w:val="20"/>
              </w:rPr>
            </w:pPr>
            <w:r w:rsidRPr="00457104">
              <w:t>Category 3 – THERAPUTIC PROCEDURES</w:t>
            </w:r>
          </w:p>
        </w:tc>
      </w:tr>
      <w:tr w:rsidR="00786914" w:rsidRPr="002B5B6B">
        <w:tc>
          <w:tcPr>
            <w:tcW w:w="9137" w:type="dxa"/>
          </w:tcPr>
          <w:p w:rsidR="00786914" w:rsidRPr="00976222" w:rsidRDefault="00786914" w:rsidP="0006743B">
            <w:pPr>
              <w:pStyle w:val="TableText"/>
            </w:pPr>
            <w:r w:rsidRPr="00976222">
              <w:t>MBS 37203</w:t>
            </w:r>
          </w:p>
          <w:p w:rsidR="00786914" w:rsidRPr="00976222" w:rsidRDefault="00786914" w:rsidP="0006743B">
            <w:pPr>
              <w:pStyle w:val="TableText"/>
            </w:pPr>
            <w:r w:rsidRPr="00976222">
              <w:t>PROSTATECTOMY (endoscopic, using diathermy or cold punch), with or without cystoscopy and with or without urethroscopy, and including services to which item 36854, 37201, 37202, 37207, 37208, 37303, 37321 or 37324 applies(Anaes.)</w:t>
            </w:r>
          </w:p>
          <w:p w:rsidR="00786914" w:rsidRPr="002B5B6B" w:rsidRDefault="00D40A83" w:rsidP="0006743B">
            <w:pPr>
              <w:pStyle w:val="TableText"/>
              <w:rPr>
                <w:rFonts w:ascii="Arial" w:hAnsi="Arial" w:cs="Arial"/>
                <w:sz w:val="20"/>
              </w:rPr>
            </w:pPr>
            <w:r>
              <w:t xml:space="preserve">Fee: $1,002.70 </w:t>
            </w:r>
            <w:r w:rsidR="00786914" w:rsidRPr="00976222">
              <w:t xml:space="preserve"> Benefit: 75% = $752.00</w:t>
            </w:r>
          </w:p>
        </w:tc>
      </w:tr>
    </w:tbl>
    <w:p w:rsidR="00786914" w:rsidRDefault="00786914" w:rsidP="0006743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7"/>
      </w:tblGrid>
      <w:tr w:rsidR="00786914" w:rsidRPr="002B5B6B">
        <w:tc>
          <w:tcPr>
            <w:tcW w:w="9137" w:type="dxa"/>
            <w:tcBorders>
              <w:top w:val="single" w:sz="4" w:space="0" w:color="000000"/>
              <w:left w:val="single" w:sz="4" w:space="0" w:color="000000"/>
              <w:bottom w:val="single" w:sz="4" w:space="0" w:color="000000"/>
              <w:right w:val="single" w:sz="4" w:space="0" w:color="000000"/>
            </w:tcBorders>
          </w:tcPr>
          <w:p w:rsidR="00786914" w:rsidRPr="00457104" w:rsidRDefault="00786914" w:rsidP="0006743B">
            <w:pPr>
              <w:pStyle w:val="TableText"/>
            </w:pPr>
            <w:r w:rsidRPr="00457104">
              <w:lastRenderedPageBreak/>
              <w:t>Category 3 – THERAPUTIC PROCEDURES</w:t>
            </w:r>
          </w:p>
        </w:tc>
      </w:tr>
      <w:tr w:rsidR="00786914" w:rsidRPr="002B5B6B">
        <w:tc>
          <w:tcPr>
            <w:tcW w:w="9137" w:type="dxa"/>
            <w:tcBorders>
              <w:top w:val="single" w:sz="4" w:space="0" w:color="000000"/>
              <w:left w:val="single" w:sz="4" w:space="0" w:color="000000"/>
              <w:bottom w:val="single" w:sz="4" w:space="0" w:color="000000"/>
              <w:right w:val="single" w:sz="4" w:space="0" w:color="000000"/>
            </w:tcBorders>
          </w:tcPr>
          <w:p w:rsidR="00786914" w:rsidRPr="00457104" w:rsidRDefault="00786914" w:rsidP="0006743B">
            <w:pPr>
              <w:pStyle w:val="TableText"/>
            </w:pPr>
            <w:r w:rsidRPr="00457104">
              <w:t>MBS 37206</w:t>
            </w:r>
          </w:p>
          <w:p w:rsidR="00786914" w:rsidRPr="00457104" w:rsidRDefault="00786914" w:rsidP="0006743B">
            <w:pPr>
              <w:pStyle w:val="TableText"/>
            </w:pPr>
            <w:r w:rsidRPr="00457104">
              <w:t>PROSTATECTOMY (endoscopic, using diathermy or cold punch), with or without cystoscopy and with or without urethroscopy, and including services to which item 36854, 37303, 37321 or 37324 applies, continuation of, within 10 days of the procedure described by item 37201, 37203 or 37207 or which had to be discontinued for medical reasons (Anaes.)</w:t>
            </w:r>
          </w:p>
          <w:p w:rsidR="00786914" w:rsidRPr="00457104" w:rsidRDefault="00786914" w:rsidP="0006743B">
            <w:pPr>
              <w:pStyle w:val="TableText"/>
            </w:pPr>
            <w:r w:rsidRPr="00457104">
              <w:t>Fee: $536.95 Benefit: 75% = $402.75</w:t>
            </w:r>
          </w:p>
        </w:tc>
      </w:tr>
    </w:tbl>
    <w:p w:rsidR="00786914" w:rsidRDefault="00786914" w:rsidP="0006743B"/>
    <w:p w:rsidR="00786914" w:rsidRPr="006F775C" w:rsidRDefault="00786914" w:rsidP="0006743B">
      <w:pPr>
        <w:pStyle w:val="Normalbold"/>
      </w:pPr>
      <w:r w:rsidRPr="006F775C">
        <w:t xml:space="preserve">Open prostatectomy </w:t>
      </w:r>
      <w:r w:rsidRPr="0033371B">
        <w:t>(OP)</w:t>
      </w:r>
    </w:p>
    <w:p w:rsidR="00786914" w:rsidRDefault="00786914" w:rsidP="0006743B">
      <w:r w:rsidRPr="00B4762B">
        <w:t>Open prostatectomy</w:t>
      </w:r>
      <w:r>
        <w:t xml:space="preserve"> (OP)</w:t>
      </w:r>
      <w:r w:rsidRPr="00B4762B">
        <w:t xml:space="preserve"> is performed in men with large prostates </w:t>
      </w:r>
      <w:r>
        <w:t xml:space="preserve">(estimated size greater than 80–100 gram) </w:t>
      </w:r>
      <w:r w:rsidRPr="00B4762B">
        <w:t>or</w:t>
      </w:r>
      <w:r>
        <w:t xml:space="preserve"> in</w:t>
      </w:r>
      <w:r w:rsidRPr="00B4762B">
        <w:t xml:space="preserve"> those for whom hip or other medical conditions preclude the physical positioning required for TURP. </w:t>
      </w:r>
      <w:r>
        <w:t>OP</w:t>
      </w:r>
      <w:r w:rsidRPr="00B4762B">
        <w:t xml:space="preserve"> is performed through a lower abdominal incision, and either through the bladder or through the capsule of the prostate. A general or spinal anaesthetic is required</w:t>
      </w:r>
      <w:r>
        <w:t xml:space="preserve">. In Australia, OP is carried out much less frequently than TURP, representing a much smaller cost to the MBS. </w:t>
      </w:r>
      <w:r w:rsidRPr="00457104">
        <w:t xml:space="preserve">It involves a longer hospital stay and increased risk of bleeding in comparison to TURP. It does however have lower </w:t>
      </w:r>
      <w:r>
        <w:t>re-treatment</w:t>
      </w:r>
      <w:r w:rsidRPr="00457104">
        <w:t xml:space="preserve"> rates and no risk of TUR syndrome. A general or spinal anaesthetic is required.</w:t>
      </w:r>
    </w:p>
    <w:p w:rsidR="00786914" w:rsidRPr="00457104" w:rsidRDefault="00786914" w:rsidP="0006743B">
      <w:r w:rsidRPr="00457104">
        <w:t xml:space="preserve">The current MBS item descriptors for </w:t>
      </w:r>
      <w:r>
        <w:t>OP</w:t>
      </w:r>
      <w:r w:rsidRPr="00457104">
        <w:t xml:space="preserve"> are:</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4"/>
      </w:tblGrid>
      <w:tr w:rsidR="00786914" w:rsidRPr="00A34E9C">
        <w:tc>
          <w:tcPr>
            <w:tcW w:w="9114" w:type="dxa"/>
          </w:tcPr>
          <w:p w:rsidR="00786914" w:rsidRPr="00457104" w:rsidRDefault="00786914" w:rsidP="0006743B">
            <w:pPr>
              <w:pStyle w:val="TableText"/>
            </w:pPr>
            <w:r w:rsidRPr="00457104">
              <w:t>Category 3 – THERAPUTIC PROCEDURES</w:t>
            </w:r>
          </w:p>
        </w:tc>
      </w:tr>
      <w:tr w:rsidR="00786914" w:rsidRPr="00A34E9C">
        <w:tc>
          <w:tcPr>
            <w:tcW w:w="9114" w:type="dxa"/>
          </w:tcPr>
          <w:p w:rsidR="00786914" w:rsidRPr="00457104" w:rsidRDefault="00786914" w:rsidP="0006743B">
            <w:pPr>
              <w:pStyle w:val="TableText"/>
            </w:pPr>
            <w:r w:rsidRPr="00457104">
              <w:t>MBS 37200</w:t>
            </w:r>
          </w:p>
          <w:p w:rsidR="00786914" w:rsidRPr="00457104" w:rsidRDefault="00786914" w:rsidP="0006743B">
            <w:pPr>
              <w:pStyle w:val="TableText"/>
            </w:pPr>
            <w:r w:rsidRPr="00457104">
              <w:t>PROSTATECTOMY, open (Anaes.) (Assist.)</w:t>
            </w:r>
          </w:p>
          <w:p w:rsidR="00786914" w:rsidRPr="00457104" w:rsidRDefault="00786914" w:rsidP="0006743B">
            <w:pPr>
              <w:pStyle w:val="TableText"/>
            </w:pPr>
            <w:r w:rsidRPr="00457104">
              <w:t>Fee: $977.80 Benefit: 75% = $733.35</w:t>
            </w:r>
          </w:p>
        </w:tc>
      </w:tr>
    </w:tbl>
    <w:p w:rsidR="00786914" w:rsidRDefault="00786914" w:rsidP="0006743B"/>
    <w:p w:rsidR="00786914" w:rsidRDefault="00786914" w:rsidP="0006743B">
      <w:pPr>
        <w:pStyle w:val="Normalbold"/>
      </w:pPr>
      <w:bookmarkStart w:id="84" w:name="_Toc279731789"/>
      <w:bookmarkStart w:id="85" w:name="_Toc290029221"/>
      <w:bookmarkStart w:id="86" w:name="_Toc327877843"/>
      <w:r>
        <w:t>Other treatments</w:t>
      </w:r>
      <w:bookmarkEnd w:id="84"/>
      <w:bookmarkEnd w:id="85"/>
      <w:bookmarkEnd w:id="86"/>
    </w:p>
    <w:p w:rsidR="00786914" w:rsidRDefault="00786914" w:rsidP="0006743B">
      <w:pPr>
        <w:rPr>
          <w:u w:val="single"/>
        </w:rPr>
      </w:pPr>
      <w:r>
        <w:t>In addition to the core surgical options described, a number of other minimally invasive techniques exist for treating BPH. These include high-intensity focused ultrasound, transurethral laser coagulation of the prostate, transurethral electro-vaporisation of the prostate, transurethral ethanol ablation of the prostate, water-induced thermotherapy, and bipolar resection of the prostate. To date, three minimally invasive procedures have been included on the MBS. These are: visual laser ablation of the prostate, transurethral needle ablation and transurethral microwave therapy. These are described briefly below.</w:t>
      </w:r>
    </w:p>
    <w:p w:rsidR="00786914" w:rsidRDefault="00786914" w:rsidP="0006743B">
      <w:pPr>
        <w:pStyle w:val="Normalbold"/>
      </w:pPr>
      <w:r>
        <w:t>Visual laser ablation of the prostate (VLAP)</w:t>
      </w:r>
    </w:p>
    <w:p w:rsidR="00786914" w:rsidRDefault="00786914" w:rsidP="0006743B">
      <w:r>
        <w:t xml:space="preserve">The ‘Greenlight’ laser is considered to be the main laser that is used for visual laser ablation of the prostate. This laser vaporises the prostate by employing </w:t>
      </w:r>
      <w:r w:rsidRPr="00AD7A74">
        <w:t>rapid localised heating with minimal depth of penetration</w:t>
      </w:r>
      <w:r>
        <w:t xml:space="preserve">. It </w:t>
      </w:r>
      <w:r w:rsidRPr="00AD7A74">
        <w:t xml:space="preserve">uses a high-powered potassium titanyl phosphate (KTP) laser that is selectively absorbed by tissue with high haemoglobin content </w:t>
      </w:r>
      <w:r>
        <w:t>(</w:t>
      </w:r>
      <w:r w:rsidRPr="00AD7A74">
        <w:t>such as prostatic tissue</w:t>
      </w:r>
      <w:r>
        <w:t>)</w:t>
      </w:r>
      <w:r w:rsidRPr="00AD7A74">
        <w:t xml:space="preserve">. </w:t>
      </w:r>
    </w:p>
    <w:p w:rsidR="00786914" w:rsidRDefault="00786914" w:rsidP="0006743B">
      <w:r w:rsidRPr="00AD7A74">
        <w:t>Laser vaporisation of the prostate can be performed with a range of a</w:t>
      </w:r>
      <w:r>
        <w:t>na</w:t>
      </w:r>
      <w:r w:rsidRPr="00AD7A74">
        <w:t>esthesia</w:t>
      </w:r>
      <w:r>
        <w:t>, ranging</w:t>
      </w:r>
      <w:r w:rsidRPr="00AD7A74">
        <w:t xml:space="preserve"> from a local prostate block with intravenous sedation to general anaesthesia. It requires operating room preparation and facilities</w:t>
      </w:r>
      <w:r>
        <w:t>,</w:t>
      </w:r>
      <w:r w:rsidRPr="00AD7A74">
        <w:t xml:space="preserve"> and </w:t>
      </w:r>
      <w:r>
        <w:t>is</w:t>
      </w:r>
      <w:r w:rsidRPr="00AD7A74">
        <w:t xml:space="preserve"> performed by a urologist with the assistance of an anaesthetist and nursing staff</w:t>
      </w:r>
      <w:r>
        <w:t xml:space="preserve"> </w:t>
      </w:r>
      <w:r>
        <w:rPr>
          <w:noProof/>
        </w:rPr>
        <w:t>(Kuntz 2006)</w:t>
      </w:r>
      <w:r>
        <w:t>.</w:t>
      </w:r>
    </w:p>
    <w:p w:rsidR="00786914" w:rsidRDefault="00786914" w:rsidP="0006743B">
      <w:r>
        <w:lastRenderedPageBreak/>
        <w:t>In 2010–11, 939 MBS claims for VLAP were made (including MBS items 37207 and 37208). This procedure has been MBS-listed since July 1995. There has been increasing use of this item in recent years as a result of increased uptake of the Greenlight laser.</w:t>
      </w:r>
    </w:p>
    <w:p w:rsidR="00786914" w:rsidRDefault="00786914" w:rsidP="0006743B">
      <w:pPr>
        <w:pStyle w:val="Normalbold"/>
      </w:pPr>
      <w:r>
        <w:t>Transurethral needle ablation (TUNA)</w:t>
      </w:r>
    </w:p>
    <w:p w:rsidR="00786914" w:rsidRDefault="00786914" w:rsidP="0006743B">
      <w:r w:rsidRPr="00AD7A74">
        <w:t xml:space="preserve">TUNA </w:t>
      </w:r>
      <w:r>
        <w:t xml:space="preserve">is used to ablate prostate tissue. It </w:t>
      </w:r>
      <w:r w:rsidRPr="00AD7A74">
        <w:t>involves the delivery of radiofrequency energy via a modified urethral catheter attached to a generator. Two adjustable needles located at the end of the catheter are inserted into the prostate under endoscopic control. The radio frequency energy passes via the needles through the prostate</w:t>
      </w:r>
      <w:r>
        <w:t xml:space="preserve">. This causes </w:t>
      </w:r>
      <w:r w:rsidRPr="00AD7A74">
        <w:t>a localised heating and result</w:t>
      </w:r>
      <w:r>
        <w:t>s</w:t>
      </w:r>
      <w:r w:rsidRPr="00AD7A74">
        <w:t xml:space="preserve"> in areas of coagulative necrosis</w:t>
      </w:r>
      <w:r>
        <w:t>,</w:t>
      </w:r>
      <w:r w:rsidRPr="00AD7A74">
        <w:t xml:space="preserve"> which either slough via the urethra or are re</w:t>
      </w:r>
      <w:r>
        <w:t>-</w:t>
      </w:r>
      <w:r w:rsidRPr="00AD7A74">
        <w:t xml:space="preserve">adsorbed during tissue repair. The procedure is performed under local or regional anaesthetic and an indwelling catheter is required for up to three days. </w:t>
      </w:r>
      <w:r>
        <w:t>TUNA</w:t>
      </w:r>
      <w:r w:rsidRPr="00AD7A74">
        <w:t xml:space="preserve"> can be performed </w:t>
      </w:r>
      <w:r>
        <w:t xml:space="preserve">as a day surgery </w:t>
      </w:r>
      <w:r>
        <w:rPr>
          <w:noProof/>
        </w:rPr>
        <w:t>(Medical Services Advisory Committee 2002)</w:t>
      </w:r>
      <w:r>
        <w:t>.</w:t>
      </w:r>
    </w:p>
    <w:p w:rsidR="00786914" w:rsidRPr="00AD7A74" w:rsidRDefault="00786914" w:rsidP="0006743B">
      <w:r w:rsidRPr="00AD7A74">
        <w:t xml:space="preserve">TUNA </w:t>
      </w:r>
      <w:r>
        <w:t xml:space="preserve">is restricted to men who are not fit for TURP due to high operative risk. TUNA </w:t>
      </w:r>
      <w:r w:rsidRPr="00AD7A74">
        <w:t>was assessed by MSAC in 2002 and recommended for interim funding for three years</w:t>
      </w:r>
      <w:r>
        <w:t>,</w:t>
      </w:r>
      <w:r w:rsidRPr="00AD7A74">
        <w:t xml:space="preserve"> linked to the acquisition of data </w:t>
      </w:r>
      <w:r>
        <w:t xml:space="preserve"> </w:t>
      </w:r>
      <w:r>
        <w:rPr>
          <w:noProof/>
        </w:rPr>
        <w:t>(Medical Services Advisory Committee 2002)</w:t>
      </w:r>
      <w:r>
        <w:t>. TUNA was again considered by MSAC in March 2010, and public funding was supported indefinitely. This was based on the clinical support for the intervention</w:t>
      </w:r>
      <w:r w:rsidRPr="00AD4643">
        <w:t xml:space="preserve">, </w:t>
      </w:r>
      <w:r>
        <w:t xml:space="preserve">the </w:t>
      </w:r>
      <w:r w:rsidRPr="00AD4643">
        <w:t xml:space="preserve">international evidence and the small likelihood that sufficient Australian evidence could be collected for a full MSAC assessment. </w:t>
      </w:r>
      <w:r>
        <w:t xml:space="preserve">TUNA is used very infrequently in Australia. In 2010–11, only four MBS claims were made. </w:t>
      </w:r>
    </w:p>
    <w:p w:rsidR="00786914" w:rsidRDefault="00786914" w:rsidP="0006743B">
      <w:pPr>
        <w:pStyle w:val="Normalbold"/>
      </w:pPr>
      <w:r w:rsidRPr="00AD7A74">
        <w:t>Transurethral microwave thermotherapy (TUMT)</w:t>
      </w:r>
    </w:p>
    <w:p w:rsidR="00786914" w:rsidRDefault="00786914" w:rsidP="0006743B">
      <w:r w:rsidRPr="00AD7A74">
        <w:t xml:space="preserve">TUMT uses microwave thermotherapy and is similar to TUNA in </w:t>
      </w:r>
      <w:r>
        <w:t>that it uses</w:t>
      </w:r>
      <w:r w:rsidRPr="00AD7A74">
        <w:t xml:space="preserve"> heating </w:t>
      </w:r>
      <w:r>
        <w:t xml:space="preserve">of </w:t>
      </w:r>
      <w:r w:rsidRPr="00AD7A74">
        <w:t>the tissue to cause areas of coagulative necrosis. The procedure is typically performed using an antenna mounted within a transurethral catheter</w:t>
      </w:r>
      <w:r>
        <w:t>,</w:t>
      </w:r>
      <w:r w:rsidRPr="00AD7A74">
        <w:t xml:space="preserve"> through which cooling fluid circulates. TUMT can be performed in a day-stay setting</w:t>
      </w:r>
      <w:r>
        <w:t>,</w:t>
      </w:r>
      <w:r w:rsidRPr="00AD7A74">
        <w:t xml:space="preserve"> using local an</w:t>
      </w:r>
      <w:r>
        <w:t>a</w:t>
      </w:r>
      <w:r w:rsidRPr="00AD7A74">
        <w:t>esthesia and oral analgesia along with sedation. Post</w:t>
      </w:r>
      <w:r>
        <w:t>-</w:t>
      </w:r>
      <w:r w:rsidRPr="00AD7A74">
        <w:t xml:space="preserve">operative catheterisation varies from </w:t>
      </w:r>
      <w:r>
        <w:t>one</w:t>
      </w:r>
      <w:r w:rsidRPr="00481CE4">
        <w:t xml:space="preserve"> to </w:t>
      </w:r>
      <w:r>
        <w:t>two</w:t>
      </w:r>
      <w:r w:rsidRPr="00481CE4">
        <w:t xml:space="preserve"> weeks</w:t>
      </w:r>
      <w:r>
        <w:t xml:space="preserve"> </w:t>
      </w:r>
      <w:r>
        <w:rPr>
          <w:noProof/>
        </w:rPr>
        <w:t>(Medical Services Advisory Committee 2005)</w:t>
      </w:r>
      <w:r w:rsidRPr="00AD7A74">
        <w:t>.</w:t>
      </w:r>
      <w:r>
        <w:t>Forty-three MBS claims were made in 2010–11.</w:t>
      </w:r>
    </w:p>
    <w:p w:rsidR="00786914" w:rsidRDefault="00786914" w:rsidP="0006743B">
      <w:pPr>
        <w:pStyle w:val="Normalbold"/>
      </w:pPr>
      <w:r w:rsidRPr="00B4762B">
        <w:t>Transurethral incisional prostatectomy (TUIP)</w:t>
      </w:r>
    </w:p>
    <w:p w:rsidR="00786914" w:rsidRDefault="00786914" w:rsidP="0006743B">
      <w:r>
        <w:t xml:space="preserve">TUIP is a treatment for relieving urinary outflow obstruction caused by BPH. An incision is made just distal to the </w:t>
      </w:r>
      <w:r w:rsidRPr="00B12140">
        <w:t>ureteral</w:t>
      </w:r>
      <w:r>
        <w:t xml:space="preserve"> orifice on one or both sides and ends just proximal to the verumontanum. The incisions are made in order to ‘open up’ the urinary channel, allowing urine to flow more freely. TUIP involves no prostate tissue removal (unlike both TURP and OP) </w:t>
      </w:r>
      <w:r>
        <w:rPr>
          <w:noProof/>
        </w:rPr>
        <w:t>(Jepsen &amp; Bruskewitz 1998)</w:t>
      </w:r>
      <w:r>
        <w:t xml:space="preserve">. TUIP however is considered to be only suitable for men with estimated smaller prostate sizes (&lt;30g) </w:t>
      </w:r>
      <w:r>
        <w:rPr>
          <w:noProof/>
        </w:rPr>
        <w:t>(Cornford et al 1998)</w:t>
      </w:r>
      <w:r>
        <w:t>.This procedure has been MBS-listed since 1991.</w:t>
      </w:r>
    </w:p>
    <w:p w:rsidR="00786914" w:rsidRPr="00776777" w:rsidRDefault="00786914" w:rsidP="0006743B">
      <w:pPr>
        <w:pStyle w:val="Heading2"/>
      </w:pPr>
      <w:bookmarkStart w:id="87" w:name="_Toc323642271"/>
      <w:bookmarkStart w:id="88" w:name="_Toc327877844"/>
      <w:bookmarkStart w:id="89" w:name="_Toc365900561"/>
      <w:r w:rsidRPr="004C6B15">
        <w:rPr>
          <w:bCs/>
        </w:rPr>
        <w:t>Marketing status</w:t>
      </w:r>
      <w:r>
        <w:rPr>
          <w:bCs/>
        </w:rPr>
        <w:t xml:space="preserve"> of device</w:t>
      </w:r>
      <w:bookmarkEnd w:id="87"/>
      <w:bookmarkEnd w:id="88"/>
      <w:bookmarkEnd w:id="89"/>
    </w:p>
    <w:p w:rsidR="00786914" w:rsidDel="002349AB" w:rsidRDefault="00786914" w:rsidP="0006743B">
      <w:pPr>
        <w:rPr>
          <w:lang w:val="en-US" w:eastAsia="ja-JP"/>
        </w:rPr>
      </w:pPr>
      <w:r>
        <w:rPr>
          <w:lang w:val="en-US" w:eastAsia="ja-JP"/>
        </w:rPr>
        <w:t xml:space="preserve">At present, 12 holmium:YAG laser devices are TGA-registered and listed on the Australian Register of Therapeutic Goods (ARTG). Three tissue morcellators are also TGA-registered and listed on the ARTG. </w:t>
      </w:r>
    </w:p>
    <w:p w:rsidR="00786914" w:rsidRDefault="00786914" w:rsidP="0006743B">
      <w:pPr>
        <w:pStyle w:val="Heading2"/>
        <w:rPr>
          <w:bCs/>
        </w:rPr>
      </w:pPr>
      <w:bookmarkStart w:id="90" w:name="_Toc323642272"/>
      <w:bookmarkStart w:id="91" w:name="_Toc327877845"/>
      <w:bookmarkStart w:id="92" w:name="_Toc365900562"/>
      <w:r w:rsidRPr="004C6B15">
        <w:rPr>
          <w:bCs/>
        </w:rPr>
        <w:lastRenderedPageBreak/>
        <w:t>Current reimbursement arrangements</w:t>
      </w:r>
      <w:bookmarkEnd w:id="90"/>
      <w:bookmarkEnd w:id="91"/>
      <w:bookmarkEnd w:id="92"/>
    </w:p>
    <w:p w:rsidR="00786914" w:rsidRPr="00A14D6B" w:rsidRDefault="00786914" w:rsidP="0006743B">
      <w:r w:rsidRPr="00A14D6B">
        <w:t>HoLEP</w:t>
      </w:r>
      <w:r>
        <w:t xml:space="preserve"> </w:t>
      </w:r>
      <w:r w:rsidRPr="00A14D6B">
        <w:t xml:space="preserve">is </w:t>
      </w:r>
      <w:r>
        <w:t xml:space="preserve">not currently reimbursed in the public or private setting. It is available in some private hospitals through self-pay arrangements. </w:t>
      </w:r>
    </w:p>
    <w:p w:rsidR="00786914" w:rsidRPr="00776777" w:rsidRDefault="00786914" w:rsidP="0006743B">
      <w:pPr>
        <w:pStyle w:val="Heading1"/>
      </w:pPr>
      <w:bookmarkStart w:id="93" w:name="_Toc323642273"/>
      <w:bookmarkStart w:id="94" w:name="_Toc327877846"/>
      <w:bookmarkStart w:id="95" w:name="_Toc365900563"/>
      <w:r w:rsidRPr="00776777">
        <w:lastRenderedPageBreak/>
        <w:t>Approach to assessment</w:t>
      </w:r>
      <w:bookmarkEnd w:id="93"/>
      <w:bookmarkEnd w:id="94"/>
      <w:bookmarkEnd w:id="95"/>
    </w:p>
    <w:p w:rsidR="00786914" w:rsidRPr="004C6B15" w:rsidRDefault="00786914">
      <w:pPr>
        <w:pStyle w:val="Heading2"/>
      </w:pPr>
      <w:bookmarkStart w:id="96" w:name="_Toc323642274"/>
      <w:bookmarkStart w:id="97" w:name="_Toc327877847"/>
      <w:bookmarkStart w:id="98" w:name="_Toc365900564"/>
      <w:r w:rsidRPr="004C6B15">
        <w:t>Objective</w:t>
      </w:r>
      <w:bookmarkEnd w:id="96"/>
      <w:bookmarkEnd w:id="97"/>
      <w:bookmarkEnd w:id="98"/>
    </w:p>
    <w:p w:rsidR="00786914" w:rsidRDefault="00786914" w:rsidP="0006743B">
      <w:r>
        <w:t xml:space="preserve">The aim of this assessment is to examine the evidence of safety, effectiveness and cost-effectiveness of HoLEP (with or without tissue morcellation) so as to inform a decision as to whether it should be listed on the MBS as a surgical option in the treatment of benign prostatic hyperplasia. </w:t>
      </w:r>
    </w:p>
    <w:p w:rsidR="00786914" w:rsidRDefault="00786914" w:rsidP="0006743B">
      <w:r>
        <w:t xml:space="preserve">A decision analytic protocol (DAP) was developed prior to the commencement of the assessment, and was approved by the Protocol Advisory Sub-Committee of MSAC </w:t>
      </w:r>
      <w:r>
        <w:rPr>
          <w:noProof/>
        </w:rPr>
        <w:t>(MSAC 2011)</w:t>
      </w:r>
      <w:r>
        <w:t xml:space="preserve">.The purpose of a DAP is to describe in detail a limited set of decision option(s) associated with the possible public funding of a proposed new medical service. A DAP </w:t>
      </w:r>
      <w:r w:rsidRPr="009D318F">
        <w:t>also capture</w:t>
      </w:r>
      <w:r>
        <w:t xml:space="preserve">s the </w:t>
      </w:r>
      <w:r w:rsidRPr="009D318F">
        <w:t>current clinical practice and reflect</w:t>
      </w:r>
      <w:r>
        <w:t xml:space="preserve">s the </w:t>
      </w:r>
      <w:r w:rsidRPr="009D318F">
        <w:t xml:space="preserve">likely future practice with the proposed new medical </w:t>
      </w:r>
      <w:r>
        <w:t>service,</w:t>
      </w:r>
      <w:r w:rsidRPr="009D318F">
        <w:t xml:space="preserve"> and </w:t>
      </w:r>
      <w:r>
        <w:t>describes</w:t>
      </w:r>
      <w:r w:rsidRPr="009D318F">
        <w:t xml:space="preserve"> all potentially impacted healthcare resources. The guiding framework of the DAP has been used throughout this assessment.</w:t>
      </w:r>
    </w:p>
    <w:p w:rsidR="00786914" w:rsidRPr="00ED2C57" w:rsidRDefault="00786914" w:rsidP="0006743B">
      <w:pPr>
        <w:pStyle w:val="Heading2"/>
      </w:pPr>
      <w:bookmarkStart w:id="99" w:name="_Toc323642275"/>
      <w:bookmarkStart w:id="100" w:name="_Toc327877848"/>
      <w:bookmarkStart w:id="101" w:name="_Toc365900565"/>
      <w:r w:rsidRPr="00ED2C57">
        <w:t>Clinical decision pathway</w:t>
      </w:r>
      <w:bookmarkEnd w:id="99"/>
      <w:bookmarkEnd w:id="100"/>
      <w:bookmarkEnd w:id="101"/>
    </w:p>
    <w:p w:rsidR="00786914" w:rsidRPr="009D52B8" w:rsidRDefault="00786914" w:rsidP="0006743B">
      <w:r w:rsidRPr="009D52B8">
        <w:t xml:space="preserve">The current clinical management pathway in Australia for men with BPH is depicted in </w:t>
      </w:r>
      <w:r>
        <w:t>F</w:t>
      </w:r>
      <w:r w:rsidRPr="009D52B8">
        <w:t xml:space="preserve">igure </w:t>
      </w:r>
      <w:r>
        <w:t>3</w:t>
      </w:r>
      <w:r w:rsidRPr="009D52B8">
        <w:t xml:space="preserve">. Patients with moderate to severe BPH (based on </w:t>
      </w:r>
      <w:r>
        <w:t>AUA or IPSS</w:t>
      </w:r>
      <w:r w:rsidRPr="009D52B8">
        <w:t xml:space="preserve"> score</w:t>
      </w:r>
      <w:r w:rsidRPr="00741F01">
        <w:rPr>
          <w:vertAlign w:val="superscript"/>
        </w:rPr>
        <w:footnoteReference w:id="1"/>
      </w:r>
      <w:r w:rsidRPr="009D52B8">
        <w:t>) are initially managed through active surveillance (with lifestyle advice where appropriate) or through first</w:t>
      </w:r>
      <w:r>
        <w:t>-</w:t>
      </w:r>
      <w:r w:rsidRPr="009D52B8">
        <w:t>line pharmacologic therapy. The patient is referred for second</w:t>
      </w:r>
      <w:r>
        <w:t>-</w:t>
      </w:r>
      <w:r w:rsidRPr="009D52B8">
        <w:t>line surgical intervention where drug therapy has failed or it is inappropriate. Surgical options for men with moderate</w:t>
      </w:r>
      <w:r>
        <w:t>-</w:t>
      </w:r>
      <w:r w:rsidRPr="009D52B8">
        <w:t>size prostates (&lt;</w:t>
      </w:r>
      <w:r>
        <w:t>80–100 g</w:t>
      </w:r>
      <w:r w:rsidRPr="009D52B8">
        <w:t xml:space="preserve">) include TURP or </w:t>
      </w:r>
      <w:r>
        <w:t>VLAP o</w:t>
      </w:r>
      <w:r w:rsidRPr="009D52B8">
        <w:t>r TUNA or TUMT. Surgical options for men with larger prostates (&gt;</w:t>
      </w:r>
      <w:r>
        <w:t>80–100 g</w:t>
      </w:r>
      <w:r w:rsidRPr="009D52B8">
        <w:t>) include</w:t>
      </w:r>
      <w:r>
        <w:t xml:space="preserve"> OP</w:t>
      </w:r>
      <w:r w:rsidRPr="009D52B8">
        <w:t xml:space="preserve"> or two</w:t>
      </w:r>
      <w:r>
        <w:t>-</w:t>
      </w:r>
      <w:r w:rsidRPr="009D52B8">
        <w:t xml:space="preserve">stage TURP or </w:t>
      </w:r>
      <w:r>
        <w:t>VLAP</w:t>
      </w:r>
      <w:r w:rsidRPr="009D52B8">
        <w:t>.</w:t>
      </w:r>
    </w:p>
    <w:p w:rsidR="00786914" w:rsidRDefault="00786914">
      <w:pPr>
        <w:spacing w:after="0"/>
        <w:ind w:left="0"/>
        <w:rPr>
          <w:rFonts w:ascii="Arial" w:hAnsi="Arial"/>
          <w:bCs/>
          <w:sz w:val="18"/>
        </w:rPr>
      </w:pPr>
      <w:r>
        <w:br w:type="page"/>
      </w:r>
    </w:p>
    <w:p w:rsidR="00786914" w:rsidRDefault="00786914" w:rsidP="0006743B">
      <w:pPr>
        <w:pStyle w:val="Caption"/>
      </w:pPr>
      <w:bookmarkStart w:id="102" w:name="_Toc327882487"/>
      <w:r>
        <w:lastRenderedPageBreak/>
        <w:t xml:space="preserve">Figure </w:t>
      </w:r>
      <w:fldSimple w:instr=" SEQ Figure \* ARABIC ">
        <w:r w:rsidR="00F45C43">
          <w:rPr>
            <w:noProof/>
          </w:rPr>
          <w:t>3</w:t>
        </w:r>
      </w:fldSimple>
      <w:r>
        <w:t>:</w:t>
      </w:r>
      <w:r>
        <w:tab/>
      </w:r>
      <w:r w:rsidRPr="00741F01">
        <w:t>Current clinical management chart for patients with BPH</w:t>
      </w:r>
      <w:bookmarkEnd w:id="102"/>
    </w:p>
    <w:p w:rsidR="00786914" w:rsidRDefault="00F905B8" w:rsidP="00AE6E57">
      <w:pPr>
        <w:pStyle w:val="Normalbold"/>
      </w:pPr>
      <w:r>
        <w:rPr>
          <w:noProof/>
        </w:rPr>
        <mc:AlternateContent>
          <mc:Choice Requires="wpg">
            <w:drawing>
              <wp:anchor distT="0" distB="0" distL="114300" distR="114300" simplePos="0" relativeHeight="251662336" behindDoc="0" locked="0" layoutInCell="1" allowOverlap="1" wp14:anchorId="16CEFEC2" wp14:editId="1E101339">
                <wp:simplePos x="0" y="0"/>
                <wp:positionH relativeFrom="column">
                  <wp:posOffset>1017905</wp:posOffset>
                </wp:positionH>
                <wp:positionV relativeFrom="paragraph">
                  <wp:posOffset>4057650</wp:posOffset>
                </wp:positionV>
                <wp:extent cx="3592830" cy="2034540"/>
                <wp:effectExtent l="8255" t="19050" r="8890" b="13335"/>
                <wp:wrapNone/>
                <wp:docPr id="104" name="Group 87" title="Figure 3: Current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2034540"/>
                          <a:chOff x="2368" y="8077"/>
                          <a:chExt cx="5658" cy="3204"/>
                        </a:xfrm>
                      </wpg:grpSpPr>
                      <wps:wsp>
                        <wps:cNvPr id="105" name="AutoShape 88"/>
                        <wps:cNvSpPr>
                          <a:spLocks noChangeArrowheads="1"/>
                        </wps:cNvSpPr>
                        <wps:spPr bwMode="auto">
                          <a:xfrm>
                            <a:off x="5275" y="10667"/>
                            <a:ext cx="2751"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or </w:t>
                              </w:r>
                              <w:r>
                                <w:rPr>
                                  <w:sz w:val="18"/>
                                  <w:szCs w:val="18"/>
                                </w:rPr>
                                <w:t>VLAP</w:t>
                              </w:r>
                            </w:p>
                          </w:txbxContent>
                        </wps:txbx>
                        <wps:bodyPr rot="0" vert="horz" wrap="square" lIns="91440" tIns="45720" rIns="91440" bIns="45720" anchor="t" anchorCtr="0" upright="1">
                          <a:noAutofit/>
                        </wps:bodyPr>
                      </wps:wsp>
                      <wps:wsp>
                        <wps:cNvPr id="106" name="AutoShape 89"/>
                        <wps:cNvSpPr>
                          <a:spLocks noChangeArrowheads="1"/>
                        </wps:cNvSpPr>
                        <wps:spPr bwMode="auto">
                          <a:xfrm>
                            <a:off x="2368" y="10667"/>
                            <a:ext cx="2704"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VLAP</w:t>
                              </w:r>
                              <w:r w:rsidRPr="003C788B">
                                <w:rPr>
                                  <w:sz w:val="18"/>
                                  <w:szCs w:val="18"/>
                                </w:rPr>
                                <w:t xml:space="preserve"> or TUNA or TUMT </w:t>
                              </w:r>
                            </w:p>
                          </w:txbxContent>
                        </wps:txbx>
                        <wps:bodyPr rot="0" vert="horz" wrap="square" lIns="91440" tIns="45720" rIns="91440" bIns="45720" anchor="t" anchorCtr="0" upright="1">
                          <a:noAutofit/>
                        </wps:bodyPr>
                      </wps:wsp>
                      <wps:wsp>
                        <wps:cNvPr id="107" name="AutoShape 90"/>
                        <wps:cNvSpPr>
                          <a:spLocks noChangeArrowheads="1"/>
                        </wps:cNvSpPr>
                        <wps:spPr bwMode="auto">
                          <a:xfrm>
                            <a:off x="5397" y="8077"/>
                            <a:ext cx="2480" cy="1790"/>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wps:txbx>
                        <wps:bodyPr rot="0" vert="horz" wrap="square" lIns="91440" tIns="45720" rIns="91440" bIns="45720" anchor="t" anchorCtr="0" upright="1">
                          <a:noAutofit/>
                        </wps:bodyPr>
                      </wps:wsp>
                      <wps:wsp>
                        <wps:cNvPr id="108" name="AutoShape 91"/>
                        <wps:cNvSpPr>
                          <a:spLocks noChangeArrowheads="1"/>
                        </wps:cNvSpPr>
                        <wps:spPr bwMode="auto">
                          <a:xfrm>
                            <a:off x="2527" y="8164"/>
                            <a:ext cx="2394" cy="1703"/>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wps:txbx>
                        <wps:bodyPr rot="0" vert="horz" wrap="square" lIns="91440" tIns="45720" rIns="91440" bIns="45720" anchor="t" anchorCtr="0" upright="1">
                          <a:noAutofit/>
                        </wps:bodyPr>
                      </wps:wsp>
                      <wps:wsp>
                        <wps:cNvPr id="109" name="AutoShape 92"/>
                        <wps:cNvCnPr>
                          <a:cxnSpLocks noChangeShapeType="1"/>
                        </wps:cNvCnPr>
                        <wps:spPr bwMode="auto">
                          <a:xfrm>
                            <a:off x="6651" y="9867"/>
                            <a:ext cx="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93"/>
                        <wps:cNvCnPr>
                          <a:cxnSpLocks noChangeShapeType="1"/>
                        </wps:cNvCnPr>
                        <wps:spPr bwMode="auto">
                          <a:xfrm>
                            <a:off x="3724" y="9867"/>
                            <a:ext cx="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67" alt="Title: Figure 3: Current clinical management chart for patients with BPH" style="position:absolute;left:0;text-align:left;margin-left:80.15pt;margin-top:319.5pt;width:282.9pt;height:160.2pt;z-index:251662336;mso-position-horizontal-relative:text;mso-position-vertical-relative:text" coordorigin="2368,8077" coordsize="565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">
                <v:shape id="AutoShape 88" o:spid="_x0000_s1068" type="#_x0000_t109" style="position:absolute;left:5275;top:10667;width:2751;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usQA&#10;AADcAAAADwAAAGRycy9kb3ducmV2LnhtbERPTWvCQBC9F/wPywhegtloGwmpq0ghooceGr30Ns1O&#10;k2B2NmS3Mf333UKht3m8z9nuJ9OJkQbXWlawihMQxJXVLdcKrpdimYFwHlljZ5kUfJOD/W72sMVc&#10;2zu/0Vj6WoQQdjkqaLzvcyld1ZBBF9ueOHCfdjDoAxxqqQe8h3DTyXWSbKTBlkNDgz29NFTdyi+j&#10;YJ1F5ZFfi9PTx1kXmK7ex+jxrNRiPh2eQXia/L/4z33SYX6Swu8z4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qbrEAAAA3AAAAA8AAAAAAAAAAAAAAAAAmAIAAGRycy9k&#10;b3ducmV2LnhtbFBLBQYAAAAABAAEAPUAAACJAwAAAAA=&#10;">
                  <v:textbo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or </w:t>
                        </w:r>
                        <w:r>
                          <w:rPr>
                            <w:sz w:val="18"/>
                            <w:szCs w:val="18"/>
                          </w:rPr>
                          <w:t>VLAP</w:t>
                        </w:r>
                      </w:p>
                    </w:txbxContent>
                  </v:textbox>
                </v:shape>
                <v:shape id="AutoShape 89" o:spid="_x0000_s1069" type="#_x0000_t109" style="position:absolute;left:2368;top:10667;width:2704;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zcIA&#10;AADcAAAADwAAAGRycy9kb3ducmV2LnhtbERPS4vCMBC+L/gfwgheRFOfSDWKCF304MHqxdvYzLZl&#10;m0lpYu3+e7OwsLf5+J6z2XWmEi01rrSsYDKOQBBnVpecK7hdk9EKhPPIGivLpOCHHOy2vY8Nxtq+&#10;+EJt6nMRQtjFqKDwvo6ldFlBBt3Y1sSB+7KNQR9gk0vd4CuEm0pOo2gpDZYcGgqs6VBQ9p0+jYLp&#10;aph+8jk5zh8nneBicm+Hs5NSg363X4Pw1Pl/8Z/7qMP8aAm/z4QL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fNwgAAANwAAAAPAAAAAAAAAAAAAAAAAJgCAABkcnMvZG93&#10;bnJldi54bWxQSwUGAAAAAAQABAD1AAAAhwMAAAAA&#10;">
                  <v:textbo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VLAP</w:t>
                        </w:r>
                        <w:r w:rsidRPr="003C788B">
                          <w:rPr>
                            <w:sz w:val="18"/>
                            <w:szCs w:val="18"/>
                          </w:rPr>
                          <w:t xml:space="preserve"> or TUNA or TUMT </w:t>
                        </w:r>
                      </w:p>
                    </w:txbxContent>
                  </v:textbox>
                </v:shape>
                <v:shape id="AutoShape 90" o:spid="_x0000_s1070" type="#_x0000_t110" style="position:absolute;left:5397;top:8077;width:2480;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v:textbox>
                </v:shape>
                <v:shape id="AutoShape 91" o:spid="_x0000_s1071" type="#_x0000_t110" style="position:absolute;left:2527;top:8164;width:239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I28YA&#10;AADcAAAADwAAAGRycy9kb3ducmV2LnhtbESPQWvCQBCF7wX/wzJCb3XTVtoSXaUUSnuQorZ4HrNj&#10;EpqZDdnVRH+9cyj0NsN789438+XAjTlRF+sgDu4nGRiSIvhaSgc/3+93L2BiQvHYBCEHZ4qwXIxu&#10;5pj70MuGTttUGg2RmKODKqU2tzYWFTHGSWhJVDuEjjHp2pXWd9hrODf2IcueLGMt2lBhS28VFb/b&#10;IztY76dr7leXA68u0x03x4/n3dejc7fj4XUGJtGQ/s1/159e8TOl1Wd0Aru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GI28YAAADcAAAADwAAAAAAAAAAAAAAAACYAgAAZHJz&#10;L2Rvd25yZXYueG1sUEsFBgAAAAAEAAQA9QAAAIsDAAAAAA==&#10;">
                  <v:textbo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v:textbox>
                </v:shape>
                <v:shape id="AutoShape 92" o:spid="_x0000_s1072" type="#_x0000_t32" style="position:absolute;left:6651;top:9867;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AutoShape 93" o:spid="_x0000_s1073" type="#_x0000_t32" style="position:absolute;left:3724;top:9867;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group>
            </w:pict>
          </mc:Fallback>
        </mc:AlternateContent>
      </w:r>
      <w:bookmarkStart w:id="103" w:name="_Toc323642276"/>
      <w:bookmarkStart w:id="104" w:name="_Toc327877849"/>
      <w:bookmarkStart w:id="105" w:name="_Toc327880209"/>
      <w:bookmarkEnd w:id="103"/>
      <w:bookmarkEnd w:id="104"/>
      <w:bookmarkEnd w:id="105"/>
      <w:r>
        <w:rPr>
          <w:noProof/>
        </w:rPr>
        <mc:AlternateContent>
          <mc:Choice Requires="wpc">
            <w:drawing>
              <wp:inline distT="0" distB="0" distL="0" distR="0" wp14:anchorId="69BE34C4" wp14:editId="40FB32D9">
                <wp:extent cx="4954772" cy="6209414"/>
                <wp:effectExtent l="0" t="0" r="0" b="0"/>
                <wp:docPr id="103" name="Canvas 17" descr="Figure 3: Current clinical management chart for patients with BPH" title="Figure 3: Current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Rectangle 34"/>
                        <wps:cNvSpPr>
                          <a:spLocks noChangeArrowheads="1"/>
                        </wps:cNvSpPr>
                        <wps:spPr bwMode="auto">
                          <a:xfrm>
                            <a:off x="690211" y="819112"/>
                            <a:ext cx="3397256" cy="528308"/>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wps:txbx>
                        <wps:bodyPr rot="0" vert="horz" wrap="square" lIns="91440" tIns="45720" rIns="91440" bIns="45720" anchor="t" anchorCtr="0" upright="1">
                          <a:noAutofit/>
                        </wps:bodyPr>
                      </wps:wsp>
                      <wps:wsp>
                        <wps:cNvPr id="49" name="AutoShape 35"/>
                        <wps:cNvSpPr>
                          <a:spLocks noChangeArrowheads="1"/>
                        </wps:cNvSpPr>
                        <wps:spPr bwMode="auto">
                          <a:xfrm>
                            <a:off x="1727228" y="1526522"/>
                            <a:ext cx="1318222" cy="295304"/>
                          </a:xfrm>
                          <a:prstGeom prst="roundRect">
                            <a:avLst>
                              <a:gd name="adj" fmla="val 16667"/>
                            </a:avLst>
                          </a:prstGeom>
                          <a:solidFill>
                            <a:srgbClr val="FFFFFF"/>
                          </a:solidFill>
                          <a:ln w="9525">
                            <a:solidFill>
                              <a:srgbClr val="000000"/>
                            </a:solidFill>
                            <a:round/>
                            <a:headEnd/>
                            <a:tailEnd/>
                          </a:ln>
                        </wps:spPr>
                        <wps:txbx>
                          <w:txbxContent>
                            <w:p w:rsidR="001C0B02" w:rsidRPr="003C788B" w:rsidRDefault="001C0B02" w:rsidP="0006743B">
                              <w:pPr>
                                <w:spacing w:after="0"/>
                                <w:ind w:left="0"/>
                                <w:rPr>
                                  <w:sz w:val="18"/>
                                  <w:szCs w:val="18"/>
                                </w:rPr>
                              </w:pPr>
                              <w:r w:rsidRPr="003C788B">
                                <w:rPr>
                                  <w:sz w:val="18"/>
                                  <w:szCs w:val="18"/>
                                </w:rPr>
                                <w:t>If inappropriate or fails</w:t>
                              </w:r>
                            </w:p>
                          </w:txbxContent>
                        </wps:txbx>
                        <wps:bodyPr rot="0" vert="horz" wrap="square" lIns="91440" tIns="45720" rIns="91440" bIns="45720" anchor="t" anchorCtr="0" upright="1">
                          <a:noAutofit/>
                        </wps:bodyPr>
                      </wps:wsp>
                      <wps:wsp>
                        <wps:cNvPr id="50" name="Rectangle 36"/>
                        <wps:cNvSpPr>
                          <a:spLocks noChangeArrowheads="1"/>
                        </wps:cNvSpPr>
                        <wps:spPr bwMode="auto">
                          <a:xfrm>
                            <a:off x="1551926" y="1940529"/>
                            <a:ext cx="1748129" cy="833812"/>
                          </a:xfrm>
                          <a:prstGeom prst="rect">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wps:txbx>
                        <wps:bodyPr rot="0" vert="horz" wrap="square" lIns="91440" tIns="45720" rIns="91440" bIns="45720" anchor="t" anchorCtr="0" upright="1">
                          <a:noAutofit/>
                        </wps:bodyPr>
                      </wps:wsp>
                      <wps:wsp>
                        <wps:cNvPr id="51" name="AutoShape 37"/>
                        <wps:cNvSpPr>
                          <a:spLocks noChangeArrowheads="1"/>
                        </wps:cNvSpPr>
                        <wps:spPr bwMode="auto">
                          <a:xfrm>
                            <a:off x="508608" y="2948943"/>
                            <a:ext cx="3936365" cy="687110"/>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p w:rsidR="001C0B02" w:rsidRPr="00046E51" w:rsidRDefault="001C0B02" w:rsidP="0006743B">
                              <w:pPr>
                                <w:rPr>
                                  <w:szCs w:val="18"/>
                                </w:rPr>
                              </w:pPr>
                            </w:p>
                          </w:txbxContent>
                        </wps:txbx>
                        <wps:bodyPr rot="0" vert="horz" wrap="square" lIns="91440" tIns="45720" rIns="91440" bIns="45720" anchor="t" anchorCtr="0" upright="1">
                          <a:noAutofit/>
                        </wps:bodyPr>
                      </wps:wsp>
                      <wps:wsp>
                        <wps:cNvPr id="52" name="AutoShape 38"/>
                        <wps:cNvSpPr>
                          <a:spLocks noChangeArrowheads="1"/>
                        </wps:cNvSpPr>
                        <wps:spPr bwMode="auto">
                          <a:xfrm>
                            <a:off x="1399523" y="64701"/>
                            <a:ext cx="1982533" cy="579809"/>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wps:txbx>
                        <wps:bodyPr rot="0" vert="horz" wrap="square" lIns="91440" tIns="45720" rIns="91440" bIns="45720" anchor="t" anchorCtr="0" upright="1">
                          <a:noAutofit/>
                        </wps:bodyPr>
                      </wps:wsp>
                      <wps:wsp>
                        <wps:cNvPr id="53" name="AutoShape 39"/>
                        <wps:cNvCnPr>
                          <a:cxnSpLocks noChangeShapeType="1"/>
                        </wps:cNvCnPr>
                        <wps:spPr bwMode="auto">
                          <a:xfrm>
                            <a:off x="2378039" y="1347420"/>
                            <a:ext cx="7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40"/>
                        <wps:cNvCnPr>
                          <a:cxnSpLocks noChangeShapeType="1"/>
                        </wps:cNvCnPr>
                        <wps:spPr bwMode="auto">
                          <a:xfrm flipH="1">
                            <a:off x="1447824" y="3636054"/>
                            <a:ext cx="931515" cy="476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41"/>
                        <wps:cNvCnPr>
                          <a:cxnSpLocks noChangeShapeType="1"/>
                        </wps:cNvCnPr>
                        <wps:spPr bwMode="auto">
                          <a:xfrm flipH="1">
                            <a:off x="1447824" y="4479266"/>
                            <a:ext cx="2500" cy="178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42"/>
                        <wps:cNvCnPr>
                          <a:cxnSpLocks noChangeShapeType="1"/>
                        </wps:cNvCnPr>
                        <wps:spPr bwMode="auto">
                          <a:xfrm>
                            <a:off x="3300054" y="4534567"/>
                            <a:ext cx="8900" cy="123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48"/>
                        <wps:cNvCnPr>
                          <a:cxnSpLocks noChangeShapeType="1"/>
                        </wps:cNvCnPr>
                        <wps:spPr bwMode="auto">
                          <a:xfrm>
                            <a:off x="2376839" y="1821827"/>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49"/>
                        <wps:cNvCnPr>
                          <a:cxnSpLocks noChangeShapeType="1"/>
                        </wps:cNvCnPr>
                        <wps:spPr bwMode="auto">
                          <a:xfrm>
                            <a:off x="2378739" y="644509"/>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50"/>
                        <wps:cNvCnPr>
                          <a:cxnSpLocks noChangeShapeType="1"/>
                        </wps:cNvCnPr>
                        <wps:spPr bwMode="auto">
                          <a:xfrm>
                            <a:off x="2377439" y="2774341"/>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211"/>
                        <wps:cNvCnPr>
                          <a:cxnSpLocks noChangeShapeType="1"/>
                          <a:stCxn id="57" idx="2"/>
                        </wps:cNvCnPr>
                        <wps:spPr bwMode="auto">
                          <a:xfrm>
                            <a:off x="2477141" y="3636054"/>
                            <a:ext cx="822914" cy="421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74" editas="canvas" alt="Title: Figure 3: Current clinical management chart for patients with BPH - Description: Figure 3: Current clinical management chart for patients with BPH" style="width:390.15pt;height:488.95pt;mso-position-horizontal-relative:char;mso-position-vertical-relative:line" coordsize="49542,6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">
                <v:shape id="_x0000_s1075" type="#_x0000_t75" alt="Figure 3: Current clinical management chart for patients with BPH" style="position:absolute;width:49542;height:62090;visibility:visible;mso-wrap-style:square">
                  <v:fill o:detectmouseclick="t"/>
                  <v:path o:connecttype="none"/>
                </v:shape>
                <v:rect id="Rectangle 34" o:spid="_x0000_s1076" style="position:absolute;left:6902;top:8191;width:3397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v:textbox>
                </v:rect>
                <v:roundrect id="AutoShape 35" o:spid="_x0000_s1077" style="position:absolute;left:17272;top:15265;width:13182;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w6sMA&#10;AADbAAAADwAAAGRycy9kb3ducmV2LnhtbESPQWsCMRSE7wX/Q3hCbzWx2K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nw6sMAAADbAAAADwAAAAAAAAAAAAAAAACYAgAAZHJzL2Rv&#10;d25yZXYueG1sUEsFBgAAAAAEAAQA9QAAAIgDAAAAAA==&#10;">
                  <v:textbox>
                    <w:txbxContent>
                      <w:p w:rsidR="001C0B02" w:rsidRPr="003C788B" w:rsidRDefault="001C0B02" w:rsidP="0006743B">
                        <w:pPr>
                          <w:spacing w:after="0"/>
                          <w:ind w:left="0"/>
                          <w:rPr>
                            <w:sz w:val="18"/>
                            <w:szCs w:val="18"/>
                          </w:rPr>
                        </w:pPr>
                        <w:r w:rsidRPr="003C788B">
                          <w:rPr>
                            <w:sz w:val="18"/>
                            <w:szCs w:val="18"/>
                          </w:rPr>
                          <w:t>If inappropriate or fails</w:t>
                        </w:r>
                      </w:p>
                    </w:txbxContent>
                  </v:textbox>
                </v:roundrect>
                <v:rect id="Rectangle 36" o:spid="_x0000_s1078" style="position:absolute;left:15519;top:19405;width:17481;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v:textbox>
                </v:rect>
                <v:roundrect id="AutoShape 37" o:spid="_x0000_s1079" style="position:absolute;left:5086;top:29489;width:39363;height:6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1C0B02" w:rsidRDefault="001C0B02" w:rsidP="0006743B">
                        <w:pPr>
                          <w:spacing w:after="0"/>
                          <w:ind w:left="0"/>
                          <w:jc w:val="center"/>
                          <w:rPr>
                            <w:sz w:val="18"/>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p w:rsidR="001C0B02" w:rsidRPr="00046E51" w:rsidRDefault="001C0B02" w:rsidP="0006743B">
                        <w:pPr>
                          <w:rPr>
                            <w:szCs w:val="18"/>
                          </w:rPr>
                        </w:pPr>
                      </w:p>
                    </w:txbxContent>
                  </v:textbox>
                </v:roundrect>
                <v:roundrect id="AutoShape 38" o:spid="_x0000_s1080" style="position:absolute;left:13995;top:647;width:19825;height:57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v:textbox>
                </v:roundrect>
                <v:shape id="AutoShape 39" o:spid="_x0000_s1081" type="#_x0000_t32" style="position:absolute;left:23780;top:13474;width:7;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40" o:spid="_x0000_s1082" type="#_x0000_t32" style="position:absolute;left:14478;top:36360;width:9315;height:4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41" o:spid="_x0000_s1083" type="#_x0000_t32" style="position:absolute;left:14478;top:44792;width:25;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LdcIAAADbAAAADwAAAGRycy9kb3ducmV2LnhtbESPQWsCMRSE74L/ITyhN81asOrWKCoI&#10;0ouohXp8bF53g5uXZZNu1n/fCIUeh5n5hllteluLjlpvHCuYTjIQxIXThksFn9fDeAHCB2SNtWNS&#10;8CAPm/VwsMJcu8hn6i6hFAnCPkcFVQhNLqUvKrLoJ64hTt63ay2GJNtS6hZjgttavmbZm7RoOC1U&#10;2NC+ouJ++bEKTDyZrjnu4+7j6+Z1JPOYOaPUy6jfvoMI1If/8F/7qBUs5/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CLdcIAAADbAAAADwAAAAAAAAAAAAAA&#10;AAChAgAAZHJzL2Rvd25yZXYueG1sUEsFBgAAAAAEAAQA+QAAAJADAAAAAA==&#10;">
                  <v:stroke endarrow="block"/>
                </v:shape>
                <v:shape id="AutoShape 42" o:spid="_x0000_s1084" type="#_x0000_t32" style="position:absolute;left:33000;top:45345;width:89;height:1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48" o:spid="_x0000_s1085" type="#_x0000_t32" style="position:absolute;left:23768;top:18218;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49" o:spid="_x0000_s1086" type="#_x0000_t32" style="position:absolute;left:23787;top:6445;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50" o:spid="_x0000_s1087" type="#_x0000_t32" style="position:absolute;left:23774;top:27743;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AutoShape 211" o:spid="_x0000_s1088" type="#_x0000_t32" style="position:absolute;left:24771;top:36360;width:8229;height:4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w10:anchorlock/>
              </v:group>
            </w:pict>
          </mc:Fallback>
        </mc:AlternateContent>
      </w:r>
    </w:p>
    <w:p w:rsidR="00786914" w:rsidRPr="004C6B15" w:rsidRDefault="00786914" w:rsidP="0006743B">
      <w:pPr>
        <w:pStyle w:val="Heading2"/>
        <w:rPr>
          <w:bCs/>
        </w:rPr>
      </w:pPr>
      <w:bookmarkStart w:id="106" w:name="_Toc323642277"/>
      <w:bookmarkStart w:id="107" w:name="_Toc327877850"/>
      <w:bookmarkStart w:id="108" w:name="_Toc365900566"/>
      <w:r w:rsidRPr="004C6B15">
        <w:rPr>
          <w:bCs/>
        </w:rPr>
        <w:t>Comparator</w:t>
      </w:r>
      <w:bookmarkEnd w:id="106"/>
      <w:bookmarkEnd w:id="107"/>
      <w:bookmarkEnd w:id="108"/>
    </w:p>
    <w:p w:rsidR="00786914" w:rsidRDefault="00786914" w:rsidP="0006743B">
      <w:r>
        <w:t xml:space="preserve">An alternative clinical management pathway depicting the basis for selecting the comparator is shown in Figure 4. This pathway would apply in the event that HoLEP were approved for public funding. It is proposed that HoLEP would represent a surgical alternative to TURP in those with moderate prostate sizes, and an alternative to OP or two-stage TURP in those with larger prostates. </w:t>
      </w:r>
    </w:p>
    <w:p w:rsidR="00786914" w:rsidRDefault="00786914">
      <w:pPr>
        <w:spacing w:after="0"/>
        <w:ind w:left="0"/>
        <w:rPr>
          <w:rFonts w:ascii="Arial" w:hAnsi="Arial"/>
          <w:bCs/>
          <w:sz w:val="18"/>
        </w:rPr>
      </w:pPr>
      <w:bookmarkStart w:id="109" w:name="_Toc327882488"/>
      <w:r>
        <w:br w:type="page"/>
      </w:r>
    </w:p>
    <w:p w:rsidR="00786914" w:rsidRDefault="00786914" w:rsidP="0006743B">
      <w:pPr>
        <w:pStyle w:val="Caption"/>
      </w:pPr>
      <w:r>
        <w:lastRenderedPageBreak/>
        <w:t xml:space="preserve">Figure </w:t>
      </w:r>
      <w:fldSimple w:instr=" SEQ Figure \* ARABIC ">
        <w:r w:rsidR="00F45C43">
          <w:rPr>
            <w:noProof/>
          </w:rPr>
          <w:t>4</w:t>
        </w:r>
      </w:fldSimple>
      <w:r>
        <w:t>:</w:t>
      </w:r>
      <w:r>
        <w:tab/>
      </w:r>
      <w:r w:rsidRPr="00DA316E">
        <w:t>Proposed clinical management chart for patients with BPH</w:t>
      </w:r>
      <w:bookmarkEnd w:id="109"/>
    </w:p>
    <w:p w:rsidR="00786914" w:rsidRDefault="00F905B8" w:rsidP="00AE6E57">
      <w:pPr>
        <w:pStyle w:val="Normalbold"/>
      </w:pPr>
      <w:r>
        <w:rPr>
          <w:noProof/>
        </w:rPr>
        <mc:AlternateContent>
          <mc:Choice Requires="wpg">
            <w:drawing>
              <wp:anchor distT="0" distB="0" distL="114300" distR="114300" simplePos="0" relativeHeight="251663360" behindDoc="0" locked="0" layoutInCell="1" allowOverlap="1" wp14:anchorId="7FDA7B08" wp14:editId="7BAED7B1">
                <wp:simplePos x="0" y="0"/>
                <wp:positionH relativeFrom="column">
                  <wp:posOffset>1046480</wp:posOffset>
                </wp:positionH>
                <wp:positionV relativeFrom="paragraph">
                  <wp:posOffset>4057650</wp:posOffset>
                </wp:positionV>
                <wp:extent cx="3592830" cy="2034540"/>
                <wp:effectExtent l="8255" t="19050" r="8890" b="13335"/>
                <wp:wrapNone/>
                <wp:docPr id="41" name="Group 94" descr="Figure 4: Proposed clinical management chart for patients with BPH" title="Figure 4: Proposed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2034540"/>
                          <a:chOff x="2368" y="7830"/>
                          <a:chExt cx="5658" cy="3204"/>
                        </a:xfrm>
                      </wpg:grpSpPr>
                      <wps:wsp>
                        <wps:cNvPr id="42" name="AutoShape 95"/>
                        <wps:cNvSpPr>
                          <a:spLocks noChangeArrowheads="1"/>
                        </wps:cNvSpPr>
                        <wps:spPr bwMode="auto">
                          <a:xfrm>
                            <a:off x="5275" y="10420"/>
                            <a:ext cx="2751"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w:t>
                              </w:r>
                              <w:r>
                                <w:rPr>
                                  <w:sz w:val="18"/>
                                  <w:szCs w:val="18"/>
                                </w:rPr>
                                <w:t>or HoLEP</w:t>
                              </w:r>
                            </w:p>
                          </w:txbxContent>
                        </wps:txbx>
                        <wps:bodyPr rot="0" vert="horz" wrap="square" lIns="91440" tIns="45720" rIns="91440" bIns="45720" anchor="t" anchorCtr="0" upright="1">
                          <a:noAutofit/>
                        </wps:bodyPr>
                      </wps:wsp>
                      <wps:wsp>
                        <wps:cNvPr id="43" name="AutoShape 96"/>
                        <wps:cNvSpPr>
                          <a:spLocks noChangeArrowheads="1"/>
                        </wps:cNvSpPr>
                        <wps:spPr bwMode="auto">
                          <a:xfrm>
                            <a:off x="2368" y="10420"/>
                            <a:ext cx="2704" cy="614"/>
                          </a:xfrm>
                          <a:prstGeom prst="flowChartProcess">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HoLEP</w:t>
                              </w:r>
                            </w:p>
                          </w:txbxContent>
                        </wps:txbx>
                        <wps:bodyPr rot="0" vert="horz" wrap="square" lIns="91440" tIns="45720" rIns="91440" bIns="45720" anchor="t" anchorCtr="0" upright="1">
                          <a:noAutofit/>
                        </wps:bodyPr>
                      </wps:wsp>
                      <wps:wsp>
                        <wps:cNvPr id="44" name="AutoShape 97"/>
                        <wps:cNvSpPr>
                          <a:spLocks noChangeArrowheads="1"/>
                        </wps:cNvSpPr>
                        <wps:spPr bwMode="auto">
                          <a:xfrm>
                            <a:off x="5397" y="7830"/>
                            <a:ext cx="2480" cy="1790"/>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wps:txbx>
                        <wps:bodyPr rot="0" vert="horz" wrap="square" lIns="91440" tIns="45720" rIns="91440" bIns="45720" anchor="t" anchorCtr="0" upright="1">
                          <a:noAutofit/>
                        </wps:bodyPr>
                      </wps:wsp>
                      <wps:wsp>
                        <wps:cNvPr id="45" name="AutoShape 98"/>
                        <wps:cNvSpPr>
                          <a:spLocks noChangeArrowheads="1"/>
                        </wps:cNvSpPr>
                        <wps:spPr bwMode="auto">
                          <a:xfrm>
                            <a:off x="2527" y="7917"/>
                            <a:ext cx="2394" cy="1703"/>
                          </a:xfrm>
                          <a:prstGeom prst="flowChartDecision">
                            <a:avLst/>
                          </a:prstGeom>
                          <a:solidFill>
                            <a:srgbClr val="FFFFFF"/>
                          </a:solidFill>
                          <a:ln w="9525">
                            <a:solidFill>
                              <a:srgbClr val="000000"/>
                            </a:solidFill>
                            <a:miter lim="800000"/>
                            <a:headEnd/>
                            <a:tailEnd/>
                          </a:ln>
                        </wps:spPr>
                        <wps:txb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wps:txbx>
                        <wps:bodyPr rot="0" vert="horz" wrap="square" lIns="91440" tIns="45720" rIns="91440" bIns="45720" anchor="t" anchorCtr="0" upright="1">
                          <a:noAutofit/>
                        </wps:bodyPr>
                      </wps:wsp>
                      <wps:wsp>
                        <wps:cNvPr id="46" name="AutoShape 99"/>
                        <wps:cNvCnPr>
                          <a:cxnSpLocks noChangeShapeType="1"/>
                        </wps:cNvCnPr>
                        <wps:spPr bwMode="auto">
                          <a:xfrm>
                            <a:off x="6651" y="9620"/>
                            <a:ext cx="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00"/>
                        <wps:cNvCnPr>
                          <a:cxnSpLocks noChangeShapeType="1"/>
                        </wps:cNvCnPr>
                        <wps:spPr bwMode="auto">
                          <a:xfrm>
                            <a:off x="3724" y="9620"/>
                            <a:ext cx="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89" alt="Title: Figure 4: Proposed clinical management chart for patients with BPH - Description: Figure 4: Proposed clinical management chart for patients with BPH" style="position:absolute;left:0;text-align:left;margin-left:82.4pt;margin-top:319.5pt;width:282.9pt;height:160.2pt;z-index:251663360;mso-position-horizontal-relative:text;mso-position-vertical-relative:text" coordorigin="2368,7830" coordsize="565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">
                <v:shape id="AutoShape 95" o:spid="_x0000_s1090" type="#_x0000_t109" style="position:absolute;left:5275;top:10420;width:2751;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2ysUA&#10;AADbAAAADwAAAGRycy9kb3ducmV2LnhtbESPQWvCQBSE74L/YXmCF6kbo5aQuooUInrwYNpLb6/Z&#10;1ySYfRuy2xj/fbcgeBxm5htmsxtMI3rqXG1ZwWIegSAurK65VPD5kb0kIJxH1thYJgV3crDbjkcb&#10;TLW98YX63JciQNilqKDyvk2ldEVFBt3ctsTB+7GdQR9kV0rd4S3ATSPjKHqVBmsOCxW29F5Rcc1/&#10;jYI4meUHPmfH1fdJZ7hefPWz5Ump6WTYv4HwNPhn+NE+agW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KxQAAANsAAAAPAAAAAAAAAAAAAAAAAJgCAABkcnMv&#10;ZG93bnJldi54bWxQSwUGAAAAAAQABAD1AAAAigMAAAAA&#10;">
                  <v:textbox>
                    <w:txbxContent>
                      <w:p w:rsidR="001C0B02" w:rsidRPr="003C788B" w:rsidRDefault="001C0B02" w:rsidP="0006743B">
                        <w:pPr>
                          <w:spacing w:after="0"/>
                          <w:ind w:left="0"/>
                          <w:rPr>
                            <w:sz w:val="18"/>
                            <w:szCs w:val="18"/>
                          </w:rPr>
                        </w:pPr>
                        <w:r w:rsidRPr="003C788B">
                          <w:rPr>
                            <w:sz w:val="18"/>
                            <w:szCs w:val="18"/>
                          </w:rPr>
                          <w:t xml:space="preserve">Offer </w:t>
                        </w:r>
                        <w:r>
                          <w:rPr>
                            <w:sz w:val="18"/>
                            <w:szCs w:val="18"/>
                          </w:rPr>
                          <w:t>OP</w:t>
                        </w:r>
                        <w:r w:rsidRPr="003C788B">
                          <w:rPr>
                            <w:sz w:val="18"/>
                            <w:szCs w:val="18"/>
                          </w:rPr>
                          <w:t xml:space="preserve"> or two</w:t>
                        </w:r>
                        <w:r>
                          <w:rPr>
                            <w:sz w:val="18"/>
                            <w:szCs w:val="18"/>
                          </w:rPr>
                          <w:t>-</w:t>
                        </w:r>
                        <w:r w:rsidRPr="003C788B">
                          <w:rPr>
                            <w:sz w:val="18"/>
                            <w:szCs w:val="18"/>
                          </w:rPr>
                          <w:t xml:space="preserve">stage TURP </w:t>
                        </w:r>
                        <w:r>
                          <w:rPr>
                            <w:sz w:val="18"/>
                            <w:szCs w:val="18"/>
                          </w:rPr>
                          <w:t>or HoLEP</w:t>
                        </w:r>
                      </w:p>
                    </w:txbxContent>
                  </v:textbox>
                </v:shape>
                <v:shape id="AutoShape 96" o:spid="_x0000_s1091" type="#_x0000_t109" style="position:absolute;left:2368;top:10420;width:2704;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1C0B02" w:rsidRPr="003C788B" w:rsidRDefault="001C0B02" w:rsidP="0006743B">
                        <w:pPr>
                          <w:spacing w:after="0"/>
                          <w:ind w:left="0"/>
                          <w:rPr>
                            <w:sz w:val="18"/>
                            <w:szCs w:val="18"/>
                          </w:rPr>
                        </w:pPr>
                        <w:r w:rsidRPr="003C788B">
                          <w:rPr>
                            <w:sz w:val="18"/>
                            <w:szCs w:val="18"/>
                          </w:rPr>
                          <w:t xml:space="preserve">Offer TURP or </w:t>
                        </w:r>
                        <w:r>
                          <w:rPr>
                            <w:sz w:val="18"/>
                            <w:szCs w:val="18"/>
                          </w:rPr>
                          <w:t>HoLEP</w:t>
                        </w:r>
                      </w:p>
                    </w:txbxContent>
                  </v:textbox>
                </v:shape>
                <v:shape id="AutoShape 97" o:spid="_x0000_s1092" type="#_x0000_t110" style="position:absolute;left:5397;top:7830;width:2480;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upMQA&#10;AADbAAAADwAAAGRycy9kb3ducmV2LnhtbESPQWvCQBSE7wX/w/IKvemmNmhJXUWE0h5E1BbPr9ln&#10;Epr3NmRXk/rrXUHocZiZb5jZoudanan1lRMDz6MEFEnubCWFge+v9+ErKB9QLNZOyMAfeVjMBw8z&#10;zKzrZEfnfShUhIjP0EAZQpNp7fOSGP3INSTRO7qWMUTZFtq22EU413qcJBPNWElcKLGhVUn57/7E&#10;BrY/6Za79eXI60t64Pr0MT1sXox5euyXb6AC9eE/fG9/WgNpCrcv8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ArqTEAAAA2wAAAA8AAAAAAAAAAAAAAAAAmAIAAGRycy9k&#10;b3ducmV2LnhtbFBLBQYAAAAABAAEAPUAAACJAwAAAAA=&#10;">
                  <v:textbox>
                    <w:txbxContent>
                      <w:p w:rsidR="001C0B02" w:rsidRDefault="001C0B02" w:rsidP="0006743B">
                        <w:pPr>
                          <w:ind w:left="0"/>
                          <w:jc w:val="center"/>
                          <w:rPr>
                            <w:sz w:val="18"/>
                            <w:szCs w:val="18"/>
                          </w:rPr>
                        </w:pPr>
                        <w:r w:rsidRPr="003C788B">
                          <w:rPr>
                            <w:sz w:val="18"/>
                            <w:szCs w:val="18"/>
                          </w:rPr>
                          <w:t xml:space="preserve">Large prostate: </w:t>
                        </w:r>
                        <w:r>
                          <w:rPr>
                            <w:sz w:val="18"/>
                            <w:szCs w:val="18"/>
                          </w:rPr>
                          <w:t>e</w:t>
                        </w:r>
                        <w:r w:rsidRPr="003C788B">
                          <w:rPr>
                            <w:sz w:val="18"/>
                            <w:szCs w:val="18"/>
                          </w:rPr>
                          <w:t xml:space="preserve">stimated </w:t>
                        </w:r>
                        <w:r>
                          <w:rPr>
                            <w:sz w:val="18"/>
                            <w:szCs w:val="18"/>
                          </w:rPr>
                          <w:t>s</w:t>
                        </w:r>
                        <w:r w:rsidRPr="003C788B">
                          <w:rPr>
                            <w:sz w:val="18"/>
                            <w:szCs w:val="18"/>
                          </w:rPr>
                          <w:t>ize &gt;80</w:t>
                        </w:r>
                        <w:r>
                          <w:rPr>
                            <w:sz w:val="18"/>
                            <w:szCs w:val="18"/>
                          </w:rPr>
                          <w:t>–</w:t>
                        </w:r>
                        <w:r w:rsidRPr="003C788B">
                          <w:rPr>
                            <w:sz w:val="18"/>
                            <w:szCs w:val="18"/>
                          </w:rPr>
                          <w:t>100g</w:t>
                        </w:r>
                      </w:p>
                    </w:txbxContent>
                  </v:textbox>
                </v:shape>
                <v:shape id="AutoShape 98" o:spid="_x0000_s1093" type="#_x0000_t110" style="position:absolute;left:2527;top:7917;width:239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LP8UA&#10;AADbAAAADwAAAGRycy9kb3ducmV2LnhtbESPQWvCQBSE74X+h+UVetNN21glukopFD1IsSqen9ln&#10;Epr3NmRXk/rruwWhx2FmvmFmi55rdaHWV04MPA0TUCS5s5UUBva7j8EElA8oFmsnZOCHPCzm93cz&#10;zKzr5Isu21CoCBGfoYEyhCbT2uclMfqha0iid3ItY4iyLbRtsYtwrvVzkrxqxkriQokNvZeUf2/P&#10;bGBzTDfcra8nXl/TA9fn5fjw+WLM40P/NgUVqA//4Vt7ZQ2kI/j7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As/xQAAANsAAAAPAAAAAAAAAAAAAAAAAJgCAABkcnMv&#10;ZG93bnJldi54bWxQSwUGAAAAAAQABAD1AAAAigMAAAAA&#10;">
                  <v:textbox>
                    <w:txbxContent>
                      <w:p w:rsidR="001C0B02" w:rsidRDefault="001C0B02" w:rsidP="0006743B">
                        <w:pPr>
                          <w:ind w:left="0"/>
                          <w:jc w:val="center"/>
                          <w:rPr>
                            <w:sz w:val="18"/>
                            <w:szCs w:val="18"/>
                          </w:rPr>
                        </w:pPr>
                        <w:r w:rsidRPr="003C788B">
                          <w:rPr>
                            <w:sz w:val="18"/>
                            <w:szCs w:val="18"/>
                          </w:rPr>
                          <w:t xml:space="preserve">Moderate prostate: </w:t>
                        </w:r>
                        <w:r>
                          <w:rPr>
                            <w:sz w:val="18"/>
                            <w:szCs w:val="18"/>
                          </w:rPr>
                          <w:t>e</w:t>
                        </w:r>
                        <w:r w:rsidRPr="003C788B">
                          <w:rPr>
                            <w:sz w:val="18"/>
                            <w:szCs w:val="18"/>
                          </w:rPr>
                          <w:t xml:space="preserve">stimated </w:t>
                        </w:r>
                        <w:r>
                          <w:rPr>
                            <w:sz w:val="18"/>
                            <w:szCs w:val="18"/>
                          </w:rPr>
                          <w:t>s</w:t>
                        </w:r>
                        <w:r w:rsidRPr="003C788B">
                          <w:rPr>
                            <w:sz w:val="18"/>
                            <w:szCs w:val="18"/>
                          </w:rPr>
                          <w:t>ize &lt;80</w:t>
                        </w:r>
                        <w:r>
                          <w:rPr>
                            <w:sz w:val="18"/>
                            <w:szCs w:val="18"/>
                          </w:rPr>
                          <w:t>–</w:t>
                        </w:r>
                        <w:r w:rsidRPr="003C788B">
                          <w:rPr>
                            <w:sz w:val="18"/>
                            <w:szCs w:val="18"/>
                          </w:rPr>
                          <w:t>100</w:t>
                        </w:r>
                        <w:r>
                          <w:rPr>
                            <w:sz w:val="18"/>
                            <w:szCs w:val="18"/>
                          </w:rPr>
                          <w:t xml:space="preserve"> g </w:t>
                        </w:r>
                        <w:r w:rsidRPr="003C788B">
                          <w:rPr>
                            <w:sz w:val="18"/>
                            <w:szCs w:val="18"/>
                          </w:rPr>
                          <w:t>g</w:t>
                        </w:r>
                        <w:r>
                          <w:rPr>
                            <w:sz w:val="18"/>
                            <w:szCs w:val="18"/>
                          </w:rPr>
                          <w:t>rams</w:t>
                        </w:r>
                      </w:p>
                    </w:txbxContent>
                  </v:textbox>
                </v:shape>
                <v:shape id="AutoShape 99" o:spid="_x0000_s1094" type="#_x0000_t32" style="position:absolute;left:6651;top:9620;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100" o:spid="_x0000_s1095" type="#_x0000_t32" style="position:absolute;left:3724;top:9620;width:0;height: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group>
            </w:pict>
          </mc:Fallback>
        </mc:AlternateContent>
      </w:r>
      <w:bookmarkStart w:id="110" w:name="_Toc323642278"/>
      <w:bookmarkStart w:id="111" w:name="_Toc327877851"/>
      <w:bookmarkStart w:id="112" w:name="_Toc327880211"/>
      <w:bookmarkEnd w:id="110"/>
      <w:bookmarkEnd w:id="111"/>
      <w:bookmarkEnd w:id="112"/>
      <w:r>
        <w:rPr>
          <w:noProof/>
        </w:rPr>
        <mc:AlternateContent>
          <mc:Choice Requires="wpc">
            <w:drawing>
              <wp:inline distT="0" distB="0" distL="0" distR="0" wp14:anchorId="7D958FD1" wp14:editId="6DBB4221">
                <wp:extent cx="5156791" cy="6230678"/>
                <wp:effectExtent l="0" t="0" r="0" b="0"/>
                <wp:docPr id="40" name="Canvas 32" title="Figure 4: Proposed clinical management chart for patients with BPH"/>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 name="Rectangle 34"/>
                        <wps:cNvSpPr>
                          <a:spLocks noChangeArrowheads="1"/>
                        </wps:cNvSpPr>
                        <wps:spPr bwMode="auto">
                          <a:xfrm>
                            <a:off x="690211" y="819112"/>
                            <a:ext cx="3397256" cy="528308"/>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wps:txbx>
                        <wps:bodyPr rot="0" vert="horz" wrap="square" lIns="91440" tIns="45720" rIns="91440" bIns="45720" anchor="t" anchorCtr="0" upright="1">
                          <a:noAutofit/>
                        </wps:bodyPr>
                      </wps:wsp>
                      <wps:wsp>
                        <wps:cNvPr id="55" name="AutoShape 35"/>
                        <wps:cNvSpPr>
                          <a:spLocks noChangeArrowheads="1"/>
                        </wps:cNvSpPr>
                        <wps:spPr bwMode="auto">
                          <a:xfrm>
                            <a:off x="1727228" y="1526522"/>
                            <a:ext cx="1318222" cy="295304"/>
                          </a:xfrm>
                          <a:prstGeom prst="roundRect">
                            <a:avLst>
                              <a:gd name="adj" fmla="val 16667"/>
                            </a:avLst>
                          </a:prstGeom>
                          <a:solidFill>
                            <a:srgbClr val="FFFFFF"/>
                          </a:solidFill>
                          <a:ln w="9525">
                            <a:solidFill>
                              <a:srgbClr val="000000"/>
                            </a:solidFill>
                            <a:round/>
                            <a:headEnd/>
                            <a:tailEnd/>
                          </a:ln>
                        </wps:spPr>
                        <wps:txbx>
                          <w:txbxContent>
                            <w:p w:rsidR="001C0B02" w:rsidRPr="003C788B" w:rsidRDefault="001C0B02" w:rsidP="0006743B">
                              <w:pPr>
                                <w:spacing w:after="0"/>
                                <w:ind w:left="0"/>
                                <w:rPr>
                                  <w:sz w:val="18"/>
                                  <w:szCs w:val="18"/>
                                </w:rPr>
                              </w:pPr>
                              <w:r w:rsidRPr="003C788B">
                                <w:rPr>
                                  <w:sz w:val="18"/>
                                  <w:szCs w:val="18"/>
                                </w:rPr>
                                <w:t>If inappropriate or fails</w:t>
                              </w:r>
                            </w:p>
                          </w:txbxContent>
                        </wps:txbx>
                        <wps:bodyPr rot="0" vert="horz" wrap="square" lIns="91440" tIns="45720" rIns="91440" bIns="45720" anchor="t" anchorCtr="0" upright="1">
                          <a:noAutofit/>
                        </wps:bodyPr>
                      </wps:wsp>
                      <wps:wsp>
                        <wps:cNvPr id="56" name="Rectangle 36"/>
                        <wps:cNvSpPr>
                          <a:spLocks noChangeArrowheads="1"/>
                        </wps:cNvSpPr>
                        <wps:spPr bwMode="auto">
                          <a:xfrm>
                            <a:off x="1551926" y="1940529"/>
                            <a:ext cx="1748129" cy="833812"/>
                          </a:xfrm>
                          <a:prstGeom prst="rect">
                            <a:avLst/>
                          </a:prstGeom>
                          <a:solidFill>
                            <a:srgbClr val="FFFFFF"/>
                          </a:solidFill>
                          <a:ln w="9525">
                            <a:solidFill>
                              <a:srgbClr val="000000"/>
                            </a:solidFill>
                            <a:miter lim="800000"/>
                            <a:headEnd/>
                            <a:tailEnd/>
                          </a:ln>
                        </wps:spPr>
                        <wps:txb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wps:txbx>
                        <wps:bodyPr rot="0" vert="horz" wrap="square" lIns="91440" tIns="45720" rIns="91440" bIns="45720" anchor="t" anchorCtr="0" upright="1">
                          <a:noAutofit/>
                        </wps:bodyPr>
                      </wps:wsp>
                      <wps:wsp>
                        <wps:cNvPr id="57" name="AutoShape 37"/>
                        <wps:cNvSpPr>
                          <a:spLocks noChangeArrowheads="1"/>
                        </wps:cNvSpPr>
                        <wps:spPr bwMode="auto">
                          <a:xfrm>
                            <a:off x="508608" y="2948943"/>
                            <a:ext cx="3936365" cy="687110"/>
                          </a:xfrm>
                          <a:prstGeom prst="roundRect">
                            <a:avLst>
                              <a:gd name="adj" fmla="val 16667"/>
                            </a:avLst>
                          </a:prstGeom>
                          <a:solidFill>
                            <a:srgbClr val="FFFFFF"/>
                          </a:solidFill>
                          <a:ln w="9525">
                            <a:solidFill>
                              <a:srgbClr val="000000"/>
                            </a:solidFill>
                            <a:round/>
                            <a:headEnd/>
                            <a:tailEnd/>
                          </a:ln>
                        </wps:spPr>
                        <wps:txbx>
                          <w:txbxContent>
                            <w:p w:rsidR="001C0B02" w:rsidRPr="00046E51" w:rsidRDefault="001C0B02" w:rsidP="0006743B">
                              <w:pPr>
                                <w:spacing w:after="0"/>
                                <w:ind w:left="0"/>
                                <w:jc w:val="center"/>
                                <w:rPr>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txbxContent>
                        </wps:txbx>
                        <wps:bodyPr rot="0" vert="horz" wrap="square" lIns="91440" tIns="45720" rIns="91440" bIns="45720" anchor="t" anchorCtr="0" upright="1">
                          <a:noAutofit/>
                        </wps:bodyPr>
                      </wps:wsp>
                      <wps:wsp>
                        <wps:cNvPr id="58" name="AutoShape 38"/>
                        <wps:cNvSpPr>
                          <a:spLocks noChangeArrowheads="1"/>
                        </wps:cNvSpPr>
                        <wps:spPr bwMode="auto">
                          <a:xfrm>
                            <a:off x="1399523" y="64701"/>
                            <a:ext cx="1982533" cy="579809"/>
                          </a:xfrm>
                          <a:prstGeom prst="roundRect">
                            <a:avLst>
                              <a:gd name="adj" fmla="val 16667"/>
                            </a:avLst>
                          </a:prstGeom>
                          <a:solidFill>
                            <a:srgbClr val="FFFFFF"/>
                          </a:solidFill>
                          <a:ln w="9525">
                            <a:solidFill>
                              <a:srgbClr val="000000"/>
                            </a:solidFill>
                            <a:round/>
                            <a:headEnd/>
                            <a:tailEnd/>
                          </a:ln>
                        </wps:spPr>
                        <wps:txb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wps:txbx>
                        <wps:bodyPr rot="0" vert="horz" wrap="square" lIns="91440" tIns="45720" rIns="91440" bIns="45720" anchor="t" anchorCtr="0" upright="1">
                          <a:noAutofit/>
                        </wps:bodyPr>
                      </wps:wsp>
                      <wps:wsp>
                        <wps:cNvPr id="59" name="AutoShape 39"/>
                        <wps:cNvCnPr>
                          <a:cxnSpLocks noChangeShapeType="1"/>
                        </wps:cNvCnPr>
                        <wps:spPr bwMode="auto">
                          <a:xfrm>
                            <a:off x="2378039" y="1347420"/>
                            <a:ext cx="7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0"/>
                        <wps:cNvCnPr>
                          <a:cxnSpLocks noChangeShapeType="1"/>
                        </wps:cNvCnPr>
                        <wps:spPr bwMode="auto">
                          <a:xfrm flipH="1">
                            <a:off x="1447824" y="3636054"/>
                            <a:ext cx="931515" cy="476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41"/>
                        <wps:cNvCnPr>
                          <a:cxnSpLocks noChangeShapeType="1"/>
                        </wps:cNvCnPr>
                        <wps:spPr bwMode="auto">
                          <a:xfrm flipH="1">
                            <a:off x="1447824" y="4479266"/>
                            <a:ext cx="2500" cy="178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42"/>
                        <wps:cNvCnPr>
                          <a:cxnSpLocks noChangeShapeType="1"/>
                        </wps:cNvCnPr>
                        <wps:spPr bwMode="auto">
                          <a:xfrm>
                            <a:off x="3300054" y="4534567"/>
                            <a:ext cx="8900" cy="123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48"/>
                        <wps:cNvCnPr>
                          <a:cxnSpLocks noChangeShapeType="1"/>
                        </wps:cNvCnPr>
                        <wps:spPr bwMode="auto">
                          <a:xfrm>
                            <a:off x="2376839" y="1821827"/>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9"/>
                        <wps:cNvCnPr>
                          <a:cxnSpLocks noChangeShapeType="1"/>
                        </wps:cNvCnPr>
                        <wps:spPr bwMode="auto">
                          <a:xfrm>
                            <a:off x="2378739" y="644509"/>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0"/>
                        <wps:cNvCnPr>
                          <a:cxnSpLocks noChangeShapeType="1"/>
                        </wps:cNvCnPr>
                        <wps:spPr bwMode="auto">
                          <a:xfrm>
                            <a:off x="2377439" y="2774341"/>
                            <a:ext cx="600" cy="174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211"/>
                        <wps:cNvCnPr>
                          <a:cxnSpLocks noChangeShapeType="1"/>
                          <a:stCxn id="57" idx="2"/>
                        </wps:cNvCnPr>
                        <wps:spPr bwMode="auto">
                          <a:xfrm>
                            <a:off x="2477141" y="3636054"/>
                            <a:ext cx="822914" cy="421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2" o:spid="_x0000_s1096" editas="canvas" alt="Title: Figure 4: Proposed clinical management chart for patients with BPH" style="width:406.05pt;height:490.6pt;mso-position-horizontal-relative:char;mso-position-vertical-relative:line" coordsize="51562,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">
                <v:shape id="_x0000_s1097" type="#_x0000_t75" style="position:absolute;width:51562;height:62306;visibility:visible;mso-wrap-style:square">
                  <v:fill o:detectmouseclick="t"/>
                  <v:path o:connecttype="none"/>
                </v:shape>
                <v:rect id="Rectangle 34" o:spid="_x0000_s1098" style="position:absolute;left:6902;top:8191;width:3397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C0B02" w:rsidRDefault="001C0B02" w:rsidP="0006743B">
                        <w:pPr>
                          <w:spacing w:after="0"/>
                          <w:ind w:left="0"/>
                          <w:jc w:val="center"/>
                          <w:rPr>
                            <w:sz w:val="18"/>
                            <w:szCs w:val="18"/>
                          </w:rPr>
                        </w:pPr>
                        <w:r w:rsidRPr="003C788B">
                          <w:rPr>
                            <w:sz w:val="18"/>
                            <w:szCs w:val="18"/>
                          </w:rPr>
                          <w:t>Discuss active surveillance (reassurance and lifestyle advice) and conservative management (bladder training, advice on fluid intake, lifestyle advice and, if needed, containment products)</w:t>
                        </w:r>
                      </w:p>
                    </w:txbxContent>
                  </v:textbox>
                </v:rect>
                <v:roundrect id="AutoShape 35" o:spid="_x0000_s1099" style="position:absolute;left:17272;top:15265;width:13182;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1C0B02" w:rsidRPr="003C788B" w:rsidRDefault="001C0B02" w:rsidP="0006743B">
                        <w:pPr>
                          <w:spacing w:after="0"/>
                          <w:ind w:left="0"/>
                          <w:rPr>
                            <w:sz w:val="18"/>
                            <w:szCs w:val="18"/>
                          </w:rPr>
                        </w:pPr>
                        <w:r w:rsidRPr="003C788B">
                          <w:rPr>
                            <w:sz w:val="18"/>
                            <w:szCs w:val="18"/>
                          </w:rPr>
                          <w:t>If inappropriate or fails</w:t>
                        </w:r>
                      </w:p>
                    </w:txbxContent>
                  </v:textbox>
                </v:roundrect>
                <v:rect id="Rectangle 36" o:spid="_x0000_s1100" style="position:absolute;left:15519;top:19405;width:17481;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1C0B02" w:rsidRPr="003C788B" w:rsidRDefault="001C0B02" w:rsidP="0006743B">
                        <w:pPr>
                          <w:spacing w:after="0"/>
                          <w:ind w:left="0"/>
                          <w:rPr>
                            <w:sz w:val="18"/>
                            <w:szCs w:val="18"/>
                          </w:rPr>
                        </w:pPr>
                        <w:r w:rsidRPr="003C788B">
                          <w:rPr>
                            <w:sz w:val="18"/>
                            <w:szCs w:val="18"/>
                          </w:rPr>
                          <w:t>Medical treatment:</w:t>
                        </w:r>
                      </w:p>
                      <w:p w:rsidR="001C0B02" w:rsidRPr="003C788B" w:rsidRDefault="001C0B02" w:rsidP="0006743B">
                        <w:pPr>
                          <w:pStyle w:val="ListParagraph"/>
                          <w:numPr>
                            <w:ilvl w:val="0"/>
                            <w:numId w:val="4"/>
                          </w:numPr>
                          <w:spacing w:after="0" w:line="276" w:lineRule="auto"/>
                          <w:rPr>
                            <w:sz w:val="18"/>
                            <w:szCs w:val="18"/>
                          </w:rPr>
                        </w:pPr>
                        <w:r>
                          <w:rPr>
                            <w:sz w:val="18"/>
                            <w:szCs w:val="18"/>
                          </w:rPr>
                          <w:t>a</w:t>
                        </w:r>
                        <w:r w:rsidRPr="003C788B">
                          <w:rPr>
                            <w:sz w:val="18"/>
                            <w:szCs w:val="18"/>
                          </w:rPr>
                          <w:t>lpha blockers</w:t>
                        </w:r>
                      </w:p>
                      <w:p w:rsidR="001C0B02" w:rsidRPr="003C788B" w:rsidRDefault="001C0B02" w:rsidP="0006743B">
                        <w:pPr>
                          <w:pStyle w:val="ListParagraph"/>
                          <w:numPr>
                            <w:ilvl w:val="0"/>
                            <w:numId w:val="4"/>
                          </w:numPr>
                          <w:spacing w:after="0" w:line="276" w:lineRule="auto"/>
                          <w:rPr>
                            <w:sz w:val="18"/>
                            <w:szCs w:val="18"/>
                          </w:rPr>
                        </w:pPr>
                        <w:r w:rsidRPr="003C788B">
                          <w:rPr>
                            <w:sz w:val="18"/>
                            <w:szCs w:val="18"/>
                          </w:rPr>
                          <w:t>5-alpha reductase inhibitors</w:t>
                        </w:r>
                        <w:r>
                          <w:rPr>
                            <w:sz w:val="18"/>
                            <w:szCs w:val="18"/>
                          </w:rPr>
                          <w:t>/</w:t>
                        </w:r>
                        <w:r w:rsidRPr="003C788B">
                          <w:rPr>
                            <w:sz w:val="18"/>
                            <w:szCs w:val="18"/>
                          </w:rPr>
                          <w:t>anti-cholinergics</w:t>
                        </w:r>
                      </w:p>
                      <w:p w:rsidR="001C0B02" w:rsidRPr="003C788B" w:rsidRDefault="001C0B02" w:rsidP="0006743B">
                        <w:pPr>
                          <w:rPr>
                            <w:sz w:val="18"/>
                            <w:szCs w:val="18"/>
                          </w:rPr>
                        </w:pPr>
                      </w:p>
                    </w:txbxContent>
                  </v:textbox>
                </v:rect>
                <v:roundrect id="AutoShape 37" o:spid="_x0000_s1101" style="position:absolute;left:5086;top:29489;width:39363;height:68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textbox>
                    <w:txbxContent>
                      <w:p w:rsidR="001C0B02" w:rsidRPr="00046E51" w:rsidRDefault="001C0B02" w:rsidP="0006743B">
                        <w:pPr>
                          <w:spacing w:after="0"/>
                          <w:ind w:left="0"/>
                          <w:jc w:val="center"/>
                          <w:rPr>
                            <w:szCs w:val="18"/>
                          </w:rPr>
                        </w:pPr>
                        <w:r>
                          <w:rPr>
                            <w:sz w:val="18"/>
                            <w:szCs w:val="18"/>
                          </w:rPr>
                          <w:t>A</w:t>
                        </w:r>
                        <w:r w:rsidRPr="00395F98">
                          <w:rPr>
                            <w:sz w:val="18"/>
                            <w:szCs w:val="18"/>
                          </w:rPr>
                          <w:t xml:space="preserve">ctive surveillance, conservative treatment and medical management </w:t>
                        </w:r>
                        <w:r>
                          <w:rPr>
                            <w:sz w:val="18"/>
                            <w:szCs w:val="18"/>
                          </w:rPr>
                          <w:t xml:space="preserve">has </w:t>
                        </w:r>
                        <w:r w:rsidRPr="00395F98">
                          <w:rPr>
                            <w:sz w:val="18"/>
                            <w:szCs w:val="18"/>
                          </w:rPr>
                          <w:t xml:space="preserve">failed </w:t>
                        </w:r>
                        <w:r>
                          <w:rPr>
                            <w:sz w:val="18"/>
                            <w:szCs w:val="18"/>
                          </w:rPr>
                          <w:t>(</w:t>
                        </w:r>
                        <w:r w:rsidRPr="00395F98">
                          <w:rPr>
                            <w:sz w:val="18"/>
                            <w:szCs w:val="18"/>
                          </w:rPr>
                          <w:t xml:space="preserve">or </w:t>
                        </w:r>
                        <w:r>
                          <w:rPr>
                            <w:sz w:val="18"/>
                            <w:szCs w:val="18"/>
                          </w:rPr>
                          <w:t>is</w:t>
                        </w:r>
                        <w:r w:rsidRPr="00395F98">
                          <w:rPr>
                            <w:sz w:val="18"/>
                            <w:szCs w:val="18"/>
                          </w:rPr>
                          <w:t xml:space="preserve"> inappropriate</w:t>
                        </w:r>
                        <w:r>
                          <w:rPr>
                            <w:sz w:val="18"/>
                            <w:szCs w:val="18"/>
                          </w:rPr>
                          <w:t xml:space="preserve">) and </w:t>
                        </w:r>
                        <w:r w:rsidRPr="00395F98">
                          <w:rPr>
                            <w:sz w:val="18"/>
                            <w:szCs w:val="18"/>
                          </w:rPr>
                          <w:t>surgical options</w:t>
                        </w:r>
                        <w:r>
                          <w:rPr>
                            <w:sz w:val="18"/>
                            <w:szCs w:val="18"/>
                          </w:rPr>
                          <w:t xml:space="preserve"> are being assessed.</w:t>
                        </w:r>
                      </w:p>
                    </w:txbxContent>
                  </v:textbox>
                </v:roundrect>
                <v:roundrect id="AutoShape 38" o:spid="_x0000_s1102" style="position:absolute;left:13995;top:647;width:19825;height:57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DrMAA&#10;AADbAAAADwAAAGRycy9kb3ducmV2LnhtbERPz2vCMBS+C/4P4QneNHHgmJ1pkcGGt7HOg8e35q0t&#10;a15qktbOv94cBjt+fL/3xWQ7MZIPrWMNm7UCQVw503Kt4fT5unoCESKywc4xafilAEU+n+0xM+7K&#10;HzSWsRYphEOGGpoY+0zKUDVkMaxdT5y4b+ctxgR9LY3Hawq3nXxQ6lFabDk1NNjTS0PVTzlYDZVR&#10;g/Ln8X33tY3lbRwuLN8uWi8X0+EZRKQp/ov/3EejYZv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DrMAAAADbAAAADwAAAAAAAAAAAAAAAACYAgAAZHJzL2Rvd25y&#10;ZXYueG1sUEsFBgAAAAAEAAQA9QAAAIUDAAAAAA==&#10;">
                  <v:textbox>
                    <w:txbxContent>
                      <w:p w:rsidR="001C0B02" w:rsidRDefault="001C0B02" w:rsidP="0006743B">
                        <w:pPr>
                          <w:spacing w:after="0"/>
                          <w:ind w:left="0"/>
                          <w:jc w:val="center"/>
                          <w:rPr>
                            <w:sz w:val="18"/>
                            <w:szCs w:val="18"/>
                          </w:rPr>
                        </w:pPr>
                        <w:r w:rsidRPr="003C788B">
                          <w:rPr>
                            <w:sz w:val="18"/>
                            <w:szCs w:val="18"/>
                          </w:rPr>
                          <w:t>Men with moderate to severe symptomatic, benign BPH (base</w:t>
                        </w:r>
                        <w:r>
                          <w:rPr>
                            <w:sz w:val="18"/>
                            <w:szCs w:val="18"/>
                          </w:rPr>
                          <w:t>d on AUA or IPSS symptom score)</w:t>
                        </w:r>
                      </w:p>
                    </w:txbxContent>
                  </v:textbox>
                </v:roundrect>
                <v:shape id="AutoShape 39" o:spid="_x0000_s1103" type="#_x0000_t32" style="position:absolute;left:23780;top:13474;width:7;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40" o:spid="_x0000_s1104" type="#_x0000_t32" style="position:absolute;left:14478;top:36360;width:9315;height:4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41" o:spid="_x0000_s1105" type="#_x0000_t32" style="position:absolute;left:14478;top:44792;width:25;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42" o:spid="_x0000_s1106" type="#_x0000_t32" style="position:absolute;left:33000;top:45345;width:89;height:1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48" o:spid="_x0000_s1107" type="#_x0000_t32" style="position:absolute;left:23768;top:18218;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49" o:spid="_x0000_s1108" type="#_x0000_t32" style="position:absolute;left:23787;top:6445;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50" o:spid="_x0000_s1109" type="#_x0000_t32" style="position:absolute;left:23774;top:27743;width:6;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 id="AutoShape 211" o:spid="_x0000_s1110" type="#_x0000_t32" style="position:absolute;left:24771;top:36360;width:8229;height:4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fxcMAAADcAAAADwAAAGRycy9kb3ducmV2LnhtbERPTWvCQBC9C/6HZYTedBML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38XDAAAA3AAAAA8AAAAAAAAAAAAA&#10;AAAAoQIAAGRycy9kb3ducmV2LnhtbFBLBQYAAAAABAAEAPkAAACRAwAAAAA=&#10;">
                  <v:stroke endarrow="block"/>
                </v:shape>
                <w10:anchorlock/>
              </v:group>
            </w:pict>
          </mc:Fallback>
        </mc:AlternateContent>
      </w:r>
    </w:p>
    <w:p w:rsidR="00786914" w:rsidRDefault="00AE6E57" w:rsidP="0006743B">
      <w:r>
        <w:t>V</w:t>
      </w:r>
      <w:r w:rsidR="00786914">
        <w:t>LAP, TUNA, and TUMT are comparable procedures. Due to their low utilisation rates and small costs to the MBS relative to TURP or OP, however, they are not considered as suitable comparators for this assessment and so are not included in the proposed clinical algorithm. Further, HoLEP would be expected to replace these procedures in centres where it is available. This approach is described in the DAP and was approved by PASC.</w:t>
      </w:r>
    </w:p>
    <w:p w:rsidR="00786914" w:rsidRDefault="00786914">
      <w:pPr>
        <w:spacing w:after="0"/>
        <w:ind w:left="0"/>
        <w:rPr>
          <w:rFonts w:ascii="Tahoma" w:hAnsi="Tahoma"/>
          <w:b/>
          <w:bCs/>
          <w:sz w:val="28"/>
        </w:rPr>
      </w:pPr>
      <w:bookmarkStart w:id="113" w:name="_Toc323642279"/>
      <w:bookmarkStart w:id="114" w:name="_Toc327877852"/>
      <w:r>
        <w:rPr>
          <w:bCs/>
        </w:rPr>
        <w:br w:type="page"/>
      </w:r>
    </w:p>
    <w:p w:rsidR="00786914" w:rsidRPr="00AC23FE" w:rsidRDefault="00786914" w:rsidP="0006743B">
      <w:pPr>
        <w:pStyle w:val="Heading2"/>
        <w:rPr>
          <w:bCs/>
        </w:rPr>
      </w:pPr>
      <w:bookmarkStart w:id="115" w:name="_Toc365900567"/>
      <w:r w:rsidRPr="004C6B15">
        <w:rPr>
          <w:bCs/>
        </w:rPr>
        <w:lastRenderedPageBreak/>
        <w:t>Research questions</w:t>
      </w:r>
      <w:r>
        <w:rPr>
          <w:bCs/>
        </w:rPr>
        <w:t xml:space="preserve"> (decision options)</w:t>
      </w:r>
      <w:bookmarkEnd w:id="113"/>
      <w:bookmarkEnd w:id="114"/>
      <w:bookmarkEnd w:id="115"/>
    </w:p>
    <w:p w:rsidR="00786914" w:rsidRDefault="00786914" w:rsidP="0006743B">
      <w:r>
        <w:t>The questions for public funding addressed in this review are:</w:t>
      </w:r>
    </w:p>
    <w:p w:rsidR="00786914" w:rsidRPr="0016187C" w:rsidRDefault="00786914" w:rsidP="0006743B">
      <w:r w:rsidRPr="0016187C">
        <w:t xml:space="preserve">In men with symptomatic BPH no longer manageable with medications, and with an expected prostate size less than </w:t>
      </w:r>
      <w:r>
        <w:t>80–100 g</w:t>
      </w:r>
      <w:r w:rsidRPr="0016187C">
        <w:t xml:space="preserve">, what </w:t>
      </w:r>
      <w:r>
        <w:t>is</w:t>
      </w:r>
      <w:r w:rsidRPr="0016187C">
        <w:t xml:space="preserve"> the safety, effectiveness and cost-effectiveness of HoLEP</w:t>
      </w:r>
      <w:r>
        <w:t xml:space="preserve"> (</w:t>
      </w:r>
      <w:r w:rsidRPr="0016187C">
        <w:t xml:space="preserve">with </w:t>
      </w:r>
      <w:r>
        <w:t xml:space="preserve">or without </w:t>
      </w:r>
      <w:r w:rsidRPr="0016187C">
        <w:t>tissue morcellation</w:t>
      </w:r>
      <w:r>
        <w:t>)</w:t>
      </w:r>
      <w:r w:rsidRPr="0016187C">
        <w:t xml:space="preserve"> in comparison to TURP? </w:t>
      </w:r>
    </w:p>
    <w:p w:rsidR="00786914" w:rsidRPr="0016187C" w:rsidRDefault="00786914" w:rsidP="0006743B">
      <w:r w:rsidRPr="00741F01">
        <w:t>In men with symptomatic BPH no longer manageable with medications,</w:t>
      </w:r>
      <w:r w:rsidRPr="0016187C">
        <w:t xml:space="preserve"> and with an expected prostate size greater than </w:t>
      </w:r>
      <w:r>
        <w:t>80–100</w:t>
      </w:r>
      <w:r w:rsidRPr="0016187C">
        <w:t xml:space="preserve"> gram, what </w:t>
      </w:r>
      <w:r>
        <w:t>is</w:t>
      </w:r>
      <w:r w:rsidRPr="0016187C">
        <w:t xml:space="preserve"> the safety, effectiveness and cost-effectiveness of HoLEP</w:t>
      </w:r>
      <w:r>
        <w:t xml:space="preserve"> (</w:t>
      </w:r>
      <w:r w:rsidRPr="0016187C">
        <w:t xml:space="preserve">with </w:t>
      </w:r>
      <w:r>
        <w:t xml:space="preserve">or without </w:t>
      </w:r>
      <w:r w:rsidRPr="0016187C">
        <w:t>tissue morcellation</w:t>
      </w:r>
      <w:r>
        <w:t>)</w:t>
      </w:r>
      <w:r w:rsidRPr="0016187C">
        <w:t xml:space="preserve"> in comparison to </w:t>
      </w:r>
      <w:r>
        <w:t>open prostatectomy</w:t>
      </w:r>
      <w:r w:rsidRPr="0016187C">
        <w:t xml:space="preserve">? </w:t>
      </w:r>
    </w:p>
    <w:p w:rsidR="00786914" w:rsidRDefault="00786914">
      <w:pPr>
        <w:pStyle w:val="Heading2"/>
      </w:pPr>
      <w:bookmarkStart w:id="116" w:name="_Toc323642280"/>
      <w:bookmarkStart w:id="117" w:name="_Toc327877853"/>
      <w:bookmarkStart w:id="118" w:name="_Toc365900568"/>
      <w:r w:rsidRPr="00934D05">
        <w:t>Review of literature</w:t>
      </w:r>
      <w:bookmarkEnd w:id="116"/>
      <w:bookmarkEnd w:id="117"/>
      <w:bookmarkEnd w:id="118"/>
    </w:p>
    <w:p w:rsidR="00786914" w:rsidRDefault="00786914" w:rsidP="0006743B">
      <w:r>
        <w:t>Prior to conducting the search strategy of the medical literature for original research papers, a search of the websites of international health technology assessment (HTA) agencies was initially conducted so as to  identify any existing HTA reports. This identified nine HTA reports that were relevant to this assessment (Appendix E).</w:t>
      </w:r>
    </w:p>
    <w:p w:rsidR="00786914" w:rsidRDefault="00786914" w:rsidP="0006743B">
      <w:r>
        <w:t xml:space="preserve">The report of Lourenco et al </w:t>
      </w:r>
      <w:r>
        <w:rPr>
          <w:noProof/>
        </w:rPr>
        <w:t>(2008)</w:t>
      </w:r>
      <w:r>
        <w:t xml:space="preserve"> was updated in the comparison of HoLEP with TURP. This is considered to be a high-quality systematic review, and was published by the UK National Institute for Health Research (NIHR) Health Technology Assessment programme. The report included literature up to 2006 and identified five randomised controlled trials (RCTs) that compared HoLEP with TURP. As a result, the search of the medical literature conducted for this assessment was limited to articles published from 2006. Table 8 lists the electronic databases of published research that were searched for this review.</w:t>
      </w:r>
    </w:p>
    <w:p w:rsidR="00786914" w:rsidRDefault="00786914" w:rsidP="0006743B">
      <w:r>
        <w:t>The Australian and New Zealand Horizon Scanning Network (ANZHSN) review was chosen for updating in the assessment of HoLEP in comparison with OP</w:t>
      </w:r>
      <w:r>
        <w:rPr>
          <w:noProof/>
        </w:rPr>
        <w:t>(2010)</w:t>
      </w:r>
      <w:r>
        <w:t>. This report was not considered to be of high quality (</w:t>
      </w:r>
      <w:r w:rsidR="00766F46">
        <w:fldChar w:fldCharType="begin"/>
      </w:r>
      <w:r w:rsidR="00766F46">
        <w:instrText xml:space="preserve"> REF _Ref323307738 \h  \* MERGEFORMAT </w:instrText>
      </w:r>
      <w:r w:rsidR="00766F46">
        <w:fldChar w:fldCharType="separate"/>
      </w:r>
      <w:r w:rsidR="00F45C43">
        <w:t xml:space="preserve">Table </w:t>
      </w:r>
      <w:r w:rsidR="00F45C43">
        <w:rPr>
          <w:noProof/>
        </w:rPr>
        <w:t>14</w:t>
      </w:r>
      <w:r w:rsidR="00766F46">
        <w:fldChar w:fldCharType="end"/>
      </w:r>
      <w:r>
        <w:t>,</w:t>
      </w:r>
      <w:r w:rsidRPr="006E0E3E">
        <w:t xml:space="preserve"> page </w:t>
      </w:r>
      <w:r w:rsidR="00F0137E" w:rsidRPr="006E0E3E">
        <w:fldChar w:fldCharType="begin"/>
      </w:r>
      <w:r w:rsidRPr="006E0E3E">
        <w:instrText xml:space="preserve"> PAGEREF _Ref323630045 \h </w:instrText>
      </w:r>
      <w:r w:rsidR="00F0137E" w:rsidRPr="006E0E3E">
        <w:fldChar w:fldCharType="separate"/>
      </w:r>
      <w:r w:rsidR="00F45C43">
        <w:rPr>
          <w:noProof/>
        </w:rPr>
        <w:t>27</w:t>
      </w:r>
      <w:r w:rsidR="00F0137E" w:rsidRPr="006E0E3E">
        <w:fldChar w:fldCharType="end"/>
      </w:r>
      <w:r w:rsidRPr="006E0E3E">
        <w:t>)</w:t>
      </w:r>
      <w:r>
        <w:t xml:space="preserve"> despite being based on a comprehensive search strategy. It was considered however that this report could be relied on to identify any literature published prior to 2006 despite methodological limitations/weaknesses. Of note, this report also compared HoLEP with TURP. Despite being published subsequently to Lourenco, the latter study was chosen in this comparison due to the methodological high quality.</w:t>
      </w:r>
    </w:p>
    <w:p w:rsidR="00786914" w:rsidRPr="00C061EF" w:rsidRDefault="00786914" w:rsidP="0006743B">
      <w:r>
        <w:rPr>
          <w:szCs w:val="24"/>
        </w:rPr>
        <w:t>D</w:t>
      </w:r>
      <w:r w:rsidRPr="00C061EF">
        <w:rPr>
          <w:szCs w:val="24"/>
        </w:rPr>
        <w:t>atabases</w:t>
      </w:r>
      <w:r>
        <w:rPr>
          <w:szCs w:val="24"/>
        </w:rPr>
        <w:t xml:space="preserve"> included in both of these searches are shown in </w:t>
      </w:r>
      <w:r w:rsidR="00766F46">
        <w:fldChar w:fldCharType="begin"/>
      </w:r>
      <w:r w:rsidR="00766F46">
        <w:instrText xml:space="preserve"> REF _Ref323306453 \h  \* MERGEFORMAT </w:instrText>
      </w:r>
      <w:r w:rsidR="00766F46">
        <w:fldChar w:fldCharType="separate"/>
      </w:r>
      <w:r w:rsidR="00F45C43">
        <w:t>Table 8</w:t>
      </w:r>
      <w:r w:rsidR="00766F46">
        <w:fldChar w:fldCharType="end"/>
      </w:r>
      <w:r>
        <w:rPr>
          <w:szCs w:val="24"/>
        </w:rPr>
        <w:t xml:space="preserve"> below. The search terms and search strategy are shown in </w:t>
      </w:r>
      <w:r w:rsidRPr="00CF4680">
        <w:rPr>
          <w:szCs w:val="24"/>
        </w:rPr>
        <w:t xml:space="preserve">Appendix </w:t>
      </w:r>
      <w:r>
        <w:rPr>
          <w:szCs w:val="24"/>
        </w:rPr>
        <w:t>C.</w:t>
      </w:r>
    </w:p>
    <w:p w:rsidR="00786914" w:rsidRDefault="00786914" w:rsidP="0006743B">
      <w:pPr>
        <w:pStyle w:val="Caption"/>
        <w:keepNext/>
      </w:pPr>
      <w:bookmarkStart w:id="119" w:name="_Ref323306453"/>
      <w:bookmarkStart w:id="120" w:name="_Toc327803255"/>
      <w:bookmarkStart w:id="121" w:name="_Toc327881545"/>
      <w:r>
        <w:lastRenderedPageBreak/>
        <w:t xml:space="preserve">Table </w:t>
      </w:r>
      <w:fldSimple w:instr=" SEQ Table \* ARABIC ">
        <w:r w:rsidR="00F45C43">
          <w:rPr>
            <w:noProof/>
          </w:rPr>
          <w:t>8</w:t>
        </w:r>
      </w:fldSimple>
      <w:bookmarkEnd w:id="119"/>
      <w:r>
        <w:t>:</w:t>
      </w:r>
      <w:r>
        <w:tab/>
        <w:t>Electronic databases searched</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4780"/>
      </w:tblGrid>
      <w:tr w:rsidR="00786914" w:rsidRPr="00CF4680" w:rsidTr="0006743B">
        <w:tc>
          <w:tcPr>
            <w:tcW w:w="2415" w:type="pct"/>
          </w:tcPr>
          <w:p w:rsidR="00786914" w:rsidRPr="00CF4680" w:rsidRDefault="00786914" w:rsidP="0006743B">
            <w:pPr>
              <w:pStyle w:val="Tableheading"/>
            </w:pPr>
            <w:r w:rsidRPr="00CF4680">
              <w:t>Database</w:t>
            </w:r>
          </w:p>
        </w:tc>
        <w:tc>
          <w:tcPr>
            <w:tcW w:w="2585" w:type="pct"/>
          </w:tcPr>
          <w:p w:rsidR="00786914" w:rsidRPr="00CF4680" w:rsidRDefault="00786914" w:rsidP="0006743B">
            <w:pPr>
              <w:pStyle w:val="Tableheading"/>
            </w:pPr>
            <w:r w:rsidRPr="00CF4680">
              <w:t>Period covered</w:t>
            </w:r>
          </w:p>
        </w:tc>
      </w:tr>
      <w:tr w:rsidR="00786914" w:rsidRPr="00CF4680" w:rsidTr="0006743B">
        <w:tc>
          <w:tcPr>
            <w:tcW w:w="2415" w:type="pct"/>
          </w:tcPr>
          <w:p w:rsidR="00786914" w:rsidRPr="00CF4680" w:rsidRDefault="00786914" w:rsidP="0006743B">
            <w:pPr>
              <w:pStyle w:val="TableText"/>
            </w:pPr>
            <w:r w:rsidRPr="00CF4680">
              <w:t>EMBASE (includes EMBASE and MEDLINE)</w:t>
            </w:r>
          </w:p>
        </w:tc>
        <w:tc>
          <w:tcPr>
            <w:tcW w:w="2585" w:type="pct"/>
          </w:tcPr>
          <w:p w:rsidR="00786914" w:rsidRPr="00CF4680" w:rsidRDefault="00786914" w:rsidP="0006743B">
            <w:pPr>
              <w:pStyle w:val="TableText"/>
            </w:pPr>
            <w:r>
              <w:t>2006–26 October 2011</w:t>
            </w:r>
          </w:p>
        </w:tc>
      </w:tr>
      <w:tr w:rsidR="00786914" w:rsidRPr="00CF4680" w:rsidTr="0006743B">
        <w:tc>
          <w:tcPr>
            <w:tcW w:w="2415" w:type="pct"/>
          </w:tcPr>
          <w:p w:rsidR="00786914" w:rsidRPr="00CF4680" w:rsidRDefault="00786914" w:rsidP="0006743B">
            <w:pPr>
              <w:pStyle w:val="TableText"/>
            </w:pPr>
            <w:r w:rsidRPr="00CF4680">
              <w:t>PreMedline</w:t>
            </w:r>
          </w:p>
        </w:tc>
        <w:tc>
          <w:tcPr>
            <w:tcW w:w="2585" w:type="pct"/>
          </w:tcPr>
          <w:p w:rsidR="00786914" w:rsidRPr="00CF4680" w:rsidRDefault="00786914" w:rsidP="0006743B">
            <w:pPr>
              <w:pStyle w:val="TableText"/>
            </w:pPr>
            <w:r>
              <w:t>2006–26 October 2011</w:t>
            </w:r>
          </w:p>
        </w:tc>
      </w:tr>
      <w:tr w:rsidR="00786914" w:rsidRPr="00CF4680" w:rsidTr="0006743B">
        <w:tc>
          <w:tcPr>
            <w:tcW w:w="2415" w:type="pct"/>
          </w:tcPr>
          <w:p w:rsidR="00786914" w:rsidRPr="00CF4680" w:rsidRDefault="00786914" w:rsidP="0006743B">
            <w:pPr>
              <w:pStyle w:val="TableText"/>
            </w:pPr>
            <w:r w:rsidRPr="00CF4680">
              <w:t>All EBM Reviews (includes: Cochrane Database of Systematic Reviews, ACP Journal Club, Database of Abstracts and Reviews of Effects (DARE), Cochrane Central Register of Controlled Trials (CCTR), NHS Economic Evaluation Database (CLEED), Health Technology Assessment (CLHTA), Cochrane Methodology Register (CLMCR))</w:t>
            </w:r>
          </w:p>
        </w:tc>
        <w:tc>
          <w:tcPr>
            <w:tcW w:w="2585" w:type="pct"/>
          </w:tcPr>
          <w:p w:rsidR="00786914" w:rsidRPr="00CF4680" w:rsidRDefault="00786914" w:rsidP="0006743B">
            <w:pPr>
              <w:pStyle w:val="TableText"/>
            </w:pPr>
            <w:r w:rsidRPr="00CF4680">
              <w:t>2006</w:t>
            </w:r>
            <w:r>
              <w:t>–</w:t>
            </w:r>
            <w:r w:rsidRPr="00CF4680">
              <w:t>2</w:t>
            </w:r>
            <w:r>
              <w:t>6 October 2011</w:t>
            </w:r>
          </w:p>
        </w:tc>
      </w:tr>
    </w:tbl>
    <w:p w:rsidR="00786914" w:rsidRPr="002456BA" w:rsidRDefault="00786914" w:rsidP="0006743B"/>
    <w:p w:rsidR="00786914" w:rsidRDefault="00786914" w:rsidP="0006743B">
      <w:pPr>
        <w:pStyle w:val="Normalbold"/>
      </w:pPr>
      <w:bookmarkStart w:id="122" w:name="_Toc327877854"/>
      <w:r>
        <w:t>Search strategy</w:t>
      </w:r>
      <w:bookmarkEnd w:id="122"/>
    </w:p>
    <w:p w:rsidR="00786914" w:rsidRDefault="00786914" w:rsidP="0006743B">
      <w:r>
        <w:t xml:space="preserve">The search strategy was developed using the key elements of the clinical question as described in the DAP. As it was known that RCT evidence was available, a search filter was applied. The search terms and search strategy for the databases above are shown in </w:t>
      </w:r>
      <w:r w:rsidRPr="00DD773F">
        <w:t>Appendix C.</w:t>
      </w:r>
    </w:p>
    <w:p w:rsidR="00786914" w:rsidRDefault="00786914" w:rsidP="0006743B">
      <w:r>
        <w:t>Reference lists of included publications were also checked for any additional studies.</w:t>
      </w:r>
    </w:p>
    <w:p w:rsidR="00786914" w:rsidRDefault="00786914" w:rsidP="0006743B">
      <w:pPr>
        <w:pStyle w:val="Normalbold"/>
      </w:pPr>
      <w:bookmarkStart w:id="123" w:name="_Toc327877855"/>
      <w:r w:rsidRPr="00F519A7">
        <w:t>Selection</w:t>
      </w:r>
      <w:r w:rsidRPr="004C6B15">
        <w:t xml:space="preserve"> criteria</w:t>
      </w:r>
      <w:bookmarkEnd w:id="123"/>
    </w:p>
    <w:p w:rsidR="00786914" w:rsidRDefault="00786914" w:rsidP="0006743B">
      <w:r>
        <w:t>The search strategy identified a total of 204 citations. The citations were evaluated by two independent reviewers who determined whether the studies met the eligibility criteria as listed in Box 1 below. Discrepancies in the results of the screening process were resolved by discussion.</w:t>
      </w:r>
    </w:p>
    <w:p w:rsidR="00786914" w:rsidRDefault="00786914">
      <w:pPr>
        <w:spacing w:after="0"/>
        <w:ind w:left="0"/>
        <w:rPr>
          <w:rFonts w:ascii="Arial" w:hAnsi="Arial"/>
          <w:bCs/>
          <w:sz w:val="18"/>
        </w:rPr>
      </w:pPr>
      <w:bookmarkStart w:id="124" w:name="_Toc317166467"/>
      <w:r>
        <w:br w:type="page"/>
      </w:r>
    </w:p>
    <w:p w:rsidR="00786914" w:rsidRPr="00CF4680" w:rsidRDefault="00786914" w:rsidP="0006743B">
      <w:pPr>
        <w:pStyle w:val="Caption"/>
      </w:pPr>
      <w:r w:rsidRPr="00CF4680">
        <w:lastRenderedPageBreak/>
        <w:t xml:space="preserve">Box </w:t>
      </w:r>
      <w:fldSimple w:instr=" SEQ Box \* ARABIC ">
        <w:r w:rsidR="00F45C43">
          <w:rPr>
            <w:noProof/>
          </w:rPr>
          <w:t>1</w:t>
        </w:r>
      </w:fldSimple>
      <w:r w:rsidRPr="00CF4680">
        <w:tab/>
        <w:t>Selection criteria for included studies</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3374"/>
        <w:gridCol w:w="3376"/>
      </w:tblGrid>
      <w:tr w:rsidR="00786914" w:rsidRPr="00CF4680" w:rsidTr="0006743B">
        <w:tc>
          <w:tcPr>
            <w:tcW w:w="1349" w:type="pct"/>
            <w:tcBorders>
              <w:bottom w:val="single" w:sz="4" w:space="0" w:color="auto"/>
              <w:right w:val="single" w:sz="4" w:space="0" w:color="auto"/>
            </w:tcBorders>
          </w:tcPr>
          <w:p w:rsidR="00786914" w:rsidRPr="00CF4680" w:rsidRDefault="00786914" w:rsidP="0006743B">
            <w:pPr>
              <w:pStyle w:val="Tableheading"/>
            </w:pPr>
            <w:r w:rsidRPr="00CF4680">
              <w:t>Selection criteria</w:t>
            </w:r>
          </w:p>
        </w:tc>
        <w:tc>
          <w:tcPr>
            <w:tcW w:w="1825" w:type="pct"/>
            <w:tcBorders>
              <w:left w:val="single" w:sz="4" w:space="0" w:color="auto"/>
              <w:bottom w:val="single" w:sz="4" w:space="0" w:color="auto"/>
              <w:right w:val="single" w:sz="4" w:space="0" w:color="auto"/>
            </w:tcBorders>
          </w:tcPr>
          <w:p w:rsidR="00786914" w:rsidRPr="00CF4680" w:rsidRDefault="00786914" w:rsidP="0006743B">
            <w:pPr>
              <w:pStyle w:val="Tableheading"/>
            </w:pPr>
            <w:r w:rsidRPr="00CF4680">
              <w:t xml:space="preserve">Inclusion </w:t>
            </w:r>
          </w:p>
        </w:tc>
        <w:tc>
          <w:tcPr>
            <w:tcW w:w="1826" w:type="pct"/>
            <w:tcBorders>
              <w:left w:val="single" w:sz="4" w:space="0" w:color="auto"/>
              <w:bottom w:val="single" w:sz="4" w:space="0" w:color="auto"/>
            </w:tcBorders>
          </w:tcPr>
          <w:p w:rsidR="00786914" w:rsidRPr="00CF4680" w:rsidRDefault="00786914" w:rsidP="0006743B">
            <w:pPr>
              <w:pStyle w:val="Tableheading"/>
            </w:pPr>
            <w:r w:rsidRPr="00CF4680">
              <w:t xml:space="preserve">Exclusion </w:t>
            </w:r>
          </w:p>
        </w:tc>
      </w:tr>
      <w:tr w:rsidR="00786914" w:rsidRPr="00CF4680" w:rsidTr="0006743B">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Publication type</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 xml:space="preserve">Systematic </w:t>
            </w:r>
            <w:r>
              <w:t>r</w:t>
            </w:r>
            <w:r w:rsidRPr="00CF4680">
              <w:t xml:space="preserve">eviews, </w:t>
            </w:r>
            <w:r>
              <w:t>m</w:t>
            </w:r>
            <w:r w:rsidRPr="00CF4680">
              <w:t xml:space="preserve">eta-analyses, </w:t>
            </w:r>
            <w:r>
              <w:t>r</w:t>
            </w:r>
            <w:r w:rsidRPr="00CF4680">
              <w:t xml:space="preserve">andomised </w:t>
            </w:r>
            <w:r>
              <w:t>c</w:t>
            </w:r>
            <w:r w:rsidRPr="00CF4680">
              <w:t xml:space="preserve">ontrolled </w:t>
            </w:r>
            <w:r>
              <w:t>t</w:t>
            </w:r>
            <w:r w:rsidRPr="00CF4680">
              <w:t>rials</w:t>
            </w:r>
            <w:r>
              <w:t>, e</w:t>
            </w:r>
            <w:r w:rsidRPr="00CF4680">
              <w:t xml:space="preserve">conomic </w:t>
            </w:r>
            <w:r>
              <w:t>a</w:t>
            </w:r>
            <w:r w:rsidRPr="00CF4680">
              <w:t>nalyses</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All other studies</w:t>
            </w:r>
          </w:p>
        </w:tc>
      </w:tr>
      <w:tr w:rsidR="00786914" w:rsidRPr="00CF4680" w:rsidTr="0006743B">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Patients</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Patients with symptomatic BPH or lower urinary tract symptoms (LUTS) of the prostate, which were no longer manage</w:t>
            </w:r>
            <w:r>
              <w:t>able with</w:t>
            </w:r>
            <w:r w:rsidRPr="00CF4680">
              <w:t xml:space="preserve"> medication</w:t>
            </w:r>
            <w:r>
              <w:t>s</w:t>
            </w:r>
          </w:p>
          <w:p w:rsidR="00786914" w:rsidRPr="00CF4680" w:rsidRDefault="00786914" w:rsidP="0006743B">
            <w:pPr>
              <w:pStyle w:val="TableText"/>
            </w:pPr>
          </w:p>
          <w:p w:rsidR="00786914" w:rsidRPr="00CF4680" w:rsidRDefault="00786914" w:rsidP="0006743B">
            <w:pPr>
              <w:pStyle w:val="TableText"/>
            </w:pPr>
            <w:r w:rsidRPr="00CF4680">
              <w:t>Mixed patient studies with ≥70% BPH or LUTS patients were included</w:t>
            </w:r>
          </w:p>
          <w:p w:rsidR="00786914" w:rsidRPr="00CF4680" w:rsidRDefault="00786914" w:rsidP="0006743B">
            <w:pPr>
              <w:pStyle w:val="TableText"/>
            </w:pPr>
          </w:p>
          <w:p w:rsidR="00786914" w:rsidRPr="00CF4680" w:rsidRDefault="00786914" w:rsidP="0006743B">
            <w:pPr>
              <w:pStyle w:val="TableText"/>
            </w:pPr>
            <w:r w:rsidRPr="00CF4680">
              <w:t>Studies with ≥20 patients were included</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All others</w:t>
            </w:r>
          </w:p>
        </w:tc>
      </w:tr>
      <w:tr w:rsidR="00786914" w:rsidRPr="00CF4680" w:rsidTr="0006743B">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Intervention</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 xml:space="preserve">Holmium </w:t>
            </w:r>
            <w:r>
              <w:t>l</w:t>
            </w:r>
            <w:r w:rsidRPr="00CF4680">
              <w:t xml:space="preserve">aser </w:t>
            </w:r>
            <w:r>
              <w:t>e</w:t>
            </w:r>
            <w:r w:rsidRPr="00CF4680">
              <w:t xml:space="preserve">nucleation of the </w:t>
            </w:r>
            <w:r>
              <w:t>p</w:t>
            </w:r>
            <w:r w:rsidRPr="00CF4680">
              <w:t xml:space="preserve">rostate (HoLEP) </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Other interventions</w:t>
            </w:r>
          </w:p>
        </w:tc>
      </w:tr>
      <w:tr w:rsidR="00786914" w:rsidRPr="00CF4680" w:rsidTr="0006743B">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Comparator</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 xml:space="preserve">One (or both) of the following: </w:t>
            </w:r>
          </w:p>
          <w:p w:rsidR="00786914" w:rsidRPr="00CF4680" w:rsidRDefault="00786914" w:rsidP="0006743B">
            <w:pPr>
              <w:pStyle w:val="TableText"/>
            </w:pPr>
            <w:r w:rsidRPr="00CF4680">
              <w:t xml:space="preserve">- </w:t>
            </w:r>
            <w:r>
              <w:t>o</w:t>
            </w:r>
            <w:r w:rsidRPr="00CF4680">
              <w:t xml:space="preserve">pen </w:t>
            </w:r>
            <w:r>
              <w:t>p</w:t>
            </w:r>
            <w:r w:rsidRPr="00CF4680">
              <w:t>rostatectomy (OP)</w:t>
            </w:r>
          </w:p>
          <w:p w:rsidR="00786914" w:rsidRPr="00CF4680" w:rsidRDefault="00786914" w:rsidP="0006743B">
            <w:pPr>
              <w:pStyle w:val="TableText"/>
            </w:pPr>
            <w:r w:rsidRPr="00CF4680">
              <w:t xml:space="preserve">- </w:t>
            </w:r>
            <w:r>
              <w:t>t</w:t>
            </w:r>
            <w:r w:rsidRPr="00CF4680">
              <w:t>ransurethral resection of the prostate (TURP)</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 xml:space="preserve">All other comparators </w:t>
            </w:r>
          </w:p>
        </w:tc>
      </w:tr>
      <w:tr w:rsidR="00786914" w:rsidRPr="00CF4680" w:rsidTr="0006743B">
        <w:trPr>
          <w:trHeight w:val="480"/>
        </w:trPr>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Outcomes</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Studies had to report on at least one of the following outcomes:</w:t>
            </w:r>
          </w:p>
          <w:p w:rsidR="00786914" w:rsidRPr="00CF4680" w:rsidRDefault="00786914" w:rsidP="0006743B">
            <w:pPr>
              <w:pStyle w:val="TableText"/>
            </w:pPr>
            <w:r w:rsidRPr="00CF4680">
              <w:t xml:space="preserve">- </w:t>
            </w:r>
            <w:r>
              <w:t>s</w:t>
            </w:r>
            <w:r w:rsidRPr="00CF4680">
              <w:t xml:space="preserve">afety: immediate complications (bleeding, acute urinary retention, infection, TUR syndrome, mortality) </w:t>
            </w:r>
          </w:p>
          <w:p w:rsidR="00786914" w:rsidRPr="00CF4680" w:rsidRDefault="00786914" w:rsidP="0006743B">
            <w:pPr>
              <w:pStyle w:val="TableText"/>
            </w:pPr>
            <w:r w:rsidRPr="00CF4680">
              <w:t xml:space="preserve">- </w:t>
            </w:r>
            <w:r>
              <w:t>s</w:t>
            </w:r>
            <w:r w:rsidRPr="00CF4680">
              <w:t>afety: longer term complications (urethral stricture, erectile dysfunction, urinary incontinence)</w:t>
            </w:r>
          </w:p>
          <w:p w:rsidR="00786914" w:rsidRPr="00CF4680" w:rsidRDefault="00786914" w:rsidP="0006743B">
            <w:pPr>
              <w:pStyle w:val="TableText"/>
            </w:pPr>
            <w:r w:rsidRPr="00CF4680">
              <w:t xml:space="preserve">- </w:t>
            </w:r>
            <w:r>
              <w:t>e</w:t>
            </w:r>
            <w:r w:rsidRPr="00CF4680">
              <w:t>ffectiveness (symptoms, including peak flow, symptom score, bother score, post-void residual volume, prostate volume</w:t>
            </w:r>
            <w:r>
              <w:t>, q</w:t>
            </w:r>
            <w:r w:rsidRPr="00CF4680">
              <w:t>uality of life, treatment failure/</w:t>
            </w:r>
            <w:r>
              <w:t>re-treatment</w:t>
            </w:r>
            <w:r w:rsidRPr="00CF4680">
              <w:t xml:space="preserve"> rate)</w:t>
            </w:r>
          </w:p>
          <w:p w:rsidR="00786914" w:rsidRPr="00CF4680" w:rsidRDefault="00786914" w:rsidP="0006743B">
            <w:pPr>
              <w:pStyle w:val="TableText"/>
            </w:pPr>
            <w:r w:rsidRPr="00CF4680">
              <w:t xml:space="preserve">- </w:t>
            </w:r>
            <w:r>
              <w:t>c</w:t>
            </w:r>
            <w:r w:rsidRPr="00CF4680">
              <w:t>ost (length of operation, length of catheterisation, length of hospital stay, training, equipment, staffing)</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Studies failing to report on at least one of these were excluded</w:t>
            </w:r>
          </w:p>
        </w:tc>
      </w:tr>
      <w:tr w:rsidR="00786914" w:rsidRPr="00CF4680" w:rsidTr="0006743B">
        <w:trPr>
          <w:trHeight w:val="652"/>
        </w:trPr>
        <w:tc>
          <w:tcPr>
            <w:tcW w:w="1349" w:type="pct"/>
            <w:tcBorders>
              <w:top w:val="single" w:sz="4" w:space="0" w:color="auto"/>
              <w:bottom w:val="single" w:sz="4" w:space="0" w:color="auto"/>
              <w:right w:val="single" w:sz="4" w:space="0" w:color="auto"/>
            </w:tcBorders>
          </w:tcPr>
          <w:p w:rsidR="00786914" w:rsidRPr="00CF4680" w:rsidRDefault="00786914" w:rsidP="0006743B">
            <w:pPr>
              <w:pStyle w:val="TableText"/>
            </w:pPr>
            <w:r w:rsidRPr="00CF4680">
              <w:t>Language</w:t>
            </w:r>
          </w:p>
        </w:tc>
        <w:tc>
          <w:tcPr>
            <w:tcW w:w="1825" w:type="pct"/>
            <w:tcBorders>
              <w:top w:val="single" w:sz="4" w:space="0" w:color="auto"/>
              <w:left w:val="single" w:sz="4" w:space="0" w:color="auto"/>
              <w:bottom w:val="single" w:sz="4" w:space="0" w:color="auto"/>
              <w:right w:val="single" w:sz="4" w:space="0" w:color="auto"/>
            </w:tcBorders>
          </w:tcPr>
          <w:p w:rsidR="00786914" w:rsidRPr="00CF4680" w:rsidRDefault="00786914" w:rsidP="0006743B">
            <w:pPr>
              <w:pStyle w:val="TableText"/>
            </w:pPr>
            <w:r w:rsidRPr="00CF4680">
              <w:t>English</w:t>
            </w:r>
          </w:p>
        </w:tc>
        <w:tc>
          <w:tcPr>
            <w:tcW w:w="1826" w:type="pct"/>
            <w:tcBorders>
              <w:top w:val="single" w:sz="4" w:space="0" w:color="auto"/>
              <w:left w:val="single" w:sz="4" w:space="0" w:color="auto"/>
              <w:bottom w:val="single" w:sz="4" w:space="0" w:color="auto"/>
            </w:tcBorders>
          </w:tcPr>
          <w:p w:rsidR="00786914" w:rsidRPr="00CF4680" w:rsidRDefault="00786914" w:rsidP="0006743B">
            <w:pPr>
              <w:pStyle w:val="TableText"/>
            </w:pPr>
            <w:r w:rsidRPr="00CF4680">
              <w:t>Non-English language studies were excluded</w:t>
            </w:r>
          </w:p>
        </w:tc>
      </w:tr>
    </w:tbl>
    <w:p w:rsidR="00786914" w:rsidRDefault="00786914" w:rsidP="0006743B">
      <w:pPr>
        <w:rPr>
          <w:sz w:val="22"/>
        </w:rPr>
      </w:pPr>
      <w:r>
        <w:br w:type="page"/>
      </w:r>
    </w:p>
    <w:p w:rsidR="00786914" w:rsidRPr="00095EA3" w:rsidRDefault="00786914" w:rsidP="0006743B">
      <w:pPr>
        <w:pStyle w:val="Normalbold"/>
      </w:pPr>
      <w:bookmarkStart w:id="125" w:name="_Toc327877856"/>
      <w:r w:rsidRPr="00095EA3">
        <w:lastRenderedPageBreak/>
        <w:t>Search results</w:t>
      </w:r>
      <w:bookmarkEnd w:id="125"/>
    </w:p>
    <w:p w:rsidR="00786914" w:rsidRPr="00915ED6" w:rsidRDefault="00786914" w:rsidP="0006743B">
      <w:bookmarkStart w:id="126" w:name="_Toc188861182"/>
      <w:r>
        <w:t>The q</w:t>
      </w:r>
      <w:r w:rsidRPr="00915ED6">
        <w:t xml:space="preserve">uorum </w:t>
      </w:r>
      <w:r>
        <w:t>f</w:t>
      </w:r>
      <w:r w:rsidRPr="00915ED6">
        <w:t>lowchart</w:t>
      </w:r>
      <w:bookmarkEnd w:id="126"/>
      <w:r>
        <w:t xml:space="preserve"> for this search is shown in figure 5 below.</w:t>
      </w:r>
    </w:p>
    <w:p w:rsidR="00786914" w:rsidRPr="00915ED6" w:rsidRDefault="00786914" w:rsidP="0006743B">
      <w:pPr>
        <w:pStyle w:val="Caption"/>
      </w:pPr>
      <w:bookmarkStart w:id="127" w:name="_Toc327882489"/>
      <w:r>
        <w:t xml:space="preserve">Figure </w:t>
      </w:r>
      <w:fldSimple w:instr=" SEQ Figure \* ARABIC ">
        <w:r w:rsidR="00F45C43">
          <w:rPr>
            <w:noProof/>
          </w:rPr>
          <w:t>5</w:t>
        </w:r>
      </w:fldSimple>
      <w:r>
        <w:t>:</w:t>
      </w:r>
      <w:r>
        <w:tab/>
        <w:t>Search results – Quorum flowchart</w:t>
      </w:r>
      <w:bookmarkEnd w:id="127"/>
    </w:p>
    <w:p w:rsidR="00786914" w:rsidRPr="00915ED6" w:rsidRDefault="00786914" w:rsidP="0006743B">
      <w:pPr>
        <w:pStyle w:val="TableName"/>
        <w:rPr>
          <w:rFonts w:ascii="Garamond" w:hAnsi="Garamond"/>
        </w:rPr>
      </w:pPr>
    </w:p>
    <w:p w:rsidR="00786914" w:rsidRPr="00915ED6" w:rsidRDefault="00F905B8" w:rsidP="0006743B">
      <w:r>
        <w:rPr>
          <w:noProof/>
        </w:rPr>
        <mc:AlternateContent>
          <mc:Choice Requires="wpg">
            <w:drawing>
              <wp:inline distT="0" distB="0" distL="0" distR="0">
                <wp:extent cx="4774019" cy="4562475"/>
                <wp:effectExtent l="0" t="0" r="26670" b="28575"/>
                <wp:docPr id="5" name="Group 66" title="Figure 5: Search results – Quorum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4019" cy="4562475"/>
                          <a:chOff x="2241" y="2969"/>
                          <a:chExt cx="6364" cy="7185"/>
                        </a:xfrm>
                      </wpg:grpSpPr>
                      <wps:wsp>
                        <wps:cNvPr id="7" name="Text Box 95"/>
                        <wps:cNvSpPr txBox="1">
                          <a:spLocks noChangeArrowheads="1"/>
                        </wps:cNvSpPr>
                        <wps:spPr bwMode="auto">
                          <a:xfrm>
                            <a:off x="2241" y="2969"/>
                            <a:ext cx="2892" cy="1343"/>
                          </a:xfrm>
                          <a:prstGeom prst="rect">
                            <a:avLst/>
                          </a:prstGeom>
                          <a:solidFill>
                            <a:srgbClr val="FFFFFF"/>
                          </a:solidFill>
                          <a:ln w="9525">
                            <a:solidFill>
                              <a:srgbClr val="000000"/>
                            </a:solidFill>
                            <a:miter lim="800000"/>
                            <a:headEnd/>
                            <a:tailEnd/>
                          </a:ln>
                        </wps:spPr>
                        <wps:txbx>
                          <w:txbxContent>
                            <w:p w:rsidR="001C0B02" w:rsidRPr="00915ED6" w:rsidRDefault="001C0B02" w:rsidP="0006743B">
                              <w:pPr>
                                <w:spacing w:after="0"/>
                                <w:ind w:left="0"/>
                                <w:rPr>
                                  <w:sz w:val="20"/>
                                </w:rPr>
                              </w:pPr>
                              <w:r w:rsidRPr="00915ED6">
                                <w:rPr>
                                  <w:sz w:val="20"/>
                                </w:rPr>
                                <w:t xml:space="preserve">Potentially relevant studies identified in the literature search </w:t>
                              </w:r>
                            </w:p>
                            <w:p w:rsidR="001C0B02" w:rsidRDefault="001C0B02" w:rsidP="0006743B">
                              <w:pPr>
                                <w:spacing w:after="0"/>
                                <w:ind w:left="0"/>
                                <w:rPr>
                                  <w:sz w:val="20"/>
                                </w:rPr>
                              </w:pPr>
                              <w:r w:rsidRPr="00915ED6">
                                <w:rPr>
                                  <w:sz w:val="20"/>
                                </w:rPr>
                                <w:t xml:space="preserve">and screened for retrieval </w:t>
                              </w:r>
                            </w:p>
                            <w:p w:rsidR="001C0B02" w:rsidRPr="00915ED6" w:rsidRDefault="001C0B02" w:rsidP="0006743B">
                              <w:pPr>
                                <w:spacing w:after="0"/>
                                <w:ind w:left="0"/>
                                <w:rPr>
                                  <w:sz w:val="20"/>
                                </w:rPr>
                              </w:pPr>
                              <w:r w:rsidRPr="00915ED6">
                                <w:rPr>
                                  <w:sz w:val="20"/>
                                </w:rPr>
                                <w:t>(n= 204)</w:t>
                              </w:r>
                            </w:p>
                            <w:p w:rsidR="001C0B02" w:rsidRPr="003526CB" w:rsidRDefault="001C0B02" w:rsidP="0006743B"/>
                          </w:txbxContent>
                        </wps:txbx>
                        <wps:bodyPr rot="0" vert="horz" wrap="square" lIns="91440" tIns="45720" rIns="91440" bIns="45720" anchor="t" anchorCtr="0" upright="1">
                          <a:noAutofit/>
                        </wps:bodyPr>
                      </wps:wsp>
                      <wps:wsp>
                        <wps:cNvPr id="28" name="Text Box 96"/>
                        <wps:cNvSpPr txBox="1">
                          <a:spLocks noChangeArrowheads="1"/>
                        </wps:cNvSpPr>
                        <wps:spPr bwMode="auto">
                          <a:xfrm>
                            <a:off x="2241" y="5266"/>
                            <a:ext cx="2892" cy="878"/>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 xml:space="preserve">Studies retrieved for more </w:t>
                              </w:r>
                            </w:p>
                            <w:p w:rsidR="001C0B02" w:rsidRDefault="001C0B02" w:rsidP="0006743B">
                              <w:pPr>
                                <w:spacing w:after="0"/>
                                <w:ind w:left="0"/>
                                <w:rPr>
                                  <w:sz w:val="20"/>
                                </w:rPr>
                              </w:pPr>
                              <w:r>
                                <w:rPr>
                                  <w:sz w:val="20"/>
                                </w:rPr>
                                <w:t>detailed evaluation (n=58 )</w:t>
                              </w:r>
                            </w:p>
                            <w:p w:rsidR="001C0B02" w:rsidRDefault="001C0B02" w:rsidP="0006743B">
                              <w:pPr>
                                <w:ind w:left="0"/>
                              </w:pPr>
                            </w:p>
                            <w:p w:rsidR="001C0B02" w:rsidRPr="003526CB" w:rsidRDefault="001C0B02" w:rsidP="0006743B"/>
                          </w:txbxContent>
                        </wps:txbx>
                        <wps:bodyPr rot="0" vert="horz" wrap="square" lIns="91440" tIns="45720" rIns="91440" bIns="45720" anchor="t" anchorCtr="0" upright="1">
                          <a:noAutofit/>
                        </wps:bodyPr>
                      </wps:wsp>
                      <wps:wsp>
                        <wps:cNvPr id="29" name="Text Box 97"/>
                        <wps:cNvSpPr txBox="1">
                          <a:spLocks noChangeArrowheads="1"/>
                        </wps:cNvSpPr>
                        <wps:spPr bwMode="auto">
                          <a:xfrm>
                            <a:off x="2241" y="6818"/>
                            <a:ext cx="2892" cy="1353"/>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Potentially appropriate studies to be included in the systematic review (n=26)</w:t>
                              </w:r>
                            </w:p>
                            <w:p w:rsidR="001C0B02" w:rsidRPr="00202F14" w:rsidRDefault="001C0B02" w:rsidP="0006743B"/>
                            <w:p w:rsidR="001C0B02" w:rsidRPr="003526CB" w:rsidRDefault="001C0B02" w:rsidP="0006743B"/>
                          </w:txbxContent>
                        </wps:txbx>
                        <wps:bodyPr rot="0" vert="horz" wrap="square" lIns="91440" tIns="45720" rIns="91440" bIns="45720" anchor="t" anchorCtr="0" upright="1">
                          <a:noAutofit/>
                        </wps:bodyPr>
                      </wps:wsp>
                      <wps:wsp>
                        <wps:cNvPr id="30" name="Text Box 98"/>
                        <wps:cNvSpPr txBox="1">
                          <a:spLocks noChangeArrowheads="1"/>
                        </wps:cNvSpPr>
                        <wps:spPr bwMode="auto">
                          <a:xfrm>
                            <a:off x="2241" y="8709"/>
                            <a:ext cx="2892" cy="1445"/>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Studies with usable information by outcome (total=10)</w:t>
                              </w:r>
                            </w:p>
                            <w:p w:rsidR="001C0B02" w:rsidRDefault="001C0B02" w:rsidP="0006743B">
                              <w:pPr>
                                <w:spacing w:after="0"/>
                                <w:ind w:left="0"/>
                                <w:rPr>
                                  <w:sz w:val="18"/>
                                  <w:szCs w:val="18"/>
                                </w:rPr>
                              </w:pPr>
                              <w:r>
                                <w:rPr>
                                  <w:sz w:val="18"/>
                                  <w:szCs w:val="18"/>
                                </w:rPr>
                                <w:t>systematic reviews (n=2)</w:t>
                              </w:r>
                            </w:p>
                            <w:p w:rsidR="001C0B02" w:rsidRDefault="001C0B02" w:rsidP="0006743B">
                              <w:pPr>
                                <w:spacing w:after="0"/>
                                <w:ind w:left="0"/>
                                <w:rPr>
                                  <w:sz w:val="18"/>
                                  <w:szCs w:val="18"/>
                                </w:rPr>
                              </w:pPr>
                              <w:r>
                                <w:rPr>
                                  <w:sz w:val="18"/>
                                  <w:szCs w:val="18"/>
                                </w:rPr>
                                <w:t>HoLEP with TURP (n=4)</w:t>
                              </w:r>
                            </w:p>
                            <w:p w:rsidR="001C0B02" w:rsidRDefault="001C0B02" w:rsidP="0006743B">
                              <w:pPr>
                                <w:spacing w:after="0"/>
                                <w:ind w:left="0"/>
                                <w:rPr>
                                  <w:sz w:val="18"/>
                                  <w:szCs w:val="18"/>
                                </w:rPr>
                              </w:pPr>
                              <w:r>
                                <w:rPr>
                                  <w:sz w:val="18"/>
                                  <w:szCs w:val="18"/>
                                </w:rPr>
                                <w:t>HoLEP with OP (n=2</w:t>
                              </w:r>
                            </w:p>
                            <w:p w:rsidR="001C0B02" w:rsidRDefault="001C0B02" w:rsidP="0006743B">
                              <w:pPr>
                                <w:spacing w:after="0"/>
                                <w:ind w:left="0"/>
                                <w:rPr>
                                  <w:sz w:val="20"/>
                                </w:rPr>
                              </w:pPr>
                              <w:r>
                                <w:rPr>
                                  <w:sz w:val="18"/>
                                  <w:szCs w:val="18"/>
                                </w:rPr>
                                <w:t xml:space="preserve">cost-effectiveness (n=2) </w:t>
                              </w:r>
                            </w:p>
                            <w:p w:rsidR="001C0B02" w:rsidRPr="00915ED6" w:rsidRDefault="001C0B02" w:rsidP="0006743B">
                              <w:pPr>
                                <w:spacing w:after="0"/>
                                <w:ind w:left="0"/>
                                <w:rPr>
                                  <w:sz w:val="20"/>
                                </w:rPr>
                              </w:pPr>
                            </w:p>
                          </w:txbxContent>
                        </wps:txbx>
                        <wps:bodyPr rot="0" vert="horz" wrap="square" lIns="91440" tIns="45720" rIns="91440" bIns="45720" anchor="t" anchorCtr="0" upright="1">
                          <a:noAutofit/>
                        </wps:bodyPr>
                      </wps:wsp>
                      <wps:wsp>
                        <wps:cNvPr id="31" name="Text Box 99"/>
                        <wps:cNvSpPr txBox="1">
                          <a:spLocks noChangeArrowheads="1"/>
                        </wps:cNvSpPr>
                        <wps:spPr bwMode="auto">
                          <a:xfrm>
                            <a:off x="5647" y="5671"/>
                            <a:ext cx="2958" cy="2029"/>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 xml:space="preserve">Studies excluded, with reasons (n=32): </w:t>
                              </w:r>
                            </w:p>
                            <w:p w:rsidR="001C0B02" w:rsidRDefault="001C0B02" w:rsidP="0006743B">
                              <w:pPr>
                                <w:spacing w:after="0"/>
                                <w:ind w:left="0"/>
                                <w:rPr>
                                  <w:sz w:val="18"/>
                                  <w:szCs w:val="18"/>
                                </w:rPr>
                              </w:pPr>
                              <w:r>
                                <w:rPr>
                                  <w:sz w:val="18"/>
                                  <w:szCs w:val="18"/>
                                </w:rPr>
                                <w:t xml:space="preserve">duplicates (n=0); </w:t>
                              </w:r>
                            </w:p>
                            <w:p w:rsidR="001C0B02" w:rsidRDefault="001C0B02" w:rsidP="0006743B">
                              <w:pPr>
                                <w:spacing w:after="0"/>
                                <w:ind w:left="0"/>
                                <w:rPr>
                                  <w:sz w:val="18"/>
                                  <w:szCs w:val="18"/>
                                </w:rPr>
                              </w:pPr>
                              <w:r>
                                <w:rPr>
                                  <w:sz w:val="18"/>
                                  <w:szCs w:val="18"/>
                                </w:rPr>
                                <w:t>wrong publication type (n=27)</w:t>
                              </w:r>
                            </w:p>
                            <w:p w:rsidR="001C0B02" w:rsidRDefault="001C0B02" w:rsidP="0006743B">
                              <w:pPr>
                                <w:spacing w:after="0"/>
                                <w:ind w:left="0"/>
                                <w:rPr>
                                  <w:sz w:val="18"/>
                                  <w:szCs w:val="18"/>
                                </w:rPr>
                              </w:pPr>
                              <w:r>
                                <w:rPr>
                                  <w:sz w:val="18"/>
                                  <w:szCs w:val="18"/>
                                </w:rPr>
                                <w:t xml:space="preserve">wrong patient group (n=1) </w:t>
                              </w:r>
                            </w:p>
                            <w:p w:rsidR="001C0B02" w:rsidRDefault="001C0B02" w:rsidP="0006743B">
                              <w:pPr>
                                <w:spacing w:after="0"/>
                                <w:ind w:left="0"/>
                                <w:rPr>
                                  <w:sz w:val="18"/>
                                  <w:szCs w:val="18"/>
                                </w:rPr>
                              </w:pPr>
                              <w:r>
                                <w:rPr>
                                  <w:sz w:val="18"/>
                                  <w:szCs w:val="18"/>
                                </w:rPr>
                                <w:t>wrong intervention (n=3)</w:t>
                              </w:r>
                            </w:p>
                            <w:p w:rsidR="001C0B02" w:rsidRDefault="001C0B02" w:rsidP="0006743B">
                              <w:pPr>
                                <w:spacing w:after="0"/>
                                <w:ind w:left="0"/>
                                <w:rPr>
                                  <w:sz w:val="18"/>
                                  <w:szCs w:val="18"/>
                                </w:rPr>
                              </w:pPr>
                              <w:r>
                                <w:rPr>
                                  <w:sz w:val="18"/>
                                  <w:szCs w:val="18"/>
                                </w:rPr>
                                <w:t xml:space="preserve">wrong comparator (n=0) </w:t>
                              </w:r>
                            </w:p>
                            <w:p w:rsidR="001C0B02" w:rsidRDefault="001C0B02" w:rsidP="0006743B">
                              <w:pPr>
                                <w:spacing w:after="0"/>
                                <w:ind w:left="0"/>
                                <w:rPr>
                                  <w:sz w:val="18"/>
                                  <w:szCs w:val="18"/>
                                </w:rPr>
                              </w:pPr>
                              <w:r>
                                <w:rPr>
                                  <w:sz w:val="18"/>
                                  <w:szCs w:val="18"/>
                                </w:rPr>
                                <w:t xml:space="preserve">wrong outcomes (n=0) </w:t>
                              </w:r>
                            </w:p>
                            <w:p w:rsidR="001C0B02" w:rsidRDefault="001C0B02" w:rsidP="0006743B">
                              <w:pPr>
                                <w:spacing w:after="0"/>
                                <w:ind w:left="0"/>
                                <w:rPr>
                                  <w:sz w:val="18"/>
                                  <w:szCs w:val="18"/>
                                </w:rPr>
                              </w:pPr>
                              <w:r>
                                <w:rPr>
                                  <w:sz w:val="18"/>
                                  <w:szCs w:val="18"/>
                                </w:rPr>
                                <w:t>non-English (n=1)</w:t>
                              </w:r>
                            </w:p>
                            <w:p w:rsidR="001C0B02" w:rsidRPr="00915ED6" w:rsidRDefault="001C0B02" w:rsidP="0006743B">
                              <w:pPr>
                                <w:spacing w:after="0"/>
                                <w:ind w:left="0"/>
                                <w:rPr>
                                  <w:sz w:val="16"/>
                                  <w:szCs w:val="16"/>
                                </w:rPr>
                              </w:pPr>
                            </w:p>
                          </w:txbxContent>
                        </wps:txbx>
                        <wps:bodyPr rot="0" vert="horz" wrap="square" lIns="91440" tIns="45720" rIns="91440" bIns="45720" anchor="t" anchorCtr="0" upright="1">
                          <a:noAutofit/>
                        </wps:bodyPr>
                      </wps:wsp>
                      <wps:wsp>
                        <wps:cNvPr id="32" name="Text Box 100"/>
                        <wps:cNvSpPr txBox="1">
                          <a:spLocks noChangeArrowheads="1"/>
                        </wps:cNvSpPr>
                        <wps:spPr bwMode="auto">
                          <a:xfrm>
                            <a:off x="5643" y="3331"/>
                            <a:ext cx="2962" cy="2175"/>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 xml:space="preserve">Studies excluded, with reasons (n=146): </w:t>
                              </w:r>
                            </w:p>
                            <w:p w:rsidR="001C0B02" w:rsidRDefault="001C0B02" w:rsidP="0006743B">
                              <w:pPr>
                                <w:spacing w:after="0"/>
                                <w:ind w:left="0"/>
                                <w:rPr>
                                  <w:sz w:val="18"/>
                                  <w:szCs w:val="18"/>
                                </w:rPr>
                              </w:pPr>
                              <w:r>
                                <w:rPr>
                                  <w:sz w:val="18"/>
                                  <w:szCs w:val="18"/>
                                </w:rPr>
                                <w:t xml:space="preserve">duplicates (n=29) </w:t>
                              </w:r>
                            </w:p>
                            <w:p w:rsidR="00AE6E57" w:rsidRDefault="001C0B02" w:rsidP="0006743B">
                              <w:pPr>
                                <w:spacing w:after="0"/>
                                <w:ind w:left="0"/>
                                <w:rPr>
                                  <w:sz w:val="18"/>
                                  <w:szCs w:val="18"/>
                                </w:rPr>
                              </w:pPr>
                              <w:r>
                                <w:rPr>
                                  <w:sz w:val="18"/>
                                  <w:szCs w:val="18"/>
                                </w:rPr>
                                <w:t>wrong publication type (n=78)</w:t>
                              </w:r>
                            </w:p>
                            <w:p w:rsidR="001C0B02" w:rsidRDefault="001C0B02" w:rsidP="0006743B">
                              <w:pPr>
                                <w:spacing w:after="0"/>
                                <w:ind w:left="0"/>
                                <w:rPr>
                                  <w:sz w:val="18"/>
                                  <w:szCs w:val="18"/>
                                </w:rPr>
                              </w:pPr>
                              <w:r>
                                <w:rPr>
                                  <w:sz w:val="18"/>
                                  <w:szCs w:val="18"/>
                                </w:rPr>
                                <w:t xml:space="preserve">wrong patient group (n=4) </w:t>
                              </w:r>
                            </w:p>
                            <w:p w:rsidR="001C0B02" w:rsidRDefault="001C0B02" w:rsidP="0006743B">
                              <w:pPr>
                                <w:spacing w:after="0"/>
                                <w:ind w:left="0"/>
                                <w:rPr>
                                  <w:sz w:val="18"/>
                                  <w:szCs w:val="18"/>
                                </w:rPr>
                              </w:pPr>
                              <w:r>
                                <w:rPr>
                                  <w:sz w:val="18"/>
                                  <w:szCs w:val="18"/>
                                </w:rPr>
                                <w:t xml:space="preserve">wrong intervention (n=28) </w:t>
                              </w:r>
                            </w:p>
                            <w:p w:rsidR="001C0B02" w:rsidRDefault="001C0B02" w:rsidP="0006743B">
                              <w:pPr>
                                <w:spacing w:after="0"/>
                                <w:ind w:left="0"/>
                                <w:rPr>
                                  <w:sz w:val="18"/>
                                  <w:szCs w:val="18"/>
                                </w:rPr>
                              </w:pPr>
                              <w:r>
                                <w:rPr>
                                  <w:sz w:val="18"/>
                                  <w:szCs w:val="18"/>
                                </w:rPr>
                                <w:t xml:space="preserve">wrong comparator (n=2) </w:t>
                              </w:r>
                            </w:p>
                            <w:p w:rsidR="001C0B02" w:rsidRDefault="001C0B02" w:rsidP="0006743B">
                              <w:pPr>
                                <w:spacing w:after="0"/>
                                <w:ind w:left="0"/>
                                <w:rPr>
                                  <w:sz w:val="18"/>
                                  <w:szCs w:val="18"/>
                                </w:rPr>
                              </w:pPr>
                              <w:r>
                                <w:rPr>
                                  <w:sz w:val="18"/>
                                  <w:szCs w:val="18"/>
                                </w:rPr>
                                <w:t xml:space="preserve">wrong outcomes (n=0) </w:t>
                              </w:r>
                            </w:p>
                            <w:p w:rsidR="001C0B02" w:rsidRDefault="001C0B02" w:rsidP="0006743B">
                              <w:pPr>
                                <w:spacing w:after="0"/>
                                <w:ind w:left="0"/>
                                <w:rPr>
                                  <w:sz w:val="18"/>
                                  <w:szCs w:val="18"/>
                                </w:rPr>
                              </w:pPr>
                              <w:r>
                                <w:rPr>
                                  <w:sz w:val="18"/>
                                  <w:szCs w:val="18"/>
                                </w:rPr>
                                <w:t>non-English (n=5)</w:t>
                              </w:r>
                            </w:p>
                            <w:p w:rsidR="001C0B02" w:rsidRDefault="001C0B02" w:rsidP="0006743B">
                              <w:pPr>
                                <w:ind w:left="0"/>
                              </w:pPr>
                            </w:p>
                            <w:p w:rsidR="001C0B02" w:rsidRPr="003526CB" w:rsidRDefault="001C0B02" w:rsidP="0006743B"/>
                          </w:txbxContent>
                        </wps:txbx>
                        <wps:bodyPr rot="0" vert="horz" wrap="square" lIns="91440" tIns="45720" rIns="91440" bIns="45720" anchor="t" anchorCtr="0" upright="1">
                          <a:noAutofit/>
                        </wps:bodyPr>
                      </wps:wsp>
                      <wps:wsp>
                        <wps:cNvPr id="33" name="Text Box 101"/>
                        <wps:cNvSpPr txBox="1">
                          <a:spLocks noChangeArrowheads="1"/>
                        </wps:cNvSpPr>
                        <wps:spPr bwMode="auto">
                          <a:xfrm>
                            <a:off x="5647" y="7924"/>
                            <a:ext cx="2958" cy="1878"/>
                          </a:xfrm>
                          <a:prstGeom prst="rect">
                            <a:avLst/>
                          </a:prstGeom>
                          <a:solidFill>
                            <a:srgbClr val="FFFFFF"/>
                          </a:solidFill>
                          <a:ln w="9525">
                            <a:solidFill>
                              <a:srgbClr val="000000"/>
                            </a:solidFill>
                            <a:miter lim="800000"/>
                            <a:headEnd/>
                            <a:tailEnd/>
                          </a:ln>
                        </wps:spPr>
                        <wps:txbx>
                          <w:txbxContent>
                            <w:p w:rsidR="001C0B02" w:rsidRDefault="001C0B02" w:rsidP="0006743B">
                              <w:pPr>
                                <w:spacing w:after="0"/>
                                <w:ind w:left="0"/>
                                <w:rPr>
                                  <w:sz w:val="20"/>
                                </w:rPr>
                              </w:pPr>
                              <w:r>
                                <w:rPr>
                                  <w:sz w:val="20"/>
                                </w:rPr>
                                <w:t xml:space="preserve">Studies excluded, with reasons (n=16): </w:t>
                              </w:r>
                            </w:p>
                            <w:p w:rsidR="001C0B02" w:rsidRDefault="001C0B02" w:rsidP="0006743B">
                              <w:pPr>
                                <w:spacing w:after="0"/>
                                <w:ind w:left="0"/>
                                <w:rPr>
                                  <w:sz w:val="18"/>
                                  <w:szCs w:val="18"/>
                                </w:rPr>
                              </w:pPr>
                              <w:r>
                                <w:rPr>
                                  <w:sz w:val="18"/>
                                  <w:szCs w:val="18"/>
                                </w:rPr>
                                <w:t>duplicates (n=3)</w:t>
                              </w:r>
                            </w:p>
                            <w:p w:rsidR="001C0B02" w:rsidRDefault="001C0B02" w:rsidP="0006743B">
                              <w:pPr>
                                <w:spacing w:after="0"/>
                                <w:ind w:left="0"/>
                                <w:rPr>
                                  <w:sz w:val="18"/>
                                  <w:szCs w:val="18"/>
                                </w:rPr>
                              </w:pPr>
                              <w:r>
                                <w:rPr>
                                  <w:sz w:val="18"/>
                                  <w:szCs w:val="18"/>
                                </w:rPr>
                                <w:t>wrong outcomes (n=2)</w:t>
                              </w:r>
                            </w:p>
                            <w:p w:rsidR="001C0B02" w:rsidRDefault="001C0B02" w:rsidP="0006743B">
                              <w:pPr>
                                <w:spacing w:after="0"/>
                                <w:ind w:left="0"/>
                                <w:rPr>
                                  <w:sz w:val="18"/>
                                  <w:szCs w:val="18"/>
                                </w:rPr>
                              </w:pPr>
                              <w:r>
                                <w:rPr>
                                  <w:sz w:val="18"/>
                                  <w:szCs w:val="18"/>
                                </w:rPr>
                                <w:t>additional HTAs and systematic reviews (n=9)</w:t>
                              </w:r>
                            </w:p>
                            <w:p w:rsidR="001C0B02" w:rsidRDefault="001C0B02" w:rsidP="0006743B">
                              <w:pPr>
                                <w:spacing w:after="0"/>
                                <w:ind w:left="0"/>
                                <w:rPr>
                                  <w:rFonts w:ascii="Arial Narrow" w:hAnsi="Arial Narrow"/>
                                  <w:sz w:val="20"/>
                                </w:rPr>
                              </w:pPr>
                              <w:r>
                                <w:rPr>
                                  <w:sz w:val="18"/>
                                  <w:szCs w:val="18"/>
                                </w:rPr>
                                <w:t>studies extracted in systematic reviews  selected  for updating (n=2)</w:t>
                              </w:r>
                            </w:p>
                          </w:txbxContent>
                        </wps:txbx>
                        <wps:bodyPr rot="0" vert="horz" wrap="square" lIns="91440" tIns="45720" rIns="91440" bIns="45720" anchor="t" anchorCtr="0" upright="1">
                          <a:noAutofit/>
                        </wps:bodyPr>
                      </wps:wsp>
                      <wps:wsp>
                        <wps:cNvPr id="34" name="Line 102"/>
                        <wps:cNvCnPr/>
                        <wps:spPr bwMode="auto">
                          <a:xfrm>
                            <a:off x="3602" y="4312"/>
                            <a:ext cx="1" cy="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03"/>
                        <wps:cNvCnPr/>
                        <wps:spPr bwMode="auto">
                          <a:xfrm>
                            <a:off x="3601" y="6144"/>
                            <a:ext cx="1" cy="6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04"/>
                        <wps:cNvCnPr/>
                        <wps:spPr bwMode="auto">
                          <a:xfrm>
                            <a:off x="3599" y="8197"/>
                            <a:ext cx="2" cy="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5"/>
                        <wps:cNvCnPr/>
                        <wps:spPr bwMode="auto">
                          <a:xfrm>
                            <a:off x="3602" y="8476"/>
                            <a:ext cx="20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6"/>
                        <wps:cNvCnPr/>
                        <wps:spPr bwMode="auto">
                          <a:xfrm>
                            <a:off x="3602" y="6576"/>
                            <a:ext cx="20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07"/>
                        <wps:cNvCnPr/>
                        <wps:spPr bwMode="auto">
                          <a:xfrm>
                            <a:off x="3602" y="5011"/>
                            <a:ext cx="20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66" o:spid="_x0000_s1111" alt="Title: Figure 5: Search results – Quorum flowchart" style="width:375.9pt;height:359.25pt;mso-position-horizontal-relative:char;mso-position-vertical-relative:line" coordorigin="2241,2969" coordsize="6364,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">
                <v:shapetype id="_x0000_t202" coordsize="21600,21600" o:spt="202" path="m,l,21600r21600,l21600,xe">
                  <v:stroke joinstyle="miter"/>
                  <v:path gradientshapeok="t" o:connecttype="rect"/>
                </v:shapetype>
                <v:shape id="Text Box 95" o:spid="_x0000_s1112" type="#_x0000_t202" style="position:absolute;left:2241;top:2969;width:2892;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C0B02" w:rsidRPr="00915ED6" w:rsidRDefault="001C0B02" w:rsidP="0006743B">
                        <w:pPr>
                          <w:spacing w:after="0"/>
                          <w:ind w:left="0"/>
                          <w:rPr>
                            <w:sz w:val="20"/>
                          </w:rPr>
                        </w:pPr>
                        <w:r w:rsidRPr="00915ED6">
                          <w:rPr>
                            <w:sz w:val="20"/>
                          </w:rPr>
                          <w:t xml:space="preserve">Potentially relevant studies identified in the literature search </w:t>
                        </w:r>
                      </w:p>
                      <w:p w:rsidR="001C0B02" w:rsidRDefault="001C0B02" w:rsidP="0006743B">
                        <w:pPr>
                          <w:spacing w:after="0"/>
                          <w:ind w:left="0"/>
                          <w:rPr>
                            <w:sz w:val="20"/>
                          </w:rPr>
                        </w:pPr>
                        <w:r w:rsidRPr="00915ED6">
                          <w:rPr>
                            <w:sz w:val="20"/>
                          </w:rPr>
                          <w:t xml:space="preserve">and screened for retrieval </w:t>
                        </w:r>
                      </w:p>
                      <w:p w:rsidR="001C0B02" w:rsidRPr="00915ED6" w:rsidRDefault="001C0B02" w:rsidP="0006743B">
                        <w:pPr>
                          <w:spacing w:after="0"/>
                          <w:ind w:left="0"/>
                          <w:rPr>
                            <w:sz w:val="20"/>
                          </w:rPr>
                        </w:pPr>
                        <w:r w:rsidRPr="00915ED6">
                          <w:rPr>
                            <w:sz w:val="20"/>
                          </w:rPr>
                          <w:t>(n= 204)</w:t>
                        </w:r>
                      </w:p>
                      <w:p w:rsidR="001C0B02" w:rsidRPr="003526CB" w:rsidRDefault="001C0B02" w:rsidP="0006743B"/>
                    </w:txbxContent>
                  </v:textbox>
                </v:shape>
                <v:shape id="Text Box 96" o:spid="_x0000_s1113" type="#_x0000_t202" style="position:absolute;left:2241;top:5266;width:2892;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1C0B02" w:rsidRDefault="001C0B02" w:rsidP="0006743B">
                        <w:pPr>
                          <w:spacing w:after="0"/>
                          <w:ind w:left="0"/>
                          <w:rPr>
                            <w:sz w:val="20"/>
                          </w:rPr>
                        </w:pPr>
                        <w:r>
                          <w:rPr>
                            <w:sz w:val="20"/>
                          </w:rPr>
                          <w:t xml:space="preserve">Studies retrieved for more </w:t>
                        </w:r>
                      </w:p>
                      <w:p w:rsidR="001C0B02" w:rsidRDefault="001C0B02" w:rsidP="0006743B">
                        <w:pPr>
                          <w:spacing w:after="0"/>
                          <w:ind w:left="0"/>
                          <w:rPr>
                            <w:sz w:val="20"/>
                          </w:rPr>
                        </w:pPr>
                        <w:r>
                          <w:rPr>
                            <w:sz w:val="20"/>
                          </w:rPr>
                          <w:t>detailed evaluation (n=58 )</w:t>
                        </w:r>
                      </w:p>
                      <w:p w:rsidR="001C0B02" w:rsidRDefault="001C0B02" w:rsidP="0006743B">
                        <w:pPr>
                          <w:ind w:left="0"/>
                        </w:pPr>
                      </w:p>
                      <w:p w:rsidR="001C0B02" w:rsidRPr="003526CB" w:rsidRDefault="001C0B02" w:rsidP="0006743B"/>
                    </w:txbxContent>
                  </v:textbox>
                </v:shape>
                <v:shape id="Text Box 97" o:spid="_x0000_s1114" type="#_x0000_t202" style="position:absolute;left:2241;top:6818;width:2892;height:1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1C0B02" w:rsidRDefault="001C0B02" w:rsidP="0006743B">
                        <w:pPr>
                          <w:spacing w:after="0"/>
                          <w:ind w:left="0"/>
                          <w:rPr>
                            <w:sz w:val="20"/>
                          </w:rPr>
                        </w:pPr>
                        <w:r>
                          <w:rPr>
                            <w:sz w:val="20"/>
                          </w:rPr>
                          <w:t>Potentially appropriate studies to be included in the systematic review (n=26)</w:t>
                        </w:r>
                      </w:p>
                      <w:p w:rsidR="001C0B02" w:rsidRPr="00202F14" w:rsidRDefault="001C0B02" w:rsidP="0006743B"/>
                      <w:p w:rsidR="001C0B02" w:rsidRPr="003526CB" w:rsidRDefault="001C0B02" w:rsidP="0006743B"/>
                    </w:txbxContent>
                  </v:textbox>
                </v:shape>
                <v:shape id="Text Box 98" o:spid="_x0000_s1115" type="#_x0000_t202" style="position:absolute;left:2241;top:8709;width:2892;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1C0B02" w:rsidRDefault="001C0B02" w:rsidP="0006743B">
                        <w:pPr>
                          <w:spacing w:after="0"/>
                          <w:ind w:left="0"/>
                          <w:rPr>
                            <w:sz w:val="20"/>
                          </w:rPr>
                        </w:pPr>
                        <w:r>
                          <w:rPr>
                            <w:sz w:val="20"/>
                          </w:rPr>
                          <w:t>Studies with usable information by outcome (total=10)</w:t>
                        </w:r>
                      </w:p>
                      <w:p w:rsidR="001C0B02" w:rsidRDefault="001C0B02" w:rsidP="0006743B">
                        <w:pPr>
                          <w:spacing w:after="0"/>
                          <w:ind w:left="0"/>
                          <w:rPr>
                            <w:sz w:val="18"/>
                            <w:szCs w:val="18"/>
                          </w:rPr>
                        </w:pPr>
                        <w:r>
                          <w:rPr>
                            <w:sz w:val="18"/>
                            <w:szCs w:val="18"/>
                          </w:rPr>
                          <w:t>systematic reviews (n=2)</w:t>
                        </w:r>
                      </w:p>
                      <w:p w:rsidR="001C0B02" w:rsidRDefault="001C0B02" w:rsidP="0006743B">
                        <w:pPr>
                          <w:spacing w:after="0"/>
                          <w:ind w:left="0"/>
                          <w:rPr>
                            <w:sz w:val="18"/>
                            <w:szCs w:val="18"/>
                          </w:rPr>
                        </w:pPr>
                        <w:r>
                          <w:rPr>
                            <w:sz w:val="18"/>
                            <w:szCs w:val="18"/>
                          </w:rPr>
                          <w:t>HoLEP with TURP (n=4)</w:t>
                        </w:r>
                      </w:p>
                      <w:p w:rsidR="001C0B02" w:rsidRDefault="001C0B02" w:rsidP="0006743B">
                        <w:pPr>
                          <w:spacing w:after="0"/>
                          <w:ind w:left="0"/>
                          <w:rPr>
                            <w:sz w:val="18"/>
                            <w:szCs w:val="18"/>
                          </w:rPr>
                        </w:pPr>
                        <w:r>
                          <w:rPr>
                            <w:sz w:val="18"/>
                            <w:szCs w:val="18"/>
                          </w:rPr>
                          <w:t>HoLEP with OP (n=2</w:t>
                        </w:r>
                      </w:p>
                      <w:p w:rsidR="001C0B02" w:rsidRDefault="001C0B02" w:rsidP="0006743B">
                        <w:pPr>
                          <w:spacing w:after="0"/>
                          <w:ind w:left="0"/>
                          <w:rPr>
                            <w:sz w:val="20"/>
                          </w:rPr>
                        </w:pPr>
                        <w:r>
                          <w:rPr>
                            <w:sz w:val="18"/>
                            <w:szCs w:val="18"/>
                          </w:rPr>
                          <w:t xml:space="preserve">cost-effectiveness (n=2) </w:t>
                        </w:r>
                      </w:p>
                      <w:p w:rsidR="001C0B02" w:rsidRPr="00915ED6" w:rsidRDefault="001C0B02" w:rsidP="0006743B">
                        <w:pPr>
                          <w:spacing w:after="0"/>
                          <w:ind w:left="0"/>
                          <w:rPr>
                            <w:sz w:val="20"/>
                          </w:rPr>
                        </w:pPr>
                      </w:p>
                    </w:txbxContent>
                  </v:textbox>
                </v:shape>
                <v:shape id="Text Box 99" o:spid="_x0000_s1116" type="#_x0000_t202" style="position:absolute;left:5647;top:5671;width:2958;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1C0B02" w:rsidRDefault="001C0B02" w:rsidP="0006743B">
                        <w:pPr>
                          <w:spacing w:after="0"/>
                          <w:ind w:left="0"/>
                          <w:rPr>
                            <w:sz w:val="20"/>
                          </w:rPr>
                        </w:pPr>
                        <w:r>
                          <w:rPr>
                            <w:sz w:val="20"/>
                          </w:rPr>
                          <w:t xml:space="preserve">Studies excluded, with reasons (n=32): </w:t>
                        </w:r>
                      </w:p>
                      <w:p w:rsidR="001C0B02" w:rsidRDefault="001C0B02" w:rsidP="0006743B">
                        <w:pPr>
                          <w:spacing w:after="0"/>
                          <w:ind w:left="0"/>
                          <w:rPr>
                            <w:sz w:val="18"/>
                            <w:szCs w:val="18"/>
                          </w:rPr>
                        </w:pPr>
                        <w:r>
                          <w:rPr>
                            <w:sz w:val="18"/>
                            <w:szCs w:val="18"/>
                          </w:rPr>
                          <w:t xml:space="preserve">duplicates (n=0); </w:t>
                        </w:r>
                      </w:p>
                      <w:p w:rsidR="001C0B02" w:rsidRDefault="001C0B02" w:rsidP="0006743B">
                        <w:pPr>
                          <w:spacing w:after="0"/>
                          <w:ind w:left="0"/>
                          <w:rPr>
                            <w:sz w:val="18"/>
                            <w:szCs w:val="18"/>
                          </w:rPr>
                        </w:pPr>
                        <w:r>
                          <w:rPr>
                            <w:sz w:val="18"/>
                            <w:szCs w:val="18"/>
                          </w:rPr>
                          <w:t>wrong publication type (n=27)</w:t>
                        </w:r>
                      </w:p>
                      <w:p w:rsidR="001C0B02" w:rsidRDefault="001C0B02" w:rsidP="0006743B">
                        <w:pPr>
                          <w:spacing w:after="0"/>
                          <w:ind w:left="0"/>
                          <w:rPr>
                            <w:sz w:val="18"/>
                            <w:szCs w:val="18"/>
                          </w:rPr>
                        </w:pPr>
                        <w:r>
                          <w:rPr>
                            <w:sz w:val="18"/>
                            <w:szCs w:val="18"/>
                          </w:rPr>
                          <w:t xml:space="preserve">wrong patient group (n=1) </w:t>
                        </w:r>
                      </w:p>
                      <w:p w:rsidR="001C0B02" w:rsidRDefault="001C0B02" w:rsidP="0006743B">
                        <w:pPr>
                          <w:spacing w:after="0"/>
                          <w:ind w:left="0"/>
                          <w:rPr>
                            <w:sz w:val="18"/>
                            <w:szCs w:val="18"/>
                          </w:rPr>
                        </w:pPr>
                        <w:r>
                          <w:rPr>
                            <w:sz w:val="18"/>
                            <w:szCs w:val="18"/>
                          </w:rPr>
                          <w:t>wrong intervention (n=3)</w:t>
                        </w:r>
                      </w:p>
                      <w:p w:rsidR="001C0B02" w:rsidRDefault="001C0B02" w:rsidP="0006743B">
                        <w:pPr>
                          <w:spacing w:after="0"/>
                          <w:ind w:left="0"/>
                          <w:rPr>
                            <w:sz w:val="18"/>
                            <w:szCs w:val="18"/>
                          </w:rPr>
                        </w:pPr>
                        <w:r>
                          <w:rPr>
                            <w:sz w:val="18"/>
                            <w:szCs w:val="18"/>
                          </w:rPr>
                          <w:t xml:space="preserve">wrong comparator (n=0) </w:t>
                        </w:r>
                      </w:p>
                      <w:p w:rsidR="001C0B02" w:rsidRDefault="001C0B02" w:rsidP="0006743B">
                        <w:pPr>
                          <w:spacing w:after="0"/>
                          <w:ind w:left="0"/>
                          <w:rPr>
                            <w:sz w:val="18"/>
                            <w:szCs w:val="18"/>
                          </w:rPr>
                        </w:pPr>
                        <w:r>
                          <w:rPr>
                            <w:sz w:val="18"/>
                            <w:szCs w:val="18"/>
                          </w:rPr>
                          <w:t xml:space="preserve">wrong outcomes (n=0) </w:t>
                        </w:r>
                      </w:p>
                      <w:p w:rsidR="001C0B02" w:rsidRDefault="001C0B02" w:rsidP="0006743B">
                        <w:pPr>
                          <w:spacing w:after="0"/>
                          <w:ind w:left="0"/>
                          <w:rPr>
                            <w:sz w:val="18"/>
                            <w:szCs w:val="18"/>
                          </w:rPr>
                        </w:pPr>
                        <w:r>
                          <w:rPr>
                            <w:sz w:val="18"/>
                            <w:szCs w:val="18"/>
                          </w:rPr>
                          <w:t>non-English (n=1)</w:t>
                        </w:r>
                      </w:p>
                      <w:p w:rsidR="001C0B02" w:rsidRPr="00915ED6" w:rsidRDefault="001C0B02" w:rsidP="0006743B">
                        <w:pPr>
                          <w:spacing w:after="0"/>
                          <w:ind w:left="0"/>
                          <w:rPr>
                            <w:sz w:val="16"/>
                            <w:szCs w:val="16"/>
                          </w:rPr>
                        </w:pPr>
                      </w:p>
                    </w:txbxContent>
                  </v:textbox>
                </v:shape>
                <v:shape id="Text Box 100" o:spid="_x0000_s1117" type="#_x0000_t202" style="position:absolute;left:5643;top:3331;width:2962;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1C0B02" w:rsidRDefault="001C0B02" w:rsidP="0006743B">
                        <w:pPr>
                          <w:spacing w:after="0"/>
                          <w:ind w:left="0"/>
                          <w:rPr>
                            <w:sz w:val="20"/>
                          </w:rPr>
                        </w:pPr>
                        <w:r>
                          <w:rPr>
                            <w:sz w:val="20"/>
                          </w:rPr>
                          <w:t xml:space="preserve">Studies excluded, with reasons (n=146): </w:t>
                        </w:r>
                      </w:p>
                      <w:p w:rsidR="001C0B02" w:rsidRDefault="001C0B02" w:rsidP="0006743B">
                        <w:pPr>
                          <w:spacing w:after="0"/>
                          <w:ind w:left="0"/>
                          <w:rPr>
                            <w:sz w:val="18"/>
                            <w:szCs w:val="18"/>
                          </w:rPr>
                        </w:pPr>
                        <w:r>
                          <w:rPr>
                            <w:sz w:val="18"/>
                            <w:szCs w:val="18"/>
                          </w:rPr>
                          <w:t xml:space="preserve">duplicates (n=29) </w:t>
                        </w:r>
                      </w:p>
                      <w:p w:rsidR="00AE6E57" w:rsidRDefault="001C0B02" w:rsidP="0006743B">
                        <w:pPr>
                          <w:spacing w:after="0"/>
                          <w:ind w:left="0"/>
                          <w:rPr>
                            <w:sz w:val="18"/>
                            <w:szCs w:val="18"/>
                          </w:rPr>
                        </w:pPr>
                        <w:r>
                          <w:rPr>
                            <w:sz w:val="18"/>
                            <w:szCs w:val="18"/>
                          </w:rPr>
                          <w:t>wrong publication type (n=78)</w:t>
                        </w:r>
                      </w:p>
                      <w:p w:rsidR="001C0B02" w:rsidRDefault="001C0B02" w:rsidP="0006743B">
                        <w:pPr>
                          <w:spacing w:after="0"/>
                          <w:ind w:left="0"/>
                          <w:rPr>
                            <w:sz w:val="18"/>
                            <w:szCs w:val="18"/>
                          </w:rPr>
                        </w:pPr>
                        <w:r>
                          <w:rPr>
                            <w:sz w:val="18"/>
                            <w:szCs w:val="18"/>
                          </w:rPr>
                          <w:t xml:space="preserve">wrong patient group (n=4) </w:t>
                        </w:r>
                      </w:p>
                      <w:p w:rsidR="001C0B02" w:rsidRDefault="001C0B02" w:rsidP="0006743B">
                        <w:pPr>
                          <w:spacing w:after="0"/>
                          <w:ind w:left="0"/>
                          <w:rPr>
                            <w:sz w:val="18"/>
                            <w:szCs w:val="18"/>
                          </w:rPr>
                        </w:pPr>
                        <w:r>
                          <w:rPr>
                            <w:sz w:val="18"/>
                            <w:szCs w:val="18"/>
                          </w:rPr>
                          <w:t xml:space="preserve">wrong intervention (n=28) </w:t>
                        </w:r>
                      </w:p>
                      <w:p w:rsidR="001C0B02" w:rsidRDefault="001C0B02" w:rsidP="0006743B">
                        <w:pPr>
                          <w:spacing w:after="0"/>
                          <w:ind w:left="0"/>
                          <w:rPr>
                            <w:sz w:val="18"/>
                            <w:szCs w:val="18"/>
                          </w:rPr>
                        </w:pPr>
                        <w:r>
                          <w:rPr>
                            <w:sz w:val="18"/>
                            <w:szCs w:val="18"/>
                          </w:rPr>
                          <w:t xml:space="preserve">wrong comparator (n=2) </w:t>
                        </w:r>
                      </w:p>
                      <w:p w:rsidR="001C0B02" w:rsidRDefault="001C0B02" w:rsidP="0006743B">
                        <w:pPr>
                          <w:spacing w:after="0"/>
                          <w:ind w:left="0"/>
                          <w:rPr>
                            <w:sz w:val="18"/>
                            <w:szCs w:val="18"/>
                          </w:rPr>
                        </w:pPr>
                        <w:r>
                          <w:rPr>
                            <w:sz w:val="18"/>
                            <w:szCs w:val="18"/>
                          </w:rPr>
                          <w:t xml:space="preserve">wrong outcomes (n=0) </w:t>
                        </w:r>
                      </w:p>
                      <w:p w:rsidR="001C0B02" w:rsidRDefault="001C0B02" w:rsidP="0006743B">
                        <w:pPr>
                          <w:spacing w:after="0"/>
                          <w:ind w:left="0"/>
                          <w:rPr>
                            <w:sz w:val="18"/>
                            <w:szCs w:val="18"/>
                          </w:rPr>
                        </w:pPr>
                        <w:r>
                          <w:rPr>
                            <w:sz w:val="18"/>
                            <w:szCs w:val="18"/>
                          </w:rPr>
                          <w:t>non-English (n=5)</w:t>
                        </w:r>
                      </w:p>
                      <w:p w:rsidR="001C0B02" w:rsidRDefault="001C0B02" w:rsidP="0006743B">
                        <w:pPr>
                          <w:ind w:left="0"/>
                        </w:pPr>
                      </w:p>
                      <w:p w:rsidR="001C0B02" w:rsidRPr="003526CB" w:rsidRDefault="001C0B02" w:rsidP="0006743B"/>
                    </w:txbxContent>
                  </v:textbox>
                </v:shape>
                <v:shape id="Text Box 101" o:spid="_x0000_s1118" type="#_x0000_t202" style="position:absolute;left:5647;top:7924;width:2958;height:1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1C0B02" w:rsidRDefault="001C0B02" w:rsidP="0006743B">
                        <w:pPr>
                          <w:spacing w:after="0"/>
                          <w:ind w:left="0"/>
                          <w:rPr>
                            <w:sz w:val="20"/>
                          </w:rPr>
                        </w:pPr>
                        <w:r>
                          <w:rPr>
                            <w:sz w:val="20"/>
                          </w:rPr>
                          <w:t xml:space="preserve">Studies excluded, with reasons (n=16): </w:t>
                        </w:r>
                      </w:p>
                      <w:p w:rsidR="001C0B02" w:rsidRDefault="001C0B02" w:rsidP="0006743B">
                        <w:pPr>
                          <w:spacing w:after="0"/>
                          <w:ind w:left="0"/>
                          <w:rPr>
                            <w:sz w:val="18"/>
                            <w:szCs w:val="18"/>
                          </w:rPr>
                        </w:pPr>
                        <w:r>
                          <w:rPr>
                            <w:sz w:val="18"/>
                            <w:szCs w:val="18"/>
                          </w:rPr>
                          <w:t>duplicates (n=3)</w:t>
                        </w:r>
                      </w:p>
                      <w:p w:rsidR="001C0B02" w:rsidRDefault="001C0B02" w:rsidP="0006743B">
                        <w:pPr>
                          <w:spacing w:after="0"/>
                          <w:ind w:left="0"/>
                          <w:rPr>
                            <w:sz w:val="18"/>
                            <w:szCs w:val="18"/>
                          </w:rPr>
                        </w:pPr>
                        <w:r>
                          <w:rPr>
                            <w:sz w:val="18"/>
                            <w:szCs w:val="18"/>
                          </w:rPr>
                          <w:t>wrong outcomes (n=2)</w:t>
                        </w:r>
                      </w:p>
                      <w:p w:rsidR="001C0B02" w:rsidRDefault="001C0B02" w:rsidP="0006743B">
                        <w:pPr>
                          <w:spacing w:after="0"/>
                          <w:ind w:left="0"/>
                          <w:rPr>
                            <w:sz w:val="18"/>
                            <w:szCs w:val="18"/>
                          </w:rPr>
                        </w:pPr>
                        <w:r>
                          <w:rPr>
                            <w:sz w:val="18"/>
                            <w:szCs w:val="18"/>
                          </w:rPr>
                          <w:t>additional HTAs and systematic reviews (n=9)</w:t>
                        </w:r>
                      </w:p>
                      <w:p w:rsidR="001C0B02" w:rsidRDefault="001C0B02" w:rsidP="0006743B">
                        <w:pPr>
                          <w:spacing w:after="0"/>
                          <w:ind w:left="0"/>
                          <w:rPr>
                            <w:rFonts w:ascii="Arial Narrow" w:hAnsi="Arial Narrow"/>
                            <w:sz w:val="20"/>
                          </w:rPr>
                        </w:pPr>
                        <w:r>
                          <w:rPr>
                            <w:sz w:val="18"/>
                            <w:szCs w:val="18"/>
                          </w:rPr>
                          <w:t>studies extracted in systematic reviews  selected  for updating (n=2)</w:t>
                        </w:r>
                      </w:p>
                    </w:txbxContent>
                  </v:textbox>
                </v:shape>
                <v:line id="Line 102" o:spid="_x0000_s1119" style="position:absolute;visibility:visible;mso-wrap-style:square" from="3602,4312" to="3603,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03" o:spid="_x0000_s1120" style="position:absolute;visibility:visible;mso-wrap-style:square" from="3601,6144" to="360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04" o:spid="_x0000_s1121" style="position:absolute;visibility:visible;mso-wrap-style:square" from="3599,8197" to="3601,8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05" o:spid="_x0000_s1122" style="position:absolute;visibility:visible;mso-wrap-style:square" from="3602,8476" to="5643,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06" o:spid="_x0000_s1123" style="position:absolute;visibility:visible;mso-wrap-style:square" from="3602,6576" to="56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07" o:spid="_x0000_s1124" style="position:absolute;visibility:visible;mso-wrap-style:square" from="3602,5011" to="5643,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w10:anchorlock/>
              </v:group>
            </w:pict>
          </mc:Fallback>
        </mc:AlternateContent>
      </w:r>
    </w:p>
    <w:p w:rsidR="00786914" w:rsidRPr="00095EA3" w:rsidRDefault="00786914" w:rsidP="0006743B">
      <w:pPr>
        <w:pStyle w:val="TableNotes"/>
      </w:pPr>
      <w:r w:rsidRPr="00095EA3">
        <w:t>Adapted from Moher et al (1999)</w:t>
      </w:r>
    </w:p>
    <w:p w:rsidR="00786914" w:rsidRPr="00095EA3" w:rsidRDefault="00786914" w:rsidP="0006743B">
      <w:pPr>
        <w:pStyle w:val="Normalbold"/>
      </w:pPr>
      <w:bookmarkStart w:id="128" w:name="_Toc327877857"/>
      <w:r w:rsidRPr="00095EA3">
        <w:t>Data extraction and analysis</w:t>
      </w:r>
      <w:bookmarkEnd w:id="128"/>
    </w:p>
    <w:p w:rsidR="00C44A5F" w:rsidRPr="00C44A5F" w:rsidRDefault="00786914" w:rsidP="00C44A5F">
      <w:r w:rsidRPr="00F846D4">
        <w:t>Data were extracted by one researcher and checked by a second, using standardised data extraction tables developed prior</w:t>
      </w:r>
      <w:r>
        <w:t>.</w:t>
      </w:r>
      <w:r w:rsidRPr="00F846D4">
        <w:t xml:space="preserve"> Data were extracted only when clearly indicated in tables, text or figures in the </w:t>
      </w:r>
      <w:r>
        <w:t>study</w:t>
      </w:r>
      <w:r w:rsidRPr="00F846D4">
        <w:t>.</w:t>
      </w:r>
      <w:bookmarkStart w:id="129" w:name="_Toc323642281"/>
      <w:bookmarkStart w:id="130" w:name="_Toc327877858"/>
      <w:r w:rsidR="00AE6E57" w:rsidRPr="00C44A5F">
        <w:t xml:space="preserve"> </w:t>
      </w:r>
    </w:p>
    <w:p w:rsidR="00786914" w:rsidRPr="00095EA3" w:rsidRDefault="00786914" w:rsidP="0006743B">
      <w:pPr>
        <w:pStyle w:val="Heading2"/>
      </w:pPr>
      <w:bookmarkStart w:id="131" w:name="_Toc365900569"/>
      <w:r w:rsidRPr="00095EA3">
        <w:t>Appraisal of the evidence</w:t>
      </w:r>
      <w:bookmarkEnd w:id="129"/>
      <w:bookmarkEnd w:id="130"/>
      <w:bookmarkEnd w:id="131"/>
    </w:p>
    <w:p w:rsidR="00786914" w:rsidRPr="002456BA" w:rsidRDefault="00786914" w:rsidP="0006743B">
      <w:pPr>
        <w:rPr>
          <w:lang w:val="en-US"/>
        </w:rPr>
      </w:pPr>
      <w:r w:rsidRPr="002456BA">
        <w:rPr>
          <w:lang w:val="en-US"/>
        </w:rPr>
        <w:t xml:space="preserve">Appraisal of the evidence was conducted at </w:t>
      </w:r>
      <w:r>
        <w:rPr>
          <w:lang w:val="en-US"/>
        </w:rPr>
        <w:t>three</w:t>
      </w:r>
      <w:r w:rsidRPr="002456BA">
        <w:rPr>
          <w:lang w:val="en-US"/>
        </w:rPr>
        <w:t xml:space="preserve"> stages:</w:t>
      </w:r>
    </w:p>
    <w:p w:rsidR="00786914" w:rsidRPr="002456BA" w:rsidRDefault="00786914" w:rsidP="0006743B">
      <w:pPr>
        <w:pStyle w:val="ListParagraph"/>
        <w:rPr>
          <w:lang w:val="en-US"/>
        </w:rPr>
      </w:pPr>
      <w:r w:rsidRPr="002456BA">
        <w:rPr>
          <w:lang w:val="en-US"/>
        </w:rPr>
        <w:t>Stage 1: Appraisal of the applicability and quality of individual studies included in the review.</w:t>
      </w:r>
    </w:p>
    <w:p w:rsidR="00786914" w:rsidRPr="002456BA" w:rsidRDefault="00786914" w:rsidP="0006743B">
      <w:pPr>
        <w:pStyle w:val="ListParagraph"/>
        <w:rPr>
          <w:lang w:val="en-US"/>
        </w:rPr>
      </w:pPr>
      <w:r w:rsidRPr="002456BA">
        <w:rPr>
          <w:lang w:val="en-US"/>
        </w:rPr>
        <w:t xml:space="preserve">Stage 2: Appraisal of the precision, size and clinical importance of the primary outcomes used to determine the safety and effectiveness of the </w:t>
      </w:r>
      <w:r>
        <w:rPr>
          <w:lang w:val="en-US"/>
        </w:rPr>
        <w:t xml:space="preserve">intervention. </w:t>
      </w:r>
    </w:p>
    <w:p w:rsidR="00786914" w:rsidRPr="002456BA" w:rsidRDefault="00786914" w:rsidP="0006743B">
      <w:pPr>
        <w:pStyle w:val="ListParagraph"/>
      </w:pPr>
      <w:r w:rsidRPr="002456BA">
        <w:lastRenderedPageBreak/>
        <w:t>Stage 3: Integration of this evidence for conclusions about the net clinical benefit of the in</w:t>
      </w:r>
      <w:r>
        <w:t>tervention</w:t>
      </w:r>
      <w:r w:rsidRPr="002456BA">
        <w:t xml:space="preserve"> in the context of Australian clinical practice.</w:t>
      </w:r>
    </w:p>
    <w:p w:rsidR="00786914" w:rsidRPr="004C6B15" w:rsidRDefault="00786914" w:rsidP="0006743B">
      <w:pPr>
        <w:pStyle w:val="Normalbold"/>
      </w:pPr>
      <w:bookmarkStart w:id="132" w:name="_Toc327877859"/>
      <w:r w:rsidRPr="004C6B15">
        <w:t>Validity assessment of individual studies</w:t>
      </w:r>
      <w:bookmarkEnd w:id="132"/>
    </w:p>
    <w:p w:rsidR="00786914" w:rsidRPr="00A12E71" w:rsidRDefault="00786914" w:rsidP="0006743B">
      <w:r w:rsidRPr="00A12E71">
        <w:t xml:space="preserve">The evidence presented in the selected studies was assessed and classified using the dimensions of evidence defined by the National Health and Medical Research Council </w:t>
      </w:r>
      <w:r>
        <w:rPr>
          <w:noProof/>
        </w:rPr>
        <w:t>(2000)</w:t>
      </w:r>
      <w:r>
        <w:t xml:space="preserve">. </w:t>
      </w:r>
    </w:p>
    <w:p w:rsidR="00786914" w:rsidRPr="00A12E71" w:rsidRDefault="00786914" w:rsidP="0006743B">
      <w:r w:rsidRPr="00A12E71">
        <w:t>These dimensions (</w:t>
      </w:r>
      <w:r w:rsidR="00766F46">
        <w:fldChar w:fldCharType="begin"/>
      </w:r>
      <w:r w:rsidR="00766F46">
        <w:instrText xml:space="preserve"> REF _Ref323306511 \h  \* MERGEFORMAT </w:instrText>
      </w:r>
      <w:r w:rsidR="00766F46">
        <w:fldChar w:fldCharType="separate"/>
      </w:r>
      <w:r w:rsidR="00F45C43" w:rsidRPr="00095EA3">
        <w:t xml:space="preserve">Table </w:t>
      </w:r>
      <w:r w:rsidR="00F45C43">
        <w:t>9</w:t>
      </w:r>
      <w:r w:rsidR="00766F46">
        <w:fldChar w:fldCharType="end"/>
      </w:r>
      <w:r w:rsidRPr="00A12E71">
        <w:t>) consider important aspects of the evidence supporting a particular intervention and include three main domains: strength of the evidence, size of the effect and relevance of the evidence. The first domain is derived directly from the literature identified as informing a particular intervention. The last two require expert clinical input as part of its determination.</w:t>
      </w:r>
    </w:p>
    <w:p w:rsidR="00786914" w:rsidRPr="00095EA3" w:rsidRDefault="00786914" w:rsidP="0006743B">
      <w:pPr>
        <w:pStyle w:val="Caption"/>
      </w:pPr>
      <w:bookmarkStart w:id="133" w:name="_Ref323306511"/>
      <w:bookmarkStart w:id="134" w:name="_Toc327803256"/>
      <w:bookmarkStart w:id="135" w:name="_Toc327881546"/>
      <w:r w:rsidRPr="00095EA3">
        <w:t xml:space="preserve">Table </w:t>
      </w:r>
      <w:fldSimple w:instr=" SEQ Table \* ARABIC ">
        <w:r w:rsidR="00F45C43">
          <w:rPr>
            <w:noProof/>
          </w:rPr>
          <w:t>9</w:t>
        </w:r>
      </w:fldSimple>
      <w:bookmarkEnd w:id="133"/>
      <w:r w:rsidRPr="00095EA3">
        <w:t>:</w:t>
      </w:r>
      <w:r w:rsidRPr="00095EA3">
        <w:tab/>
        <w:t>Evidence dimensions</w:t>
      </w:r>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919"/>
      </w:tblGrid>
      <w:tr w:rsidR="00786914" w:rsidRPr="00C472D2" w:rsidTr="0006743B">
        <w:tc>
          <w:tcPr>
            <w:tcW w:w="1258" w:type="pct"/>
            <w:vAlign w:val="bottom"/>
          </w:tcPr>
          <w:p w:rsidR="00786914" w:rsidRPr="00A12E71" w:rsidRDefault="00786914" w:rsidP="0006743B">
            <w:pPr>
              <w:pStyle w:val="Tableheading"/>
            </w:pPr>
            <w:r w:rsidRPr="00A12E71">
              <w:t>Type of evidence</w:t>
            </w:r>
          </w:p>
        </w:tc>
        <w:tc>
          <w:tcPr>
            <w:tcW w:w="3742" w:type="pct"/>
            <w:vAlign w:val="bottom"/>
          </w:tcPr>
          <w:p w:rsidR="00786914" w:rsidRPr="00A12E71" w:rsidRDefault="00786914" w:rsidP="0006743B">
            <w:pPr>
              <w:pStyle w:val="Tableheading"/>
            </w:pPr>
            <w:r w:rsidRPr="00A12E71">
              <w:t>Definition</w:t>
            </w:r>
          </w:p>
        </w:tc>
      </w:tr>
      <w:tr w:rsidR="00786914" w:rsidRPr="00C472D2" w:rsidTr="0006743B">
        <w:tc>
          <w:tcPr>
            <w:tcW w:w="1258" w:type="pct"/>
            <w:vAlign w:val="bottom"/>
          </w:tcPr>
          <w:p w:rsidR="00786914" w:rsidRPr="00A12E71" w:rsidRDefault="00786914" w:rsidP="0006743B">
            <w:pPr>
              <w:pStyle w:val="TableText"/>
            </w:pPr>
            <w:r w:rsidRPr="00A12E71">
              <w:t>Strength of the evidence</w:t>
            </w:r>
          </w:p>
          <w:p w:rsidR="00786914" w:rsidRPr="00A12E71" w:rsidRDefault="00786914" w:rsidP="0006743B">
            <w:pPr>
              <w:pStyle w:val="TableText"/>
            </w:pPr>
            <w:r w:rsidRPr="00A12E71">
              <w:tab/>
              <w:t>Level</w:t>
            </w:r>
          </w:p>
          <w:p w:rsidR="00786914" w:rsidRPr="00A12E71" w:rsidRDefault="00786914" w:rsidP="0006743B">
            <w:pPr>
              <w:pStyle w:val="TableText"/>
            </w:pPr>
            <w:r w:rsidRPr="00A12E71">
              <w:tab/>
              <w:t>Quality</w:t>
            </w:r>
          </w:p>
          <w:p w:rsidR="00786914" w:rsidRPr="00A12E71" w:rsidRDefault="00786914" w:rsidP="0006743B">
            <w:pPr>
              <w:pStyle w:val="TableText"/>
            </w:pPr>
            <w:r w:rsidRPr="00A12E71">
              <w:tab/>
              <w:t>Statistical precision</w:t>
            </w:r>
          </w:p>
        </w:tc>
        <w:tc>
          <w:tcPr>
            <w:tcW w:w="3742" w:type="pct"/>
            <w:vAlign w:val="bottom"/>
          </w:tcPr>
          <w:p w:rsidR="00786914" w:rsidRPr="00A12E71" w:rsidRDefault="00786914" w:rsidP="0006743B">
            <w:pPr>
              <w:pStyle w:val="TableText"/>
            </w:pPr>
            <w:r w:rsidRPr="00A12E71">
              <w:t>The study design used, as an indicator of the degree to which bias has been eliminated by design.*</w:t>
            </w:r>
          </w:p>
          <w:p w:rsidR="00786914" w:rsidRPr="00A12E71" w:rsidRDefault="00786914" w:rsidP="0006743B">
            <w:pPr>
              <w:pStyle w:val="TableText"/>
            </w:pPr>
            <w:r w:rsidRPr="00A12E71">
              <w:t>The methods used by investigators to minimise bias within a study design.</w:t>
            </w:r>
          </w:p>
          <w:p w:rsidR="00786914" w:rsidRPr="00A12E71" w:rsidRDefault="00786914" w:rsidP="0006743B">
            <w:pPr>
              <w:pStyle w:val="TableText"/>
            </w:pPr>
            <w:r w:rsidRPr="00A12E71">
              <w:t xml:space="preserve">The </w:t>
            </w:r>
            <w:r w:rsidRPr="00A12E71">
              <w:rPr>
                <w:i/>
              </w:rPr>
              <w:t>p</w:t>
            </w:r>
            <w:r w:rsidRPr="00A12E71">
              <w:t>-value or, alternatively, the precision of the estimate of the effect. It reflects the degree of certainty about the existence of a true effect.</w:t>
            </w:r>
          </w:p>
        </w:tc>
      </w:tr>
      <w:tr w:rsidR="00786914" w:rsidRPr="00C472D2" w:rsidTr="0006743B">
        <w:tc>
          <w:tcPr>
            <w:tcW w:w="1258" w:type="pct"/>
            <w:vAlign w:val="bottom"/>
          </w:tcPr>
          <w:p w:rsidR="00786914" w:rsidRPr="00A12E71" w:rsidRDefault="00786914" w:rsidP="0006743B">
            <w:pPr>
              <w:pStyle w:val="TableText"/>
            </w:pPr>
            <w:r w:rsidRPr="00A12E71">
              <w:t>Size of effect</w:t>
            </w:r>
          </w:p>
        </w:tc>
        <w:tc>
          <w:tcPr>
            <w:tcW w:w="3742" w:type="pct"/>
            <w:vAlign w:val="bottom"/>
          </w:tcPr>
          <w:p w:rsidR="00786914" w:rsidRPr="00A12E71" w:rsidRDefault="00786914" w:rsidP="0006743B">
            <w:pPr>
              <w:pStyle w:val="TableText"/>
            </w:pPr>
            <w:r w:rsidRPr="00A12E71">
              <w:t xml:space="preserve">The distance of the study estimate from the </w:t>
            </w:r>
            <w:r>
              <w:t>‘</w:t>
            </w:r>
            <w:r w:rsidRPr="00A12E71">
              <w:t>null</w:t>
            </w:r>
            <w:r>
              <w:t>’</w:t>
            </w:r>
            <w:r w:rsidRPr="00A12E71">
              <w:t xml:space="preserve"> value and the inclusion of only clinically important effects in the confidence interval.</w:t>
            </w:r>
          </w:p>
        </w:tc>
      </w:tr>
      <w:tr w:rsidR="00786914" w:rsidRPr="00C472D2" w:rsidTr="0006743B">
        <w:tc>
          <w:tcPr>
            <w:tcW w:w="1258" w:type="pct"/>
            <w:vAlign w:val="bottom"/>
          </w:tcPr>
          <w:p w:rsidR="00786914" w:rsidRPr="00A12E71" w:rsidRDefault="00786914" w:rsidP="0006743B">
            <w:pPr>
              <w:pStyle w:val="TableText"/>
            </w:pPr>
            <w:r w:rsidRPr="00A12E71">
              <w:t>Relevance of evidence</w:t>
            </w:r>
          </w:p>
        </w:tc>
        <w:tc>
          <w:tcPr>
            <w:tcW w:w="3742" w:type="pct"/>
            <w:vAlign w:val="bottom"/>
          </w:tcPr>
          <w:p w:rsidR="00786914" w:rsidRPr="00A12E71" w:rsidRDefault="00786914" w:rsidP="0006743B">
            <w:pPr>
              <w:pStyle w:val="TableText"/>
            </w:pPr>
            <w:r w:rsidRPr="00A12E71">
              <w:t>The usefulness of the evidence in clinical practice, particularly the appropriateness of the outcome measures used.</w:t>
            </w:r>
          </w:p>
        </w:tc>
      </w:tr>
    </w:tbl>
    <w:p w:rsidR="00786914" w:rsidRDefault="00786914" w:rsidP="0006743B">
      <w:pPr>
        <w:pStyle w:val="Normalbold"/>
      </w:pPr>
      <w:bookmarkStart w:id="136" w:name="_Toc327877860"/>
      <w:bookmarkStart w:id="137" w:name="_Toc124833662"/>
    </w:p>
    <w:p w:rsidR="00786914" w:rsidRDefault="00786914" w:rsidP="0006743B">
      <w:pPr>
        <w:pStyle w:val="Normalbold"/>
      </w:pPr>
      <w:r w:rsidRPr="004C6B15">
        <w:t>Strength of the evidence</w:t>
      </w:r>
      <w:bookmarkEnd w:id="136"/>
    </w:p>
    <w:bookmarkEnd w:id="137"/>
    <w:p w:rsidR="00786914" w:rsidRDefault="00786914" w:rsidP="0006743B">
      <w:r w:rsidRPr="004C6B15">
        <w:t xml:space="preserve">The three sub-domains (level, quality and statistical precision) are collectively a measure of the strength of the evidence. </w:t>
      </w:r>
    </w:p>
    <w:p w:rsidR="00786914" w:rsidRPr="00095EA3" w:rsidRDefault="00786914" w:rsidP="0006743B">
      <w:pPr>
        <w:rPr>
          <w:b/>
        </w:rPr>
      </w:pPr>
      <w:r w:rsidRPr="00095EA3">
        <w:rPr>
          <w:b/>
        </w:rPr>
        <w:t>Level</w:t>
      </w:r>
    </w:p>
    <w:p w:rsidR="00786914" w:rsidRPr="004C6B15" w:rsidRDefault="00786914" w:rsidP="0006743B">
      <w:r w:rsidRPr="004C6B15">
        <w:t xml:space="preserve">The </w:t>
      </w:r>
      <w:r>
        <w:t>‘</w:t>
      </w:r>
      <w:r w:rsidRPr="004C6B15">
        <w:t>level of evidence</w:t>
      </w:r>
      <w:r>
        <w:t>’</w:t>
      </w:r>
      <w:r w:rsidRPr="004C6B15">
        <w:t xml:space="preserve"> reflects the effectiveness of a study design to answer a particular research question. Effectiveness is based on the probability that the design of the study has reduced or eliminated the impact of bias on the results.</w:t>
      </w:r>
    </w:p>
    <w:p w:rsidR="00786914" w:rsidRDefault="00786914" w:rsidP="0006743B">
      <w:r w:rsidRPr="004C6B15">
        <w:t>The NHMRC evidence hierarchy provides a ranking of various study designs (‘levels of evidence’) by the type of research question being addressed</w:t>
      </w:r>
      <w:r>
        <w:t xml:space="preserve"> (Table 10)</w:t>
      </w:r>
      <w:r w:rsidRPr="004C6B15">
        <w:t>.</w:t>
      </w:r>
    </w:p>
    <w:p w:rsidR="00786914" w:rsidRPr="00590F08" w:rsidRDefault="00786914" w:rsidP="0006743B">
      <w:pPr>
        <w:sectPr w:rsidR="00786914" w:rsidRPr="00590F08" w:rsidSect="006E4C11">
          <w:pgSz w:w="11909" w:h="16834" w:code="9"/>
          <w:pgMar w:top="1440" w:right="1440" w:bottom="1440" w:left="1440" w:header="709" w:footer="709" w:gutter="0"/>
          <w:pgNumType w:start="1"/>
          <w:cols w:space="720"/>
          <w:docGrid w:linePitch="326"/>
        </w:sectPr>
      </w:pPr>
    </w:p>
    <w:p w:rsidR="00786914" w:rsidRPr="00095EA3" w:rsidRDefault="00786914" w:rsidP="0006743B">
      <w:pPr>
        <w:pStyle w:val="Caption"/>
      </w:pPr>
      <w:bookmarkStart w:id="138" w:name="_Toc327803257"/>
      <w:bookmarkStart w:id="139" w:name="_Toc327881547"/>
      <w:r w:rsidRPr="00095EA3">
        <w:lastRenderedPageBreak/>
        <w:t xml:space="preserve">Table </w:t>
      </w:r>
      <w:fldSimple w:instr=" SEQ Table \* ARABIC ">
        <w:r w:rsidR="00F45C43">
          <w:rPr>
            <w:noProof/>
          </w:rPr>
          <w:t>10</w:t>
        </w:r>
      </w:fldSimple>
      <w:r w:rsidRPr="00095EA3">
        <w:tab/>
        <w:t>Designations of levels of evidence according to type of research question (including table notes)</w:t>
      </w:r>
      <w:r w:rsidR="00F0137E" w:rsidRPr="00095EA3">
        <w:fldChar w:fldCharType="begin"/>
      </w:r>
      <w:r w:rsidRPr="00095EA3">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F0137E" w:rsidRPr="00095EA3">
        <w:fldChar w:fldCharType="separate"/>
      </w:r>
      <w:r w:rsidRPr="00095EA3">
        <w:t>(NHMRC 2009)</w:t>
      </w:r>
      <w:bookmarkEnd w:id="138"/>
      <w:bookmarkEnd w:id="139"/>
      <w:r w:rsidR="00F0137E" w:rsidRPr="00095EA3">
        <w:fldChar w:fldCharType="end"/>
      </w:r>
    </w:p>
    <w:tbl>
      <w:tblPr>
        <w:tblW w:w="5000" w:type="pct"/>
        <w:tblLook w:val="01E0" w:firstRow="1" w:lastRow="1" w:firstColumn="1" w:lastColumn="1" w:noHBand="0" w:noVBand="0"/>
      </w:tblPr>
      <w:tblGrid>
        <w:gridCol w:w="782"/>
        <w:gridCol w:w="2679"/>
        <w:gridCol w:w="2679"/>
        <w:gridCol w:w="2679"/>
        <w:gridCol w:w="2679"/>
        <w:gridCol w:w="2676"/>
      </w:tblGrid>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bookmarkStart w:id="140" w:name="_Toc188861188"/>
            <w:r w:rsidRPr="00A639AA">
              <w:t>Level</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r w:rsidRPr="00A639AA">
              <w:t>Inte</w:t>
            </w:r>
            <w:r w:rsidRPr="000029F2">
              <w:t>rv</w:t>
            </w:r>
            <w:r w:rsidRPr="00A639AA">
              <w:t>e</w:t>
            </w:r>
            <w:r w:rsidRPr="000029F2">
              <w:t>n</w:t>
            </w:r>
            <w:r w:rsidRPr="00A639AA">
              <w:t>tion</w:t>
            </w:r>
            <w:r w:rsidRPr="00894FB1">
              <w:rPr>
                <w:vertAlign w:val="superscript"/>
              </w:rPr>
              <w:t>1</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r w:rsidRPr="00A639AA">
              <w:t>Diag</w:t>
            </w:r>
            <w:r w:rsidRPr="000029F2">
              <w:t>no</w:t>
            </w:r>
            <w:r w:rsidRPr="00A639AA">
              <w:t xml:space="preserve">stic accuracy </w:t>
            </w:r>
            <w:r w:rsidRPr="00894FB1">
              <w:rPr>
                <w:vertAlign w:val="superscript"/>
              </w:rPr>
              <w:t>2</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r w:rsidRPr="00A639AA">
              <w:t>Pro</w:t>
            </w:r>
            <w:r w:rsidRPr="000029F2">
              <w:t>g</w:t>
            </w:r>
            <w:r w:rsidRPr="00A639AA">
              <w:t>n</w:t>
            </w:r>
            <w:r w:rsidRPr="000029F2">
              <w:t>o</w:t>
            </w:r>
            <w:r w:rsidRPr="00A639AA">
              <w:t>sis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r w:rsidRPr="00A639AA">
              <w:t>Aet</w:t>
            </w:r>
            <w:r w:rsidRPr="000029F2">
              <w:t>io</w:t>
            </w:r>
            <w:r w:rsidRPr="00A639AA">
              <w:t>lo</w:t>
            </w:r>
            <w:r w:rsidRPr="000029F2">
              <w:t>g</w:t>
            </w:r>
            <w:r w:rsidRPr="00A639AA">
              <w:t>y</w:t>
            </w:r>
            <w:r w:rsidRPr="00894FB1">
              <w:rPr>
                <w:vertAlign w:val="superscript"/>
              </w:rPr>
              <w:t>3</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639AA" w:rsidRDefault="00786914" w:rsidP="0006743B">
            <w:pPr>
              <w:pStyle w:val="Tableheading"/>
            </w:pPr>
            <w:r w:rsidRPr="00A639AA">
              <w:t>Screening Intervention</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 xml:space="preserve">I </w:t>
            </w:r>
            <w:r w:rsidRPr="000029F2">
              <w:rPr>
                <w:vertAlign w:val="superscript"/>
              </w:rPr>
              <w:t>4</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7018F">
              <w:t>A systematic review of level II</w:t>
            </w:r>
            <w:r>
              <w:t xml:space="preserve"> </w:t>
            </w:r>
            <w:r w:rsidRPr="00A7018F">
              <w:t>studies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systematic review of level</w:t>
            </w:r>
            <w:r>
              <w:t xml:space="preserve"> </w:t>
            </w:r>
            <w:r w:rsidRPr="00A963E8">
              <w:t>II studies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systematic review of level II studies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systematic review of level II studies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systematic review of level II studies</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II</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randomised controlled trial</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study of test accuracy with an independent, blinded comparison with a valid reference standard,</w:t>
            </w:r>
            <w:r w:rsidRPr="00B01B95">
              <w:rPr>
                <w:vertAlign w:val="superscript"/>
              </w:rPr>
              <w:t>5</w:t>
            </w:r>
            <w:r w:rsidRPr="00A963E8">
              <w:t xml:space="preserve"> among consecutive persons with a defined clinical presentation</w:t>
            </w:r>
            <w:r w:rsidRPr="00B01B95">
              <w:rPr>
                <w:vertAlign w:val="superscript"/>
              </w:rPr>
              <w:t>6</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prospective cohort study</w:t>
            </w:r>
            <w:r w:rsidRPr="00B01B95">
              <w:rPr>
                <w:vertAlign w:val="superscript"/>
              </w:rPr>
              <w:t>7</w:t>
            </w:r>
          </w:p>
          <w:p w:rsidR="00786914" w:rsidRPr="00A963E8" w:rsidRDefault="00786914" w:rsidP="0006743B">
            <w:pPr>
              <w:pStyle w:val="TableText"/>
            </w:pP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prospective cohort study</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randomised controlled trial</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III-1</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pseudo randomised controlled trial</w:t>
            </w:r>
          </w:p>
          <w:p w:rsidR="00786914" w:rsidRPr="00A963E8" w:rsidRDefault="00786914" w:rsidP="0006743B">
            <w:pPr>
              <w:pStyle w:val="TableText"/>
            </w:pPr>
            <w:r w:rsidRPr="00A963E8">
              <w:t>(i.e. alternate allocation or some other method)</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study of test accuracy with an independent, blinded comparison with a valid reference standard,</w:t>
            </w:r>
            <w:r w:rsidRPr="00B01B95">
              <w:rPr>
                <w:vertAlign w:val="superscript"/>
              </w:rPr>
              <w:t>5</w:t>
            </w:r>
            <w:r w:rsidRPr="00A963E8">
              <w:t xml:space="preserve"> among non-consecutive persons with a defined clinical presentation</w:t>
            </w:r>
            <w:r w:rsidRPr="00B01B95">
              <w:rPr>
                <w:vertAlign w:val="superscript"/>
              </w:rPr>
              <w:t>6</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All or none</w:t>
            </w:r>
            <w:r w:rsidRPr="00B01B95">
              <w:rPr>
                <w:vertAlign w:val="superscript"/>
              </w:rPr>
              <w:t>8</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All or none</w:t>
            </w:r>
            <w:r w:rsidRPr="00B01B95">
              <w:rPr>
                <w:vertAlign w:val="superscript"/>
              </w:rPr>
              <w:t>8</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pseudo randomised controlled trial</w:t>
            </w:r>
          </w:p>
          <w:p w:rsidR="00786914" w:rsidRPr="00A963E8" w:rsidRDefault="00786914" w:rsidP="0006743B">
            <w:pPr>
              <w:pStyle w:val="TableText"/>
            </w:pPr>
            <w:r w:rsidRPr="00A963E8">
              <w:t>(i.e. alternate allocation or some other method)</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III-2</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comparative study with concurrent controls:</w:t>
            </w:r>
          </w:p>
          <w:p w:rsidR="00786914" w:rsidRPr="00A963E8" w:rsidRDefault="00786914" w:rsidP="0006743B">
            <w:pPr>
              <w:pStyle w:val="TableText"/>
            </w:pPr>
            <w:r w:rsidRPr="00A963E8">
              <w:rPr>
                <w:rFonts w:ascii="Times New Roman" w:hAnsi="Times New Roman"/>
              </w:rPr>
              <w:t>▪</w:t>
            </w:r>
            <w:r>
              <w:t>n</w:t>
            </w:r>
            <w:r w:rsidRPr="00A963E8">
              <w:t>on-randomised, experimental trial</w:t>
            </w:r>
            <w:r w:rsidRPr="00B01B95">
              <w:rPr>
                <w:vertAlign w:val="superscript"/>
              </w:rPr>
              <w:t>9</w:t>
            </w:r>
          </w:p>
          <w:p w:rsidR="00786914" w:rsidRPr="00A963E8" w:rsidRDefault="00786914" w:rsidP="0006743B">
            <w:pPr>
              <w:pStyle w:val="TableText"/>
            </w:pPr>
            <w:r w:rsidRPr="00A963E8">
              <w:rPr>
                <w:rFonts w:ascii="Times New Roman" w:hAnsi="Times New Roman"/>
              </w:rPr>
              <w:t>▪</w:t>
            </w:r>
            <w:r>
              <w:t>c</w:t>
            </w:r>
            <w:r w:rsidRPr="00A963E8">
              <w:t>ohort study</w:t>
            </w:r>
          </w:p>
          <w:p w:rsidR="00786914" w:rsidRPr="00A963E8" w:rsidRDefault="00786914" w:rsidP="0006743B">
            <w:pPr>
              <w:pStyle w:val="TableText"/>
            </w:pPr>
            <w:r w:rsidRPr="00A963E8">
              <w:rPr>
                <w:rFonts w:ascii="Times New Roman" w:hAnsi="Times New Roman"/>
              </w:rPr>
              <w:t>▪</w:t>
            </w:r>
            <w:r>
              <w:t>c</w:t>
            </w:r>
            <w:r w:rsidRPr="00A963E8">
              <w:t>ase-control study</w:t>
            </w:r>
          </w:p>
          <w:p w:rsidR="00786914" w:rsidRPr="00A963E8" w:rsidRDefault="00786914" w:rsidP="0006743B">
            <w:pPr>
              <w:pStyle w:val="TableText"/>
            </w:pPr>
            <w:r w:rsidRPr="00A963E8">
              <w:rPr>
                <w:rFonts w:ascii="Times New Roman" w:hAnsi="Times New Roman"/>
              </w:rPr>
              <w:t>▪</w:t>
            </w:r>
            <w:r>
              <w:t>i</w:t>
            </w:r>
            <w:r w:rsidRPr="00A963E8">
              <w:t>nterrupted time series with a control group</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comparison with reference standard that does not meet the criteria required for</w:t>
            </w:r>
          </w:p>
          <w:p w:rsidR="00786914" w:rsidRPr="00A963E8" w:rsidRDefault="00786914" w:rsidP="0006743B">
            <w:pPr>
              <w:pStyle w:val="TableText"/>
            </w:pPr>
            <w:r w:rsidRPr="00A963E8">
              <w:t>Level II and III-1 evidence</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Analysis of prognostic factors among persons in a single arm of a randomised controlled trial</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retrospective cohort study</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comparative study with concurrent controls:</w:t>
            </w:r>
          </w:p>
          <w:p w:rsidR="00786914" w:rsidRPr="00A963E8" w:rsidRDefault="00786914" w:rsidP="0006743B">
            <w:pPr>
              <w:pStyle w:val="TableText"/>
            </w:pPr>
            <w:r w:rsidRPr="00A963E8">
              <w:rPr>
                <w:rFonts w:ascii="Times New Roman" w:hAnsi="Times New Roman"/>
              </w:rPr>
              <w:t>▪</w:t>
            </w:r>
            <w:r>
              <w:t>n</w:t>
            </w:r>
            <w:r w:rsidRPr="00A963E8">
              <w:t>on-randomised, experimental trial</w:t>
            </w:r>
          </w:p>
          <w:p w:rsidR="00786914" w:rsidRPr="00A963E8" w:rsidRDefault="00786914" w:rsidP="0006743B">
            <w:pPr>
              <w:pStyle w:val="TableText"/>
            </w:pPr>
            <w:r w:rsidRPr="00A963E8">
              <w:rPr>
                <w:rFonts w:ascii="Times New Roman" w:hAnsi="Times New Roman"/>
              </w:rPr>
              <w:t>▪</w:t>
            </w:r>
            <w:r>
              <w:t>c</w:t>
            </w:r>
            <w:r w:rsidRPr="00A963E8">
              <w:t>ohort study</w:t>
            </w:r>
          </w:p>
          <w:p w:rsidR="00786914" w:rsidRPr="00A963E8" w:rsidRDefault="00786914" w:rsidP="0006743B">
            <w:pPr>
              <w:pStyle w:val="TableText"/>
            </w:pPr>
            <w:r w:rsidRPr="00A963E8">
              <w:rPr>
                <w:rFonts w:ascii="Times New Roman" w:hAnsi="Times New Roman"/>
              </w:rPr>
              <w:t>▪</w:t>
            </w:r>
            <w:r>
              <w:t>c</w:t>
            </w:r>
            <w:r w:rsidRPr="00A963E8">
              <w:t>ase-control study</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III-3</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comparative study without concurrent controls:</w:t>
            </w:r>
          </w:p>
          <w:p w:rsidR="00786914" w:rsidRPr="00A963E8" w:rsidRDefault="00786914" w:rsidP="0006743B">
            <w:pPr>
              <w:pStyle w:val="TableText"/>
            </w:pPr>
            <w:r w:rsidRPr="00A963E8">
              <w:rPr>
                <w:rFonts w:ascii="Times New Roman" w:hAnsi="Times New Roman"/>
              </w:rPr>
              <w:t>▪</w:t>
            </w:r>
            <w:r>
              <w:t>h</w:t>
            </w:r>
            <w:r w:rsidRPr="00A963E8">
              <w:t>istorical control study</w:t>
            </w:r>
          </w:p>
          <w:p w:rsidR="00786914" w:rsidRPr="00A963E8" w:rsidRDefault="00786914" w:rsidP="0006743B">
            <w:pPr>
              <w:pStyle w:val="TableText"/>
            </w:pPr>
            <w:r w:rsidRPr="00A963E8">
              <w:rPr>
                <w:rFonts w:ascii="Times New Roman" w:hAnsi="Times New Roman"/>
              </w:rPr>
              <w:t>▪</w:t>
            </w:r>
            <w:r>
              <w:t>t</w:t>
            </w:r>
            <w:r w:rsidRPr="00A963E8">
              <w:t>wo or more single</w:t>
            </w:r>
            <w:r>
              <w:t>-</w:t>
            </w:r>
            <w:r w:rsidRPr="00A963E8">
              <w:t>arm study</w:t>
            </w:r>
            <w:r w:rsidRPr="00B01B95">
              <w:rPr>
                <w:vertAlign w:val="superscript"/>
              </w:rPr>
              <w:t>10</w:t>
            </w:r>
          </w:p>
          <w:p w:rsidR="00786914" w:rsidRPr="00A963E8" w:rsidRDefault="00786914" w:rsidP="0006743B">
            <w:pPr>
              <w:pStyle w:val="TableText"/>
            </w:pPr>
            <w:r w:rsidRPr="00A963E8">
              <w:rPr>
                <w:rFonts w:ascii="Times New Roman" w:hAnsi="Times New Roman"/>
              </w:rPr>
              <w:t>▪</w:t>
            </w:r>
            <w:r>
              <w:t>i</w:t>
            </w:r>
            <w:r w:rsidRPr="00A963E8">
              <w:t>nterrupted time series without a parallel control group</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Diagnostic case-control study</w:t>
            </w:r>
            <w:r w:rsidRPr="00B01B95">
              <w:rPr>
                <w:vertAlign w:val="superscript"/>
              </w:rPr>
              <w:t>6</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retrospective cohort study</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case-control study</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comparative study without concurrent controls:</w:t>
            </w:r>
          </w:p>
          <w:p w:rsidR="00786914" w:rsidRPr="00A963E8" w:rsidRDefault="00786914" w:rsidP="0006743B">
            <w:pPr>
              <w:pStyle w:val="TableText"/>
            </w:pPr>
            <w:r w:rsidRPr="00A963E8">
              <w:rPr>
                <w:rFonts w:ascii="Times New Roman" w:hAnsi="Times New Roman"/>
              </w:rPr>
              <w:t>▪</w:t>
            </w:r>
            <w:r>
              <w:t>h</w:t>
            </w:r>
            <w:r w:rsidRPr="00A963E8">
              <w:t>istorical control stud</w:t>
            </w:r>
            <w:r>
              <w:t>ies</w:t>
            </w:r>
          </w:p>
          <w:p w:rsidR="00786914" w:rsidRPr="00A963E8" w:rsidRDefault="00786914" w:rsidP="0006743B">
            <w:pPr>
              <w:pStyle w:val="TableText"/>
            </w:pPr>
            <w:r w:rsidRPr="00A963E8">
              <w:rPr>
                <w:rFonts w:ascii="Times New Roman" w:hAnsi="Times New Roman"/>
              </w:rPr>
              <w:t>▪</w:t>
            </w:r>
            <w:r>
              <w:t>t</w:t>
            </w:r>
            <w:r w:rsidRPr="00A963E8">
              <w:t>wo or more single</w:t>
            </w:r>
            <w:r>
              <w:t>-</w:t>
            </w:r>
            <w:r w:rsidRPr="00A963E8">
              <w:t xml:space="preserve">arm </w:t>
            </w:r>
            <w:r>
              <w:t>studies</w:t>
            </w:r>
          </w:p>
        </w:tc>
      </w:tr>
      <w:tr w:rsidR="00786914" w:rsidRPr="00925DCA" w:rsidTr="0006743B">
        <w:tc>
          <w:tcPr>
            <w:tcW w:w="276" w:type="pct"/>
            <w:tcBorders>
              <w:top w:val="single" w:sz="4" w:space="0" w:color="auto"/>
              <w:left w:val="single" w:sz="4" w:space="0" w:color="auto"/>
              <w:bottom w:val="single" w:sz="4" w:space="0" w:color="auto"/>
              <w:right w:val="single" w:sz="4" w:space="0" w:color="auto"/>
            </w:tcBorders>
            <w:vAlign w:val="bottom"/>
          </w:tcPr>
          <w:p w:rsidR="00786914" w:rsidRPr="000029F2" w:rsidRDefault="00786914" w:rsidP="0006743B">
            <w:pPr>
              <w:pStyle w:val="TableText"/>
            </w:pPr>
            <w:r w:rsidRPr="000029F2">
              <w:t>IV</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Case series with either post-test or pre-test/post-test outcomes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Study of diagnostic yield (no reference standard)</w:t>
            </w:r>
            <w:r w:rsidRPr="00B01B95">
              <w:rPr>
                <w:vertAlign w:val="superscript"/>
              </w:rPr>
              <w:t>11</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Case series, or cohort study of persons at different stages of disease</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A cross-sectional study or case series</w:t>
            </w:r>
          </w:p>
        </w:tc>
        <w:tc>
          <w:tcPr>
            <w:tcW w:w="945" w:type="pct"/>
            <w:tcBorders>
              <w:top w:val="single" w:sz="4" w:space="0" w:color="auto"/>
              <w:left w:val="single" w:sz="4" w:space="0" w:color="auto"/>
              <w:bottom w:val="single" w:sz="4" w:space="0" w:color="auto"/>
              <w:right w:val="single" w:sz="4" w:space="0" w:color="auto"/>
            </w:tcBorders>
            <w:vAlign w:val="bottom"/>
          </w:tcPr>
          <w:p w:rsidR="00786914" w:rsidRPr="00A963E8" w:rsidRDefault="00786914" w:rsidP="0006743B">
            <w:pPr>
              <w:pStyle w:val="TableText"/>
            </w:pPr>
            <w:r w:rsidRPr="00A963E8">
              <w:t>Case series</w:t>
            </w:r>
          </w:p>
        </w:tc>
      </w:tr>
    </w:tbl>
    <w:p w:rsidR="00956258" w:rsidRDefault="00786914" w:rsidP="00956258">
      <w:pPr>
        <w:pStyle w:val="Normalbold"/>
        <w:sectPr w:rsidR="00956258" w:rsidSect="00956258">
          <w:footerReference w:type="even" r:id="rId13"/>
          <w:type w:val="oddPage"/>
          <w:pgSz w:w="16838" w:h="11906" w:orient="landscape"/>
          <w:pgMar w:top="1440" w:right="1440" w:bottom="1440" w:left="1440" w:header="720" w:footer="720" w:gutter="0"/>
          <w:paperSrc w:first="7" w:other="7"/>
          <w:cols w:space="720"/>
          <w:docGrid w:linePitch="326"/>
        </w:sectPr>
      </w:pPr>
      <w:bookmarkStart w:id="141" w:name="_Toc327877861"/>
      <w:r w:rsidRPr="008C5F6E">
        <w:rPr>
          <w:rStyle w:val="TableNotesChar"/>
          <w:b w:val="0"/>
        </w:rPr>
        <w:t xml:space="preserve">Source: </w:t>
      </w:r>
      <w:r w:rsidR="00F0137E" w:rsidRPr="008C5F6E">
        <w:rPr>
          <w:rStyle w:val="TableNotesChar"/>
          <w:b w:val="0"/>
        </w:rPr>
        <w:fldChar w:fldCharType="begin"/>
      </w:r>
      <w:r w:rsidRPr="008C5F6E">
        <w:rPr>
          <w:rStyle w:val="TableNotesChar"/>
          <w:b w:val="0"/>
        </w:rPr>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F0137E" w:rsidRPr="008C5F6E">
        <w:rPr>
          <w:rStyle w:val="TableNotesChar"/>
          <w:b w:val="0"/>
        </w:rPr>
        <w:fldChar w:fldCharType="separate"/>
      </w:r>
      <w:r w:rsidRPr="008C5F6E">
        <w:rPr>
          <w:rStyle w:val="TableNotesChar"/>
          <w:b w:val="0"/>
        </w:rPr>
        <w:t>NHMRC 2009</w:t>
      </w:r>
      <w:r w:rsidR="00F0137E" w:rsidRPr="008C5F6E">
        <w:rPr>
          <w:rStyle w:val="TableNotesChar"/>
          <w:b w:val="0"/>
        </w:rPr>
        <w:fldChar w:fldCharType="end"/>
      </w:r>
      <w:r>
        <w:t>.</w:t>
      </w:r>
      <w:bookmarkEnd w:id="141"/>
    </w:p>
    <w:p w:rsidR="00786914" w:rsidRPr="00095EA3" w:rsidRDefault="00786914" w:rsidP="00956258">
      <w:pPr>
        <w:pStyle w:val="Normalbold"/>
      </w:pPr>
      <w:r w:rsidRPr="00095EA3">
        <w:lastRenderedPageBreak/>
        <w:t>Table notes</w:t>
      </w:r>
    </w:p>
    <w:p w:rsidR="00786914" w:rsidRPr="00095EA3" w:rsidRDefault="00786914" w:rsidP="0006743B">
      <w:pPr>
        <w:pStyle w:val="TableNotes"/>
      </w:pPr>
      <w:r w:rsidRPr="00095EA3">
        <w:rPr>
          <w:szCs w:val="13"/>
        </w:rPr>
        <w:t>1</w:t>
      </w:r>
      <w:r w:rsidRPr="00095EA3">
        <w:t>Definitions of these study designs are provided on pages 7-8 How to use the evidence: assessment and application of scientific evidence (NHMRC 2000b).</w:t>
      </w:r>
    </w:p>
    <w:p w:rsidR="00786914" w:rsidRPr="00095EA3" w:rsidRDefault="00786914" w:rsidP="0006743B">
      <w:pPr>
        <w:pStyle w:val="TableNotes"/>
      </w:pPr>
      <w:r w:rsidRPr="00095EA3">
        <w:rPr>
          <w:szCs w:val="13"/>
        </w:rPr>
        <w:t>2</w:t>
      </w:r>
      <w:r w:rsidRPr="00095EA3">
        <w:t>The dimensions of evidence apply only to studies of diagnostic accuracy</w:t>
      </w:r>
      <w:r>
        <w:t xml:space="preserve">. </w:t>
      </w:r>
      <w:r w:rsidRPr="00095EA3">
        <w:t>To assess the effectiveness of a diagnostic test there also needs to be a consideration of the impact of the test on patient management and health outcomes (Medical Services Advisory Committee 2005, Sackett and Haynes 2002).</w:t>
      </w:r>
    </w:p>
    <w:p w:rsidR="00786914" w:rsidRPr="00095EA3" w:rsidRDefault="00786914" w:rsidP="0006743B">
      <w:pPr>
        <w:pStyle w:val="TableNotes"/>
      </w:pPr>
      <w:r w:rsidRPr="00095EA3">
        <w:rPr>
          <w:szCs w:val="13"/>
        </w:rPr>
        <w:t>3</w:t>
      </w:r>
      <w:r w:rsidRPr="00095EA3">
        <w:t>If it is possible and/or ethical to determine a causal relationship using experimental evidence, then the ‘Intervention’ hierarchy of evidence should be utilised. If it is only possible and/or ethical to determine a causal relationship using observational evidence (ie. cannot allocate groups to a potential harmful exposure, such as nuclear radiation), then the ‘Aetiology’ hierarchy of evidence should be utilised.</w:t>
      </w:r>
    </w:p>
    <w:p w:rsidR="00786914" w:rsidRPr="00095EA3" w:rsidRDefault="00786914" w:rsidP="0006743B">
      <w:pPr>
        <w:pStyle w:val="TableNotes"/>
      </w:pPr>
      <w:r w:rsidRPr="00095EA3">
        <w:rPr>
          <w:szCs w:val="13"/>
        </w:rPr>
        <w:t>4</w:t>
      </w:r>
      <w:r w:rsidRPr="00095EA3">
        <w:t>A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rsidR="00786914" w:rsidRPr="00095EA3" w:rsidRDefault="00786914" w:rsidP="0006743B">
      <w:pPr>
        <w:pStyle w:val="TableNotes"/>
      </w:pPr>
      <w:r w:rsidRPr="00095EA3">
        <w:rPr>
          <w:szCs w:val="13"/>
        </w:rPr>
        <w:t>5</w:t>
      </w:r>
      <w:r w:rsidRPr="00095EA3">
        <w:t>The validity of the reference standard should be determined in the context of the disease under review. Criteria for determining the validity of the reference standard should be pre-specified. This can include the choice of the reference standard(s) and its timing in relation to the index test. The validity of the reference standard can be determined through quality appraisal of the study (Whiting et al 2003).</w:t>
      </w:r>
    </w:p>
    <w:p w:rsidR="00786914" w:rsidRPr="00095EA3" w:rsidRDefault="00786914" w:rsidP="0006743B">
      <w:pPr>
        <w:pStyle w:val="TableNotes"/>
      </w:pPr>
      <w:r w:rsidRPr="00095EA3">
        <w:rPr>
          <w:szCs w:val="13"/>
        </w:rPr>
        <w:t>6</w:t>
      </w:r>
      <w:r w:rsidRPr="00095EA3">
        <w:t>Well-designed population based case-control studies (e.g. population based screening studies where test accuracy is assessed on all cases, with a random sample of controls) do capture a population with a representative spectrum of disease and thus fulfil the requirements for a valid assembly of patients. However, in some cases the population assembled is not representative of the use of the test in practice. In diagnostic case-control studies a selected sample of patients already known to have the disease are compared with a separate group of normal/healthy people known to be free of the disease. In this situation patients with borderline or mild expressions of the disease, and conditions mimicking the disease are excluded, which can lead to exaggeration of both sensitivity and specificity. This is called spectrum bias or spectrum effect because the spectrum of study participants will not be representative of patients seen in practice (Mulherin and Miller 2002).</w:t>
      </w:r>
    </w:p>
    <w:p w:rsidR="00786914" w:rsidRPr="00095EA3" w:rsidRDefault="00786914" w:rsidP="0006743B">
      <w:pPr>
        <w:pStyle w:val="TableNotes"/>
      </w:pPr>
      <w:r w:rsidRPr="00095EA3">
        <w:rPr>
          <w:szCs w:val="13"/>
        </w:rPr>
        <w:t>7</w:t>
      </w:r>
      <w:r w:rsidRPr="00095EA3">
        <w:t>At study inception the cohort is either non-diseased or all at the same stage of the disease. A randomised controlled trial with persons either non-diseased or at the same stage of the disease in both arms of the trial would also meet the criterion for this level of evidence.</w:t>
      </w:r>
    </w:p>
    <w:p w:rsidR="00786914" w:rsidRPr="00095EA3" w:rsidRDefault="00786914" w:rsidP="0006743B">
      <w:pPr>
        <w:pStyle w:val="TableNotes"/>
      </w:pPr>
      <w:r w:rsidRPr="00095EA3">
        <w:rPr>
          <w:szCs w:val="13"/>
        </w:rPr>
        <w:t>8</w:t>
      </w:r>
      <w:r w:rsidRPr="00095EA3">
        <w:t>All or none of the people with the risk factor(s) experience the outcome; and the data arises from an unselected or representative case series which provides an unbiased representation of the prognostic effect. For example, no smallpox develops in the absence of the specific virus; and clear proof of the causal link has come from the disappearance of small pox after large-scale vaccination.</w:t>
      </w:r>
    </w:p>
    <w:p w:rsidR="00786914" w:rsidRPr="00095EA3" w:rsidRDefault="00786914" w:rsidP="0006743B">
      <w:pPr>
        <w:pStyle w:val="TableNotes"/>
      </w:pPr>
      <w:r w:rsidRPr="00095EA3">
        <w:rPr>
          <w:szCs w:val="13"/>
        </w:rPr>
        <w:t>9</w:t>
      </w:r>
      <w:r w:rsidRPr="00095EA3">
        <w:t>This also includes controlled before-and-after (pre-test/post-test) studies, as well as adjusted indirect comparisons (i.e. utilise A vs B and B vs C, to determine A vs C with statistical adjustment for B).</w:t>
      </w:r>
    </w:p>
    <w:p w:rsidR="00786914" w:rsidRPr="00095EA3" w:rsidRDefault="00786914" w:rsidP="0006743B">
      <w:pPr>
        <w:pStyle w:val="TableNotes"/>
      </w:pPr>
      <w:r w:rsidRPr="00095EA3">
        <w:rPr>
          <w:szCs w:val="13"/>
        </w:rPr>
        <w:t>10</w:t>
      </w:r>
      <w:r w:rsidRPr="00095EA3">
        <w:t>Comparing single arm studies i.e., case series from two studies. This would also include unadjusted indirect comparisons (i.e. utilise A vs B and B vs C, to determine A vs C but where there is no statistical adjustment for B).</w:t>
      </w:r>
    </w:p>
    <w:p w:rsidR="00786914" w:rsidRPr="00095EA3" w:rsidRDefault="00786914" w:rsidP="0006743B">
      <w:pPr>
        <w:pStyle w:val="TableNotes"/>
      </w:pPr>
      <w:r w:rsidRPr="00095EA3">
        <w:rPr>
          <w:szCs w:val="13"/>
        </w:rPr>
        <w:t>11</w:t>
      </w:r>
      <w:r w:rsidRPr="00095EA3">
        <w:t>Studies of diagnostic yield provide the yield of diagnosed patients, as determined by an index test, without confirmation of the accuracy of this diagnosis by a reference standard. These may be the only alternative when there is no reliable reference standard.</w:t>
      </w:r>
    </w:p>
    <w:p w:rsidR="00786914" w:rsidRPr="00095EA3" w:rsidRDefault="00786914" w:rsidP="0006743B">
      <w:pPr>
        <w:pStyle w:val="TableNotes"/>
      </w:pPr>
      <w:r w:rsidRPr="00095EA3">
        <w:t>Note A: Assessment of comparative harms/safety should occur according to the hierarchy presented for each of the research questions, with the proviso that this assessment occurs within the context of the topic being assessed. Some harms are rare and cannot feasibly be captured within randomised controlled trials; physical harms and psychological harms may need to be addressed by different study designs; harms from diagnostic testing include the likelihood of false positive and false negative results; harms from screening include the likelihood of false alarm and false reassurance results.</w:t>
      </w:r>
    </w:p>
    <w:p w:rsidR="00786914" w:rsidRPr="00095EA3" w:rsidRDefault="00786914" w:rsidP="0006743B">
      <w:pPr>
        <w:pStyle w:val="TableNotes"/>
      </w:pPr>
      <w:r w:rsidRPr="00095EA3">
        <w:t>Note B: When a level of evidence is attributed in the text of a document, it should also be framed according to its corresponding research question e.g. level II intervention evidence; level IV diagnostic evidence; level III-2 prognostic evidence.</w:t>
      </w:r>
    </w:p>
    <w:p w:rsidR="00786914" w:rsidRPr="00095EA3" w:rsidRDefault="00786914" w:rsidP="0006743B">
      <w:pPr>
        <w:pStyle w:val="TableNotes"/>
        <w:rPr>
          <w:szCs w:val="22"/>
        </w:rPr>
      </w:pPr>
      <w:r w:rsidRPr="00095EA3">
        <w:t>Source: Hierarchies adapted and modified from: NHMRC 1999; Bandolier 1999; Lijmer et al. 1999; Phillips et al. 2001.</w:t>
      </w:r>
    </w:p>
    <w:p w:rsidR="00786914" w:rsidRDefault="00786914" w:rsidP="0006743B">
      <w:pPr>
        <w:pStyle w:val="Normalbold"/>
      </w:pPr>
      <w:bookmarkStart w:id="142" w:name="_Toc327877862"/>
      <w:bookmarkEnd w:id="140"/>
      <w:r w:rsidRPr="004C6B15">
        <w:t>Quality</w:t>
      </w:r>
      <w:r>
        <w:t xml:space="preserve"> appraisal/assessment of risk of bias</w:t>
      </w:r>
      <w:bookmarkEnd w:id="142"/>
    </w:p>
    <w:p w:rsidR="00786914" w:rsidRDefault="00786914" w:rsidP="0006743B">
      <w:r>
        <w:t xml:space="preserve">The quality of a study refers to the extent to which it has been designed and conducted to reduce bias in the estimation of outcomes. </w:t>
      </w:r>
    </w:p>
    <w:p w:rsidR="00786914" w:rsidRDefault="00786914" w:rsidP="0006743B">
      <w:r w:rsidRPr="00DC61A9">
        <w:t>As it was determined that the report by Lourenco et al (2008) was a high</w:t>
      </w:r>
      <w:r>
        <w:t>-</w:t>
      </w:r>
      <w:r w:rsidRPr="00DC61A9">
        <w:t>quality systematic review, reappraisal of the studies identified was not undertaken. Studies that were identified in the updated literature search that were follow-up studies to the ones included in that review were also not appraised for quality. Lourenco states that studies were assessed using a tool based on the schema suggested by the NHS Centre for Reviews and Dissemination, Verhagen and colleagues, Downs and Black and the Generic Appraisal tool for Epidemiology.</w:t>
      </w:r>
    </w:p>
    <w:p w:rsidR="00786914" w:rsidRDefault="00786914" w:rsidP="0006743B">
      <w:r w:rsidRPr="00DC61A9">
        <w:lastRenderedPageBreak/>
        <w:t>The studies reported in the ANZHSN however were appraised for quality/risk of bias. This is because assessment of quality is not undertaken as part of a horizon</w:t>
      </w:r>
      <w:r>
        <w:t xml:space="preserve"> scanning report.</w:t>
      </w:r>
    </w:p>
    <w:p w:rsidR="00786914" w:rsidRPr="004C6B15" w:rsidRDefault="00786914" w:rsidP="0006743B">
      <w:r w:rsidRPr="008508D8" w:rsidDel="008208E6">
        <w:t xml:space="preserve">Assessment of risk of bias in </w:t>
      </w:r>
      <w:r w:rsidDel="008208E6">
        <w:t>the</w:t>
      </w:r>
      <w:r>
        <w:t xml:space="preserve"> studies referred to above</w:t>
      </w:r>
      <w:r w:rsidDel="008208E6">
        <w:t xml:space="preserve"> was undertaken</w:t>
      </w:r>
      <w:r w:rsidRPr="008508D8" w:rsidDel="008208E6">
        <w:t xml:space="preserve"> using the </w:t>
      </w:r>
      <w:r>
        <w:t>‘r</w:t>
      </w:r>
      <w:r w:rsidRPr="008508D8" w:rsidDel="008208E6">
        <w:t>isk of bias</w:t>
      </w:r>
      <w:r>
        <w:t>’ tool developed by t</w:t>
      </w:r>
      <w:r w:rsidRPr="008508D8" w:rsidDel="008208E6">
        <w:t xml:space="preserve">he Cochrane Collaboration </w:t>
      </w:r>
      <w:r>
        <w:rPr>
          <w:noProof/>
        </w:rPr>
        <w:t>(Higgins et al 2008)</w:t>
      </w:r>
      <w:r w:rsidRPr="008508D8" w:rsidDel="008208E6">
        <w:t>. This includes five domains of bias: selection, performance, attrition, detection and reporting, as well as an ‘other bias’ category to capture other potential threats to validity.</w:t>
      </w:r>
      <w:r w:rsidDel="008208E6">
        <w:rPr>
          <w:rFonts w:ascii="Arial" w:hAnsi="Arial" w:cs="Arial"/>
          <w:color w:val="000000"/>
          <w:sz w:val="15"/>
          <w:szCs w:val="15"/>
          <w:shd w:val="clear" w:color="auto" w:fill="FFFFFF"/>
        </w:rPr>
        <w:t> </w:t>
      </w:r>
      <w:r>
        <w:t xml:space="preserve">Reporting bias however is not included as a domain in this report as trial protocols have not been identified as part of this assessment. </w:t>
      </w:r>
      <w:r w:rsidRPr="00893A20">
        <w:t>Each domain is assigned a judgment of ‘</w:t>
      </w:r>
      <w:r>
        <w:t>l</w:t>
      </w:r>
      <w:r w:rsidRPr="00893A20">
        <w:t>ow risk’ of bias, ‘</w:t>
      </w:r>
      <w:r>
        <w:t>h</w:t>
      </w:r>
      <w:r w:rsidRPr="00893A20">
        <w:t>igh risk’ of bias, or ‘</w:t>
      </w:r>
      <w:r>
        <w:t>u</w:t>
      </w:r>
      <w:r w:rsidRPr="00893A20">
        <w:t>nclear risk’ of bias. Each judgment should be supported by a statement from the trial such as verbatim quotes.</w:t>
      </w:r>
      <w:r>
        <w:t xml:space="preserve"> </w:t>
      </w:r>
      <w:r w:rsidRPr="00893A20">
        <w:t>Studies are assessed as at unclear risk of bias when too few details are available to make a judgment of ‘high’ or ‘low’ risk.</w:t>
      </w:r>
    </w:p>
    <w:p w:rsidR="00786914" w:rsidRPr="00095EA3" w:rsidRDefault="00786914" w:rsidP="0006743B">
      <w:pPr>
        <w:rPr>
          <w:b/>
        </w:rPr>
      </w:pPr>
      <w:r w:rsidRPr="00095EA3">
        <w:rPr>
          <w:b/>
        </w:rPr>
        <w:t>Statistical precision</w:t>
      </w:r>
    </w:p>
    <w:p w:rsidR="00786914" w:rsidRPr="00C472D2" w:rsidRDefault="00786914" w:rsidP="0006743B">
      <w:r w:rsidRPr="004C6B15">
        <w:t xml:space="preserve">Statistical precision was determined using statistical principles. Small confidence intervals and p-values give an indication as to the probability that the reported effect is real and not attributable to chance </w:t>
      </w:r>
      <w:r w:rsidR="00F0137E" w:rsidRPr="004C6B15">
        <w:fldChar w:fldCharType="begin"/>
      </w:r>
      <w:r w:rsidRPr="004C6B15">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F0137E" w:rsidRPr="004C6B15">
        <w:fldChar w:fldCharType="separate"/>
      </w:r>
      <w:r w:rsidRPr="004C6B15">
        <w:t>(NHMRC 2000)</w:t>
      </w:r>
      <w:r w:rsidR="00F0137E" w:rsidRPr="004C6B15">
        <w:fldChar w:fldCharType="end"/>
      </w:r>
      <w:r w:rsidRPr="004C6B15">
        <w:t>. Studies need to be appropriately</w:t>
      </w:r>
      <w:r>
        <w:t xml:space="preserve"> designed</w:t>
      </w:r>
      <w:r w:rsidRPr="004C6B15">
        <w:t xml:space="preserve"> to ensure that a real difference between groups will be detected in the statistical analysis.</w:t>
      </w:r>
    </w:p>
    <w:p w:rsidR="00786914" w:rsidRPr="00095EA3" w:rsidRDefault="00786914" w:rsidP="0006743B">
      <w:pPr>
        <w:rPr>
          <w:b/>
        </w:rPr>
      </w:pPr>
      <w:bookmarkStart w:id="143" w:name="_Toc124833665"/>
      <w:bookmarkStart w:id="144" w:name="_Toc134415510"/>
      <w:r w:rsidRPr="00095EA3">
        <w:rPr>
          <w:b/>
        </w:rPr>
        <w:t>Size of effect</w:t>
      </w:r>
      <w:bookmarkEnd w:id="143"/>
      <w:bookmarkEnd w:id="144"/>
    </w:p>
    <w:p w:rsidR="00786914" w:rsidRDefault="00786914" w:rsidP="0006743B">
      <w:r>
        <w:t>In examining the effects of HoLEP, i</w:t>
      </w:r>
      <w:r w:rsidRPr="00776092">
        <w:t xml:space="preserve">t was important to assess whether statistically significant differences between the comparators were also clinically important. The size of the effect needed to be determined, as well as whether the 95% confidence interval included only clinically important effects. </w:t>
      </w:r>
    </w:p>
    <w:p w:rsidR="00786914" w:rsidRPr="00095EA3" w:rsidRDefault="00786914" w:rsidP="0006743B">
      <w:pPr>
        <w:rPr>
          <w:b/>
        </w:rPr>
      </w:pPr>
      <w:r w:rsidRPr="00095EA3">
        <w:rPr>
          <w:b/>
        </w:rPr>
        <w:t>Data analysis</w:t>
      </w:r>
    </w:p>
    <w:p w:rsidR="00786914" w:rsidRPr="00274021" w:rsidRDefault="00786914" w:rsidP="0006743B">
      <w:r w:rsidRPr="00274021">
        <w:t>All meta-analyses were carried out using Review Manager Version 5</w:t>
      </w:r>
      <w:r>
        <w:t>.1</w:t>
      </w:r>
      <w:r w:rsidRPr="00274021">
        <w:t xml:space="preserve"> (RevMan) for Windows. Meta-analysed results are presented as me</w:t>
      </w:r>
      <w:r>
        <w:t>an difference (</w:t>
      </w:r>
      <w:r w:rsidRPr="00274021">
        <w:t xml:space="preserve">MD) ± standard deviation (SD) for all continuous outcomes. For dichotomous outcomes, relative risk (RR) </w:t>
      </w:r>
      <w:r>
        <w:t>is</w:t>
      </w:r>
      <w:r w:rsidRPr="00274021">
        <w:t xml:space="preserve"> presented with 95% confidence intervals (CI). Analyses were conducted using the random-effects method. Results were considered to be of statistical significance if p&lt;0.05</w:t>
      </w:r>
      <w:r>
        <w:t xml:space="preserve">. </w:t>
      </w:r>
      <w:r w:rsidRPr="00274021">
        <w:t>Heterogeneity was measured using a chi-squared test for heterogeneity and the I</w:t>
      </w:r>
      <w:r w:rsidRPr="00274021">
        <w:rPr>
          <w:vertAlign w:val="superscript"/>
        </w:rPr>
        <w:t>2</w:t>
      </w:r>
      <w:r w:rsidRPr="00274021">
        <w:t xml:space="preserve"> statistic. To investigate heterogeneity the I² statistic, given by the formula [(Q </w:t>
      </w:r>
      <w:r>
        <w:t xml:space="preserve">– </w:t>
      </w:r>
      <w:r w:rsidRPr="00274021">
        <w:t>df)/Q] x 100%, where Q is the chi-squared statistic and df is its degrees of freedom, is used (Higgins et al 200</w:t>
      </w:r>
      <w:r>
        <w:t>8</w:t>
      </w:r>
      <w:r w:rsidRPr="00274021">
        <w:t>). This measure describes the percentage of the variability in effect estimates that is due to heterogeneity rather than sampling error (chance). The I² statistic quantifies the inconsistency across trials and enables an assessment of the impact of the heterogeneity on the meta</w:t>
      </w:r>
      <w:r>
        <w:t>-</w:t>
      </w:r>
      <w:r w:rsidRPr="00274021">
        <w:t xml:space="preserve">analysis. A value greater than 50% may be considered to indicate substantial </w:t>
      </w:r>
      <w:r w:rsidRPr="00DC61A9">
        <w:t>heterogeneity (</w:t>
      </w:r>
      <w:r w:rsidRPr="00512CC9">
        <w:t>Higgins et al</w:t>
      </w:r>
      <w:r w:rsidRPr="00DC61A9">
        <w:t xml:space="preserve"> 2008).</w:t>
      </w:r>
    </w:p>
    <w:p w:rsidR="00786914" w:rsidRPr="004C6B15" w:rsidRDefault="00786914" w:rsidP="0006743B">
      <w:pPr>
        <w:pStyle w:val="Heading2"/>
        <w:ind w:firstLine="567"/>
        <w:rPr>
          <w:lang w:val="en-US"/>
        </w:rPr>
      </w:pPr>
      <w:bookmarkStart w:id="145" w:name="_Toc122538326"/>
      <w:bookmarkStart w:id="146" w:name="_Toc143663862"/>
      <w:bookmarkStart w:id="147" w:name="_Ref144697268"/>
      <w:bookmarkStart w:id="148" w:name="_Ref144697275"/>
      <w:bookmarkStart w:id="149" w:name="_Toc323642282"/>
      <w:bookmarkStart w:id="150" w:name="_Toc327877863"/>
      <w:bookmarkStart w:id="151" w:name="_Toc365900570"/>
      <w:r w:rsidRPr="004C6B15">
        <w:rPr>
          <w:lang w:val="en-US"/>
        </w:rPr>
        <w:t>Assessment of the body of evidence</w:t>
      </w:r>
      <w:bookmarkEnd w:id="145"/>
      <w:bookmarkEnd w:id="146"/>
      <w:bookmarkEnd w:id="147"/>
      <w:bookmarkEnd w:id="148"/>
      <w:bookmarkEnd w:id="149"/>
      <w:bookmarkEnd w:id="150"/>
      <w:bookmarkEnd w:id="151"/>
    </w:p>
    <w:p w:rsidR="00786914" w:rsidRDefault="00786914" w:rsidP="0006743B">
      <w:r w:rsidRPr="004C6B15">
        <w:t>Appraisal of the body of evidence was conducted along the lines suggested by the NHMRC in their guidance on clinical practice guideline development</w:t>
      </w:r>
      <w:r>
        <w:rPr>
          <w:noProof/>
        </w:rPr>
        <w:t>(NHMRC 2009)</w:t>
      </w:r>
      <w:r>
        <w:t>.</w:t>
      </w:r>
    </w:p>
    <w:p w:rsidR="00786914" w:rsidRPr="004C6B15" w:rsidRDefault="00786914" w:rsidP="0006743B">
      <w:r w:rsidRPr="004C6B15">
        <w:t xml:space="preserve">Five components are considered essential by the NHMRC when judging the body of evidence: </w:t>
      </w:r>
    </w:p>
    <w:p w:rsidR="00786914" w:rsidRPr="00095EA3" w:rsidRDefault="00786914" w:rsidP="0006743B">
      <w:pPr>
        <w:pStyle w:val="Bullet"/>
      </w:pPr>
      <w:r>
        <w:lastRenderedPageBreak/>
        <w:t>T</w:t>
      </w:r>
      <w:r w:rsidRPr="00095EA3">
        <w:t>he evidence base – which includes the number of studies sorted by their methodological quality and relevance to patients</w:t>
      </w:r>
      <w:r>
        <w:t>.</w:t>
      </w:r>
    </w:p>
    <w:p w:rsidR="00786914" w:rsidRPr="00095EA3" w:rsidRDefault="00786914" w:rsidP="0006743B">
      <w:pPr>
        <w:pStyle w:val="Bullet"/>
      </w:pPr>
      <w:r>
        <w:t>T</w:t>
      </w:r>
      <w:r w:rsidRPr="00095EA3">
        <w:t>he consistency of the study results – whether the better quality studies had results of a similar magnitude and in the same direction, that is homogenous or heterogeneous findings</w:t>
      </w:r>
      <w:r>
        <w:t>.</w:t>
      </w:r>
    </w:p>
    <w:p w:rsidR="00786914" w:rsidRPr="00095EA3" w:rsidRDefault="00786914" w:rsidP="0006743B">
      <w:pPr>
        <w:pStyle w:val="Bullet"/>
      </w:pPr>
      <w:r>
        <w:t>T</w:t>
      </w:r>
      <w:r w:rsidRPr="00095EA3">
        <w:t>he potential clinical impact –appraisal of the precision, size and clinical importance or relevance of the primary outcomes used to determine the safety and effectiveness of the test</w:t>
      </w:r>
      <w:r>
        <w:t>.</w:t>
      </w:r>
    </w:p>
    <w:p w:rsidR="00786914" w:rsidRPr="00095EA3" w:rsidRDefault="00786914" w:rsidP="0006743B">
      <w:pPr>
        <w:pStyle w:val="Bullet"/>
      </w:pPr>
      <w:r>
        <w:t>T</w:t>
      </w:r>
      <w:r w:rsidRPr="00095EA3">
        <w:t>he generalisability of the evidence to the target population</w:t>
      </w:r>
      <w:r>
        <w:t>.</w:t>
      </w:r>
    </w:p>
    <w:p w:rsidR="00786914" w:rsidRPr="00095EA3" w:rsidRDefault="00786914" w:rsidP="0006743B">
      <w:pPr>
        <w:pStyle w:val="Bullet"/>
      </w:pPr>
      <w:r>
        <w:t>T</w:t>
      </w:r>
      <w:r w:rsidRPr="00095EA3">
        <w:t>he applicability of the evidence –integration of this evidence for conclusions about the net clinical benefit of the intervention in the context of Australian clinical practice.</w:t>
      </w:r>
    </w:p>
    <w:p w:rsidR="00786914" w:rsidRDefault="00786914" w:rsidP="0006743B">
      <w:r w:rsidRPr="004C6B15">
        <w:t>A matrix for assessing the body of evidence for each research question, according to the components above, w</w:t>
      </w:r>
      <w:r>
        <w:t>as used for this assessment (</w:t>
      </w:r>
      <w:r w:rsidR="00766F46">
        <w:fldChar w:fldCharType="begin"/>
      </w:r>
      <w:r w:rsidR="00766F46">
        <w:instrText xml:space="preserve"> REF _Ref323307014 \h  \* MERGEFORMAT </w:instrText>
      </w:r>
      <w:r w:rsidR="00766F46">
        <w:fldChar w:fldCharType="separate"/>
      </w:r>
      <w:r w:rsidR="00F45C43">
        <w:t xml:space="preserve">Table </w:t>
      </w:r>
      <w:r w:rsidR="00F45C43">
        <w:rPr>
          <w:noProof/>
        </w:rPr>
        <w:t>11</w:t>
      </w:r>
      <w:r w:rsidR="00766F46">
        <w:fldChar w:fldCharType="end"/>
      </w:r>
      <w:r w:rsidRPr="004C6B15">
        <w:t>)</w:t>
      </w:r>
      <w:r w:rsidRPr="008C5F6E">
        <w:t>(NHMRC 2009).</w:t>
      </w:r>
    </w:p>
    <w:p w:rsidR="00786914" w:rsidRDefault="00786914" w:rsidP="0006743B">
      <w:pPr>
        <w:pStyle w:val="Caption"/>
      </w:pPr>
      <w:bookmarkStart w:id="152" w:name="_Ref323307014"/>
      <w:bookmarkStart w:id="153" w:name="_Ref323636696"/>
      <w:bookmarkStart w:id="154" w:name="_Toc327803258"/>
      <w:bookmarkStart w:id="155" w:name="_Toc327881548"/>
      <w:r>
        <w:t xml:space="preserve">Table </w:t>
      </w:r>
      <w:fldSimple w:instr=" SEQ Table \* ARABIC ">
        <w:r w:rsidR="00F45C43">
          <w:rPr>
            <w:noProof/>
          </w:rPr>
          <w:t>11</w:t>
        </w:r>
      </w:fldSimple>
      <w:bookmarkEnd w:id="152"/>
      <w:r>
        <w:t>:</w:t>
      </w:r>
      <w:r>
        <w:tab/>
      </w:r>
      <w:r w:rsidRPr="00AF068B">
        <w:t>Body of evidence assessment matrix</w:t>
      </w:r>
      <w:bookmarkEnd w:id="153"/>
      <w:bookmarkEnd w:id="154"/>
      <w:bookmarkEnd w:id="155"/>
    </w:p>
    <w:p w:rsidR="001C0B02" w:rsidRPr="001C0B02" w:rsidRDefault="001C0B02" w:rsidP="001C0B02">
      <w:r>
        <w:rPr>
          <w:noProof/>
        </w:rPr>
        <w:drawing>
          <wp:inline distT="0" distB="0" distL="0" distR="0">
            <wp:extent cx="4827181" cy="3636335"/>
            <wp:effectExtent l="0" t="0" r="0" b="2540"/>
            <wp:docPr id="155" name="Picture 155" descr="Table 11: Body of evidence assessment matrix" title="Table 11: Body of evidence assessmen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3708" cy="3641252"/>
                    </a:xfrm>
                    <a:prstGeom prst="rect">
                      <a:avLst/>
                    </a:prstGeom>
                    <a:noFill/>
                    <a:ln>
                      <a:noFill/>
                    </a:ln>
                  </pic:spPr>
                </pic:pic>
              </a:graphicData>
            </a:graphic>
          </wp:inline>
        </w:drawing>
      </w:r>
    </w:p>
    <w:p w:rsidR="00786914" w:rsidRPr="00275D54" w:rsidRDefault="00786914" w:rsidP="0006743B">
      <w:pPr>
        <w:pStyle w:val="TableNotes"/>
      </w:pPr>
      <w:r w:rsidRPr="00275D54">
        <w:t xml:space="preserve">Adapted from </w:t>
      </w:r>
      <w:r w:rsidR="00F0137E" w:rsidRPr="00275D54">
        <w:fldChar w:fldCharType="begin"/>
      </w:r>
      <w:r w:rsidRPr="00275D54">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F0137E" w:rsidRPr="00275D54">
        <w:fldChar w:fldCharType="separate"/>
      </w:r>
      <w:r w:rsidRPr="00275D54">
        <w:t>(NHMRC 2009)</w:t>
      </w:r>
      <w:r w:rsidR="00F0137E" w:rsidRPr="00275D54">
        <w:fldChar w:fldCharType="end"/>
      </w:r>
      <w:r w:rsidRPr="00275D54">
        <w:t>.</w:t>
      </w:r>
    </w:p>
    <w:p w:rsidR="00786914" w:rsidRDefault="00786914">
      <w:pPr>
        <w:spacing w:after="0"/>
        <w:ind w:left="0"/>
        <w:rPr>
          <w:rFonts w:ascii="Tahoma" w:hAnsi="Tahoma"/>
          <w:b/>
          <w:sz w:val="28"/>
        </w:rPr>
      </w:pPr>
      <w:bookmarkStart w:id="156" w:name="_Toc86028813"/>
      <w:bookmarkStart w:id="157" w:name="_Toc188861190"/>
      <w:r>
        <w:rPr>
          <w:rFonts w:ascii="Tahoma" w:hAnsi="Tahoma"/>
          <w:b/>
          <w:sz w:val="28"/>
        </w:rPr>
        <w:br w:type="page"/>
      </w:r>
    </w:p>
    <w:p w:rsidR="00786914" w:rsidRPr="007F6EF6" w:rsidRDefault="00786914" w:rsidP="0006743B">
      <w:pPr>
        <w:pStyle w:val="Heading2"/>
      </w:pPr>
      <w:bookmarkStart w:id="158" w:name="_Toc323642283"/>
      <w:bookmarkStart w:id="159" w:name="_Toc327877864"/>
      <w:bookmarkStart w:id="160" w:name="_Toc365900571"/>
      <w:r w:rsidRPr="007F6EF6">
        <w:lastRenderedPageBreak/>
        <w:t>Expert advice</w:t>
      </w:r>
      <w:bookmarkEnd w:id="156"/>
      <w:bookmarkEnd w:id="157"/>
      <w:r>
        <w:t xml:space="preserve">: </w:t>
      </w:r>
      <w:r w:rsidR="008D2B47">
        <w:t xml:space="preserve">Health </w:t>
      </w:r>
      <w:r>
        <w:t>Expert Standing Panel</w:t>
      </w:r>
      <w:bookmarkEnd w:id="158"/>
      <w:bookmarkEnd w:id="159"/>
      <w:r w:rsidR="008E6F91">
        <w:t xml:space="preserve"> (</w:t>
      </w:r>
      <w:r w:rsidR="008D2B47">
        <w:t>H</w:t>
      </w:r>
      <w:r w:rsidR="008E6F91">
        <w:t>ESP)</w:t>
      </w:r>
      <w:bookmarkEnd w:id="160"/>
    </w:p>
    <w:p w:rsidR="00FE236E" w:rsidRDefault="00FE236E" w:rsidP="00FE236E">
      <w:pPr>
        <w:jc w:val="both"/>
        <w:rPr>
          <w:rFonts w:ascii="Times New Roman" w:hAnsi="Times New Roman"/>
        </w:rPr>
      </w:pPr>
      <w:r w:rsidRPr="00862B3C">
        <w:rPr>
          <w:rFonts w:ascii="Times New Roman" w:hAnsi="Times New Roman"/>
        </w:rPr>
        <w:t>HESP has been established as</w:t>
      </w:r>
      <w:r>
        <w:rPr>
          <w:rFonts w:ascii="Times New Roman" w:hAnsi="Times New Roman"/>
        </w:rPr>
        <w:t xml:space="preserve"> a</w:t>
      </w:r>
      <w:r w:rsidRPr="00862B3C">
        <w:rPr>
          <w:rFonts w:ascii="Times New Roman" w:hAnsi="Times New Roman"/>
        </w:rPr>
        <w:t xml:space="preserve"> </w:t>
      </w:r>
      <w:r>
        <w:rPr>
          <w:rFonts w:ascii="Times New Roman" w:hAnsi="Times New Roman"/>
        </w:rPr>
        <w:t xml:space="preserve">panel of the </w:t>
      </w:r>
      <w:r w:rsidRPr="00862B3C">
        <w:rPr>
          <w:rFonts w:ascii="Times New Roman" w:hAnsi="Times New Roman"/>
        </w:rPr>
        <w:t>Medical Ser</w:t>
      </w:r>
      <w:r>
        <w:rPr>
          <w:rFonts w:ascii="Times New Roman" w:hAnsi="Times New Roman"/>
        </w:rPr>
        <w:t xml:space="preserve">vices Advisory Committee (MSAC) and is </w:t>
      </w:r>
      <w:r w:rsidRPr="00862B3C">
        <w:rPr>
          <w:rFonts w:ascii="Times New Roman" w:hAnsi="Times New Roman"/>
        </w:rPr>
        <w:t xml:space="preserve">a pool of experts </w:t>
      </w:r>
      <w:r>
        <w:rPr>
          <w:rFonts w:ascii="Times New Roman" w:hAnsi="Times New Roman"/>
        </w:rPr>
        <w:t>collated</w:t>
      </w:r>
      <w:r w:rsidRPr="00862B3C">
        <w:rPr>
          <w:rFonts w:ascii="Times New Roman" w:hAnsi="Times New Roman"/>
        </w:rPr>
        <w:t xml:space="preserve"> from </w:t>
      </w:r>
      <w:r>
        <w:rPr>
          <w:rFonts w:ascii="Times New Roman" w:hAnsi="Times New Roman"/>
        </w:rPr>
        <w:t>various</w:t>
      </w:r>
      <w:r w:rsidRPr="00862B3C">
        <w:rPr>
          <w:rFonts w:ascii="Times New Roman" w:hAnsi="Times New Roman"/>
        </w:rPr>
        <w:t xml:space="preserve"> medical fields who are nominated by their associated professional body or by applicant</w:t>
      </w:r>
      <w:r>
        <w:rPr>
          <w:rFonts w:ascii="Times New Roman" w:hAnsi="Times New Roman"/>
        </w:rPr>
        <w:t>s</w:t>
      </w:r>
      <w:r w:rsidRPr="00862B3C">
        <w:rPr>
          <w:rFonts w:ascii="Times New Roman" w:hAnsi="Times New Roman"/>
        </w:rPr>
        <w:t xml:space="preserve">.  </w:t>
      </w:r>
    </w:p>
    <w:p w:rsidR="00FE236E" w:rsidRDefault="00FE236E" w:rsidP="00FE236E">
      <w:pPr>
        <w:jc w:val="both"/>
        <w:rPr>
          <w:rFonts w:ascii="Times New Roman" w:hAnsi="Times New Roman"/>
        </w:rPr>
      </w:pPr>
      <w:r w:rsidRPr="00862B3C">
        <w:rPr>
          <w:rFonts w:ascii="Times New Roman" w:hAnsi="Times New Roman"/>
        </w:rPr>
        <w:t xml:space="preserve">HESP members are </w:t>
      </w:r>
      <w:r>
        <w:rPr>
          <w:rFonts w:ascii="Times New Roman" w:hAnsi="Times New Roman"/>
        </w:rPr>
        <w:t xml:space="preserve">engaged </w:t>
      </w:r>
      <w:r w:rsidRPr="00862B3C">
        <w:rPr>
          <w:rFonts w:ascii="Times New Roman" w:hAnsi="Times New Roman"/>
        </w:rPr>
        <w:t xml:space="preserve">to provide practical, professional advice to evaluators which directly </w:t>
      </w:r>
      <w:r>
        <w:rPr>
          <w:rFonts w:ascii="Times New Roman" w:hAnsi="Times New Roman"/>
        </w:rPr>
        <w:t>relates to</w:t>
      </w:r>
      <w:r w:rsidRPr="00862B3C">
        <w:rPr>
          <w:rFonts w:ascii="Times New Roman" w:hAnsi="Times New Roman"/>
        </w:rPr>
        <w:t xml:space="preserve"> </w:t>
      </w:r>
      <w:r>
        <w:rPr>
          <w:rFonts w:ascii="Times New Roman" w:hAnsi="Times New Roman"/>
        </w:rPr>
        <w:t xml:space="preserve">each application and </w:t>
      </w:r>
      <w:r w:rsidRPr="00862B3C">
        <w:rPr>
          <w:rFonts w:ascii="Times New Roman" w:hAnsi="Times New Roman"/>
        </w:rPr>
        <w:t>the service being proposed for the M</w:t>
      </w:r>
      <w:r>
        <w:rPr>
          <w:rFonts w:ascii="Times New Roman" w:hAnsi="Times New Roman"/>
        </w:rPr>
        <w:t xml:space="preserve">BS. </w:t>
      </w:r>
      <w:r w:rsidRPr="00862B3C">
        <w:rPr>
          <w:rFonts w:ascii="Times New Roman" w:hAnsi="Times New Roman"/>
        </w:rPr>
        <w:t xml:space="preserve"> </w:t>
      </w:r>
      <w:r>
        <w:rPr>
          <w:rFonts w:ascii="Times New Roman" w:hAnsi="Times New Roman"/>
        </w:rPr>
        <w:t xml:space="preserve">HESP members are not members of either MSAC or its subcommittees ESC and PASC.  Their </w:t>
      </w:r>
      <w:r w:rsidRPr="00862B3C">
        <w:rPr>
          <w:rFonts w:ascii="Times New Roman" w:hAnsi="Times New Roman"/>
        </w:rPr>
        <w:t xml:space="preserve">role is limited to providing </w:t>
      </w:r>
      <w:r>
        <w:rPr>
          <w:rFonts w:ascii="Times New Roman" w:hAnsi="Times New Roman"/>
        </w:rPr>
        <w:t>input</w:t>
      </w:r>
      <w:r w:rsidRPr="00862B3C">
        <w:rPr>
          <w:rFonts w:ascii="Times New Roman" w:hAnsi="Times New Roman"/>
        </w:rPr>
        <w:t xml:space="preserve"> </w:t>
      </w:r>
      <w:r>
        <w:rPr>
          <w:rFonts w:ascii="Times New Roman" w:hAnsi="Times New Roman"/>
        </w:rPr>
        <w:t xml:space="preserve">and guidance </w:t>
      </w:r>
      <w:r w:rsidRPr="00862B3C">
        <w:rPr>
          <w:rFonts w:ascii="Times New Roman" w:hAnsi="Times New Roman"/>
        </w:rPr>
        <w:t>to the assessment groups</w:t>
      </w:r>
      <w:r>
        <w:rPr>
          <w:rFonts w:ascii="Times New Roman" w:hAnsi="Times New Roman"/>
        </w:rPr>
        <w:t xml:space="preserve"> </w:t>
      </w:r>
      <w:r w:rsidRPr="00862B3C">
        <w:rPr>
          <w:rFonts w:ascii="Times New Roman" w:hAnsi="Times New Roman"/>
        </w:rPr>
        <w:t xml:space="preserve">to ensure that the </w:t>
      </w:r>
      <w:r>
        <w:rPr>
          <w:rFonts w:ascii="Times New Roman" w:hAnsi="Times New Roman"/>
        </w:rPr>
        <w:t>pathway is</w:t>
      </w:r>
      <w:r w:rsidRPr="00862B3C">
        <w:rPr>
          <w:rFonts w:ascii="Times New Roman" w:hAnsi="Times New Roman"/>
        </w:rPr>
        <w:t xml:space="preserve"> clinically relevant and t</w:t>
      </w:r>
      <w:r>
        <w:rPr>
          <w:rFonts w:ascii="Times New Roman" w:hAnsi="Times New Roman"/>
        </w:rPr>
        <w:t xml:space="preserve">akes </w:t>
      </w:r>
      <w:r w:rsidRPr="00862B3C">
        <w:rPr>
          <w:rFonts w:ascii="Times New Roman" w:hAnsi="Times New Roman"/>
        </w:rPr>
        <w:t>into account consumer interests</w:t>
      </w:r>
      <w:r>
        <w:rPr>
          <w:rFonts w:ascii="Times New Roman" w:hAnsi="Times New Roman"/>
        </w:rPr>
        <w:t xml:space="preserve">.  HESP member’s advice is </w:t>
      </w:r>
      <w:r w:rsidRPr="00862B3C">
        <w:rPr>
          <w:rFonts w:ascii="Times New Roman" w:hAnsi="Times New Roman"/>
        </w:rPr>
        <w:t xml:space="preserve">to inform the deliberations </w:t>
      </w:r>
      <w:r>
        <w:rPr>
          <w:rFonts w:ascii="Times New Roman" w:hAnsi="Times New Roman"/>
        </w:rPr>
        <w:t xml:space="preserve">MSAC presents to the Minister. </w:t>
      </w:r>
    </w:p>
    <w:p w:rsidR="00786914" w:rsidRPr="00776777" w:rsidRDefault="00786914" w:rsidP="0006743B">
      <w:pPr>
        <w:pStyle w:val="Heading1"/>
      </w:pPr>
      <w:bookmarkStart w:id="161" w:name="_Toc323642284"/>
      <w:bookmarkStart w:id="162" w:name="_Toc327877865"/>
      <w:bookmarkStart w:id="163" w:name="_Toc365900572"/>
      <w:r w:rsidRPr="00776777">
        <w:lastRenderedPageBreak/>
        <w:t>Results of assessment</w:t>
      </w:r>
      <w:bookmarkEnd w:id="161"/>
      <w:bookmarkEnd w:id="162"/>
      <w:bookmarkEnd w:id="163"/>
    </w:p>
    <w:p w:rsidR="00786914" w:rsidRDefault="00786914" w:rsidP="0006743B">
      <w:pPr>
        <w:pStyle w:val="Heading2"/>
      </w:pPr>
      <w:bookmarkStart w:id="164" w:name="_Toc323642285"/>
      <w:bookmarkStart w:id="165" w:name="_Toc327877866"/>
      <w:bookmarkStart w:id="166" w:name="_Toc365900573"/>
      <w:r>
        <w:t>Systematic reviews and health technology assessments</w:t>
      </w:r>
      <w:bookmarkEnd w:id="164"/>
      <w:bookmarkEnd w:id="165"/>
      <w:bookmarkEnd w:id="166"/>
    </w:p>
    <w:p w:rsidR="00786914" w:rsidRDefault="00786914" w:rsidP="0006743B">
      <w:r w:rsidRPr="0094420A">
        <w:t>The list of electronic databases and websites searched</w:t>
      </w:r>
      <w:r>
        <w:t xml:space="preserve"> for systematic reviews and HTAs</w:t>
      </w:r>
      <w:r w:rsidRPr="0094420A">
        <w:t xml:space="preserve"> is provided in Appendix C. </w:t>
      </w:r>
      <w:r>
        <w:t xml:space="preserve">Nine systematic reviews and HTAs that compared HoLEP with TURP and/or OP met the inclusion criteria. Four of these systematic reviews and HTAs compared HoLEP with TURP and five compared HoLEP with TURP and OP. </w:t>
      </w:r>
      <w:r w:rsidRPr="00DC61A9">
        <w:t>As outlined previously, the systematic review of Lourenco et al (2008) was chosen for updating in this assessment for the comparison of HoLEP with TURP. The Australian and New Zealand Horizon Scanning Network (ANZHSN) 20</w:t>
      </w:r>
      <w:r>
        <w:t>10</w:t>
      </w:r>
      <w:r w:rsidRPr="00DC61A9">
        <w:t xml:space="preserve"> review of the current state of development of laser prostatectomy was chosen for updating in the comparison of HoLEP with OP.</w:t>
      </w:r>
    </w:p>
    <w:p w:rsidR="00786914" w:rsidRDefault="00786914" w:rsidP="0006743B">
      <w:r>
        <w:t>The other systematic reviews that compared HoLEP with TURP either included the same studies as the Lourenco et al report or were not considered of high methodological quality. Similarly the reviews assessing HoLEP and OP were either of lower quality or reported the results for OP in combination with TURP. All of these systematic reviews and HTAs are listed in Appendix E. They are not however further considered as part of this report.</w:t>
      </w:r>
    </w:p>
    <w:p w:rsidR="00786914" w:rsidRDefault="00786914" w:rsidP="0006743B">
      <w:pPr>
        <w:pStyle w:val="Normalbold"/>
      </w:pPr>
      <w:bookmarkStart w:id="167" w:name="_Toc327877867"/>
      <w:r w:rsidRPr="009944F5">
        <w:t xml:space="preserve">Approach to assessing HoLEP in comparison </w:t>
      </w:r>
      <w:r>
        <w:t xml:space="preserve">with </w:t>
      </w:r>
      <w:r w:rsidRPr="009944F5">
        <w:t>TURP</w:t>
      </w:r>
      <w:bookmarkEnd w:id="167"/>
    </w:p>
    <w:p w:rsidR="00F45C43" w:rsidRPr="002D7BD4" w:rsidRDefault="00786914" w:rsidP="002D7BD4">
      <w:r w:rsidRPr="008C5F6E">
        <w:rPr>
          <w:b/>
        </w:rPr>
        <w:t>Lourenco et al (2008):</w:t>
      </w:r>
      <w:r>
        <w:rPr>
          <w:b/>
          <w:u w:val="single"/>
        </w:rPr>
        <w:t xml:space="preserve"> </w:t>
      </w:r>
      <w:r>
        <w:t xml:space="preserve">This </w:t>
      </w:r>
      <w:r w:rsidRPr="00B67000">
        <w:t>is a high</w:t>
      </w:r>
      <w:r>
        <w:t>-</w:t>
      </w:r>
      <w:r w:rsidRPr="00B67000">
        <w:t xml:space="preserve">quality systematic review, developed as part of the UK National Institute for Health Research </w:t>
      </w:r>
      <w:r>
        <w:t xml:space="preserve">(NIHR) </w:t>
      </w:r>
      <w:r w:rsidRPr="00B67000">
        <w:t xml:space="preserve">Health Technology Assessment </w:t>
      </w:r>
      <w:r>
        <w:t>p</w:t>
      </w:r>
      <w:r w:rsidRPr="00B67000">
        <w:t>rogramme. Its objective was to determine the clinical and cost-effectiveness (in the UK) of alternative surgical treatment</w:t>
      </w:r>
      <w:r>
        <w:t>s</w:t>
      </w:r>
      <w:r w:rsidRPr="00B67000">
        <w:t xml:space="preserve"> to TURP. It </w:t>
      </w:r>
      <w:r>
        <w:t xml:space="preserve">identified a number of RCTs providing a direct comparison of HoLEP with TURP in men with BPH. The characteristics and quality assessment of this systematic review is summarised in </w:t>
      </w:r>
      <w:r w:rsidR="00766F46">
        <w:fldChar w:fldCharType="begin"/>
      </w:r>
      <w:r w:rsidR="00766F46">
        <w:instrText xml:space="preserve"> REF _Ref323307243 \h  \* MERGEFORMAT </w:instrText>
      </w:r>
      <w:r w:rsidR="00766F46">
        <w:fldChar w:fldCharType="separate"/>
      </w:r>
      <w:r w:rsidR="00F45C43">
        <w:br w:type="page"/>
      </w:r>
    </w:p>
    <w:p w:rsidR="00786914" w:rsidRDefault="00F45C43" w:rsidP="0006743B">
      <w:r>
        <w:lastRenderedPageBreak/>
        <w:t xml:space="preserve">Table </w:t>
      </w:r>
      <w:r>
        <w:rPr>
          <w:noProof/>
        </w:rPr>
        <w:t>12</w:t>
      </w:r>
      <w:r w:rsidR="00766F46">
        <w:fldChar w:fldCharType="end"/>
      </w:r>
      <w:r w:rsidR="00786914" w:rsidRPr="00EE3848">
        <w:t xml:space="preserve"> </w:t>
      </w:r>
      <w:r w:rsidR="00786914">
        <w:t>below.</w:t>
      </w:r>
    </w:p>
    <w:p w:rsidR="00786914" w:rsidRDefault="00786914">
      <w:pPr>
        <w:spacing w:after="0"/>
        <w:ind w:left="0"/>
        <w:rPr>
          <w:rFonts w:ascii="Arial" w:hAnsi="Arial"/>
          <w:bCs/>
          <w:sz w:val="18"/>
        </w:rPr>
      </w:pPr>
      <w:bookmarkStart w:id="168" w:name="_Ref323307243"/>
      <w:bookmarkStart w:id="169" w:name="_Toc327803259"/>
      <w:bookmarkStart w:id="170" w:name="_Toc327881549"/>
      <w:r>
        <w:br w:type="page"/>
      </w:r>
    </w:p>
    <w:p w:rsidR="00786914" w:rsidRDefault="00786914" w:rsidP="0006743B">
      <w:pPr>
        <w:pStyle w:val="Caption"/>
        <w:rPr>
          <w:sz w:val="24"/>
          <w:szCs w:val="24"/>
        </w:rPr>
      </w:pPr>
      <w:r>
        <w:lastRenderedPageBreak/>
        <w:t xml:space="preserve">Table </w:t>
      </w:r>
      <w:fldSimple w:instr=" SEQ Table \* ARABIC ">
        <w:r w:rsidR="00F45C43">
          <w:rPr>
            <w:noProof/>
          </w:rPr>
          <w:t>12</w:t>
        </w:r>
      </w:fldSimple>
      <w:bookmarkEnd w:id="168"/>
      <w:r>
        <w:t>:</w:t>
      </w:r>
      <w:r>
        <w:tab/>
        <w:t xml:space="preserve">Characteristics and quality </w:t>
      </w:r>
      <w:r w:rsidRPr="00DC61A9">
        <w:t>appraisal of Lourenco et al 2008</w:t>
      </w:r>
      <w:bookmarkEnd w:id="169"/>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828"/>
        <w:gridCol w:w="2693"/>
        <w:gridCol w:w="3889"/>
      </w:tblGrid>
      <w:tr w:rsidR="00786914" w:rsidRPr="0060612F" w:rsidTr="0006743B">
        <w:tc>
          <w:tcPr>
            <w:tcW w:w="450" w:type="pct"/>
          </w:tcPr>
          <w:p w:rsidR="00786914" w:rsidRPr="007045B9" w:rsidRDefault="00786914" w:rsidP="0006743B">
            <w:pPr>
              <w:pStyle w:val="Tableheading"/>
            </w:pPr>
            <w:r w:rsidRPr="007045B9">
              <w:t xml:space="preserve">Author </w:t>
            </w:r>
          </w:p>
          <w:p w:rsidR="00786914" w:rsidRPr="007045B9" w:rsidRDefault="00786914" w:rsidP="0006743B">
            <w:pPr>
              <w:pStyle w:val="Tableheading"/>
            </w:pPr>
            <w:r w:rsidRPr="007045B9">
              <w:t>Year</w:t>
            </w:r>
          </w:p>
          <w:p w:rsidR="00786914" w:rsidRPr="007045B9" w:rsidRDefault="00786914" w:rsidP="0006743B">
            <w:pPr>
              <w:pStyle w:val="Tableheading"/>
            </w:pPr>
            <w:r w:rsidRPr="007045B9">
              <w:t>Country</w:t>
            </w:r>
          </w:p>
        </w:tc>
        <w:tc>
          <w:tcPr>
            <w:tcW w:w="989" w:type="pct"/>
          </w:tcPr>
          <w:p w:rsidR="00786914" w:rsidRPr="007045B9" w:rsidRDefault="00786914" w:rsidP="0006743B">
            <w:pPr>
              <w:pStyle w:val="Tableheading"/>
            </w:pPr>
            <w:r w:rsidRPr="007045B9">
              <w:t>Studies included</w:t>
            </w:r>
          </w:p>
        </w:tc>
        <w:tc>
          <w:tcPr>
            <w:tcW w:w="1457" w:type="pct"/>
          </w:tcPr>
          <w:p w:rsidR="00786914" w:rsidRPr="007045B9" w:rsidRDefault="00786914" w:rsidP="0006743B">
            <w:pPr>
              <w:pStyle w:val="Tableheading"/>
            </w:pPr>
            <w:r w:rsidRPr="007045B9">
              <w:t>Methods</w:t>
            </w:r>
          </w:p>
          <w:p w:rsidR="00786914" w:rsidRPr="007045B9" w:rsidRDefault="00786914" w:rsidP="0006743B">
            <w:pPr>
              <w:pStyle w:val="Tableheading"/>
            </w:pPr>
          </w:p>
        </w:tc>
        <w:tc>
          <w:tcPr>
            <w:tcW w:w="2104" w:type="pct"/>
          </w:tcPr>
          <w:p w:rsidR="00786914" w:rsidRPr="007045B9" w:rsidRDefault="00786914" w:rsidP="0006743B">
            <w:pPr>
              <w:pStyle w:val="Tableheading"/>
              <w:rPr>
                <w:szCs w:val="18"/>
              </w:rPr>
            </w:pPr>
            <w:r w:rsidRPr="007045B9">
              <w:rPr>
                <w:szCs w:val="18"/>
              </w:rPr>
              <w:t>Quality assessment</w:t>
            </w:r>
          </w:p>
        </w:tc>
      </w:tr>
      <w:tr w:rsidR="00786914" w:rsidRPr="006572D8" w:rsidTr="0006743B">
        <w:tc>
          <w:tcPr>
            <w:tcW w:w="450" w:type="pct"/>
          </w:tcPr>
          <w:p w:rsidR="00786914" w:rsidRPr="007045B9" w:rsidRDefault="00786914" w:rsidP="0006743B">
            <w:pPr>
              <w:pStyle w:val="TableText"/>
            </w:pPr>
            <w:r w:rsidRPr="007045B9">
              <w:t>Lourenco et al</w:t>
            </w:r>
          </w:p>
          <w:p w:rsidR="00786914" w:rsidRPr="007045B9" w:rsidRDefault="00786914" w:rsidP="0006743B">
            <w:pPr>
              <w:pStyle w:val="TableText"/>
            </w:pPr>
            <w:r>
              <w:t>(</w:t>
            </w:r>
            <w:r w:rsidRPr="007045B9">
              <w:t>2008</w:t>
            </w:r>
            <w:r>
              <w:t>)</w:t>
            </w:r>
          </w:p>
          <w:p w:rsidR="00786914" w:rsidRPr="007045B9" w:rsidRDefault="00786914" w:rsidP="0006743B">
            <w:pPr>
              <w:pStyle w:val="TableText"/>
            </w:pPr>
            <w:r w:rsidRPr="007045B9">
              <w:t>UK</w:t>
            </w:r>
          </w:p>
        </w:tc>
        <w:tc>
          <w:tcPr>
            <w:tcW w:w="989" w:type="pct"/>
          </w:tcPr>
          <w:p w:rsidR="00786914" w:rsidRPr="00805073" w:rsidRDefault="00786914" w:rsidP="0006743B">
            <w:pPr>
              <w:pStyle w:val="TableText"/>
              <w:rPr>
                <w:lang w:val="fr-FR"/>
              </w:rPr>
            </w:pPr>
            <w:r>
              <w:rPr>
                <w:lang w:val="fr-FR"/>
              </w:rPr>
              <w:t xml:space="preserve">Gupta et al </w:t>
            </w:r>
            <w:r>
              <w:rPr>
                <w:noProof/>
                <w:lang w:val="fr-FR"/>
              </w:rPr>
              <w:t>(2006)</w:t>
            </w:r>
          </w:p>
          <w:p w:rsidR="00786914" w:rsidRPr="00805073" w:rsidRDefault="00786914" w:rsidP="0006743B">
            <w:pPr>
              <w:pStyle w:val="TableText"/>
              <w:rPr>
                <w:lang w:val="fr-FR"/>
              </w:rPr>
            </w:pPr>
            <w:r>
              <w:rPr>
                <w:lang w:val="fr-FR"/>
              </w:rPr>
              <w:t xml:space="preserve">Kuntz et al </w:t>
            </w:r>
            <w:r>
              <w:rPr>
                <w:noProof/>
                <w:lang w:val="fr-FR"/>
              </w:rPr>
              <w:t>(2004)</w:t>
            </w:r>
          </w:p>
          <w:p w:rsidR="00786914" w:rsidRPr="00805073" w:rsidRDefault="00786914" w:rsidP="0006743B">
            <w:pPr>
              <w:pStyle w:val="TableText"/>
              <w:rPr>
                <w:lang w:val="fr-FR"/>
              </w:rPr>
            </w:pPr>
            <w:r>
              <w:rPr>
                <w:lang w:val="fr-FR"/>
              </w:rPr>
              <w:t xml:space="preserve">Montorsi et al </w:t>
            </w:r>
            <w:r>
              <w:rPr>
                <w:noProof/>
                <w:lang w:val="fr-FR"/>
              </w:rPr>
              <w:t>(2004)</w:t>
            </w:r>
          </w:p>
          <w:p w:rsidR="00786914" w:rsidRPr="00805073" w:rsidRDefault="00786914" w:rsidP="0006743B">
            <w:pPr>
              <w:pStyle w:val="TableText"/>
              <w:rPr>
                <w:lang w:val="fr-FR"/>
              </w:rPr>
            </w:pPr>
            <w:r>
              <w:rPr>
                <w:lang w:val="fr-FR"/>
              </w:rPr>
              <w:t xml:space="preserve">Tan et al </w:t>
            </w:r>
            <w:r>
              <w:rPr>
                <w:noProof/>
                <w:lang w:val="fr-FR"/>
              </w:rPr>
              <w:t>(2003)</w:t>
            </w:r>
            <w:r>
              <w:rPr>
                <w:lang w:val="fr-FR"/>
              </w:rPr>
              <w:t xml:space="preserve">/Wilson et al </w:t>
            </w:r>
            <w:r>
              <w:rPr>
                <w:noProof/>
                <w:lang w:val="fr-FR"/>
              </w:rPr>
              <w:t>(2006)</w:t>
            </w:r>
          </w:p>
          <w:p w:rsidR="00786914" w:rsidRPr="007045B9" w:rsidRDefault="00786914" w:rsidP="0006743B">
            <w:pPr>
              <w:pStyle w:val="TableText"/>
            </w:pPr>
            <w:r>
              <w:t xml:space="preserve">Westenberg et al </w:t>
            </w:r>
            <w:r>
              <w:rPr>
                <w:noProof/>
              </w:rPr>
              <w:t>(2004)</w:t>
            </w:r>
          </w:p>
          <w:p w:rsidR="00786914" w:rsidRPr="007045B9" w:rsidRDefault="00786914" w:rsidP="0006743B">
            <w:pPr>
              <w:pStyle w:val="TableText"/>
            </w:pPr>
          </w:p>
        </w:tc>
        <w:tc>
          <w:tcPr>
            <w:tcW w:w="1457" w:type="pct"/>
          </w:tcPr>
          <w:p w:rsidR="00786914" w:rsidRPr="007045B9" w:rsidRDefault="00786914" w:rsidP="0006743B">
            <w:pPr>
              <w:pStyle w:val="TableText"/>
              <w:rPr>
                <w:rFonts w:cs="Garamond"/>
              </w:rPr>
            </w:pPr>
            <w:r w:rsidRPr="007045B9">
              <w:t xml:space="preserve">Databases searched: </w:t>
            </w:r>
            <w:r w:rsidRPr="007045B9">
              <w:rPr>
                <w:rFonts w:cs="Garamond"/>
              </w:rPr>
              <w:t xml:space="preserve">13 databases, incl. MEDLINE, EMBASE, MEDLINE In-Process, BIOSIS, ISI Science Citation Index, ISI Proceedings, Cochrane Controlled Trials Register (CENTRAL), Cochrane Database of Systematic Reviews, Database of Abstracts of Reviews of Effectiveness, HTA Database, National Research Register, Clinical Trials, Current Controlled Trials. Also conference proceedings of: European Assoc. </w:t>
            </w:r>
            <w:r>
              <w:rPr>
                <w:rFonts w:cs="Garamond"/>
              </w:rPr>
              <w:t>o</w:t>
            </w:r>
            <w:r w:rsidRPr="007045B9">
              <w:rPr>
                <w:rFonts w:cs="Garamond"/>
              </w:rPr>
              <w:t xml:space="preserve">f Urology, the American Urological Assoc., British Assoc. </w:t>
            </w:r>
            <w:r>
              <w:rPr>
                <w:rFonts w:cs="Garamond"/>
              </w:rPr>
              <w:t>o</w:t>
            </w:r>
            <w:r w:rsidRPr="007045B9">
              <w:rPr>
                <w:rFonts w:cs="Garamond"/>
              </w:rPr>
              <w:t>f Urological Surgeons</w:t>
            </w:r>
          </w:p>
          <w:p w:rsidR="00786914" w:rsidRPr="007045B9" w:rsidRDefault="00786914" w:rsidP="0006743B">
            <w:pPr>
              <w:pStyle w:val="TableText"/>
              <w:rPr>
                <w:rFonts w:cs="Garamond"/>
              </w:rPr>
            </w:pPr>
            <w:r w:rsidRPr="007045B9">
              <w:rPr>
                <w:rFonts w:cs="Garamond"/>
              </w:rPr>
              <w:t>Time period of search: 1966</w:t>
            </w:r>
            <w:r>
              <w:rPr>
                <w:rFonts w:cs="Garamond"/>
              </w:rPr>
              <w:t>–</w:t>
            </w:r>
            <w:r w:rsidRPr="007045B9">
              <w:rPr>
                <w:rFonts w:cs="Garamond"/>
              </w:rPr>
              <w:t>2006</w:t>
            </w:r>
          </w:p>
          <w:p w:rsidR="00786914" w:rsidRPr="007045B9" w:rsidRDefault="00786914" w:rsidP="0006743B">
            <w:pPr>
              <w:pStyle w:val="TableText"/>
            </w:pPr>
            <w:r w:rsidRPr="007045B9">
              <w:t>Comparators: HoLEP</w:t>
            </w:r>
            <w:r>
              <w:t xml:space="preserve"> </w:t>
            </w:r>
            <w:r w:rsidRPr="007045B9">
              <w:t>vs TURP</w:t>
            </w:r>
          </w:p>
          <w:p w:rsidR="00786914" w:rsidRPr="007045B9" w:rsidRDefault="00786914" w:rsidP="0006743B">
            <w:pPr>
              <w:pStyle w:val="TableText"/>
            </w:pPr>
            <w:r w:rsidRPr="007045B9">
              <w:t xml:space="preserve">Outcomes: </w:t>
            </w:r>
            <w:r>
              <w:t>s</w:t>
            </w:r>
            <w:r w:rsidRPr="007045B9">
              <w:t>afety, effectiveness, cost-effectiveness</w:t>
            </w:r>
          </w:p>
        </w:tc>
        <w:tc>
          <w:tcPr>
            <w:tcW w:w="2104" w:type="pct"/>
          </w:tcPr>
          <w:p w:rsidR="00786914" w:rsidRPr="007045B9" w:rsidRDefault="00786914" w:rsidP="0006743B">
            <w:pPr>
              <w:pStyle w:val="TableText"/>
              <w:rPr>
                <w:rFonts w:cs="Garamond"/>
                <w:b/>
                <w:szCs w:val="18"/>
              </w:rPr>
            </w:pPr>
            <w:r w:rsidRPr="007045B9">
              <w:rPr>
                <w:rFonts w:cs="Garamond"/>
                <w:b/>
                <w:szCs w:val="18"/>
              </w:rPr>
              <w:t>Quality: High</w:t>
            </w:r>
          </w:p>
          <w:p w:rsidR="00786914" w:rsidRPr="007045B9" w:rsidRDefault="00786914" w:rsidP="0006743B">
            <w:pPr>
              <w:pStyle w:val="TableText"/>
              <w:rPr>
                <w:rFonts w:cs="Garamond"/>
                <w:szCs w:val="18"/>
              </w:rPr>
            </w:pPr>
            <w:r w:rsidRPr="007045B9">
              <w:rPr>
                <w:rFonts w:cs="Garamond"/>
                <w:szCs w:val="18"/>
              </w:rPr>
              <w:t>Explicit review questions: Yes</w:t>
            </w:r>
          </w:p>
          <w:p w:rsidR="00786914" w:rsidRPr="007045B9" w:rsidRDefault="00786914" w:rsidP="0006743B">
            <w:pPr>
              <w:pStyle w:val="TableText"/>
              <w:rPr>
                <w:rFonts w:cs="Garamond"/>
                <w:szCs w:val="18"/>
              </w:rPr>
            </w:pPr>
            <w:r w:rsidRPr="007045B9">
              <w:rPr>
                <w:rFonts w:cs="Garamond"/>
                <w:szCs w:val="18"/>
              </w:rPr>
              <w:t>Explicit &amp; appropriate eligibility criteria: Yes</w:t>
            </w:r>
          </w:p>
          <w:p w:rsidR="00786914" w:rsidRPr="007045B9" w:rsidRDefault="00786914" w:rsidP="0006743B">
            <w:pPr>
              <w:pStyle w:val="TableText"/>
              <w:rPr>
                <w:rFonts w:cs="Garamond"/>
                <w:szCs w:val="18"/>
              </w:rPr>
            </w:pPr>
            <w:r w:rsidRPr="007045B9">
              <w:rPr>
                <w:rFonts w:cs="Garamond"/>
                <w:szCs w:val="18"/>
              </w:rPr>
              <w:t>Explicit &amp; comprehensive search strategy: Yes</w:t>
            </w:r>
          </w:p>
          <w:p w:rsidR="00786914" w:rsidRPr="007045B9" w:rsidRDefault="00786914" w:rsidP="0006743B">
            <w:pPr>
              <w:pStyle w:val="TableText"/>
              <w:rPr>
                <w:rFonts w:cs="Garamond"/>
                <w:szCs w:val="18"/>
              </w:rPr>
            </w:pPr>
            <w:r w:rsidRPr="007045B9">
              <w:rPr>
                <w:rFonts w:cs="Garamond"/>
                <w:szCs w:val="18"/>
              </w:rPr>
              <w:t>Quality of included studies appraised: Yes</w:t>
            </w:r>
          </w:p>
          <w:p w:rsidR="00786914" w:rsidRPr="007045B9" w:rsidRDefault="00786914" w:rsidP="0006743B">
            <w:pPr>
              <w:pStyle w:val="TableText"/>
              <w:rPr>
                <w:rFonts w:cs="Garamond"/>
                <w:szCs w:val="18"/>
              </w:rPr>
            </w:pPr>
            <w:r w:rsidRPr="007045B9">
              <w:rPr>
                <w:rFonts w:cs="Garamond"/>
                <w:szCs w:val="18"/>
              </w:rPr>
              <w:t>Methods of study appraisal reproducible: Yes</w:t>
            </w:r>
          </w:p>
          <w:p w:rsidR="00786914" w:rsidRPr="007045B9" w:rsidRDefault="00786914" w:rsidP="0006743B">
            <w:pPr>
              <w:pStyle w:val="TableText"/>
              <w:rPr>
                <w:rFonts w:cs="Garamond"/>
                <w:szCs w:val="18"/>
              </w:rPr>
            </w:pPr>
            <w:r w:rsidRPr="007045B9">
              <w:rPr>
                <w:rFonts w:cs="Garamond"/>
                <w:szCs w:val="18"/>
              </w:rPr>
              <w:t>Heterogeneity between studies assessed: Yes</w:t>
            </w:r>
          </w:p>
          <w:p w:rsidR="00786914" w:rsidRPr="007045B9" w:rsidRDefault="00786914" w:rsidP="0006743B">
            <w:pPr>
              <w:pStyle w:val="TableText"/>
              <w:rPr>
                <w:rFonts w:cs="Garamond"/>
                <w:szCs w:val="18"/>
              </w:rPr>
            </w:pPr>
            <w:r w:rsidRPr="007045B9">
              <w:rPr>
                <w:rFonts w:cs="Garamond"/>
                <w:szCs w:val="18"/>
              </w:rPr>
              <w:t>Summary of main results clear and appropriate: Yes</w:t>
            </w:r>
          </w:p>
          <w:p w:rsidR="00786914" w:rsidRPr="007045B9" w:rsidRDefault="00786914" w:rsidP="0006743B">
            <w:pPr>
              <w:pStyle w:val="TableText"/>
              <w:rPr>
                <w:szCs w:val="18"/>
              </w:rPr>
            </w:pPr>
          </w:p>
        </w:tc>
      </w:tr>
    </w:tbl>
    <w:p w:rsidR="00786914" w:rsidRDefault="00786914" w:rsidP="0006743B">
      <w:pPr>
        <w:rPr>
          <w:szCs w:val="24"/>
        </w:rPr>
      </w:pPr>
    </w:p>
    <w:p w:rsidR="00786914" w:rsidRDefault="00786914" w:rsidP="0006743B">
      <w:r>
        <w:t xml:space="preserve">The updated literature search carried out as part of this assessment identified four further studies that met the inclusion criteria. These therefore added to the evidence provided by Lourenco et al. Of these, two were longer term follow-ups of some of the studies included in the systematic review and two were new. </w:t>
      </w:r>
    </w:p>
    <w:p w:rsidR="00786914" w:rsidRDefault="00786914" w:rsidP="0006743B">
      <w:r>
        <w:t xml:space="preserve">The characteristics of each of the additional RCTs updating the Lourenco et al systematic review listed above are summarised in </w:t>
      </w:r>
      <w:r w:rsidR="00766F46">
        <w:fldChar w:fldCharType="begin"/>
      </w:r>
      <w:r w:rsidR="00766F46">
        <w:instrText xml:space="preserve"> REF _Ref323307410 \h  \* MERGEFORMAT </w:instrText>
      </w:r>
      <w:r w:rsidR="00766F46">
        <w:fldChar w:fldCharType="separate"/>
      </w:r>
      <w:r w:rsidR="00F45C43">
        <w:t xml:space="preserve">Table </w:t>
      </w:r>
      <w:r w:rsidR="00F45C43">
        <w:rPr>
          <w:noProof/>
        </w:rPr>
        <w:t>13</w:t>
      </w:r>
      <w:r w:rsidR="00766F46">
        <w:fldChar w:fldCharType="end"/>
      </w:r>
      <w:r>
        <w:t>.</w:t>
      </w:r>
    </w:p>
    <w:p w:rsidR="00786914" w:rsidRDefault="00786914" w:rsidP="0006743B">
      <w:r>
        <w:t xml:space="preserve">While the general approach to this assessment was to update the results of the Lourenco et al report, further detail was needed for the economic model in respect to incontinence, stricture and re-operation rates. As such for these outcomes, the original studies included in the Lourenco report were reviewed. </w:t>
      </w:r>
    </w:p>
    <w:p w:rsidR="00786914" w:rsidRDefault="00786914" w:rsidP="0006743B">
      <w:pPr>
        <w:pStyle w:val="Caption"/>
        <w:keepNext/>
      </w:pPr>
      <w:bookmarkStart w:id="171" w:name="_Ref323307410"/>
      <w:bookmarkStart w:id="172" w:name="_Toc327803260"/>
      <w:bookmarkStart w:id="173" w:name="_Toc327881550"/>
      <w:r>
        <w:lastRenderedPageBreak/>
        <w:t xml:space="preserve">Table </w:t>
      </w:r>
      <w:fldSimple w:instr=" SEQ Table \* ARABIC ">
        <w:r w:rsidR="00F45C43">
          <w:rPr>
            <w:noProof/>
          </w:rPr>
          <w:t>13</w:t>
        </w:r>
      </w:fldSimple>
      <w:bookmarkEnd w:id="171"/>
      <w:r>
        <w:t>:</w:t>
      </w:r>
      <w:r>
        <w:tab/>
        <w:t>Characteristics of studies not included in the Systematic Review</w:t>
      </w:r>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091"/>
        <w:gridCol w:w="1007"/>
        <w:gridCol w:w="2686"/>
        <w:gridCol w:w="3085"/>
      </w:tblGrid>
      <w:tr w:rsidR="00786914" w:rsidTr="0006743B">
        <w:tc>
          <w:tcPr>
            <w:tcW w:w="5000" w:type="pct"/>
            <w:gridSpan w:val="5"/>
          </w:tcPr>
          <w:p w:rsidR="00786914" w:rsidRPr="007045B9" w:rsidRDefault="00786914" w:rsidP="0006743B">
            <w:pPr>
              <w:pStyle w:val="Tableheading"/>
            </w:pPr>
            <w:r>
              <w:t>Follow up studies to those included in the Lourenco et al., 2008 systematic review</w:t>
            </w:r>
          </w:p>
        </w:tc>
      </w:tr>
      <w:tr w:rsidR="00786914" w:rsidTr="0006743B">
        <w:tc>
          <w:tcPr>
            <w:tcW w:w="743" w:type="pct"/>
          </w:tcPr>
          <w:p w:rsidR="00786914" w:rsidRPr="007045B9" w:rsidRDefault="00786914" w:rsidP="0006743B">
            <w:pPr>
              <w:pStyle w:val="Tableheading"/>
            </w:pPr>
            <w:r w:rsidRPr="007045B9">
              <w:t>Study</w:t>
            </w:r>
          </w:p>
        </w:tc>
        <w:tc>
          <w:tcPr>
            <w:tcW w:w="590" w:type="pct"/>
          </w:tcPr>
          <w:p w:rsidR="00786914" w:rsidRPr="007045B9" w:rsidRDefault="00786914" w:rsidP="0006743B">
            <w:pPr>
              <w:pStyle w:val="Tableheading"/>
            </w:pPr>
            <w:r w:rsidRPr="007045B9">
              <w:t>N</w:t>
            </w:r>
          </w:p>
        </w:tc>
        <w:tc>
          <w:tcPr>
            <w:tcW w:w="545" w:type="pct"/>
          </w:tcPr>
          <w:p w:rsidR="00786914" w:rsidRPr="007045B9" w:rsidRDefault="00786914" w:rsidP="0006743B">
            <w:pPr>
              <w:pStyle w:val="Tableheading"/>
            </w:pPr>
            <w:r w:rsidRPr="007045B9">
              <w:t>Study design</w:t>
            </w:r>
          </w:p>
        </w:tc>
        <w:tc>
          <w:tcPr>
            <w:tcW w:w="1453" w:type="pct"/>
          </w:tcPr>
          <w:p w:rsidR="00786914" w:rsidRPr="007045B9" w:rsidRDefault="00786914" w:rsidP="0006743B">
            <w:pPr>
              <w:pStyle w:val="Tableheading"/>
            </w:pPr>
            <w:r w:rsidRPr="007045B9">
              <w:t>Population</w:t>
            </w:r>
          </w:p>
        </w:tc>
        <w:tc>
          <w:tcPr>
            <w:tcW w:w="1669" w:type="pct"/>
          </w:tcPr>
          <w:p w:rsidR="00786914" w:rsidRPr="007045B9" w:rsidRDefault="00786914" w:rsidP="0006743B">
            <w:pPr>
              <w:pStyle w:val="Tableheading"/>
            </w:pPr>
            <w:r w:rsidRPr="007045B9">
              <w:t>Description</w:t>
            </w:r>
          </w:p>
        </w:tc>
      </w:tr>
      <w:tr w:rsidR="00786914" w:rsidTr="0006743B">
        <w:tc>
          <w:tcPr>
            <w:tcW w:w="743" w:type="pct"/>
          </w:tcPr>
          <w:p w:rsidR="00786914" w:rsidRPr="007045B9" w:rsidRDefault="00786914" w:rsidP="0006743B">
            <w:pPr>
              <w:pStyle w:val="TableText"/>
            </w:pPr>
            <w:r w:rsidRPr="007045B9">
              <w:t xml:space="preserve">Ahyai et al </w:t>
            </w:r>
            <w:r>
              <w:rPr>
                <w:noProof/>
              </w:rPr>
              <w:t>(2007)</w:t>
            </w:r>
            <w:r>
              <w:t xml:space="preserve"> (follow-up </w:t>
            </w:r>
            <w:r w:rsidRPr="009944F5">
              <w:t xml:space="preserve">to Kuntz et al </w:t>
            </w:r>
            <w:r>
              <w:t>(</w:t>
            </w:r>
            <w:r w:rsidRPr="009944F5">
              <w:t>2004)</w:t>
            </w:r>
            <w:r>
              <w:t>)</w:t>
            </w:r>
          </w:p>
        </w:tc>
        <w:tc>
          <w:tcPr>
            <w:tcW w:w="590" w:type="pct"/>
          </w:tcPr>
          <w:p w:rsidR="00786914" w:rsidRPr="007045B9" w:rsidRDefault="00786914" w:rsidP="0006743B">
            <w:pPr>
              <w:pStyle w:val="TableText"/>
            </w:pPr>
            <w:r w:rsidRPr="007045B9">
              <w:t>HoLEP: 100</w:t>
            </w:r>
          </w:p>
          <w:p w:rsidR="00786914" w:rsidRPr="007045B9" w:rsidRDefault="00786914" w:rsidP="0006743B">
            <w:pPr>
              <w:pStyle w:val="TableText"/>
              <w:rPr>
                <w:highlight w:val="yellow"/>
              </w:rPr>
            </w:pPr>
            <w:r w:rsidRPr="007045B9">
              <w:t>TURP: 100</w:t>
            </w:r>
          </w:p>
        </w:tc>
        <w:tc>
          <w:tcPr>
            <w:tcW w:w="545" w:type="pct"/>
          </w:tcPr>
          <w:p w:rsidR="00786914" w:rsidRPr="007045B9" w:rsidRDefault="00786914" w:rsidP="0006743B">
            <w:pPr>
              <w:pStyle w:val="TableText"/>
            </w:pPr>
            <w:r w:rsidRPr="007045B9">
              <w:t>RCT</w:t>
            </w:r>
          </w:p>
        </w:tc>
        <w:tc>
          <w:tcPr>
            <w:tcW w:w="1453" w:type="pct"/>
          </w:tcPr>
          <w:p w:rsidR="00786914" w:rsidRPr="007045B9" w:rsidRDefault="00786914" w:rsidP="0006743B">
            <w:pPr>
              <w:pStyle w:val="TableText"/>
            </w:pPr>
            <w:r w:rsidRPr="007045B9">
              <w:rPr>
                <w:rFonts w:cs="Arial"/>
              </w:rPr>
              <w:t>Patients with AUA score ≥12, Q max ≤12 ml/s, PVR volume ≥50 ml, Schafer grade ≥2 and total prostate volume &lt;100 cc.</w:t>
            </w:r>
          </w:p>
        </w:tc>
        <w:tc>
          <w:tcPr>
            <w:tcW w:w="1669" w:type="pct"/>
          </w:tcPr>
          <w:p w:rsidR="00786914" w:rsidRPr="007045B9" w:rsidRDefault="00786914" w:rsidP="0006743B">
            <w:pPr>
              <w:pStyle w:val="TableText"/>
            </w:pPr>
            <w:r w:rsidRPr="009944F5">
              <w:t>Kuntz et al (2004)</w:t>
            </w:r>
            <w:r w:rsidRPr="007045B9">
              <w:t xml:space="preserve"> presents data up to 12 months post</w:t>
            </w:r>
            <w:r>
              <w:t>-</w:t>
            </w:r>
            <w:r w:rsidRPr="007045B9">
              <w:t>surgery. This follow</w:t>
            </w:r>
            <w:r>
              <w:t>-</w:t>
            </w:r>
            <w:r w:rsidRPr="007045B9">
              <w:t xml:space="preserve">up presents information at 2 years and 3 years. </w:t>
            </w:r>
            <w:r>
              <w:t>Three</w:t>
            </w:r>
            <w:r w:rsidRPr="007045B9">
              <w:t xml:space="preserve"> year numbers to follow</w:t>
            </w:r>
            <w:r>
              <w:t>-</w:t>
            </w:r>
            <w:r w:rsidRPr="007045B9">
              <w:t>up n=75 (HoLEP) and n=69 (TURP).</w:t>
            </w:r>
          </w:p>
          <w:p w:rsidR="00786914" w:rsidRPr="007045B9" w:rsidRDefault="00786914" w:rsidP="0006743B">
            <w:pPr>
              <w:pStyle w:val="TableText"/>
            </w:pPr>
          </w:p>
          <w:p w:rsidR="00786914" w:rsidRPr="007045B9" w:rsidRDefault="00786914" w:rsidP="0006743B">
            <w:pPr>
              <w:pStyle w:val="TableText"/>
            </w:pPr>
            <w:r w:rsidRPr="007045B9">
              <w:t>This study compared HoLEP with mushroom technique (rather than tissue morcellation) to TURP.</w:t>
            </w:r>
          </w:p>
          <w:p w:rsidR="00786914" w:rsidRPr="007045B9" w:rsidRDefault="00786914" w:rsidP="0006743B">
            <w:pPr>
              <w:pStyle w:val="TableText"/>
            </w:pPr>
          </w:p>
          <w:p w:rsidR="00786914" w:rsidRPr="007045B9" w:rsidRDefault="00786914" w:rsidP="0006743B">
            <w:pPr>
              <w:pStyle w:val="TableText"/>
              <w:rPr>
                <w:i/>
                <w:highlight w:val="yellow"/>
              </w:rPr>
            </w:pPr>
            <w:r w:rsidRPr="007045B9">
              <w:t xml:space="preserve">Outcomes: peak flow, AUA symptom scores and </w:t>
            </w:r>
            <w:r>
              <w:t>PVR</w:t>
            </w:r>
          </w:p>
        </w:tc>
      </w:tr>
      <w:tr w:rsidR="00786914" w:rsidTr="0006743B">
        <w:trPr>
          <w:trHeight w:val="1541"/>
        </w:trPr>
        <w:tc>
          <w:tcPr>
            <w:tcW w:w="743" w:type="pct"/>
          </w:tcPr>
          <w:p w:rsidR="00786914" w:rsidRPr="009944F5" w:rsidRDefault="00786914" w:rsidP="0006743B">
            <w:pPr>
              <w:pStyle w:val="TableText"/>
            </w:pPr>
            <w:r w:rsidRPr="009944F5">
              <w:t xml:space="preserve">Gilling et al </w:t>
            </w:r>
            <w:r w:rsidRPr="009944F5">
              <w:rPr>
                <w:noProof/>
              </w:rPr>
              <w:t>(2011)</w:t>
            </w:r>
          </w:p>
          <w:p w:rsidR="00786914" w:rsidRPr="009944F5" w:rsidRDefault="00786914" w:rsidP="0006743B">
            <w:pPr>
              <w:pStyle w:val="TableText"/>
            </w:pPr>
            <w:r w:rsidRPr="009944F5">
              <w:t>(follow</w:t>
            </w:r>
            <w:r>
              <w:t>-</w:t>
            </w:r>
            <w:r w:rsidRPr="009944F5">
              <w:t xml:space="preserve">up to Tan et al </w:t>
            </w:r>
            <w:r>
              <w:t>(</w:t>
            </w:r>
            <w:r w:rsidRPr="009944F5">
              <w:t>2003)</w:t>
            </w:r>
            <w:r>
              <w:t>)</w:t>
            </w:r>
          </w:p>
        </w:tc>
        <w:tc>
          <w:tcPr>
            <w:tcW w:w="590" w:type="pct"/>
          </w:tcPr>
          <w:p w:rsidR="00786914" w:rsidRPr="009944F5" w:rsidRDefault="00786914" w:rsidP="0006743B">
            <w:pPr>
              <w:pStyle w:val="TableText"/>
            </w:pPr>
            <w:r w:rsidRPr="009944F5">
              <w:t>HoLEP: 31</w:t>
            </w:r>
          </w:p>
          <w:p w:rsidR="00786914" w:rsidRPr="009944F5" w:rsidRDefault="00786914" w:rsidP="0006743B">
            <w:pPr>
              <w:pStyle w:val="TableText"/>
            </w:pPr>
            <w:r w:rsidRPr="009944F5">
              <w:t>TURP:30</w:t>
            </w:r>
          </w:p>
        </w:tc>
        <w:tc>
          <w:tcPr>
            <w:tcW w:w="545" w:type="pct"/>
          </w:tcPr>
          <w:p w:rsidR="00786914" w:rsidRPr="009944F5" w:rsidRDefault="00786914" w:rsidP="0006743B">
            <w:pPr>
              <w:pStyle w:val="TableText"/>
            </w:pPr>
            <w:r w:rsidRPr="009944F5">
              <w:t>RCT</w:t>
            </w:r>
          </w:p>
        </w:tc>
        <w:tc>
          <w:tcPr>
            <w:tcW w:w="1453" w:type="pct"/>
          </w:tcPr>
          <w:p w:rsidR="00786914" w:rsidRPr="009944F5" w:rsidRDefault="00786914" w:rsidP="0006743B">
            <w:pPr>
              <w:pStyle w:val="TableText"/>
            </w:pPr>
            <w:r w:rsidRPr="009944F5">
              <w:rPr>
                <w:rFonts w:cs="Arial"/>
              </w:rPr>
              <w:t>Patients with prostate volume between 40</w:t>
            </w:r>
            <w:r>
              <w:rPr>
                <w:rFonts w:cs="Arial"/>
              </w:rPr>
              <w:t>–</w:t>
            </w:r>
            <w:r w:rsidRPr="009944F5">
              <w:rPr>
                <w:rFonts w:cs="Arial"/>
              </w:rPr>
              <w:t xml:space="preserve">200 ml, Qmax ≤15 ml/s, AUA score ≥8, </w:t>
            </w:r>
            <w:r>
              <w:rPr>
                <w:rFonts w:cs="Arial"/>
              </w:rPr>
              <w:t>PVR</w:t>
            </w:r>
            <w:r w:rsidRPr="009944F5">
              <w:rPr>
                <w:rFonts w:cs="Arial"/>
              </w:rPr>
              <w:t>&lt;400ml and Schafer grade ≥ 2.</w:t>
            </w:r>
          </w:p>
        </w:tc>
        <w:tc>
          <w:tcPr>
            <w:tcW w:w="1669" w:type="pct"/>
          </w:tcPr>
          <w:p w:rsidR="00786914" w:rsidRPr="009944F5" w:rsidRDefault="00786914" w:rsidP="0006743B">
            <w:pPr>
              <w:pStyle w:val="TableText"/>
            </w:pPr>
            <w:r w:rsidRPr="009944F5">
              <w:t>Tan et al (2003) presents data up to 12 months post</w:t>
            </w:r>
            <w:r>
              <w:t>-</w:t>
            </w:r>
            <w:r w:rsidRPr="009944F5">
              <w:t>surgery. This follow</w:t>
            </w:r>
            <w:r>
              <w:t>-</w:t>
            </w:r>
            <w:r w:rsidRPr="009944F5">
              <w:t xml:space="preserve">up presents information at 2 years and 4 years. </w:t>
            </w:r>
          </w:p>
          <w:p w:rsidR="00786914" w:rsidRPr="009944F5" w:rsidRDefault="00786914" w:rsidP="0006743B">
            <w:pPr>
              <w:pStyle w:val="TableText"/>
            </w:pPr>
          </w:p>
          <w:p w:rsidR="00786914" w:rsidRPr="009944F5" w:rsidRDefault="00786914" w:rsidP="0006743B">
            <w:pPr>
              <w:pStyle w:val="TableText"/>
            </w:pPr>
            <w:r w:rsidRPr="009944F5">
              <w:t>4 year numbers to follow</w:t>
            </w:r>
            <w:r>
              <w:t>-</w:t>
            </w:r>
            <w:r w:rsidRPr="009944F5">
              <w:t>up n=14 (HoLEP) and n=17 (TURP).</w:t>
            </w:r>
          </w:p>
          <w:p w:rsidR="00786914" w:rsidRPr="009944F5" w:rsidRDefault="00786914" w:rsidP="0006743B">
            <w:pPr>
              <w:pStyle w:val="TableText"/>
            </w:pPr>
          </w:p>
          <w:p w:rsidR="00786914" w:rsidRPr="009944F5" w:rsidRDefault="00786914" w:rsidP="0006743B">
            <w:pPr>
              <w:pStyle w:val="TableText"/>
            </w:pPr>
            <w:r w:rsidRPr="009944F5">
              <w:t>Outcomes: peak flow, AUA symptom score, quality of life and treatment failure/</w:t>
            </w:r>
            <w:r>
              <w:t>re-treatment</w:t>
            </w:r>
            <w:r w:rsidRPr="009944F5">
              <w:t xml:space="preserve"> rate</w:t>
            </w:r>
          </w:p>
        </w:tc>
      </w:tr>
      <w:tr w:rsidR="00786914" w:rsidTr="0006743B">
        <w:tc>
          <w:tcPr>
            <w:tcW w:w="5000" w:type="pct"/>
            <w:gridSpan w:val="5"/>
          </w:tcPr>
          <w:p w:rsidR="00786914" w:rsidRPr="008047D4" w:rsidRDefault="00786914" w:rsidP="0006743B">
            <w:pPr>
              <w:pStyle w:val="Tableheading"/>
            </w:pPr>
            <w:r w:rsidRPr="008047D4">
              <w:t>New studies identified in the literature searches</w:t>
            </w:r>
          </w:p>
        </w:tc>
      </w:tr>
      <w:tr w:rsidR="00786914" w:rsidTr="0006743B">
        <w:tc>
          <w:tcPr>
            <w:tcW w:w="743" w:type="pct"/>
          </w:tcPr>
          <w:p w:rsidR="00786914" w:rsidRPr="007045B9" w:rsidRDefault="00786914" w:rsidP="0006743B">
            <w:pPr>
              <w:pStyle w:val="Tableheading"/>
            </w:pPr>
            <w:r w:rsidRPr="007045B9">
              <w:t>Study</w:t>
            </w:r>
          </w:p>
        </w:tc>
        <w:tc>
          <w:tcPr>
            <w:tcW w:w="590" w:type="pct"/>
          </w:tcPr>
          <w:p w:rsidR="00786914" w:rsidRPr="007045B9" w:rsidRDefault="00786914" w:rsidP="0006743B">
            <w:pPr>
              <w:pStyle w:val="Tableheading"/>
            </w:pPr>
            <w:r w:rsidRPr="007045B9">
              <w:t>N</w:t>
            </w:r>
          </w:p>
        </w:tc>
        <w:tc>
          <w:tcPr>
            <w:tcW w:w="545" w:type="pct"/>
          </w:tcPr>
          <w:p w:rsidR="00786914" w:rsidRPr="007045B9" w:rsidRDefault="00786914" w:rsidP="0006743B">
            <w:pPr>
              <w:pStyle w:val="Tableheading"/>
            </w:pPr>
            <w:r w:rsidRPr="007045B9">
              <w:t>Study design</w:t>
            </w:r>
          </w:p>
        </w:tc>
        <w:tc>
          <w:tcPr>
            <w:tcW w:w="1453" w:type="pct"/>
          </w:tcPr>
          <w:p w:rsidR="00786914" w:rsidRPr="007045B9" w:rsidRDefault="00786914" w:rsidP="0006743B">
            <w:pPr>
              <w:pStyle w:val="Tableheading"/>
            </w:pPr>
            <w:r w:rsidRPr="007045B9">
              <w:t>Population</w:t>
            </w:r>
          </w:p>
        </w:tc>
        <w:tc>
          <w:tcPr>
            <w:tcW w:w="1669" w:type="pct"/>
          </w:tcPr>
          <w:p w:rsidR="00786914" w:rsidRPr="007045B9" w:rsidRDefault="00786914" w:rsidP="0006743B">
            <w:pPr>
              <w:pStyle w:val="Tableheading"/>
            </w:pPr>
            <w:r w:rsidRPr="007045B9">
              <w:t>Description</w:t>
            </w:r>
          </w:p>
        </w:tc>
      </w:tr>
      <w:tr w:rsidR="00786914" w:rsidTr="0006743B">
        <w:tc>
          <w:tcPr>
            <w:tcW w:w="743" w:type="pct"/>
          </w:tcPr>
          <w:p w:rsidR="00786914" w:rsidRPr="008047D4" w:rsidRDefault="00786914" w:rsidP="0006743B">
            <w:pPr>
              <w:pStyle w:val="TableText"/>
              <w:rPr>
                <w:szCs w:val="18"/>
              </w:rPr>
            </w:pPr>
            <w:r w:rsidRPr="008047D4">
              <w:rPr>
                <w:szCs w:val="18"/>
              </w:rPr>
              <w:t>Eltabey et al(2010)</w:t>
            </w:r>
          </w:p>
        </w:tc>
        <w:tc>
          <w:tcPr>
            <w:tcW w:w="590" w:type="pct"/>
          </w:tcPr>
          <w:p w:rsidR="00786914" w:rsidRPr="008047D4" w:rsidRDefault="00786914" w:rsidP="0006743B">
            <w:pPr>
              <w:pStyle w:val="TableText"/>
              <w:rPr>
                <w:szCs w:val="18"/>
              </w:rPr>
            </w:pPr>
            <w:r w:rsidRPr="008047D4">
              <w:rPr>
                <w:szCs w:val="18"/>
              </w:rPr>
              <w:t>HoLEP: 40</w:t>
            </w:r>
          </w:p>
          <w:p w:rsidR="00786914" w:rsidRPr="008047D4" w:rsidRDefault="00786914" w:rsidP="0006743B">
            <w:pPr>
              <w:pStyle w:val="TableText"/>
              <w:rPr>
                <w:szCs w:val="18"/>
                <w:highlight w:val="yellow"/>
              </w:rPr>
            </w:pPr>
            <w:r w:rsidRPr="008047D4">
              <w:rPr>
                <w:szCs w:val="18"/>
              </w:rPr>
              <w:t>TURP: 40</w:t>
            </w:r>
          </w:p>
        </w:tc>
        <w:tc>
          <w:tcPr>
            <w:tcW w:w="545" w:type="pct"/>
          </w:tcPr>
          <w:p w:rsidR="00786914" w:rsidRPr="008047D4" w:rsidRDefault="00786914" w:rsidP="0006743B">
            <w:pPr>
              <w:pStyle w:val="TableText"/>
              <w:rPr>
                <w:szCs w:val="18"/>
              </w:rPr>
            </w:pPr>
            <w:r w:rsidRPr="008047D4">
              <w:rPr>
                <w:szCs w:val="18"/>
              </w:rPr>
              <w:t>RCT</w:t>
            </w:r>
          </w:p>
        </w:tc>
        <w:tc>
          <w:tcPr>
            <w:tcW w:w="1453" w:type="pct"/>
          </w:tcPr>
          <w:p w:rsidR="00786914" w:rsidRPr="008047D4" w:rsidRDefault="00786914" w:rsidP="0006743B">
            <w:pPr>
              <w:pStyle w:val="TableText"/>
              <w:rPr>
                <w:szCs w:val="18"/>
              </w:rPr>
            </w:pPr>
            <w:r w:rsidRPr="008047D4">
              <w:rPr>
                <w:szCs w:val="18"/>
              </w:rPr>
              <w:t xml:space="preserve">Patients with BOO caused by BHP, with related voiding symptoms, prostate size between 30–100 g , who had not responded to pharmacologic therapy, with AUA symptom score ≥12 and Qmax ≤15ml/s. </w:t>
            </w:r>
          </w:p>
        </w:tc>
        <w:tc>
          <w:tcPr>
            <w:tcW w:w="1669" w:type="pct"/>
          </w:tcPr>
          <w:p w:rsidR="00786914" w:rsidRPr="008047D4" w:rsidRDefault="00786914" w:rsidP="0006743B">
            <w:pPr>
              <w:pStyle w:val="TableText"/>
              <w:rPr>
                <w:szCs w:val="18"/>
              </w:rPr>
            </w:pPr>
            <w:r w:rsidRPr="008047D4">
              <w:rPr>
                <w:szCs w:val="18"/>
              </w:rPr>
              <w:t xml:space="preserve">Outcomes reported at 1, 6 and 12 months post-surgery. HoLEP (with tissue morcellation) compared to TURP. </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Safety outcomes:</w:t>
            </w:r>
          </w:p>
          <w:p w:rsidR="00786914" w:rsidRPr="008047D4" w:rsidRDefault="00786914" w:rsidP="0006743B">
            <w:pPr>
              <w:pStyle w:val="TableText"/>
              <w:rPr>
                <w:szCs w:val="18"/>
              </w:rPr>
            </w:pPr>
            <w:r w:rsidRPr="008047D4">
              <w:rPr>
                <w:szCs w:val="18"/>
              </w:rPr>
              <w:t>blood transfusion</w:t>
            </w:r>
          </w:p>
          <w:p w:rsidR="00786914" w:rsidRPr="008047D4" w:rsidRDefault="00786914" w:rsidP="0006743B">
            <w:pPr>
              <w:pStyle w:val="TableText"/>
              <w:rPr>
                <w:szCs w:val="18"/>
              </w:rPr>
            </w:pPr>
            <w:r w:rsidRPr="008047D4">
              <w:rPr>
                <w:szCs w:val="18"/>
              </w:rPr>
              <w:t>urethral stricture</w:t>
            </w:r>
          </w:p>
          <w:p w:rsidR="00786914" w:rsidRPr="008047D4" w:rsidRDefault="00786914" w:rsidP="0006743B">
            <w:pPr>
              <w:pStyle w:val="TableText"/>
              <w:rPr>
                <w:szCs w:val="18"/>
              </w:rPr>
            </w:pPr>
            <w:r w:rsidRPr="008047D4">
              <w:rPr>
                <w:szCs w:val="18"/>
              </w:rPr>
              <w:t>incontinence.</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Effectiveness outcomes:</w:t>
            </w:r>
          </w:p>
          <w:p w:rsidR="00786914" w:rsidRPr="008047D4" w:rsidRDefault="00786914" w:rsidP="0006743B">
            <w:pPr>
              <w:pStyle w:val="TableText"/>
              <w:rPr>
                <w:szCs w:val="18"/>
              </w:rPr>
            </w:pPr>
            <w:r w:rsidRPr="008047D4">
              <w:rPr>
                <w:szCs w:val="18"/>
              </w:rPr>
              <w:t>peak flow</w:t>
            </w:r>
          </w:p>
          <w:p w:rsidR="00786914" w:rsidRPr="008047D4" w:rsidRDefault="00786914" w:rsidP="0006743B">
            <w:pPr>
              <w:pStyle w:val="TableText"/>
              <w:rPr>
                <w:szCs w:val="18"/>
              </w:rPr>
            </w:pPr>
            <w:r w:rsidRPr="008047D4">
              <w:rPr>
                <w:szCs w:val="18"/>
              </w:rPr>
              <w:t>AUA symptom scores</w:t>
            </w:r>
          </w:p>
          <w:p w:rsidR="00786914" w:rsidRPr="008047D4" w:rsidRDefault="00786914" w:rsidP="0006743B">
            <w:pPr>
              <w:pStyle w:val="TableText"/>
              <w:rPr>
                <w:szCs w:val="18"/>
              </w:rPr>
            </w:pPr>
            <w:r w:rsidRPr="008047D4">
              <w:rPr>
                <w:szCs w:val="18"/>
              </w:rPr>
              <w:t>PVR</w:t>
            </w:r>
          </w:p>
          <w:p w:rsidR="00786914" w:rsidRPr="008047D4" w:rsidRDefault="00786914" w:rsidP="0006743B">
            <w:pPr>
              <w:pStyle w:val="TableText"/>
              <w:rPr>
                <w:szCs w:val="18"/>
              </w:rPr>
            </w:pPr>
            <w:r w:rsidRPr="008047D4">
              <w:rPr>
                <w:szCs w:val="18"/>
              </w:rPr>
              <w:t>prostate volume</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Cost-related outcomes:</w:t>
            </w:r>
          </w:p>
          <w:p w:rsidR="00786914" w:rsidRPr="008047D4" w:rsidRDefault="00786914" w:rsidP="0006743B">
            <w:pPr>
              <w:pStyle w:val="TableText"/>
              <w:rPr>
                <w:szCs w:val="18"/>
              </w:rPr>
            </w:pPr>
            <w:r w:rsidRPr="008047D4">
              <w:rPr>
                <w:szCs w:val="18"/>
              </w:rPr>
              <w:t>length of operation</w:t>
            </w:r>
          </w:p>
          <w:p w:rsidR="00786914" w:rsidRPr="008047D4" w:rsidRDefault="00786914" w:rsidP="0006743B">
            <w:pPr>
              <w:pStyle w:val="TableText"/>
              <w:rPr>
                <w:szCs w:val="18"/>
              </w:rPr>
            </w:pPr>
            <w:r w:rsidRPr="008047D4">
              <w:rPr>
                <w:szCs w:val="18"/>
              </w:rPr>
              <w:t>length of catheterisation</w:t>
            </w:r>
          </w:p>
          <w:p w:rsidR="00786914" w:rsidRPr="008047D4" w:rsidRDefault="00786914" w:rsidP="0006743B">
            <w:pPr>
              <w:pStyle w:val="TableText"/>
              <w:rPr>
                <w:szCs w:val="18"/>
                <w:highlight w:val="yellow"/>
              </w:rPr>
            </w:pPr>
            <w:r w:rsidRPr="008047D4">
              <w:rPr>
                <w:szCs w:val="18"/>
              </w:rPr>
              <w:t>length of hospital stay</w:t>
            </w:r>
          </w:p>
        </w:tc>
      </w:tr>
      <w:tr w:rsidR="00786914" w:rsidTr="0006743B">
        <w:tc>
          <w:tcPr>
            <w:tcW w:w="743" w:type="pct"/>
          </w:tcPr>
          <w:p w:rsidR="00786914" w:rsidRPr="008047D4" w:rsidRDefault="00786914" w:rsidP="0006743B">
            <w:pPr>
              <w:pStyle w:val="TableText"/>
              <w:rPr>
                <w:szCs w:val="18"/>
              </w:rPr>
            </w:pPr>
            <w:r w:rsidRPr="008047D4">
              <w:rPr>
                <w:szCs w:val="18"/>
              </w:rPr>
              <w:t>Mavuduru et al (2009)</w:t>
            </w:r>
          </w:p>
        </w:tc>
        <w:tc>
          <w:tcPr>
            <w:tcW w:w="590" w:type="pct"/>
          </w:tcPr>
          <w:p w:rsidR="00786914" w:rsidRPr="008047D4" w:rsidRDefault="00786914" w:rsidP="0006743B">
            <w:pPr>
              <w:pStyle w:val="TableText"/>
              <w:rPr>
                <w:szCs w:val="18"/>
              </w:rPr>
            </w:pPr>
            <w:r w:rsidRPr="008047D4">
              <w:rPr>
                <w:szCs w:val="18"/>
              </w:rPr>
              <w:t>HoLEP: 15</w:t>
            </w:r>
          </w:p>
          <w:p w:rsidR="00786914" w:rsidRPr="008047D4" w:rsidRDefault="00786914" w:rsidP="0006743B">
            <w:pPr>
              <w:pStyle w:val="TableText"/>
              <w:rPr>
                <w:szCs w:val="18"/>
                <w:highlight w:val="yellow"/>
              </w:rPr>
            </w:pPr>
            <w:r w:rsidRPr="008047D4">
              <w:rPr>
                <w:szCs w:val="18"/>
              </w:rPr>
              <w:t>TURP: 15</w:t>
            </w:r>
          </w:p>
        </w:tc>
        <w:tc>
          <w:tcPr>
            <w:tcW w:w="545" w:type="pct"/>
          </w:tcPr>
          <w:p w:rsidR="00786914" w:rsidRPr="008047D4" w:rsidRDefault="00786914" w:rsidP="0006743B">
            <w:pPr>
              <w:pStyle w:val="TableText"/>
              <w:rPr>
                <w:szCs w:val="18"/>
              </w:rPr>
            </w:pPr>
            <w:r w:rsidRPr="008047D4">
              <w:rPr>
                <w:szCs w:val="18"/>
              </w:rPr>
              <w:t>RCT</w:t>
            </w:r>
          </w:p>
        </w:tc>
        <w:tc>
          <w:tcPr>
            <w:tcW w:w="1453" w:type="pct"/>
          </w:tcPr>
          <w:p w:rsidR="00786914" w:rsidRPr="008047D4" w:rsidRDefault="00786914" w:rsidP="0006743B">
            <w:pPr>
              <w:pStyle w:val="TableText"/>
              <w:rPr>
                <w:szCs w:val="18"/>
              </w:rPr>
            </w:pPr>
            <w:r w:rsidRPr="008047D4">
              <w:rPr>
                <w:szCs w:val="18"/>
              </w:rPr>
              <w:t xml:space="preserve">Patients eligible for surgery for symptomatic BPH </w:t>
            </w:r>
          </w:p>
        </w:tc>
        <w:tc>
          <w:tcPr>
            <w:tcW w:w="1669" w:type="pct"/>
          </w:tcPr>
          <w:p w:rsidR="00786914" w:rsidRPr="008047D4" w:rsidRDefault="00786914" w:rsidP="0006743B">
            <w:pPr>
              <w:pStyle w:val="TableText"/>
              <w:rPr>
                <w:szCs w:val="18"/>
              </w:rPr>
            </w:pPr>
            <w:r w:rsidRPr="008047D4">
              <w:rPr>
                <w:szCs w:val="18"/>
              </w:rPr>
              <w:t>Outcomes at 3 months and 9 months post-surgery.</w:t>
            </w:r>
          </w:p>
          <w:p w:rsidR="00786914" w:rsidRPr="008047D4" w:rsidRDefault="00786914" w:rsidP="0006743B">
            <w:pPr>
              <w:pStyle w:val="TableText"/>
              <w:rPr>
                <w:szCs w:val="18"/>
              </w:rPr>
            </w:pPr>
            <w:r w:rsidRPr="008047D4">
              <w:rPr>
                <w:szCs w:val="18"/>
              </w:rPr>
              <w:t>HoLEP (morcellation was only used in one patient) compared to TURP.</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Safety outcomes:</w:t>
            </w:r>
          </w:p>
          <w:p w:rsidR="00786914" w:rsidRPr="008047D4" w:rsidRDefault="00786914" w:rsidP="0006743B">
            <w:pPr>
              <w:pStyle w:val="TableText"/>
              <w:rPr>
                <w:szCs w:val="18"/>
              </w:rPr>
            </w:pPr>
            <w:r w:rsidRPr="008047D4">
              <w:rPr>
                <w:szCs w:val="18"/>
              </w:rPr>
              <w:t>blood transfusion</w:t>
            </w:r>
          </w:p>
          <w:p w:rsidR="00786914" w:rsidRPr="008047D4" w:rsidRDefault="00786914" w:rsidP="0006743B">
            <w:pPr>
              <w:pStyle w:val="TableText"/>
              <w:rPr>
                <w:szCs w:val="18"/>
              </w:rPr>
            </w:pPr>
            <w:r w:rsidRPr="008047D4">
              <w:rPr>
                <w:szCs w:val="18"/>
              </w:rPr>
              <w:lastRenderedPageBreak/>
              <w:t>capsular perforations</w:t>
            </w:r>
          </w:p>
          <w:p w:rsidR="00786914" w:rsidRPr="008047D4" w:rsidRDefault="00786914" w:rsidP="0006743B">
            <w:pPr>
              <w:pStyle w:val="TableText"/>
              <w:rPr>
                <w:szCs w:val="18"/>
              </w:rPr>
            </w:pPr>
            <w:r w:rsidRPr="008047D4">
              <w:rPr>
                <w:szCs w:val="18"/>
              </w:rPr>
              <w:t>urethral stricture</w:t>
            </w:r>
          </w:p>
          <w:p w:rsidR="00786914" w:rsidRPr="008047D4" w:rsidRDefault="00786914" w:rsidP="0006743B">
            <w:pPr>
              <w:pStyle w:val="TableText"/>
              <w:rPr>
                <w:szCs w:val="18"/>
              </w:rPr>
            </w:pPr>
            <w:r w:rsidRPr="008047D4">
              <w:rPr>
                <w:szCs w:val="18"/>
              </w:rPr>
              <w:t>incontinence</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Effectiveness outcomes:</w:t>
            </w:r>
          </w:p>
          <w:p w:rsidR="00786914" w:rsidRPr="008047D4" w:rsidRDefault="00786914" w:rsidP="0006743B">
            <w:pPr>
              <w:pStyle w:val="TableText"/>
              <w:rPr>
                <w:szCs w:val="18"/>
              </w:rPr>
            </w:pPr>
            <w:r w:rsidRPr="008047D4">
              <w:rPr>
                <w:szCs w:val="18"/>
              </w:rPr>
              <w:t>IPSS symptom scores</w:t>
            </w:r>
          </w:p>
          <w:p w:rsidR="00786914" w:rsidRPr="008047D4" w:rsidRDefault="00786914" w:rsidP="0006743B">
            <w:pPr>
              <w:pStyle w:val="TableText"/>
              <w:rPr>
                <w:szCs w:val="18"/>
              </w:rPr>
            </w:pPr>
            <w:r w:rsidRPr="008047D4">
              <w:rPr>
                <w:szCs w:val="18"/>
              </w:rPr>
              <w:t>PVR</w:t>
            </w:r>
          </w:p>
          <w:p w:rsidR="00786914" w:rsidRPr="008047D4" w:rsidRDefault="00786914" w:rsidP="0006743B">
            <w:pPr>
              <w:pStyle w:val="TableText"/>
              <w:rPr>
                <w:szCs w:val="18"/>
              </w:rPr>
            </w:pPr>
            <w:r w:rsidRPr="008047D4">
              <w:rPr>
                <w:szCs w:val="18"/>
              </w:rPr>
              <w:t>prostate volume)</w:t>
            </w:r>
          </w:p>
          <w:p w:rsidR="00786914" w:rsidRPr="008047D4" w:rsidRDefault="00786914" w:rsidP="0006743B">
            <w:pPr>
              <w:pStyle w:val="TableText"/>
              <w:rPr>
                <w:szCs w:val="18"/>
              </w:rPr>
            </w:pPr>
          </w:p>
          <w:p w:rsidR="00786914" w:rsidRPr="008047D4" w:rsidRDefault="00786914" w:rsidP="0006743B">
            <w:pPr>
              <w:pStyle w:val="TableText"/>
              <w:rPr>
                <w:szCs w:val="18"/>
              </w:rPr>
            </w:pPr>
            <w:r w:rsidRPr="008047D4">
              <w:rPr>
                <w:szCs w:val="18"/>
              </w:rPr>
              <w:t>Cost-related outcomes:</w:t>
            </w:r>
          </w:p>
          <w:p w:rsidR="00786914" w:rsidRPr="008047D4" w:rsidRDefault="00786914" w:rsidP="0006743B">
            <w:pPr>
              <w:pStyle w:val="TableText"/>
              <w:rPr>
                <w:szCs w:val="18"/>
              </w:rPr>
            </w:pPr>
            <w:r w:rsidRPr="008047D4">
              <w:rPr>
                <w:szCs w:val="18"/>
              </w:rPr>
              <w:t>length of operation</w:t>
            </w:r>
          </w:p>
          <w:p w:rsidR="00786914" w:rsidRPr="008047D4" w:rsidRDefault="00786914" w:rsidP="0006743B">
            <w:pPr>
              <w:pStyle w:val="TableText"/>
              <w:rPr>
                <w:szCs w:val="18"/>
                <w:highlight w:val="yellow"/>
              </w:rPr>
            </w:pPr>
            <w:r w:rsidRPr="008047D4">
              <w:rPr>
                <w:szCs w:val="18"/>
              </w:rPr>
              <w:t>length of catheterisation</w:t>
            </w:r>
          </w:p>
        </w:tc>
      </w:tr>
    </w:tbl>
    <w:p w:rsidR="00786914" w:rsidRPr="00075E37" w:rsidRDefault="00786914" w:rsidP="00FF41C8">
      <w:pPr>
        <w:pStyle w:val="Normalbold"/>
        <w:rPr>
          <w:sz w:val="20"/>
        </w:rPr>
      </w:pPr>
      <w:r w:rsidRPr="00075E37">
        <w:rPr>
          <w:sz w:val="20"/>
        </w:rPr>
        <w:lastRenderedPageBreak/>
        <w:t>BOO = Bladder outlet obstruction; PVR=post-void residual volume; AUA score=American Urological Association score; Qmax=peak urinary flow rate.</w:t>
      </w:r>
    </w:p>
    <w:p w:rsidR="00786914" w:rsidRDefault="00786914" w:rsidP="00FF41C8">
      <w:pPr>
        <w:pStyle w:val="Normalbold"/>
      </w:pPr>
      <w:bookmarkStart w:id="174" w:name="_Toc327877868"/>
      <w:r w:rsidRPr="009944F5">
        <w:t>Quality assessment</w:t>
      </w:r>
      <w:bookmarkEnd w:id="174"/>
    </w:p>
    <w:p w:rsidR="00786914" w:rsidRDefault="00786914" w:rsidP="0006743B">
      <w:r>
        <w:t xml:space="preserve">The two additional new studies identified in the updated literature search relevant to the comparison between HoLEP and TURP had an unclear risk of bias. While sequence generation was undertaken by a computer generated table, allocation concealment was not described. No details were given regarding blinding of patients, personnel or outcomes assessors, although this is not unusual in surgery </w:t>
      </w:r>
      <w:r w:rsidRPr="00490F23">
        <w:t xml:space="preserve">trials </w:t>
      </w:r>
      <w:r w:rsidRPr="00490F23">
        <w:rPr>
          <w:noProof/>
        </w:rPr>
        <w:t>(McCulloch et al 2002)</w:t>
      </w:r>
      <w:r w:rsidRPr="00490F23">
        <w:t>. It is unlikely</w:t>
      </w:r>
      <w:r>
        <w:t xml:space="preserve"> however that lack of blinding will have a significant impact on the reported results as the majority of the primary measures of effectiveness are functional outcomes. Follow-up of patients (attribution bias) was generally not well reported.</w:t>
      </w:r>
    </w:p>
    <w:p w:rsidR="00786914" w:rsidRDefault="00786914" w:rsidP="0006743B">
      <w:pPr>
        <w:pStyle w:val="Normalbold"/>
        <w:rPr>
          <w:rFonts w:cs="Calibri"/>
          <w:u w:val="single"/>
        </w:rPr>
      </w:pPr>
      <w:bookmarkStart w:id="175" w:name="_Toc327877869"/>
      <w:r w:rsidRPr="00490F23">
        <w:t>Approach to assessing HoLEP in comparison to OP</w:t>
      </w:r>
      <w:bookmarkEnd w:id="175"/>
    </w:p>
    <w:p w:rsidR="00786914" w:rsidRDefault="00786914" w:rsidP="0006743B">
      <w:r w:rsidRPr="00A92607">
        <w:t xml:space="preserve">The systematic review undertaken by the </w:t>
      </w:r>
      <w:r w:rsidRPr="00DC61A9">
        <w:t>ANZHSN</w:t>
      </w:r>
      <w:r w:rsidRPr="00A92607">
        <w:t xml:space="preserve"> was undertaken to examine the current state of development of laser prostatectomy. The report constitutes the most extensive comparison of HoLEP and OP that met the inclusion criteria, and could therefore be used for updating of the HoLEP and OP outcomes. The report also compared HoLEP and TURP. Although published more recently, the studies identified in the review had either been used by Lourenco </w:t>
      </w:r>
      <w:r>
        <w:t xml:space="preserve">et al </w:t>
      </w:r>
      <w:r w:rsidRPr="00A92607">
        <w:t xml:space="preserve">or had been independently identified in this assessment. This systematic review was therefore not chosen over Lourenco </w:t>
      </w:r>
      <w:r>
        <w:t xml:space="preserve">et al </w:t>
      </w:r>
      <w:r w:rsidRPr="00A92607">
        <w:t xml:space="preserve">in the analysis of HoLEP with TURP. </w:t>
      </w:r>
      <w:r>
        <w:t xml:space="preserve">The characteristics and quality assessment of this ANZHSN review is summarised in </w:t>
      </w:r>
      <w:r w:rsidR="00766F46">
        <w:fldChar w:fldCharType="begin"/>
      </w:r>
      <w:r w:rsidR="00766F46">
        <w:instrText xml:space="preserve"> REF _Ref323307738 \h  \* MERGEFORMAT </w:instrText>
      </w:r>
      <w:r w:rsidR="00766F46">
        <w:fldChar w:fldCharType="separate"/>
      </w:r>
      <w:r w:rsidR="00F45C43">
        <w:t xml:space="preserve">Table </w:t>
      </w:r>
      <w:r w:rsidR="00F45C43">
        <w:rPr>
          <w:noProof/>
        </w:rPr>
        <w:t>14</w:t>
      </w:r>
      <w:r w:rsidR="00766F46">
        <w:fldChar w:fldCharType="end"/>
      </w:r>
      <w:r>
        <w:t xml:space="preserve"> below.</w:t>
      </w:r>
    </w:p>
    <w:p w:rsidR="00786914" w:rsidRDefault="00786914" w:rsidP="0006743B">
      <w:pPr>
        <w:rPr>
          <w:rFonts w:cs="Calibri"/>
          <w:noProof/>
        </w:rPr>
      </w:pPr>
      <w:r>
        <w:rPr>
          <w:rFonts w:eastAsia="Calibri"/>
          <w:lang w:eastAsia="en-US"/>
        </w:rPr>
        <w:t>In addition to the studies included in this review, t</w:t>
      </w:r>
      <w:r>
        <w:rPr>
          <w:rFonts w:cs="Calibri"/>
          <w:noProof/>
        </w:rPr>
        <w:t xml:space="preserve">hree other non-randomised comparative studies were also reported. These however did not meet the inclusion criteria. </w:t>
      </w:r>
    </w:p>
    <w:p w:rsidR="00786914" w:rsidRDefault="00786914" w:rsidP="0006743B">
      <w:pPr>
        <w:rPr>
          <w:rFonts w:cs="Calibri"/>
        </w:rPr>
      </w:pPr>
      <w:r w:rsidRPr="00B21F04">
        <w:rPr>
          <w:rFonts w:cs="Calibri"/>
        </w:rPr>
        <w:t xml:space="preserve">No additional studies were identified in the </w:t>
      </w:r>
      <w:r>
        <w:rPr>
          <w:rFonts w:cs="Calibri"/>
        </w:rPr>
        <w:t>literature search</w:t>
      </w:r>
      <w:r w:rsidRPr="00B21F04">
        <w:rPr>
          <w:rFonts w:cs="Calibri"/>
        </w:rPr>
        <w:t xml:space="preserve">. </w:t>
      </w:r>
      <w:r>
        <w:rPr>
          <w:rFonts w:cs="Calibri"/>
        </w:rPr>
        <w:t>Consequently,</w:t>
      </w:r>
      <w:r w:rsidRPr="00B21F04">
        <w:rPr>
          <w:rFonts w:cs="Calibri"/>
        </w:rPr>
        <w:t xml:space="preserve"> the assessment of </w:t>
      </w:r>
      <w:r>
        <w:rPr>
          <w:rFonts w:cs="Calibri"/>
        </w:rPr>
        <w:t xml:space="preserve">comparative </w:t>
      </w:r>
      <w:r w:rsidRPr="00B21F04">
        <w:rPr>
          <w:rFonts w:cs="Calibri"/>
        </w:rPr>
        <w:t>safety and effectiveness</w:t>
      </w:r>
      <w:r>
        <w:rPr>
          <w:rFonts w:cs="Calibri"/>
        </w:rPr>
        <w:t xml:space="preserve"> of HoLEP and OP</w:t>
      </w:r>
      <w:r w:rsidRPr="00B21F04">
        <w:rPr>
          <w:rFonts w:cs="Calibri"/>
        </w:rPr>
        <w:t xml:space="preserve"> is based on </w:t>
      </w:r>
      <w:r>
        <w:rPr>
          <w:rFonts w:cs="Calibri"/>
        </w:rPr>
        <w:t xml:space="preserve">the </w:t>
      </w:r>
      <w:r w:rsidRPr="00B21F04">
        <w:rPr>
          <w:rFonts w:cs="Calibri"/>
        </w:rPr>
        <w:t xml:space="preserve">two </w:t>
      </w:r>
      <w:r>
        <w:rPr>
          <w:rFonts w:cs="Calibri"/>
        </w:rPr>
        <w:t>RCTs referred to above.</w:t>
      </w:r>
    </w:p>
    <w:p w:rsidR="00786914" w:rsidRPr="008047D4" w:rsidRDefault="00786914" w:rsidP="0006743B">
      <w:pPr>
        <w:rPr>
          <w:b/>
        </w:rPr>
      </w:pPr>
      <w:r w:rsidRPr="008047D4">
        <w:rPr>
          <w:b/>
        </w:rPr>
        <w:t>Quality assessment</w:t>
      </w:r>
    </w:p>
    <w:p w:rsidR="00786914" w:rsidRDefault="00786914" w:rsidP="0006743B">
      <w:r>
        <w:t xml:space="preserve">The two RCTs included in the assessment of HoLEP in comparison with OP were also assessed in terms of risk of bias. Both these studies had an unclear risk of bias due to the lack of details described in terms of randomisation and blinding. Sequence generation was reported for both but no further details were given in respect to allocation </w:t>
      </w:r>
      <w:r>
        <w:lastRenderedPageBreak/>
        <w:t xml:space="preserve">concealment. Blinding of patients, personnel or outcomes assessors was not described. </w:t>
      </w:r>
      <w:r w:rsidRPr="00490F23">
        <w:t>Reasons for loss to follow-up were not given in the paper by Naspro et al (2006). They were however listed in Kuntz et al (2008).</w:t>
      </w:r>
      <w:r w:rsidR="00AA2203">
        <w:t xml:space="preserve"> </w:t>
      </w:r>
    </w:p>
    <w:p w:rsidR="00786914" w:rsidRDefault="00786914" w:rsidP="0006743B">
      <w:pPr>
        <w:pStyle w:val="Caption"/>
        <w:rPr>
          <w:rFonts w:eastAsia="Calibri"/>
          <w:szCs w:val="24"/>
          <w:lang w:eastAsia="en-US"/>
        </w:rPr>
      </w:pPr>
      <w:bookmarkStart w:id="176" w:name="_Ref323307738"/>
      <w:bookmarkStart w:id="177" w:name="_Ref323630045"/>
      <w:bookmarkStart w:id="178" w:name="_Toc327803261"/>
      <w:bookmarkStart w:id="179" w:name="_Toc327881551"/>
      <w:r>
        <w:t xml:space="preserve">Table </w:t>
      </w:r>
      <w:fldSimple w:instr=" SEQ Table \* ARABIC ">
        <w:r w:rsidR="00F45C43">
          <w:rPr>
            <w:noProof/>
          </w:rPr>
          <w:t>14</w:t>
        </w:r>
      </w:fldSimple>
      <w:bookmarkEnd w:id="176"/>
      <w:r>
        <w:t>:</w:t>
      </w:r>
      <w:r>
        <w:tab/>
        <w:t>Characteristics and appraisal of ANZHSN report</w:t>
      </w:r>
      <w:bookmarkEnd w:id="177"/>
      <w:bookmarkEnd w:id="178"/>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828"/>
        <w:gridCol w:w="2693"/>
        <w:gridCol w:w="3889"/>
      </w:tblGrid>
      <w:tr w:rsidR="00786914" w:rsidRPr="0060612F" w:rsidTr="0006743B">
        <w:tc>
          <w:tcPr>
            <w:tcW w:w="450" w:type="pct"/>
          </w:tcPr>
          <w:p w:rsidR="00786914" w:rsidRPr="007045B9" w:rsidRDefault="00786914" w:rsidP="0006743B">
            <w:pPr>
              <w:pStyle w:val="Tableheading"/>
            </w:pPr>
            <w:r w:rsidRPr="007045B9">
              <w:t xml:space="preserve">Author </w:t>
            </w:r>
          </w:p>
          <w:p w:rsidR="00786914" w:rsidRPr="007045B9" w:rsidRDefault="00786914" w:rsidP="0006743B">
            <w:pPr>
              <w:pStyle w:val="Tableheading"/>
            </w:pPr>
            <w:r w:rsidRPr="007045B9">
              <w:t>Year</w:t>
            </w:r>
          </w:p>
          <w:p w:rsidR="00786914" w:rsidRPr="007045B9" w:rsidRDefault="00786914" w:rsidP="0006743B">
            <w:pPr>
              <w:pStyle w:val="Tableheading"/>
            </w:pPr>
            <w:r w:rsidRPr="007045B9">
              <w:t>Country</w:t>
            </w:r>
          </w:p>
        </w:tc>
        <w:tc>
          <w:tcPr>
            <w:tcW w:w="989" w:type="pct"/>
          </w:tcPr>
          <w:p w:rsidR="00786914" w:rsidRPr="007045B9" w:rsidRDefault="00786914" w:rsidP="0006743B">
            <w:pPr>
              <w:pStyle w:val="Tableheading"/>
            </w:pPr>
            <w:r w:rsidRPr="007045B9">
              <w:t>Studies included</w:t>
            </w:r>
          </w:p>
        </w:tc>
        <w:tc>
          <w:tcPr>
            <w:tcW w:w="1457" w:type="pct"/>
          </w:tcPr>
          <w:p w:rsidR="00786914" w:rsidRPr="007045B9" w:rsidRDefault="00786914" w:rsidP="0006743B">
            <w:pPr>
              <w:pStyle w:val="Tableheading"/>
            </w:pPr>
            <w:r w:rsidRPr="007045B9">
              <w:t>Methods</w:t>
            </w:r>
          </w:p>
          <w:p w:rsidR="00786914" w:rsidRPr="007045B9" w:rsidRDefault="00786914" w:rsidP="0006743B">
            <w:pPr>
              <w:pStyle w:val="Tableheading"/>
            </w:pPr>
          </w:p>
        </w:tc>
        <w:tc>
          <w:tcPr>
            <w:tcW w:w="2104" w:type="pct"/>
          </w:tcPr>
          <w:p w:rsidR="00786914" w:rsidRPr="007045B9" w:rsidRDefault="00786914" w:rsidP="0006743B">
            <w:pPr>
              <w:pStyle w:val="Tableheading"/>
            </w:pPr>
            <w:r w:rsidRPr="007045B9">
              <w:t>Quality assessment</w:t>
            </w:r>
          </w:p>
        </w:tc>
      </w:tr>
      <w:tr w:rsidR="00786914" w:rsidRPr="006572D8" w:rsidTr="0006743B">
        <w:tc>
          <w:tcPr>
            <w:tcW w:w="450" w:type="pct"/>
          </w:tcPr>
          <w:p w:rsidR="00786914" w:rsidRPr="007045B9" w:rsidRDefault="00786914" w:rsidP="0006743B">
            <w:pPr>
              <w:pStyle w:val="TableText"/>
            </w:pPr>
            <w:r w:rsidRPr="007045B9">
              <w:t>ANZHSN</w:t>
            </w:r>
          </w:p>
          <w:p w:rsidR="00786914" w:rsidRPr="007045B9" w:rsidRDefault="00786914" w:rsidP="0006743B">
            <w:pPr>
              <w:pStyle w:val="TableText"/>
            </w:pPr>
            <w:r>
              <w:t>(</w:t>
            </w:r>
            <w:r w:rsidRPr="007045B9">
              <w:t>2010</w:t>
            </w:r>
            <w:r>
              <w:t>)</w:t>
            </w:r>
          </w:p>
          <w:p w:rsidR="00786914" w:rsidRPr="007045B9" w:rsidRDefault="00786914" w:rsidP="0006743B">
            <w:pPr>
              <w:pStyle w:val="TableText"/>
            </w:pPr>
            <w:r w:rsidRPr="007045B9">
              <w:t>Australia</w:t>
            </w:r>
          </w:p>
        </w:tc>
        <w:tc>
          <w:tcPr>
            <w:tcW w:w="989" w:type="pct"/>
          </w:tcPr>
          <w:p w:rsidR="00786914" w:rsidRPr="00805073" w:rsidRDefault="00786914" w:rsidP="0006743B">
            <w:pPr>
              <w:pStyle w:val="TableText"/>
              <w:rPr>
                <w:rFonts w:eastAsia="Calibri"/>
                <w:lang w:val="fr-FR"/>
              </w:rPr>
            </w:pPr>
            <w:r>
              <w:rPr>
                <w:rFonts w:eastAsia="Calibri"/>
                <w:lang w:val="fr-FR"/>
              </w:rPr>
              <w:t xml:space="preserve">Naspro et al </w:t>
            </w:r>
            <w:r>
              <w:rPr>
                <w:rFonts w:eastAsia="Calibri"/>
                <w:noProof/>
                <w:lang w:val="fr-FR"/>
              </w:rPr>
              <w:t>(2006)</w:t>
            </w:r>
          </w:p>
          <w:p w:rsidR="00786914" w:rsidRPr="00805073" w:rsidRDefault="00786914" w:rsidP="0006743B">
            <w:pPr>
              <w:pStyle w:val="TableText"/>
              <w:rPr>
                <w:rFonts w:eastAsia="Calibri"/>
                <w:lang w:val="fr-FR"/>
              </w:rPr>
            </w:pPr>
            <w:r w:rsidRPr="00805073">
              <w:rPr>
                <w:rFonts w:eastAsia="Calibri"/>
                <w:lang w:val="fr-FR"/>
              </w:rPr>
              <w:t xml:space="preserve">Kuntz et al </w:t>
            </w:r>
            <w:r>
              <w:rPr>
                <w:rFonts w:eastAsia="Calibri"/>
                <w:noProof/>
                <w:lang w:val="fr-FR"/>
              </w:rPr>
              <w:t>(2008)</w:t>
            </w:r>
          </w:p>
          <w:p w:rsidR="00786914" w:rsidRPr="00805073" w:rsidRDefault="00786914" w:rsidP="0006743B">
            <w:pPr>
              <w:pStyle w:val="TableText"/>
              <w:rPr>
                <w:lang w:val="fr-FR"/>
              </w:rPr>
            </w:pPr>
          </w:p>
        </w:tc>
        <w:tc>
          <w:tcPr>
            <w:tcW w:w="1457" w:type="pct"/>
          </w:tcPr>
          <w:p w:rsidR="00786914" w:rsidRPr="007045B9" w:rsidRDefault="00786914" w:rsidP="0006743B">
            <w:pPr>
              <w:pStyle w:val="TableText"/>
              <w:rPr>
                <w:rFonts w:eastAsia="Calibri"/>
              </w:rPr>
            </w:pPr>
            <w:r w:rsidRPr="007045B9">
              <w:rPr>
                <w:rFonts w:eastAsia="Calibri"/>
              </w:rPr>
              <w:t>Databases searched: AustHealth,</w:t>
            </w:r>
            <w:r>
              <w:rPr>
                <w:rFonts w:eastAsia="Calibri"/>
              </w:rPr>
              <w:t xml:space="preserve"> </w:t>
            </w:r>
            <w:r w:rsidRPr="007045B9">
              <w:rPr>
                <w:rFonts w:eastAsia="Calibri"/>
              </w:rPr>
              <w:t xml:space="preserve">Australian Medical </w:t>
            </w:r>
            <w:r>
              <w:rPr>
                <w:rFonts w:eastAsia="Calibri"/>
              </w:rPr>
              <w:t>I</w:t>
            </w:r>
            <w:r w:rsidRPr="007045B9">
              <w:rPr>
                <w:rFonts w:eastAsia="Calibri"/>
              </w:rPr>
              <w:t>ndex, CINAHL, Cochrane Library, Current Contents, Embase, Pre-Medline, Medline, P</w:t>
            </w:r>
            <w:r>
              <w:rPr>
                <w:rFonts w:eastAsia="Calibri"/>
              </w:rPr>
              <w:t>s</w:t>
            </w:r>
            <w:r w:rsidRPr="007045B9">
              <w:rPr>
                <w:rFonts w:eastAsia="Calibri"/>
              </w:rPr>
              <w:t>yc</w:t>
            </w:r>
            <w:r>
              <w:rPr>
                <w:rFonts w:eastAsia="Calibri"/>
              </w:rPr>
              <w:t>h</w:t>
            </w:r>
            <w:r w:rsidRPr="007045B9">
              <w:rPr>
                <w:rFonts w:eastAsia="Calibri"/>
              </w:rPr>
              <w:t xml:space="preserve">INFO, RACS electronic library. </w:t>
            </w:r>
          </w:p>
          <w:p w:rsidR="00786914" w:rsidRPr="007045B9" w:rsidRDefault="00786914" w:rsidP="0006743B">
            <w:pPr>
              <w:pStyle w:val="TableText"/>
              <w:rPr>
                <w:rFonts w:eastAsia="Calibri"/>
              </w:rPr>
            </w:pPr>
          </w:p>
          <w:p w:rsidR="00786914" w:rsidRPr="007045B9" w:rsidRDefault="00786914" w:rsidP="0006743B">
            <w:pPr>
              <w:pStyle w:val="TableText"/>
              <w:rPr>
                <w:rFonts w:eastAsia="Calibri"/>
              </w:rPr>
            </w:pPr>
            <w:r w:rsidRPr="007045B9">
              <w:rPr>
                <w:rFonts w:eastAsia="Calibri"/>
              </w:rPr>
              <w:t>11 HTA websites were also searched.</w:t>
            </w:r>
          </w:p>
          <w:p w:rsidR="00786914" w:rsidRPr="007045B9" w:rsidRDefault="00786914" w:rsidP="0006743B">
            <w:pPr>
              <w:pStyle w:val="TableText"/>
              <w:rPr>
                <w:rFonts w:eastAsia="Calibri"/>
              </w:rPr>
            </w:pPr>
          </w:p>
          <w:p w:rsidR="00786914" w:rsidRPr="007045B9" w:rsidRDefault="00786914" w:rsidP="0006743B">
            <w:pPr>
              <w:pStyle w:val="TableText"/>
              <w:rPr>
                <w:rFonts w:eastAsia="Calibri"/>
              </w:rPr>
            </w:pPr>
            <w:r w:rsidRPr="007045B9">
              <w:rPr>
                <w:rFonts w:eastAsia="Calibri"/>
              </w:rPr>
              <w:t xml:space="preserve">Time period of search: </w:t>
            </w:r>
            <w:r>
              <w:rPr>
                <w:rFonts w:eastAsia="Calibri"/>
              </w:rPr>
              <w:t>t</w:t>
            </w:r>
            <w:r w:rsidRPr="007045B9">
              <w:rPr>
                <w:rFonts w:eastAsia="Calibri"/>
              </w:rPr>
              <w:t>o 20 March 2010</w:t>
            </w:r>
          </w:p>
          <w:p w:rsidR="00786914" w:rsidRPr="007045B9" w:rsidRDefault="00786914" w:rsidP="0006743B">
            <w:pPr>
              <w:pStyle w:val="TableText"/>
              <w:rPr>
                <w:rFonts w:eastAsia="Calibri"/>
              </w:rPr>
            </w:pPr>
          </w:p>
          <w:p w:rsidR="00786914" w:rsidRPr="007045B9" w:rsidRDefault="00786914" w:rsidP="0006743B">
            <w:pPr>
              <w:pStyle w:val="TableText"/>
              <w:rPr>
                <w:rFonts w:eastAsia="Calibri"/>
              </w:rPr>
            </w:pPr>
            <w:r w:rsidRPr="007045B9">
              <w:rPr>
                <w:rFonts w:eastAsia="Calibri"/>
              </w:rPr>
              <w:t>Comparators: HoLEP</w:t>
            </w:r>
            <w:r>
              <w:rPr>
                <w:rFonts w:eastAsia="Calibri"/>
              </w:rPr>
              <w:t xml:space="preserve"> </w:t>
            </w:r>
            <w:r w:rsidRPr="007045B9">
              <w:rPr>
                <w:rFonts w:eastAsia="Calibri"/>
              </w:rPr>
              <w:t>vs TURP and OP</w:t>
            </w:r>
          </w:p>
          <w:p w:rsidR="00786914" w:rsidRPr="007045B9" w:rsidRDefault="00786914" w:rsidP="0006743B">
            <w:pPr>
              <w:pStyle w:val="TableText"/>
              <w:rPr>
                <w:rFonts w:eastAsia="Calibri"/>
              </w:rPr>
            </w:pPr>
          </w:p>
          <w:p w:rsidR="00786914" w:rsidRPr="007045B9" w:rsidRDefault="00786914" w:rsidP="0006743B">
            <w:pPr>
              <w:pStyle w:val="TableText"/>
            </w:pPr>
            <w:r w:rsidRPr="007045B9">
              <w:t xml:space="preserve">Outcomes: </w:t>
            </w:r>
            <w:r>
              <w:t>s</w:t>
            </w:r>
            <w:r w:rsidRPr="007045B9">
              <w:t>afety, effectiveness, cost-effectiveness</w:t>
            </w:r>
          </w:p>
        </w:tc>
        <w:tc>
          <w:tcPr>
            <w:tcW w:w="2104" w:type="pct"/>
          </w:tcPr>
          <w:p w:rsidR="00786914" w:rsidRPr="007045B9" w:rsidRDefault="00786914" w:rsidP="0006743B">
            <w:pPr>
              <w:pStyle w:val="TableText"/>
              <w:rPr>
                <w:rFonts w:eastAsia="Calibri"/>
              </w:rPr>
            </w:pPr>
            <w:r w:rsidRPr="007045B9">
              <w:rPr>
                <w:rFonts w:eastAsia="Calibri"/>
              </w:rPr>
              <w:t>Quality: Low</w:t>
            </w:r>
          </w:p>
          <w:p w:rsidR="00786914" w:rsidRPr="007045B9" w:rsidRDefault="00786914" w:rsidP="0006743B">
            <w:pPr>
              <w:pStyle w:val="TableText"/>
              <w:rPr>
                <w:rFonts w:eastAsia="Calibri"/>
              </w:rPr>
            </w:pPr>
            <w:r w:rsidRPr="007045B9">
              <w:rPr>
                <w:rFonts w:eastAsia="Calibri"/>
              </w:rPr>
              <w:t>Explicit review questions:</w:t>
            </w:r>
            <w:r>
              <w:rPr>
                <w:rFonts w:eastAsia="Calibri"/>
              </w:rPr>
              <w:t xml:space="preserve"> </w:t>
            </w:r>
            <w:r w:rsidRPr="007045B9">
              <w:rPr>
                <w:rFonts w:eastAsia="Calibri"/>
              </w:rPr>
              <w:t>No</w:t>
            </w:r>
          </w:p>
          <w:p w:rsidR="00786914" w:rsidRPr="007045B9" w:rsidRDefault="00786914" w:rsidP="0006743B">
            <w:pPr>
              <w:pStyle w:val="TableText"/>
              <w:rPr>
                <w:rFonts w:eastAsia="Calibri"/>
              </w:rPr>
            </w:pPr>
            <w:r w:rsidRPr="007045B9">
              <w:rPr>
                <w:rFonts w:eastAsia="Calibri"/>
              </w:rPr>
              <w:t>Explicit &amp; appropriate eligibility criteria: No</w:t>
            </w:r>
          </w:p>
          <w:p w:rsidR="00786914" w:rsidRPr="007045B9" w:rsidRDefault="00786914" w:rsidP="0006743B">
            <w:pPr>
              <w:pStyle w:val="TableText"/>
              <w:rPr>
                <w:rFonts w:eastAsia="Calibri"/>
              </w:rPr>
            </w:pPr>
            <w:r w:rsidRPr="007045B9">
              <w:rPr>
                <w:rFonts w:eastAsia="Calibri"/>
              </w:rPr>
              <w:t>Explicit &amp; comprehensive search strategy: Yes</w:t>
            </w:r>
          </w:p>
          <w:p w:rsidR="00786914" w:rsidRPr="007045B9" w:rsidRDefault="00786914" w:rsidP="0006743B">
            <w:pPr>
              <w:pStyle w:val="TableText"/>
              <w:rPr>
                <w:rFonts w:eastAsia="Calibri"/>
              </w:rPr>
            </w:pPr>
            <w:r w:rsidRPr="007045B9">
              <w:rPr>
                <w:rFonts w:eastAsia="Calibri"/>
              </w:rPr>
              <w:t>Quality of included studies appraised: Yes</w:t>
            </w:r>
          </w:p>
          <w:p w:rsidR="00786914" w:rsidRPr="007045B9" w:rsidRDefault="00786914" w:rsidP="0006743B">
            <w:pPr>
              <w:pStyle w:val="TableText"/>
              <w:rPr>
                <w:rFonts w:eastAsia="Calibri"/>
              </w:rPr>
            </w:pPr>
            <w:r w:rsidRPr="007045B9">
              <w:rPr>
                <w:rFonts w:eastAsia="Calibri"/>
              </w:rPr>
              <w:t>Methods of study appraisal reproducible</w:t>
            </w:r>
            <w:r w:rsidRPr="00512CC9">
              <w:rPr>
                <w:rFonts w:eastAsia="Calibri"/>
              </w:rPr>
              <w:t>:</w:t>
            </w:r>
            <w:r w:rsidRPr="007045B9">
              <w:rPr>
                <w:rFonts w:eastAsia="Calibri"/>
              </w:rPr>
              <w:t xml:space="preserve"> No.</w:t>
            </w:r>
          </w:p>
          <w:p w:rsidR="00786914" w:rsidRPr="007045B9" w:rsidRDefault="00786914" w:rsidP="0006743B">
            <w:pPr>
              <w:pStyle w:val="TableText"/>
              <w:rPr>
                <w:rFonts w:eastAsia="Calibri"/>
              </w:rPr>
            </w:pPr>
            <w:r w:rsidRPr="007045B9">
              <w:rPr>
                <w:rFonts w:eastAsia="Calibri"/>
              </w:rPr>
              <w:t>Heterogeneity between studies assessed: N/A</w:t>
            </w:r>
          </w:p>
          <w:p w:rsidR="00786914" w:rsidRPr="007045B9" w:rsidRDefault="00786914" w:rsidP="0006743B">
            <w:pPr>
              <w:pStyle w:val="TableText"/>
            </w:pPr>
            <w:r w:rsidRPr="007045B9">
              <w:rPr>
                <w:rFonts w:eastAsia="Calibri"/>
              </w:rPr>
              <w:t>Summary of main results clear and appropriate:  Yes</w:t>
            </w:r>
          </w:p>
        </w:tc>
      </w:tr>
    </w:tbl>
    <w:p w:rsidR="00786914" w:rsidRDefault="00786914" w:rsidP="0006743B">
      <w:pPr>
        <w:spacing w:after="0"/>
        <w:ind w:left="0"/>
        <w:rPr>
          <w:rFonts w:eastAsia="Calibri"/>
          <w:szCs w:val="24"/>
          <w:lang w:eastAsia="en-US"/>
        </w:rPr>
      </w:pPr>
    </w:p>
    <w:p w:rsidR="00786914" w:rsidRPr="004C6B15" w:rsidRDefault="00786914" w:rsidP="0006743B">
      <w:pPr>
        <w:pStyle w:val="Heading2"/>
        <w:rPr>
          <w:bCs/>
        </w:rPr>
      </w:pPr>
      <w:bookmarkStart w:id="180" w:name="_Toc323642286"/>
      <w:bookmarkStart w:id="181" w:name="_Toc327877870"/>
      <w:bookmarkStart w:id="182" w:name="_Toc365900574"/>
      <w:r>
        <w:rPr>
          <w:bCs/>
        </w:rPr>
        <w:t>Is it safe? HoLEP compared with TURP</w:t>
      </w:r>
      <w:bookmarkEnd w:id="180"/>
      <w:bookmarkEnd w:id="181"/>
      <w:bookmarkEnd w:id="182"/>
    </w:p>
    <w:p w:rsidR="00786914" w:rsidRDefault="00786914" w:rsidP="0006743B">
      <w:r>
        <w:t xml:space="preserve">Pooling of information with respect to rates of blood transfusion, urethral stricture and incontinence was possible based on the data extracted from the studies identified in the Lourenco et al review and those identified in the updated literature search. A summary of this information is provided in </w:t>
      </w:r>
      <w:r w:rsidR="00766F46">
        <w:fldChar w:fldCharType="begin"/>
      </w:r>
      <w:r w:rsidR="00766F46">
        <w:instrText xml:space="preserve"> REF _Ref323308029 \h  \* MERGEFORMAT </w:instrText>
      </w:r>
      <w:r w:rsidR="00766F46">
        <w:fldChar w:fldCharType="separate"/>
      </w:r>
      <w:r w:rsidR="00F45C43">
        <w:t>Table 15</w:t>
      </w:r>
      <w:r w:rsidR="00766F46">
        <w:fldChar w:fldCharType="end"/>
      </w:r>
      <w:r>
        <w:t xml:space="preserve"> below. Lourenco et al also analysed data in relation to acute urinary retention and urinary tract infection. The further studies identified in this review did not report on these outcomes. Accordingly, a summary of these results from the Lourenco et al analysis are included in the Table 15.</w:t>
      </w:r>
    </w:p>
    <w:p w:rsidR="00786914" w:rsidRDefault="00786914" w:rsidP="0006743B">
      <w:pPr>
        <w:pStyle w:val="Caption"/>
      </w:pPr>
      <w:bookmarkStart w:id="183" w:name="_Ref323308029"/>
      <w:bookmarkStart w:id="184" w:name="_Ref323640881"/>
      <w:bookmarkStart w:id="185" w:name="_Toc327803262"/>
      <w:bookmarkStart w:id="186" w:name="_Toc327881552"/>
      <w:r>
        <w:t xml:space="preserve">Table </w:t>
      </w:r>
      <w:fldSimple w:instr=" SEQ Table \* ARABIC ">
        <w:r w:rsidR="00F45C43">
          <w:rPr>
            <w:noProof/>
          </w:rPr>
          <w:t>15</w:t>
        </w:r>
      </w:fldSimple>
      <w:bookmarkEnd w:id="183"/>
      <w:r>
        <w:t>:</w:t>
      </w:r>
      <w:r>
        <w:tab/>
        <w:t>Safety outcomes: HoLEP in comparison with TURP</w:t>
      </w:r>
      <w:bookmarkEnd w:id="184"/>
      <w:bookmarkEnd w:id="185"/>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979"/>
        <w:gridCol w:w="1315"/>
        <w:gridCol w:w="765"/>
        <w:gridCol w:w="765"/>
        <w:gridCol w:w="1447"/>
        <w:gridCol w:w="896"/>
        <w:gridCol w:w="583"/>
        <w:gridCol w:w="733"/>
      </w:tblGrid>
      <w:tr w:rsidR="00786914" w:rsidRPr="00602C71" w:rsidTr="0006743B">
        <w:trPr>
          <w:trHeight w:val="300"/>
        </w:trPr>
        <w:tc>
          <w:tcPr>
            <w:tcW w:w="916" w:type="pct"/>
            <w:shd w:val="clear" w:color="auto" w:fill="auto"/>
            <w:noWrap/>
            <w:vAlign w:val="bottom"/>
          </w:tcPr>
          <w:p w:rsidR="00786914" w:rsidRPr="00A162FF" w:rsidRDefault="00786914" w:rsidP="0006743B">
            <w:pPr>
              <w:pStyle w:val="Tableheading"/>
            </w:pPr>
            <w:r w:rsidRPr="00A162FF">
              <w:t> Outcome</w:t>
            </w:r>
          </w:p>
        </w:tc>
        <w:tc>
          <w:tcPr>
            <w:tcW w:w="493" w:type="pct"/>
            <w:shd w:val="clear" w:color="auto" w:fill="auto"/>
            <w:noWrap/>
            <w:vAlign w:val="bottom"/>
          </w:tcPr>
          <w:p w:rsidR="00786914" w:rsidRPr="00A162FF" w:rsidRDefault="00786914" w:rsidP="0006743B">
            <w:pPr>
              <w:pStyle w:val="Tableheading"/>
            </w:pPr>
            <w:r w:rsidRPr="00A162FF">
              <w:t>Studies (n)</w:t>
            </w:r>
          </w:p>
        </w:tc>
        <w:tc>
          <w:tcPr>
            <w:tcW w:w="704" w:type="pct"/>
            <w:shd w:val="clear" w:color="auto" w:fill="auto"/>
            <w:noWrap/>
            <w:vAlign w:val="bottom"/>
          </w:tcPr>
          <w:p w:rsidR="00786914" w:rsidRPr="00A162FF" w:rsidRDefault="00786914" w:rsidP="0006743B">
            <w:pPr>
              <w:pStyle w:val="Tableheading"/>
            </w:pPr>
            <w:r w:rsidRPr="00A162FF">
              <w:t>Patients HoLEP</w:t>
            </w:r>
          </w:p>
          <w:p w:rsidR="00786914" w:rsidRPr="00A162FF" w:rsidRDefault="00786914" w:rsidP="0006743B">
            <w:pPr>
              <w:pStyle w:val="Tableheading"/>
            </w:pPr>
            <w:r w:rsidRPr="00A162FF">
              <w:t>/TURP</w:t>
            </w:r>
          </w:p>
          <w:p w:rsidR="00786914" w:rsidRPr="00A162FF" w:rsidRDefault="00786914" w:rsidP="0006743B">
            <w:pPr>
              <w:pStyle w:val="Tableheading"/>
            </w:pPr>
            <w:r w:rsidRPr="00A162FF">
              <w:t xml:space="preserve"> (n)</w:t>
            </w:r>
          </w:p>
        </w:tc>
        <w:tc>
          <w:tcPr>
            <w:tcW w:w="493" w:type="pct"/>
            <w:shd w:val="clear" w:color="auto" w:fill="auto"/>
            <w:vAlign w:val="bottom"/>
          </w:tcPr>
          <w:p w:rsidR="00786914" w:rsidRPr="00A162FF" w:rsidRDefault="00786914" w:rsidP="0006743B">
            <w:pPr>
              <w:pStyle w:val="Tableheading"/>
            </w:pPr>
            <w:r w:rsidRPr="00A162FF">
              <w:t>HoLEP</w:t>
            </w:r>
          </w:p>
          <w:p w:rsidR="00786914" w:rsidRPr="00A162FF" w:rsidRDefault="00786914" w:rsidP="0006743B">
            <w:pPr>
              <w:pStyle w:val="Tableheading"/>
            </w:pPr>
            <w:r w:rsidRPr="00A162FF">
              <w:t>(</w:t>
            </w:r>
            <w:r>
              <w:t>total events</w:t>
            </w:r>
            <w:r w:rsidRPr="00A162FF">
              <w:t>)</w:t>
            </w:r>
          </w:p>
        </w:tc>
        <w:tc>
          <w:tcPr>
            <w:tcW w:w="493" w:type="pct"/>
            <w:shd w:val="clear" w:color="auto" w:fill="auto"/>
            <w:vAlign w:val="bottom"/>
          </w:tcPr>
          <w:p w:rsidR="00786914" w:rsidRPr="00A162FF" w:rsidRDefault="00786914" w:rsidP="0006743B">
            <w:pPr>
              <w:pStyle w:val="Tableheading"/>
            </w:pPr>
            <w:r w:rsidRPr="00A162FF">
              <w:t>TURP (</w:t>
            </w:r>
            <w:r>
              <w:t>total events</w:t>
            </w:r>
            <w:r w:rsidRPr="00A162FF">
              <w:t>)</w:t>
            </w:r>
          </w:p>
        </w:tc>
        <w:tc>
          <w:tcPr>
            <w:tcW w:w="563" w:type="pct"/>
            <w:shd w:val="clear" w:color="auto" w:fill="auto"/>
            <w:noWrap/>
            <w:vAlign w:val="bottom"/>
          </w:tcPr>
          <w:p w:rsidR="00786914" w:rsidRPr="00A162FF" w:rsidRDefault="00786914" w:rsidP="0006743B">
            <w:pPr>
              <w:pStyle w:val="Tableheading"/>
            </w:pPr>
            <w:r w:rsidRPr="00A162FF">
              <w:t>Estimate of effect</w:t>
            </w:r>
          </w:p>
        </w:tc>
        <w:tc>
          <w:tcPr>
            <w:tcW w:w="563" w:type="pct"/>
            <w:shd w:val="clear" w:color="auto" w:fill="auto"/>
            <w:noWrap/>
            <w:vAlign w:val="bottom"/>
          </w:tcPr>
          <w:p w:rsidR="00786914" w:rsidRPr="00A162FF" w:rsidRDefault="00786914" w:rsidP="0006743B">
            <w:pPr>
              <w:pStyle w:val="Tableheading"/>
            </w:pPr>
            <w:r w:rsidRPr="00A162FF">
              <w:t>Range</w:t>
            </w:r>
          </w:p>
          <w:p w:rsidR="00786914" w:rsidRPr="00A162FF" w:rsidRDefault="00786914" w:rsidP="0006743B">
            <w:pPr>
              <w:pStyle w:val="Tableheading"/>
            </w:pPr>
            <w:r w:rsidRPr="00A162FF">
              <w:t>(95% CI)*</w:t>
            </w:r>
          </w:p>
        </w:tc>
        <w:tc>
          <w:tcPr>
            <w:tcW w:w="352" w:type="pct"/>
            <w:shd w:val="clear" w:color="auto" w:fill="auto"/>
            <w:noWrap/>
            <w:vAlign w:val="bottom"/>
          </w:tcPr>
          <w:p w:rsidR="00786914" w:rsidRPr="00A162FF" w:rsidRDefault="00786914" w:rsidP="0006743B">
            <w:pPr>
              <w:pStyle w:val="Tableheading"/>
            </w:pPr>
            <w:r w:rsidRPr="00A162FF">
              <w:t>I</w:t>
            </w:r>
            <w:r w:rsidRPr="008508D8">
              <w:rPr>
                <w:vertAlign w:val="superscript"/>
              </w:rPr>
              <w:t>2</w:t>
            </w:r>
            <w:r w:rsidRPr="00A162FF">
              <w:t xml:space="preserve"> (%)</w:t>
            </w:r>
          </w:p>
        </w:tc>
        <w:tc>
          <w:tcPr>
            <w:tcW w:w="423" w:type="pct"/>
            <w:shd w:val="clear" w:color="auto" w:fill="auto"/>
            <w:noWrap/>
            <w:vAlign w:val="bottom"/>
          </w:tcPr>
          <w:p w:rsidR="00786914" w:rsidRPr="00A162FF" w:rsidRDefault="00786914" w:rsidP="0006743B">
            <w:pPr>
              <w:pStyle w:val="Tableheading"/>
            </w:pPr>
            <w:r w:rsidRPr="00A162FF">
              <w:t>p-value</w:t>
            </w:r>
          </w:p>
        </w:tc>
      </w:tr>
      <w:tr w:rsidR="00786914" w:rsidRPr="00602C71" w:rsidTr="0006743B">
        <w:trPr>
          <w:trHeight w:val="255"/>
        </w:trPr>
        <w:tc>
          <w:tcPr>
            <w:tcW w:w="916" w:type="pct"/>
            <w:shd w:val="clear" w:color="auto" w:fill="auto"/>
            <w:noWrap/>
            <w:vAlign w:val="bottom"/>
          </w:tcPr>
          <w:p w:rsidR="00786914" w:rsidRPr="008047D4" w:rsidRDefault="00786914" w:rsidP="0006743B">
            <w:pPr>
              <w:pStyle w:val="TableText"/>
            </w:pPr>
            <w:r w:rsidRPr="008047D4">
              <w:t>Blood transfusion rate</w:t>
            </w:r>
          </w:p>
        </w:tc>
        <w:tc>
          <w:tcPr>
            <w:tcW w:w="493" w:type="pct"/>
            <w:shd w:val="clear" w:color="auto" w:fill="auto"/>
            <w:noWrap/>
            <w:vAlign w:val="bottom"/>
          </w:tcPr>
          <w:p w:rsidR="00786914" w:rsidRPr="008047D4" w:rsidRDefault="00786914" w:rsidP="0006743B">
            <w:pPr>
              <w:pStyle w:val="TableText"/>
            </w:pPr>
            <w:r w:rsidRPr="008047D4">
              <w:t>7</w:t>
            </w:r>
          </w:p>
        </w:tc>
        <w:tc>
          <w:tcPr>
            <w:tcW w:w="704" w:type="pct"/>
            <w:shd w:val="clear" w:color="auto" w:fill="auto"/>
            <w:noWrap/>
            <w:vAlign w:val="bottom"/>
          </w:tcPr>
          <w:p w:rsidR="00786914" w:rsidRPr="008047D4" w:rsidRDefault="00786914" w:rsidP="0006743B">
            <w:pPr>
              <w:pStyle w:val="TableText"/>
            </w:pPr>
            <w:r w:rsidRPr="008047D4">
              <w:t>348/342</w:t>
            </w:r>
          </w:p>
        </w:tc>
        <w:tc>
          <w:tcPr>
            <w:tcW w:w="493" w:type="pct"/>
            <w:shd w:val="clear" w:color="auto" w:fill="auto"/>
            <w:vAlign w:val="bottom"/>
          </w:tcPr>
          <w:p w:rsidR="00786914" w:rsidRPr="008047D4" w:rsidRDefault="00786914" w:rsidP="0006743B">
            <w:pPr>
              <w:pStyle w:val="TableText"/>
            </w:pPr>
            <w:r w:rsidRPr="008047D4">
              <w:t>1</w:t>
            </w:r>
          </w:p>
        </w:tc>
        <w:tc>
          <w:tcPr>
            <w:tcW w:w="493" w:type="pct"/>
            <w:shd w:val="clear" w:color="auto" w:fill="auto"/>
            <w:vAlign w:val="bottom"/>
          </w:tcPr>
          <w:p w:rsidR="00786914" w:rsidRPr="008047D4" w:rsidRDefault="00786914" w:rsidP="0006743B">
            <w:pPr>
              <w:pStyle w:val="TableText"/>
            </w:pPr>
            <w:r w:rsidRPr="008047D4">
              <w:t>13</w:t>
            </w:r>
          </w:p>
        </w:tc>
        <w:tc>
          <w:tcPr>
            <w:tcW w:w="563" w:type="pct"/>
            <w:shd w:val="clear" w:color="auto" w:fill="auto"/>
            <w:noWrap/>
            <w:vAlign w:val="bottom"/>
          </w:tcPr>
          <w:p w:rsidR="00786914" w:rsidRPr="008047D4" w:rsidRDefault="00786914" w:rsidP="0006743B">
            <w:pPr>
              <w:pStyle w:val="TableText"/>
            </w:pPr>
            <w:r w:rsidRPr="008047D4">
              <w:t>RR 0.27</w:t>
            </w:r>
          </w:p>
        </w:tc>
        <w:tc>
          <w:tcPr>
            <w:tcW w:w="563" w:type="pct"/>
            <w:shd w:val="clear" w:color="auto" w:fill="auto"/>
            <w:noWrap/>
            <w:vAlign w:val="bottom"/>
          </w:tcPr>
          <w:p w:rsidR="00786914" w:rsidRPr="008047D4" w:rsidRDefault="00786914" w:rsidP="0006743B">
            <w:pPr>
              <w:pStyle w:val="TableText"/>
            </w:pPr>
            <w:r w:rsidRPr="008047D4">
              <w:t>0.09–0.85</w:t>
            </w:r>
          </w:p>
        </w:tc>
        <w:tc>
          <w:tcPr>
            <w:tcW w:w="352" w:type="pct"/>
            <w:shd w:val="clear" w:color="auto" w:fill="auto"/>
            <w:noWrap/>
            <w:vAlign w:val="bottom"/>
          </w:tcPr>
          <w:p w:rsidR="00786914" w:rsidRPr="008047D4" w:rsidRDefault="00786914" w:rsidP="0006743B">
            <w:pPr>
              <w:pStyle w:val="TableText"/>
            </w:pPr>
            <w:r w:rsidRPr="008047D4">
              <w:t>0</w:t>
            </w:r>
          </w:p>
        </w:tc>
        <w:tc>
          <w:tcPr>
            <w:tcW w:w="423" w:type="pct"/>
            <w:shd w:val="clear" w:color="auto" w:fill="auto"/>
            <w:noWrap/>
            <w:vAlign w:val="bottom"/>
          </w:tcPr>
          <w:p w:rsidR="00786914" w:rsidRPr="008047D4" w:rsidRDefault="00786914" w:rsidP="0006743B">
            <w:pPr>
              <w:pStyle w:val="TableText"/>
            </w:pPr>
            <w:r w:rsidRPr="008047D4">
              <w:t>0.02</w:t>
            </w:r>
          </w:p>
        </w:tc>
      </w:tr>
      <w:tr w:rsidR="00786914" w:rsidRPr="00602C71" w:rsidTr="0006743B">
        <w:trPr>
          <w:trHeight w:val="255"/>
        </w:trPr>
        <w:tc>
          <w:tcPr>
            <w:tcW w:w="916" w:type="pct"/>
            <w:shd w:val="clear" w:color="auto" w:fill="auto"/>
            <w:noWrap/>
            <w:vAlign w:val="bottom"/>
          </w:tcPr>
          <w:p w:rsidR="00786914" w:rsidRPr="008C5F6E" w:rsidRDefault="00786914" w:rsidP="0006743B">
            <w:pPr>
              <w:pStyle w:val="TableText"/>
            </w:pPr>
            <w:r w:rsidRPr="008C5F6E">
              <w:t>Urethral stricture</w:t>
            </w:r>
          </w:p>
        </w:tc>
        <w:tc>
          <w:tcPr>
            <w:tcW w:w="493" w:type="pct"/>
            <w:shd w:val="clear" w:color="auto" w:fill="auto"/>
            <w:noWrap/>
            <w:vAlign w:val="bottom"/>
          </w:tcPr>
          <w:p w:rsidR="00786914" w:rsidRPr="008C5F6E" w:rsidRDefault="00786914" w:rsidP="0006743B">
            <w:pPr>
              <w:pStyle w:val="TableText"/>
            </w:pPr>
            <w:r w:rsidRPr="008C5F6E">
              <w:t>7</w:t>
            </w:r>
          </w:p>
        </w:tc>
        <w:tc>
          <w:tcPr>
            <w:tcW w:w="704" w:type="pct"/>
            <w:shd w:val="clear" w:color="auto" w:fill="auto"/>
            <w:noWrap/>
            <w:vAlign w:val="bottom"/>
          </w:tcPr>
          <w:p w:rsidR="00786914" w:rsidRPr="008C5F6E" w:rsidRDefault="00786914" w:rsidP="0006743B">
            <w:pPr>
              <w:pStyle w:val="TableText"/>
            </w:pPr>
            <w:r w:rsidRPr="008C5F6E">
              <w:t>322/309</w:t>
            </w:r>
          </w:p>
        </w:tc>
        <w:tc>
          <w:tcPr>
            <w:tcW w:w="493" w:type="pct"/>
            <w:shd w:val="clear" w:color="auto" w:fill="auto"/>
            <w:vAlign w:val="bottom"/>
          </w:tcPr>
          <w:p w:rsidR="00786914" w:rsidRPr="008C5F6E" w:rsidRDefault="00786914" w:rsidP="0006743B">
            <w:pPr>
              <w:pStyle w:val="TableText"/>
            </w:pPr>
            <w:r w:rsidRPr="008C5F6E">
              <w:t>14</w:t>
            </w:r>
          </w:p>
        </w:tc>
        <w:tc>
          <w:tcPr>
            <w:tcW w:w="493" w:type="pct"/>
            <w:shd w:val="clear" w:color="auto" w:fill="auto"/>
            <w:vAlign w:val="bottom"/>
          </w:tcPr>
          <w:p w:rsidR="00786914" w:rsidRPr="008C5F6E" w:rsidRDefault="00786914" w:rsidP="0006743B">
            <w:pPr>
              <w:pStyle w:val="TableText"/>
            </w:pPr>
            <w:r w:rsidRPr="008C5F6E">
              <w:t>23</w:t>
            </w:r>
          </w:p>
        </w:tc>
        <w:tc>
          <w:tcPr>
            <w:tcW w:w="563" w:type="pct"/>
            <w:shd w:val="clear" w:color="auto" w:fill="auto"/>
            <w:noWrap/>
            <w:vAlign w:val="bottom"/>
          </w:tcPr>
          <w:p w:rsidR="00786914" w:rsidRPr="008C5F6E" w:rsidRDefault="00786914" w:rsidP="0006743B">
            <w:pPr>
              <w:pStyle w:val="TableText"/>
            </w:pPr>
            <w:r w:rsidRPr="008C5F6E">
              <w:t>RR 0.65</w:t>
            </w:r>
          </w:p>
        </w:tc>
        <w:tc>
          <w:tcPr>
            <w:tcW w:w="563" w:type="pct"/>
            <w:shd w:val="clear" w:color="auto" w:fill="auto"/>
            <w:noWrap/>
            <w:vAlign w:val="bottom"/>
          </w:tcPr>
          <w:p w:rsidR="00786914" w:rsidRPr="008C5F6E" w:rsidRDefault="00786914" w:rsidP="0006743B">
            <w:pPr>
              <w:pStyle w:val="TableText"/>
            </w:pPr>
            <w:r w:rsidRPr="008C5F6E">
              <w:t>0.33-1.27</w:t>
            </w:r>
          </w:p>
        </w:tc>
        <w:tc>
          <w:tcPr>
            <w:tcW w:w="352" w:type="pct"/>
            <w:shd w:val="clear" w:color="auto" w:fill="auto"/>
            <w:noWrap/>
            <w:vAlign w:val="bottom"/>
          </w:tcPr>
          <w:p w:rsidR="00786914" w:rsidRPr="008C5F6E" w:rsidRDefault="00786914" w:rsidP="0006743B">
            <w:pPr>
              <w:pStyle w:val="TableText"/>
            </w:pPr>
            <w:r w:rsidRPr="008C5F6E">
              <w:t>0</w:t>
            </w:r>
          </w:p>
        </w:tc>
        <w:tc>
          <w:tcPr>
            <w:tcW w:w="423" w:type="pct"/>
            <w:shd w:val="clear" w:color="auto" w:fill="auto"/>
            <w:noWrap/>
            <w:vAlign w:val="bottom"/>
          </w:tcPr>
          <w:p w:rsidR="00786914" w:rsidRPr="008C5F6E" w:rsidRDefault="00786914" w:rsidP="0006743B">
            <w:pPr>
              <w:pStyle w:val="TableText"/>
            </w:pPr>
            <w:r w:rsidRPr="008C5F6E">
              <w:t>0.21</w:t>
            </w:r>
          </w:p>
        </w:tc>
      </w:tr>
      <w:tr w:rsidR="00786914" w:rsidRPr="00602C71" w:rsidTr="0006743B">
        <w:trPr>
          <w:trHeight w:val="80"/>
        </w:trPr>
        <w:tc>
          <w:tcPr>
            <w:tcW w:w="916" w:type="pct"/>
            <w:shd w:val="clear" w:color="auto" w:fill="auto"/>
            <w:noWrap/>
            <w:vAlign w:val="bottom"/>
          </w:tcPr>
          <w:p w:rsidR="00786914" w:rsidRPr="008047D4" w:rsidRDefault="00786914" w:rsidP="0006743B">
            <w:pPr>
              <w:pStyle w:val="TableText"/>
            </w:pPr>
            <w:r w:rsidRPr="008047D4">
              <w:t>Incontinence</w:t>
            </w:r>
          </w:p>
        </w:tc>
        <w:tc>
          <w:tcPr>
            <w:tcW w:w="493" w:type="pct"/>
            <w:shd w:val="clear" w:color="auto" w:fill="auto"/>
            <w:noWrap/>
            <w:vAlign w:val="bottom"/>
          </w:tcPr>
          <w:p w:rsidR="00786914" w:rsidRPr="008047D4" w:rsidRDefault="00786914" w:rsidP="0006743B">
            <w:pPr>
              <w:pStyle w:val="TableText"/>
            </w:pPr>
            <w:r w:rsidRPr="008047D4">
              <w:t>6</w:t>
            </w:r>
          </w:p>
        </w:tc>
        <w:tc>
          <w:tcPr>
            <w:tcW w:w="704" w:type="pct"/>
            <w:shd w:val="clear" w:color="auto" w:fill="auto"/>
            <w:noWrap/>
            <w:vAlign w:val="bottom"/>
          </w:tcPr>
          <w:p w:rsidR="00786914" w:rsidRPr="008047D4" w:rsidRDefault="00786914" w:rsidP="0006743B">
            <w:pPr>
              <w:pStyle w:val="TableText"/>
            </w:pPr>
            <w:r w:rsidRPr="008047D4">
              <w:t>306/296</w:t>
            </w:r>
          </w:p>
        </w:tc>
        <w:tc>
          <w:tcPr>
            <w:tcW w:w="493" w:type="pct"/>
            <w:shd w:val="clear" w:color="auto" w:fill="auto"/>
            <w:vAlign w:val="bottom"/>
          </w:tcPr>
          <w:p w:rsidR="00786914" w:rsidRPr="008047D4" w:rsidRDefault="00786914" w:rsidP="0006743B">
            <w:pPr>
              <w:pStyle w:val="TableText"/>
            </w:pPr>
            <w:r w:rsidRPr="008047D4">
              <w:t>7</w:t>
            </w:r>
          </w:p>
        </w:tc>
        <w:tc>
          <w:tcPr>
            <w:tcW w:w="493" w:type="pct"/>
            <w:shd w:val="clear" w:color="auto" w:fill="auto"/>
            <w:vAlign w:val="bottom"/>
          </w:tcPr>
          <w:p w:rsidR="00786914" w:rsidRPr="008047D4" w:rsidRDefault="00786914" w:rsidP="0006743B">
            <w:pPr>
              <w:pStyle w:val="TableText"/>
            </w:pPr>
            <w:r w:rsidRPr="008047D4">
              <w:t>8</w:t>
            </w:r>
          </w:p>
        </w:tc>
        <w:tc>
          <w:tcPr>
            <w:tcW w:w="563" w:type="pct"/>
            <w:shd w:val="clear" w:color="auto" w:fill="auto"/>
            <w:noWrap/>
            <w:vAlign w:val="bottom"/>
          </w:tcPr>
          <w:p w:rsidR="00786914" w:rsidRPr="008047D4" w:rsidRDefault="00786914" w:rsidP="0006743B">
            <w:pPr>
              <w:pStyle w:val="TableText"/>
            </w:pPr>
            <w:r w:rsidRPr="008047D4">
              <w:t>RR 0.84</w:t>
            </w:r>
          </w:p>
        </w:tc>
        <w:tc>
          <w:tcPr>
            <w:tcW w:w="563" w:type="pct"/>
            <w:shd w:val="clear" w:color="auto" w:fill="auto"/>
            <w:noWrap/>
            <w:vAlign w:val="bottom"/>
          </w:tcPr>
          <w:p w:rsidR="00786914" w:rsidRPr="008047D4" w:rsidRDefault="00786914" w:rsidP="0006743B">
            <w:pPr>
              <w:pStyle w:val="TableText"/>
            </w:pPr>
            <w:r w:rsidRPr="008047D4">
              <w:t>0.31–2.28</w:t>
            </w:r>
          </w:p>
        </w:tc>
        <w:tc>
          <w:tcPr>
            <w:tcW w:w="352" w:type="pct"/>
            <w:shd w:val="clear" w:color="auto" w:fill="auto"/>
            <w:noWrap/>
            <w:vAlign w:val="bottom"/>
          </w:tcPr>
          <w:p w:rsidR="00786914" w:rsidRPr="008047D4" w:rsidRDefault="00786914" w:rsidP="0006743B">
            <w:pPr>
              <w:pStyle w:val="TableText"/>
            </w:pPr>
            <w:r w:rsidRPr="008047D4">
              <w:t>0</w:t>
            </w:r>
          </w:p>
        </w:tc>
        <w:tc>
          <w:tcPr>
            <w:tcW w:w="423" w:type="pct"/>
            <w:shd w:val="clear" w:color="auto" w:fill="auto"/>
            <w:noWrap/>
            <w:vAlign w:val="bottom"/>
          </w:tcPr>
          <w:p w:rsidR="00786914" w:rsidRPr="008047D4" w:rsidRDefault="00786914" w:rsidP="0006743B">
            <w:pPr>
              <w:pStyle w:val="TableText"/>
            </w:pPr>
            <w:r w:rsidRPr="008047D4">
              <w:t>0.97</w:t>
            </w:r>
          </w:p>
        </w:tc>
      </w:tr>
      <w:tr w:rsidR="00786914" w:rsidRPr="00602C71" w:rsidTr="0006743B">
        <w:trPr>
          <w:trHeight w:val="80"/>
        </w:trPr>
        <w:tc>
          <w:tcPr>
            <w:tcW w:w="916" w:type="pct"/>
            <w:shd w:val="clear" w:color="auto" w:fill="auto"/>
            <w:noWrap/>
            <w:vAlign w:val="bottom"/>
          </w:tcPr>
          <w:p w:rsidR="00786914" w:rsidRPr="008047D4" w:rsidRDefault="00786914" w:rsidP="0006743B">
            <w:pPr>
              <w:pStyle w:val="TableText"/>
            </w:pPr>
            <w:r w:rsidRPr="008047D4">
              <w:t>Acute urinary retention*</w:t>
            </w:r>
          </w:p>
        </w:tc>
        <w:tc>
          <w:tcPr>
            <w:tcW w:w="493" w:type="pct"/>
            <w:shd w:val="clear" w:color="auto" w:fill="auto"/>
            <w:noWrap/>
            <w:vAlign w:val="bottom"/>
          </w:tcPr>
          <w:p w:rsidR="00786914" w:rsidRPr="008047D4" w:rsidRDefault="00786914" w:rsidP="0006743B">
            <w:pPr>
              <w:pStyle w:val="TableText"/>
            </w:pPr>
            <w:r w:rsidRPr="008047D4">
              <w:t>5</w:t>
            </w:r>
          </w:p>
        </w:tc>
        <w:tc>
          <w:tcPr>
            <w:tcW w:w="704" w:type="pct"/>
            <w:shd w:val="clear" w:color="auto" w:fill="auto"/>
            <w:noWrap/>
            <w:vAlign w:val="bottom"/>
          </w:tcPr>
          <w:p w:rsidR="00786914" w:rsidRPr="008047D4" w:rsidRDefault="00786914" w:rsidP="0006743B">
            <w:pPr>
              <w:pStyle w:val="TableText"/>
            </w:pPr>
            <w:r w:rsidRPr="008047D4">
              <w:t>293/287</w:t>
            </w:r>
          </w:p>
        </w:tc>
        <w:tc>
          <w:tcPr>
            <w:tcW w:w="493" w:type="pct"/>
            <w:shd w:val="clear" w:color="auto" w:fill="auto"/>
            <w:vAlign w:val="bottom"/>
          </w:tcPr>
          <w:p w:rsidR="00786914" w:rsidRPr="008047D4" w:rsidRDefault="00786914" w:rsidP="0006743B">
            <w:pPr>
              <w:pStyle w:val="TableText"/>
            </w:pPr>
            <w:r w:rsidRPr="008047D4">
              <w:t>15</w:t>
            </w:r>
          </w:p>
        </w:tc>
        <w:tc>
          <w:tcPr>
            <w:tcW w:w="493" w:type="pct"/>
            <w:shd w:val="clear" w:color="auto" w:fill="auto"/>
            <w:vAlign w:val="bottom"/>
          </w:tcPr>
          <w:p w:rsidR="00786914" w:rsidRPr="008047D4" w:rsidRDefault="00786914" w:rsidP="0006743B">
            <w:pPr>
              <w:pStyle w:val="TableText"/>
            </w:pPr>
            <w:r w:rsidRPr="008047D4">
              <w:t>21</w:t>
            </w:r>
          </w:p>
        </w:tc>
        <w:tc>
          <w:tcPr>
            <w:tcW w:w="563" w:type="pct"/>
            <w:shd w:val="clear" w:color="auto" w:fill="auto"/>
            <w:noWrap/>
            <w:vAlign w:val="bottom"/>
          </w:tcPr>
          <w:p w:rsidR="00786914" w:rsidRPr="008047D4" w:rsidRDefault="00786914" w:rsidP="0006743B">
            <w:pPr>
              <w:pStyle w:val="TableText"/>
            </w:pPr>
            <w:r w:rsidRPr="008047D4">
              <w:t>RR 0.71</w:t>
            </w:r>
          </w:p>
        </w:tc>
        <w:tc>
          <w:tcPr>
            <w:tcW w:w="563" w:type="pct"/>
            <w:shd w:val="clear" w:color="auto" w:fill="auto"/>
            <w:noWrap/>
            <w:vAlign w:val="bottom"/>
          </w:tcPr>
          <w:p w:rsidR="00786914" w:rsidRPr="008047D4" w:rsidRDefault="00786914" w:rsidP="0006743B">
            <w:pPr>
              <w:pStyle w:val="TableText"/>
            </w:pPr>
            <w:r w:rsidRPr="008047D4">
              <w:t>0.38–1.32</w:t>
            </w:r>
          </w:p>
        </w:tc>
        <w:tc>
          <w:tcPr>
            <w:tcW w:w="352" w:type="pct"/>
            <w:shd w:val="clear" w:color="auto" w:fill="auto"/>
            <w:noWrap/>
            <w:vAlign w:val="bottom"/>
          </w:tcPr>
          <w:p w:rsidR="00786914" w:rsidRPr="008047D4" w:rsidRDefault="00786914" w:rsidP="0006743B">
            <w:pPr>
              <w:pStyle w:val="TableText"/>
            </w:pPr>
            <w:r w:rsidRPr="008047D4">
              <w:t>8</w:t>
            </w:r>
          </w:p>
        </w:tc>
        <w:tc>
          <w:tcPr>
            <w:tcW w:w="423" w:type="pct"/>
            <w:shd w:val="clear" w:color="auto" w:fill="auto"/>
            <w:noWrap/>
            <w:vAlign w:val="bottom"/>
          </w:tcPr>
          <w:p w:rsidR="00786914" w:rsidRPr="008047D4" w:rsidRDefault="00786914" w:rsidP="0006743B">
            <w:pPr>
              <w:pStyle w:val="TableText"/>
            </w:pPr>
            <w:r w:rsidRPr="008047D4">
              <w:t>0.28</w:t>
            </w:r>
          </w:p>
        </w:tc>
      </w:tr>
      <w:tr w:rsidR="00786914" w:rsidRPr="00602C71" w:rsidTr="0006743B">
        <w:trPr>
          <w:trHeight w:val="80"/>
        </w:trPr>
        <w:tc>
          <w:tcPr>
            <w:tcW w:w="916" w:type="pct"/>
            <w:shd w:val="clear" w:color="auto" w:fill="auto"/>
            <w:noWrap/>
            <w:vAlign w:val="bottom"/>
          </w:tcPr>
          <w:p w:rsidR="00786914" w:rsidRPr="008047D4" w:rsidRDefault="00786914" w:rsidP="0006743B">
            <w:pPr>
              <w:pStyle w:val="TableText"/>
            </w:pPr>
            <w:r w:rsidRPr="008047D4">
              <w:t>Urinary tract infection*</w:t>
            </w:r>
          </w:p>
        </w:tc>
        <w:tc>
          <w:tcPr>
            <w:tcW w:w="493" w:type="pct"/>
            <w:shd w:val="clear" w:color="auto" w:fill="auto"/>
            <w:noWrap/>
            <w:vAlign w:val="bottom"/>
          </w:tcPr>
          <w:p w:rsidR="00786914" w:rsidRPr="008047D4" w:rsidRDefault="00786914" w:rsidP="0006743B">
            <w:pPr>
              <w:pStyle w:val="TableText"/>
            </w:pPr>
            <w:r w:rsidRPr="008047D4">
              <w:t>2</w:t>
            </w:r>
          </w:p>
        </w:tc>
        <w:tc>
          <w:tcPr>
            <w:tcW w:w="704" w:type="pct"/>
            <w:shd w:val="clear" w:color="auto" w:fill="auto"/>
            <w:noWrap/>
            <w:vAlign w:val="bottom"/>
          </w:tcPr>
          <w:p w:rsidR="00786914" w:rsidRPr="008047D4" w:rsidRDefault="00786914" w:rsidP="0006743B">
            <w:pPr>
              <w:pStyle w:val="TableText"/>
            </w:pPr>
            <w:r w:rsidRPr="008047D4">
              <w:t>91/89</w:t>
            </w:r>
          </w:p>
        </w:tc>
        <w:tc>
          <w:tcPr>
            <w:tcW w:w="493" w:type="pct"/>
            <w:shd w:val="clear" w:color="auto" w:fill="auto"/>
            <w:vAlign w:val="bottom"/>
          </w:tcPr>
          <w:p w:rsidR="00786914" w:rsidRPr="008047D4" w:rsidRDefault="00786914" w:rsidP="0006743B">
            <w:pPr>
              <w:pStyle w:val="TableText"/>
            </w:pPr>
            <w:r w:rsidRPr="008047D4">
              <w:t>5</w:t>
            </w:r>
          </w:p>
        </w:tc>
        <w:tc>
          <w:tcPr>
            <w:tcW w:w="493" w:type="pct"/>
            <w:shd w:val="clear" w:color="auto" w:fill="auto"/>
            <w:vAlign w:val="bottom"/>
          </w:tcPr>
          <w:p w:rsidR="00786914" w:rsidRPr="008047D4" w:rsidRDefault="00786914" w:rsidP="0006743B">
            <w:pPr>
              <w:pStyle w:val="TableText"/>
            </w:pPr>
            <w:r w:rsidRPr="008047D4">
              <w:t>5</w:t>
            </w:r>
          </w:p>
        </w:tc>
        <w:tc>
          <w:tcPr>
            <w:tcW w:w="563" w:type="pct"/>
            <w:shd w:val="clear" w:color="auto" w:fill="auto"/>
            <w:noWrap/>
            <w:vAlign w:val="bottom"/>
          </w:tcPr>
          <w:p w:rsidR="00786914" w:rsidRPr="008047D4" w:rsidRDefault="00786914" w:rsidP="0006743B">
            <w:pPr>
              <w:pStyle w:val="TableText"/>
            </w:pPr>
            <w:r w:rsidRPr="008047D4">
              <w:t>RR 0.98</w:t>
            </w:r>
          </w:p>
        </w:tc>
        <w:tc>
          <w:tcPr>
            <w:tcW w:w="563" w:type="pct"/>
            <w:shd w:val="clear" w:color="auto" w:fill="auto"/>
            <w:noWrap/>
            <w:vAlign w:val="bottom"/>
          </w:tcPr>
          <w:p w:rsidR="00786914" w:rsidRPr="008047D4" w:rsidRDefault="00786914" w:rsidP="0006743B">
            <w:pPr>
              <w:pStyle w:val="TableText"/>
            </w:pPr>
            <w:r w:rsidRPr="008047D4">
              <w:t>0.31–3.09</w:t>
            </w:r>
          </w:p>
        </w:tc>
        <w:tc>
          <w:tcPr>
            <w:tcW w:w="352" w:type="pct"/>
            <w:shd w:val="clear" w:color="auto" w:fill="auto"/>
            <w:noWrap/>
            <w:vAlign w:val="bottom"/>
          </w:tcPr>
          <w:p w:rsidR="00786914" w:rsidRPr="008047D4" w:rsidRDefault="00786914" w:rsidP="0006743B">
            <w:pPr>
              <w:pStyle w:val="TableText"/>
            </w:pPr>
            <w:r w:rsidRPr="008047D4">
              <w:t>37</w:t>
            </w:r>
          </w:p>
        </w:tc>
        <w:tc>
          <w:tcPr>
            <w:tcW w:w="423" w:type="pct"/>
            <w:shd w:val="clear" w:color="auto" w:fill="auto"/>
            <w:noWrap/>
            <w:vAlign w:val="bottom"/>
          </w:tcPr>
          <w:p w:rsidR="00786914" w:rsidRPr="008047D4" w:rsidRDefault="00786914" w:rsidP="0006743B">
            <w:pPr>
              <w:pStyle w:val="TableText"/>
            </w:pPr>
            <w:r w:rsidRPr="008047D4">
              <w:t>0.97</w:t>
            </w:r>
          </w:p>
        </w:tc>
      </w:tr>
    </w:tbl>
    <w:p w:rsidR="00786914" w:rsidRPr="006D68FA" w:rsidRDefault="00786914" w:rsidP="0006743B">
      <w:pPr>
        <w:pStyle w:val="TableNotes"/>
        <w:rPr>
          <w:sz w:val="20"/>
        </w:rPr>
      </w:pPr>
      <w:r w:rsidRPr="008508D8">
        <w:t>RR= relative risk</w:t>
      </w:r>
      <w:r>
        <w:t>;</w:t>
      </w:r>
      <w:r w:rsidRPr="00490F23">
        <w:t>* Results are from Lourenco et al (2008)as no additional data w</w:t>
      </w:r>
      <w:r>
        <w:t>ere</w:t>
      </w:r>
      <w:r w:rsidRPr="00490F23">
        <w:t xml:space="preserve"> reported in the more recent studies.</w:t>
      </w:r>
    </w:p>
    <w:p w:rsidR="00786914" w:rsidRPr="000A0493" w:rsidRDefault="00786914" w:rsidP="0006743B">
      <w:r w:rsidRPr="000A0493">
        <w:t>Forest plots for bleeding, urethral stricture and incontinence are set out below.</w:t>
      </w:r>
    </w:p>
    <w:p w:rsidR="00786914" w:rsidRDefault="00786914">
      <w:pPr>
        <w:spacing w:after="0"/>
        <w:ind w:left="0"/>
        <w:rPr>
          <w:b/>
        </w:rPr>
      </w:pPr>
      <w:r>
        <w:br w:type="page"/>
      </w:r>
    </w:p>
    <w:p w:rsidR="00786914" w:rsidRPr="00ED2C57" w:rsidRDefault="00786914" w:rsidP="0006743B">
      <w:pPr>
        <w:pStyle w:val="Normalbold"/>
      </w:pPr>
      <w:r w:rsidRPr="00ED2C57">
        <w:lastRenderedPageBreak/>
        <w:t>Blood transfusion rates</w:t>
      </w:r>
    </w:p>
    <w:p w:rsidR="00786914" w:rsidRDefault="00786914" w:rsidP="0006743B">
      <w:pPr>
        <w:rPr>
          <w:szCs w:val="24"/>
        </w:rPr>
      </w:pPr>
      <w:r>
        <w:rPr>
          <w:szCs w:val="24"/>
        </w:rPr>
        <w:t>The data in Figure 6 below show statistically significant differences in the rate of blood transfusions between the two interventions, favouring HoLEP.</w:t>
      </w:r>
    </w:p>
    <w:p w:rsidR="00786914" w:rsidRPr="00E23D5B" w:rsidRDefault="00786914" w:rsidP="0006743B">
      <w:pPr>
        <w:pStyle w:val="Caption"/>
      </w:pPr>
      <w:bookmarkStart w:id="187" w:name="_Toc327882490"/>
      <w:r>
        <w:t xml:space="preserve">Figure </w:t>
      </w:r>
      <w:fldSimple w:instr=" SEQ Figure \* ARABIC ">
        <w:r w:rsidR="00F45C43">
          <w:rPr>
            <w:noProof/>
          </w:rPr>
          <w:t>6</w:t>
        </w:r>
      </w:fldSimple>
      <w:r>
        <w:t>:</w:t>
      </w:r>
      <w:r>
        <w:tab/>
        <w:t xml:space="preserve">Blood transfusion rates: </w:t>
      </w:r>
      <w:r w:rsidRPr="00E23D5B">
        <w:t>HOLEP</w:t>
      </w:r>
      <w:r>
        <w:t xml:space="preserve"> compared with TURP</w:t>
      </w:r>
      <w:bookmarkEnd w:id="187"/>
    </w:p>
    <w:p w:rsidR="00786914" w:rsidRDefault="00786914" w:rsidP="0006743B">
      <w:pPr>
        <w:ind w:left="0"/>
        <w:rPr>
          <w:szCs w:val="24"/>
        </w:rPr>
      </w:pPr>
      <w:r>
        <w:rPr>
          <w:noProof/>
          <w:szCs w:val="24"/>
        </w:rPr>
        <w:drawing>
          <wp:inline distT="0" distB="0" distL="0" distR="0" wp14:anchorId="7C9BD67E" wp14:editId="0180A0BB">
            <wp:extent cx="5732780" cy="1860550"/>
            <wp:effectExtent l="0" t="0" r="1270" b="6350"/>
            <wp:docPr id="6" name="Picture 7" title="Figure 6: Blood transfusion rate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732780" cy="1860550"/>
                    </a:xfrm>
                    <a:prstGeom prst="rect">
                      <a:avLst/>
                    </a:prstGeom>
                    <a:noFill/>
                    <a:ln w="9525">
                      <a:noFill/>
                      <a:miter lim="800000"/>
                      <a:headEnd/>
                      <a:tailEnd/>
                    </a:ln>
                  </pic:spPr>
                </pic:pic>
              </a:graphicData>
            </a:graphic>
          </wp:inline>
        </w:drawing>
      </w:r>
    </w:p>
    <w:p w:rsidR="00786914" w:rsidRPr="008504BA" w:rsidRDefault="00786914" w:rsidP="0006743B">
      <w:pPr>
        <w:pStyle w:val="Normalbold"/>
      </w:pPr>
      <w:r w:rsidRPr="008504BA">
        <w:t>Urethral stricture</w:t>
      </w:r>
    </w:p>
    <w:p w:rsidR="00786914" w:rsidRDefault="00786914" w:rsidP="0006743B">
      <w:r>
        <w:t>The data in Figure 7 below show there was no statistically significant difference between the treatments with respect to stricture. It should be noted that the below data also</w:t>
      </w:r>
      <w:r w:rsidRPr="00490F23">
        <w:t xml:space="preserve"> includes bladder neck stenosis as </w:t>
      </w:r>
      <w:r>
        <w:t xml:space="preserve">for some trials </w:t>
      </w:r>
      <w:r w:rsidRPr="00490F23">
        <w:t xml:space="preserve">it was difficult to distinguish between </w:t>
      </w:r>
      <w:r>
        <w:t>the complications</w:t>
      </w:r>
      <w:r w:rsidRPr="00490F23">
        <w:t xml:space="preserve"> based on the information reported.</w:t>
      </w:r>
      <w:r>
        <w:t xml:space="preserve"> The rates of urethral stricture in some of the individual studies were also reported at different timelines or simply recorded at last follow-up. In the Lourenco meta-analysis, stricture is reported as “after surgery”. </w:t>
      </w:r>
      <w:r w:rsidRPr="00490F23">
        <w:t xml:space="preserve">Eltabey et al </w:t>
      </w:r>
      <w:r>
        <w:t>(</w:t>
      </w:r>
      <w:r w:rsidRPr="00490F23">
        <w:t>2010</w:t>
      </w:r>
      <w:r>
        <w:t>)</w:t>
      </w:r>
      <w:r w:rsidRPr="00490F23">
        <w:t xml:space="preserve"> record </w:t>
      </w:r>
      <w:r>
        <w:t>stricture</w:t>
      </w:r>
      <w:r w:rsidRPr="00490F23">
        <w:t xml:space="preserve"> at 12 months while Mavuduru et al </w:t>
      </w:r>
      <w:r>
        <w:t>(</w:t>
      </w:r>
      <w:r w:rsidRPr="00490F23">
        <w:t>2009</w:t>
      </w:r>
      <w:r>
        <w:t>)</w:t>
      </w:r>
      <w:r w:rsidRPr="00490F23">
        <w:t xml:space="preserve"> report rates at </w:t>
      </w:r>
      <w:r>
        <w:t xml:space="preserve">three weeks and at </w:t>
      </w:r>
      <w:r w:rsidRPr="00490F23">
        <w:t>three and nine months.</w:t>
      </w:r>
      <w:r>
        <w:t xml:space="preserve"> The paper by Ahayi et al (2007) also includes additional patients at a follow-up of 36 months to that presented in Kuntz 2004. </w:t>
      </w:r>
    </w:p>
    <w:p w:rsidR="00786914" w:rsidRPr="00E23D5B" w:rsidRDefault="00786914" w:rsidP="0006743B">
      <w:pPr>
        <w:pStyle w:val="Caption"/>
      </w:pPr>
      <w:bookmarkStart w:id="188" w:name="_Toc327882491"/>
      <w:r>
        <w:t xml:space="preserve">Figure </w:t>
      </w:r>
      <w:fldSimple w:instr=" SEQ Figure \* ARABIC ">
        <w:r w:rsidR="00F45C43">
          <w:rPr>
            <w:noProof/>
          </w:rPr>
          <w:t>7</w:t>
        </w:r>
      </w:fldSimple>
      <w:r>
        <w:t>:</w:t>
      </w:r>
      <w:r>
        <w:tab/>
      </w:r>
      <w:r w:rsidRPr="00E23D5B">
        <w:t>Urethral stricture</w:t>
      </w:r>
      <w:r>
        <w:t>:</w:t>
      </w:r>
      <w:r w:rsidRPr="00E23D5B">
        <w:t xml:space="preserve"> HOLEP </w:t>
      </w:r>
      <w:r>
        <w:t xml:space="preserve">compared with </w:t>
      </w:r>
      <w:r w:rsidRPr="00E23D5B">
        <w:t>TURP</w:t>
      </w:r>
      <w:bookmarkEnd w:id="188"/>
    </w:p>
    <w:p w:rsidR="00786914" w:rsidRDefault="00786914" w:rsidP="0006743B">
      <w:pPr>
        <w:ind w:left="0"/>
        <w:rPr>
          <w:szCs w:val="24"/>
        </w:rPr>
      </w:pPr>
      <w:r>
        <w:rPr>
          <w:noProof/>
          <w:szCs w:val="24"/>
        </w:rPr>
        <w:drawing>
          <wp:inline distT="0" distB="0" distL="0" distR="0" wp14:anchorId="3EA2CA46" wp14:editId="0636BCF2">
            <wp:extent cx="5731510" cy="1779903"/>
            <wp:effectExtent l="0" t="0" r="2540" b="0"/>
            <wp:docPr id="3" name="Picture 6" title="Figure 7: Urethral stricture: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731510" cy="1779903"/>
                    </a:xfrm>
                    <a:prstGeom prst="rect">
                      <a:avLst/>
                    </a:prstGeom>
                    <a:noFill/>
                    <a:ln w="9525">
                      <a:noFill/>
                      <a:miter lim="800000"/>
                      <a:headEnd/>
                      <a:tailEnd/>
                    </a:ln>
                  </pic:spPr>
                </pic:pic>
              </a:graphicData>
            </a:graphic>
          </wp:inline>
        </w:drawing>
      </w:r>
    </w:p>
    <w:p w:rsidR="00786914" w:rsidRDefault="00786914">
      <w:pPr>
        <w:spacing w:after="0"/>
        <w:ind w:left="0"/>
        <w:rPr>
          <w:rFonts w:eastAsia="Calibri"/>
          <w:b/>
          <w:szCs w:val="24"/>
          <w:lang w:eastAsia="en-US"/>
        </w:rPr>
      </w:pPr>
      <w:r>
        <w:rPr>
          <w:b/>
          <w:szCs w:val="24"/>
        </w:rPr>
        <w:br w:type="page"/>
      </w:r>
    </w:p>
    <w:p w:rsidR="00786914" w:rsidRDefault="00786914" w:rsidP="0006743B">
      <w:pPr>
        <w:pStyle w:val="Normalbold"/>
      </w:pPr>
      <w:r w:rsidRPr="008504BA">
        <w:lastRenderedPageBreak/>
        <w:t>Incontinence rates</w:t>
      </w:r>
    </w:p>
    <w:p w:rsidR="00786914" w:rsidRDefault="00786914" w:rsidP="0006743B">
      <w:r>
        <w:t xml:space="preserve">The data in Figure 8 below show there was no statistically significant difference between the treatments with respect to incontinence. Lourenco notes that studies typically failed to </w:t>
      </w:r>
      <w:r w:rsidRPr="00962695">
        <w:t xml:space="preserve">identify what type of urinary incontinence </w:t>
      </w:r>
      <w:r>
        <w:t xml:space="preserve">patients had and in the Lourenco analysis transitory incontinence had been pooled together with urge and de novo stress incontinence. The below figure excludes cases of transitory incontinence and urge incontinence (where it was described). As such it is likely that these rates are more indicative of long-term incontinence in patients following either HoLEP or TURP. Rates were also reported at different time points with most studies reporting at 6 months or less, with the longest follow-up reported by Westernberg (2004) at 48 months. </w:t>
      </w:r>
    </w:p>
    <w:p w:rsidR="00786914" w:rsidRPr="000859CC" w:rsidRDefault="00786914" w:rsidP="0006743B">
      <w:pPr>
        <w:pStyle w:val="Caption"/>
      </w:pPr>
      <w:bookmarkStart w:id="189" w:name="_Toc327882492"/>
      <w:r>
        <w:t xml:space="preserve">Figure </w:t>
      </w:r>
      <w:fldSimple w:instr=" SEQ Figure \* ARABIC ">
        <w:r w:rsidR="00F45C43">
          <w:rPr>
            <w:noProof/>
          </w:rPr>
          <w:t>8</w:t>
        </w:r>
      </w:fldSimple>
      <w:r>
        <w:t>:</w:t>
      </w:r>
      <w:r>
        <w:tab/>
      </w:r>
      <w:r w:rsidRPr="000859CC">
        <w:t xml:space="preserve">Incontinence </w:t>
      </w:r>
      <w:r>
        <w:t>rates: HOLEP compared with TURP</w:t>
      </w:r>
      <w:bookmarkEnd w:id="189"/>
    </w:p>
    <w:p w:rsidR="00786914" w:rsidRDefault="00786914" w:rsidP="0006743B">
      <w:pPr>
        <w:ind w:left="0"/>
        <w:rPr>
          <w:szCs w:val="24"/>
        </w:rPr>
      </w:pPr>
      <w:r>
        <w:rPr>
          <w:noProof/>
          <w:szCs w:val="24"/>
        </w:rPr>
        <w:drawing>
          <wp:inline distT="0" distB="0" distL="0" distR="0" wp14:anchorId="7CFB42DD" wp14:editId="4E4105E8">
            <wp:extent cx="5731510" cy="1663987"/>
            <wp:effectExtent l="0" t="0" r="2540" b="0"/>
            <wp:docPr id="1" name="Picture 5" title="Figure 8: Incontinence rate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731510" cy="1663987"/>
                    </a:xfrm>
                    <a:prstGeom prst="rect">
                      <a:avLst/>
                    </a:prstGeom>
                    <a:noFill/>
                    <a:ln w="9525">
                      <a:noFill/>
                      <a:miter lim="800000"/>
                      <a:headEnd/>
                      <a:tailEnd/>
                    </a:ln>
                  </pic:spPr>
                </pic:pic>
              </a:graphicData>
            </a:graphic>
          </wp:inline>
        </w:drawing>
      </w:r>
    </w:p>
    <w:p w:rsidR="00786914" w:rsidRDefault="00786914" w:rsidP="0006743B">
      <w:r>
        <w:t xml:space="preserve">It was not possible to pool results </w:t>
      </w:r>
      <w:r w:rsidRPr="00962695">
        <w:t xml:space="preserve">for </w:t>
      </w:r>
      <w:r>
        <w:t xml:space="preserve">a number of safety outcomes that were included in the DAP </w:t>
      </w:r>
      <w:r w:rsidRPr="00962695">
        <w:t>due to the paucity of data</w:t>
      </w:r>
      <w:r>
        <w:t xml:space="preserve"> in a number of cases. These include:</w:t>
      </w:r>
    </w:p>
    <w:p w:rsidR="00786914" w:rsidRPr="00490F23" w:rsidRDefault="00786914" w:rsidP="0006743B">
      <w:r w:rsidRPr="008C5F6E">
        <w:rPr>
          <w:b/>
        </w:rPr>
        <w:t>TUR syndrome:</w:t>
      </w:r>
      <w:r>
        <w:rPr>
          <w:b/>
          <w:u w:val="single"/>
        </w:rPr>
        <w:t xml:space="preserve"> </w:t>
      </w:r>
      <w:r w:rsidRPr="00490F23">
        <w:t xml:space="preserve">Lourenco et al 2008 report that the rates of TUR syndrome were lower for HoLEP (n=0, 0.0%) than for TURP (n=1, 2.08%) based on one study. The results were not statistically significant (p=0.47). </w:t>
      </w:r>
    </w:p>
    <w:p w:rsidR="00786914" w:rsidRPr="00962695" w:rsidRDefault="00786914" w:rsidP="0006743B">
      <w:r w:rsidRPr="008C5F6E">
        <w:rPr>
          <w:b/>
        </w:rPr>
        <w:t>Mortality:</w:t>
      </w:r>
      <w:r>
        <w:rPr>
          <w:b/>
          <w:u w:val="single"/>
        </w:rPr>
        <w:t xml:space="preserve"> </w:t>
      </w:r>
      <w:r w:rsidRPr="00490F23">
        <w:t>Lourenco et al 2008 report that mortality rates were slightly lower in the HoLEP</w:t>
      </w:r>
      <w:r>
        <w:t xml:space="preserve"> </w:t>
      </w:r>
      <w:r w:rsidRPr="00490F23">
        <w:t>group(n=1, 1.10%) than for TURP (n=2, 2.25%) based on two studies. The difference was not statistically significant (p=0.61). It is unclear from the report when these deaths occurredand if there were related to the procedure or recorded during follow-up and therefore unrelated to treatment.</w:t>
      </w:r>
    </w:p>
    <w:p w:rsidR="00786914" w:rsidRPr="00490F23" w:rsidRDefault="00786914" w:rsidP="0006743B">
      <w:r w:rsidRPr="008C5F6E">
        <w:rPr>
          <w:b/>
        </w:rPr>
        <w:t>Erectile dysfunction:</w:t>
      </w:r>
      <w:r>
        <w:rPr>
          <w:b/>
          <w:u w:val="single"/>
        </w:rPr>
        <w:t xml:space="preserve"> </w:t>
      </w:r>
      <w:r w:rsidRPr="00490F23">
        <w:t xml:space="preserve">Lourenco et al 2008 report that erectile dysfunction rates were higher for the HoLEP group (n=2, 9.09%) than for TURP (n=2, 7.69%) based on a single study. The results were not statistically significant (p=0.86). </w:t>
      </w:r>
    </w:p>
    <w:p w:rsidR="00786914" w:rsidRPr="00490F23" w:rsidRDefault="00786914" w:rsidP="0006743B">
      <w:r w:rsidRPr="008C5F6E">
        <w:rPr>
          <w:b/>
        </w:rPr>
        <w:t>Dysuria</w:t>
      </w:r>
      <w:r w:rsidRPr="008C5F6E">
        <w:t>:</w:t>
      </w:r>
      <w:r>
        <w:rPr>
          <w:u w:val="single"/>
        </w:rPr>
        <w:t xml:space="preserve"> </w:t>
      </w:r>
      <w:r w:rsidRPr="00490F23">
        <w:t>Dysuria was included in the DAP as a potential adverse event associated with either intervention.</w:t>
      </w:r>
      <w:r>
        <w:t xml:space="preserve"> </w:t>
      </w:r>
      <w:r w:rsidRPr="00490F23">
        <w:t xml:space="preserve">In the study by Mavuduru et al </w:t>
      </w:r>
      <w:r>
        <w:t>(</w:t>
      </w:r>
      <w:r w:rsidRPr="00490F23">
        <w:t>2009</w:t>
      </w:r>
      <w:r>
        <w:t>)</w:t>
      </w:r>
      <w:r w:rsidRPr="00490F23">
        <w:t xml:space="preserve"> transient dysuria was reported following catheter removal in </w:t>
      </w:r>
      <w:r>
        <w:t>one</w:t>
      </w:r>
      <w:r w:rsidRPr="00490F23">
        <w:t xml:space="preserve"> patient in the HoLEP group (6.7%) compared to </w:t>
      </w:r>
      <w:r>
        <w:t>three</w:t>
      </w:r>
      <w:r w:rsidRPr="00490F23">
        <w:t xml:space="preserve"> patients treated with TURP (20%).</w:t>
      </w:r>
    </w:p>
    <w:p w:rsidR="00786914" w:rsidRDefault="00786914" w:rsidP="0006743B">
      <w:r w:rsidRPr="008C5F6E">
        <w:rPr>
          <w:b/>
        </w:rPr>
        <w:t>Capsular perforation:</w:t>
      </w:r>
      <w:r>
        <w:rPr>
          <w:b/>
          <w:u w:val="single"/>
        </w:rPr>
        <w:t xml:space="preserve"> </w:t>
      </w:r>
      <w:r w:rsidRPr="00490F23">
        <w:t xml:space="preserve">Lourenco et al 2008 report that capsular perforation rates were higher for the HoLEP group (n=1, 2.0%) than for TURP (n=0, 0%) based on a single study. In the </w:t>
      </w:r>
      <w:r>
        <w:t xml:space="preserve">small </w:t>
      </w:r>
      <w:r w:rsidRPr="00490F23">
        <w:t xml:space="preserve">study by Mavuduru et al </w:t>
      </w:r>
      <w:r>
        <w:t>(</w:t>
      </w:r>
      <w:r w:rsidRPr="00490F23">
        <w:t>2009</w:t>
      </w:r>
      <w:r>
        <w:t>)</w:t>
      </w:r>
      <w:r w:rsidRPr="00490F23">
        <w:t xml:space="preserve"> capsular perforation occurred in one patient in the HoLEP group.</w:t>
      </w:r>
      <w:r>
        <w:t xml:space="preserve"> </w:t>
      </w:r>
      <w:r w:rsidRPr="00490F23">
        <w:t>Statistically significant differences were not reported</w:t>
      </w:r>
      <w:r>
        <w:t xml:space="preserve">. </w:t>
      </w:r>
      <w:r w:rsidRPr="00490F23">
        <w:t>This</w:t>
      </w:r>
      <w:r>
        <w:t xml:space="preserve"> outcome was not listed in the DAP.</w:t>
      </w:r>
    </w:p>
    <w:p w:rsidR="00786914" w:rsidRDefault="00786914" w:rsidP="0006743B">
      <w:r>
        <w:lastRenderedPageBreak/>
        <w:t>Two areas of uncertainty can arise in the interpretation of safety outcomes that are extracted only from RCTs. Less frequently observed complications that may be reported in larger cohort studies may not be identified. Longer term, or less frequently observed, complications also may not be reported in shorter term trials. In the latter case however follow-up data subsequently published to the original RCTs provide more robust estimates of complications. This was in line with the approach adopted by Lourenco et al (2008).</w:t>
      </w:r>
    </w:p>
    <w:p w:rsidR="00786914" w:rsidRPr="004C6B15" w:rsidRDefault="00786914" w:rsidP="0006743B">
      <w:r w:rsidRPr="009D4D21">
        <w:t xml:space="preserve">The time point of recording of urinary stricture and urinary incontinence was not </w:t>
      </w:r>
      <w:r>
        <w:t>well defined</w:t>
      </w:r>
      <w:r w:rsidRPr="009D4D21">
        <w:t>. These adverse events were pooled together in this assessment despite this limitation. The results reported should be interpreted within this context.</w:t>
      </w: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52"/>
      </w:tblGrid>
      <w:tr w:rsidR="00786914" w:rsidRPr="004C6B15">
        <w:trPr>
          <w:trHeight w:val="2433"/>
        </w:trPr>
        <w:tc>
          <w:tcPr>
            <w:tcW w:w="9252" w:type="dxa"/>
            <w:shd w:val="clear" w:color="auto" w:fill="auto"/>
          </w:tcPr>
          <w:p w:rsidR="00786914" w:rsidRPr="00D918EC" w:rsidRDefault="00786914" w:rsidP="0006743B">
            <w:pPr>
              <w:pStyle w:val="Summaryboxheading"/>
              <w:rPr>
                <w:szCs w:val="24"/>
              </w:rPr>
            </w:pPr>
            <w:r w:rsidRPr="006751C4">
              <w:rPr>
                <w:szCs w:val="24"/>
              </w:rPr>
              <w:t xml:space="preserve">Summary of </w:t>
            </w:r>
            <w:r>
              <w:rPr>
                <w:szCs w:val="24"/>
              </w:rPr>
              <w:t>s</w:t>
            </w:r>
            <w:r w:rsidRPr="006751C4">
              <w:rPr>
                <w:szCs w:val="24"/>
              </w:rPr>
              <w:t>afety</w:t>
            </w:r>
            <w:r>
              <w:rPr>
                <w:szCs w:val="24"/>
              </w:rPr>
              <w:t xml:space="preserve"> of HoLEP versus TURP</w:t>
            </w:r>
          </w:p>
          <w:p w:rsidR="00786914" w:rsidRPr="00467B9D" w:rsidRDefault="00786914" w:rsidP="0006743B">
            <w:pPr>
              <w:pStyle w:val="Summaryboxtext"/>
            </w:pPr>
            <w:r>
              <w:t>In comparison with TURP, HoLEP appears to be as safe as TURP across a range of outcomes assessed. HoLEP offers statistically significant advantages over TURP in relation to blood transfusion rates postprocedure. The evidence from the systematic review and two additional RCTs suggests that differences in the rates of other adverse events are not statistically significant. Some caution should be exercised in the interpretation of this information given the wide confidence intervals that exist around some of the outcomes.</w:t>
            </w:r>
          </w:p>
        </w:tc>
      </w:tr>
    </w:tbl>
    <w:p w:rsidR="00786914" w:rsidRPr="004C6B15" w:rsidRDefault="00786914" w:rsidP="0006743B">
      <w:pPr>
        <w:pStyle w:val="Heading2"/>
      </w:pPr>
      <w:bookmarkStart w:id="190" w:name="_Toc323642287"/>
      <w:bookmarkStart w:id="191" w:name="_Toc327877871"/>
      <w:bookmarkStart w:id="192" w:name="_Toc365900575"/>
      <w:r>
        <w:t>Is it effective? HoLEP compared with TURP</w:t>
      </w:r>
      <w:bookmarkEnd w:id="190"/>
      <w:bookmarkEnd w:id="191"/>
      <w:bookmarkEnd w:id="192"/>
    </w:p>
    <w:p w:rsidR="00786914" w:rsidRDefault="00786914" w:rsidP="0006743B">
      <w:r w:rsidRPr="002B4CD4">
        <w:t xml:space="preserve">Pooling of data with respect to peak flow, IPSS/AUA </w:t>
      </w:r>
      <w:r w:rsidRPr="002B4CD4">
        <w:rPr>
          <w:rFonts w:cs="Calibri"/>
        </w:rPr>
        <w:t>symptom score, post-void residual volume</w:t>
      </w:r>
      <w:r>
        <w:rPr>
          <w:rFonts w:cs="Calibri"/>
        </w:rPr>
        <w:t xml:space="preserve"> (PVR) </w:t>
      </w:r>
      <w:r w:rsidRPr="002B4CD4">
        <w:t>and treatment failure/</w:t>
      </w:r>
      <w:r>
        <w:t>re-treatment</w:t>
      </w:r>
      <w:r w:rsidRPr="002B4CD4">
        <w:t xml:space="preserve"> rates was possible based on the data extracted from the studies identified in the Lourenco </w:t>
      </w:r>
      <w:r>
        <w:t xml:space="preserve">et al </w:t>
      </w:r>
      <w:r w:rsidRPr="002B4CD4">
        <w:t>report and those additional</w:t>
      </w:r>
      <w:r>
        <w:t xml:space="preserve"> studies</w:t>
      </w:r>
      <w:r w:rsidRPr="002B4CD4">
        <w:t xml:space="preserve"> identified.</w:t>
      </w:r>
      <w:r>
        <w:t xml:space="preserve"> </w:t>
      </w:r>
      <w:r w:rsidRPr="002B4CD4">
        <w:t>In all pooled outcomes this updated evidence comprised one additional</w:t>
      </w:r>
      <w:r>
        <w:t xml:space="preserve"> </w:t>
      </w:r>
      <w:r w:rsidRPr="002B4CD4">
        <w:t xml:space="preserve">study not identified in Lourenco </w:t>
      </w:r>
      <w:r>
        <w:t xml:space="preserve">et al </w:t>
      </w:r>
      <w:r w:rsidRPr="002B4CD4">
        <w:t>(Eltabey et al (2010)) or longer term follow-up data to that already cited in Lourenco</w:t>
      </w:r>
      <w:r>
        <w:t xml:space="preserve"> et al </w:t>
      </w:r>
      <w:r w:rsidRPr="002B4CD4">
        <w:t xml:space="preserve"> (Ahayi et al 2007, an update of Kuntz 2004). Data ha</w:t>
      </w:r>
      <w:r>
        <w:t>ve</w:t>
      </w:r>
      <w:r w:rsidRPr="002B4CD4">
        <w:t xml:space="preserve"> only been presented from </w:t>
      </w:r>
      <w:r>
        <w:t>six</w:t>
      </w:r>
      <w:r w:rsidRPr="002B4CD4">
        <w:t xml:space="preserve"> months onwards</w:t>
      </w:r>
      <w:r>
        <w:t>. E</w:t>
      </w:r>
      <w:r w:rsidRPr="002B4CD4">
        <w:t>arlier data (</w:t>
      </w:r>
      <w:r>
        <w:t>one</w:t>
      </w:r>
      <w:r w:rsidRPr="002B4CD4">
        <w:t>,</w:t>
      </w:r>
      <w:r>
        <w:t xml:space="preserve"> three</w:t>
      </w:r>
      <w:r w:rsidRPr="002B4CD4">
        <w:t xml:space="preserve"> months) or data outside common time</w:t>
      </w:r>
      <w:r>
        <w:t xml:space="preserve"> </w:t>
      </w:r>
      <w:r w:rsidRPr="002B4CD4">
        <w:t>points (</w:t>
      </w:r>
      <w:r>
        <w:t>nine</w:t>
      </w:r>
      <w:r w:rsidRPr="002B4CD4">
        <w:t xml:space="preserve"> months) </w:t>
      </w:r>
      <w:r>
        <w:t>are</w:t>
      </w:r>
      <w:r w:rsidRPr="002B4CD4">
        <w:t xml:space="preserve"> presented in Appendix </w:t>
      </w:r>
      <w:r>
        <w:t>D</w:t>
      </w:r>
      <w:r w:rsidRPr="002B4CD4">
        <w:t>.</w:t>
      </w:r>
    </w:p>
    <w:p w:rsidR="00786914" w:rsidRDefault="00786914" w:rsidP="0006743B">
      <w:r>
        <w:t xml:space="preserve">A summary of pooled effectiveness outcomes is provided in Table 16 below. </w:t>
      </w:r>
    </w:p>
    <w:p w:rsidR="00786914" w:rsidRDefault="00786914" w:rsidP="0006743B">
      <w:pPr>
        <w:pStyle w:val="Caption"/>
        <w:keepNext/>
      </w:pPr>
      <w:r>
        <w:lastRenderedPageBreak/>
        <w:t>Table 16</w:t>
      </w:r>
      <w:r>
        <w:tab/>
        <w:t>Effectiveness outcomes: HoLEP compared with TURP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881"/>
        <w:gridCol w:w="1174"/>
        <w:gridCol w:w="638"/>
        <w:gridCol w:w="638"/>
        <w:gridCol w:w="1611"/>
        <w:gridCol w:w="1018"/>
        <w:gridCol w:w="559"/>
        <w:gridCol w:w="667"/>
      </w:tblGrid>
      <w:tr w:rsidR="00786914" w:rsidRPr="0001050B" w:rsidTr="0006743B">
        <w:trPr>
          <w:trHeight w:val="255"/>
        </w:trPr>
        <w:tc>
          <w:tcPr>
            <w:tcW w:w="1041" w:type="pct"/>
            <w:shd w:val="clear" w:color="auto" w:fill="auto"/>
            <w:noWrap/>
            <w:vAlign w:val="bottom"/>
          </w:tcPr>
          <w:p w:rsidR="00786914" w:rsidRPr="0071077B" w:rsidRDefault="00786914" w:rsidP="0006743B">
            <w:pPr>
              <w:pStyle w:val="Tableheading"/>
            </w:pPr>
            <w:r w:rsidRPr="0071077B">
              <w:t>Outcome</w:t>
            </w:r>
          </w:p>
        </w:tc>
        <w:tc>
          <w:tcPr>
            <w:tcW w:w="377" w:type="pct"/>
            <w:shd w:val="clear" w:color="auto" w:fill="auto"/>
            <w:noWrap/>
            <w:vAlign w:val="bottom"/>
          </w:tcPr>
          <w:p w:rsidR="00786914" w:rsidRPr="0071077B" w:rsidRDefault="00786914" w:rsidP="0006743B">
            <w:pPr>
              <w:pStyle w:val="Tableheading"/>
            </w:pPr>
            <w:r w:rsidRPr="0071077B">
              <w:t>Studies (n)</w:t>
            </w:r>
          </w:p>
        </w:tc>
        <w:tc>
          <w:tcPr>
            <w:tcW w:w="481" w:type="pct"/>
            <w:shd w:val="clear" w:color="auto" w:fill="auto"/>
            <w:noWrap/>
            <w:vAlign w:val="bottom"/>
          </w:tcPr>
          <w:p w:rsidR="00786914" w:rsidRPr="0071077B" w:rsidRDefault="00786914" w:rsidP="0006743B">
            <w:pPr>
              <w:pStyle w:val="Tableheading"/>
            </w:pPr>
            <w:r w:rsidRPr="0071077B">
              <w:t>Patients HoLEP</w:t>
            </w:r>
          </w:p>
          <w:p w:rsidR="00786914" w:rsidRPr="0071077B" w:rsidRDefault="00786914" w:rsidP="0006743B">
            <w:pPr>
              <w:pStyle w:val="Tableheading"/>
            </w:pPr>
            <w:r w:rsidRPr="0071077B">
              <w:t>/TURP</w:t>
            </w:r>
          </w:p>
          <w:p w:rsidR="00786914" w:rsidRPr="0071077B" w:rsidRDefault="00786914" w:rsidP="0006743B">
            <w:pPr>
              <w:pStyle w:val="Tableheading"/>
            </w:pPr>
            <w:r w:rsidRPr="0071077B">
              <w:t xml:space="preserve"> (n)</w:t>
            </w:r>
          </w:p>
        </w:tc>
        <w:tc>
          <w:tcPr>
            <w:tcW w:w="490" w:type="pct"/>
            <w:shd w:val="clear" w:color="auto" w:fill="auto"/>
            <w:vAlign w:val="bottom"/>
          </w:tcPr>
          <w:p w:rsidR="00786914" w:rsidRPr="0071077B" w:rsidRDefault="00786914" w:rsidP="0006743B">
            <w:pPr>
              <w:pStyle w:val="Tableheading"/>
            </w:pPr>
            <w:r w:rsidRPr="0071077B">
              <w:t>HoLEP</w:t>
            </w:r>
          </w:p>
          <w:p w:rsidR="00786914" w:rsidRPr="0071077B" w:rsidRDefault="00786914" w:rsidP="0006743B">
            <w:pPr>
              <w:pStyle w:val="Tableheading"/>
            </w:pPr>
            <w:r w:rsidRPr="0071077B">
              <w:t>(mean)</w:t>
            </w:r>
          </w:p>
        </w:tc>
        <w:tc>
          <w:tcPr>
            <w:tcW w:w="490" w:type="pct"/>
            <w:shd w:val="clear" w:color="auto" w:fill="auto"/>
            <w:vAlign w:val="bottom"/>
          </w:tcPr>
          <w:p w:rsidR="00786914" w:rsidRPr="0071077B" w:rsidRDefault="00786914" w:rsidP="0006743B">
            <w:pPr>
              <w:pStyle w:val="Tableheading"/>
            </w:pPr>
            <w:r w:rsidRPr="0071077B">
              <w:t>TURP (mean)</w:t>
            </w:r>
          </w:p>
        </w:tc>
        <w:tc>
          <w:tcPr>
            <w:tcW w:w="612" w:type="pct"/>
            <w:shd w:val="clear" w:color="auto" w:fill="auto"/>
            <w:noWrap/>
            <w:vAlign w:val="bottom"/>
          </w:tcPr>
          <w:p w:rsidR="00786914" w:rsidRPr="0071077B" w:rsidRDefault="00786914" w:rsidP="0006743B">
            <w:pPr>
              <w:pStyle w:val="Tableheading"/>
            </w:pPr>
            <w:r w:rsidRPr="0071077B">
              <w:t>Estimate of effect (MD)</w:t>
            </w:r>
          </w:p>
        </w:tc>
        <w:tc>
          <w:tcPr>
            <w:tcW w:w="735" w:type="pct"/>
            <w:shd w:val="clear" w:color="auto" w:fill="auto"/>
            <w:noWrap/>
            <w:vAlign w:val="bottom"/>
          </w:tcPr>
          <w:p w:rsidR="00786914" w:rsidRPr="0071077B" w:rsidRDefault="00786914" w:rsidP="0006743B">
            <w:pPr>
              <w:pStyle w:val="Tableheading"/>
            </w:pPr>
            <w:r w:rsidRPr="0071077B">
              <w:t>Range</w:t>
            </w:r>
          </w:p>
          <w:p w:rsidR="00786914" w:rsidRPr="0071077B" w:rsidRDefault="00786914" w:rsidP="0006743B">
            <w:pPr>
              <w:pStyle w:val="Tableheading"/>
            </w:pPr>
            <w:r w:rsidRPr="0071077B">
              <w:t>(95% CI)*</w:t>
            </w:r>
          </w:p>
        </w:tc>
        <w:tc>
          <w:tcPr>
            <w:tcW w:w="306" w:type="pct"/>
            <w:shd w:val="clear" w:color="auto" w:fill="auto"/>
            <w:noWrap/>
            <w:vAlign w:val="bottom"/>
          </w:tcPr>
          <w:p w:rsidR="00786914" w:rsidRPr="0071077B" w:rsidRDefault="00786914" w:rsidP="0006743B">
            <w:pPr>
              <w:pStyle w:val="Tableheading"/>
            </w:pPr>
            <w:r w:rsidRPr="0071077B">
              <w:t>I2 (%)</w:t>
            </w:r>
          </w:p>
        </w:tc>
        <w:tc>
          <w:tcPr>
            <w:tcW w:w="467" w:type="pct"/>
            <w:shd w:val="clear" w:color="auto" w:fill="auto"/>
            <w:noWrap/>
            <w:vAlign w:val="bottom"/>
          </w:tcPr>
          <w:p w:rsidR="00786914" w:rsidRPr="0071077B" w:rsidRDefault="00786914" w:rsidP="0006743B">
            <w:pPr>
              <w:pStyle w:val="Tableheading"/>
            </w:pPr>
            <w:r w:rsidRPr="0071077B">
              <w:t>p-value</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 xml:space="preserve">Qmax @ 6 months(ml/s)  </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6</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323/315</w:t>
            </w:r>
          </w:p>
        </w:tc>
        <w:tc>
          <w:tcPr>
            <w:tcW w:w="490" w:type="pct"/>
            <w:shd w:val="clear" w:color="auto" w:fill="auto"/>
            <w:vAlign w:val="bottom"/>
          </w:tcPr>
          <w:p w:rsidR="00786914" w:rsidRPr="0071077B" w:rsidRDefault="00786914" w:rsidP="0006743B">
            <w:pPr>
              <w:pStyle w:val="TableText"/>
              <w:rPr>
                <w:szCs w:val="18"/>
              </w:rPr>
            </w:pPr>
          </w:p>
          <w:p w:rsidR="00786914" w:rsidRPr="0071077B" w:rsidRDefault="00786914" w:rsidP="0006743B">
            <w:pPr>
              <w:pStyle w:val="TableText"/>
              <w:rPr>
                <w:szCs w:val="18"/>
              </w:rPr>
            </w:pPr>
            <w:r w:rsidRPr="0071077B">
              <w:rPr>
                <w:szCs w:val="18"/>
              </w:rPr>
              <w:t>24.2</w:t>
            </w:r>
          </w:p>
        </w:tc>
        <w:tc>
          <w:tcPr>
            <w:tcW w:w="490" w:type="pct"/>
            <w:shd w:val="clear" w:color="auto" w:fill="auto"/>
            <w:vAlign w:val="bottom"/>
          </w:tcPr>
          <w:p w:rsidR="00786914" w:rsidRPr="0071077B" w:rsidRDefault="00786914" w:rsidP="0006743B">
            <w:pPr>
              <w:pStyle w:val="TableText"/>
              <w:rPr>
                <w:szCs w:val="18"/>
              </w:rPr>
            </w:pPr>
            <w:r w:rsidRPr="0071077B">
              <w:rPr>
                <w:szCs w:val="18"/>
              </w:rPr>
              <w:t>23.3</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0.99</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-0.81–2.80</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62</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0.28</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Qmax @ 12 months(ml/s)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6</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317/310</w:t>
            </w:r>
          </w:p>
        </w:tc>
        <w:tc>
          <w:tcPr>
            <w:tcW w:w="490" w:type="pct"/>
            <w:shd w:val="clear" w:color="auto" w:fill="auto"/>
            <w:vAlign w:val="bottom"/>
          </w:tcPr>
          <w:p w:rsidR="00786914" w:rsidRPr="0071077B" w:rsidRDefault="00786914" w:rsidP="0006743B">
            <w:pPr>
              <w:pStyle w:val="TableText"/>
              <w:rPr>
                <w:szCs w:val="18"/>
              </w:rPr>
            </w:pPr>
            <w:r w:rsidRPr="0071077B">
              <w:rPr>
                <w:szCs w:val="18"/>
              </w:rPr>
              <w:t>25</w:t>
            </w:r>
          </w:p>
        </w:tc>
        <w:tc>
          <w:tcPr>
            <w:tcW w:w="490" w:type="pct"/>
            <w:shd w:val="clear" w:color="auto" w:fill="auto"/>
            <w:vAlign w:val="bottom"/>
          </w:tcPr>
          <w:p w:rsidR="00786914" w:rsidRPr="0071077B" w:rsidRDefault="00786914" w:rsidP="0006743B">
            <w:pPr>
              <w:pStyle w:val="TableText"/>
              <w:rPr>
                <w:szCs w:val="18"/>
              </w:rPr>
            </w:pPr>
            <w:r w:rsidRPr="0071077B">
              <w:rPr>
                <w:szCs w:val="18"/>
              </w:rPr>
              <w:t>23.4</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1.39</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0.64–2.15</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9</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 xml:space="preserve"> 0.002</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Qmax @ 24 months (ml/s)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3</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147/142</w:t>
            </w:r>
          </w:p>
        </w:tc>
        <w:tc>
          <w:tcPr>
            <w:tcW w:w="490" w:type="pct"/>
            <w:shd w:val="clear" w:color="auto" w:fill="auto"/>
            <w:vAlign w:val="bottom"/>
          </w:tcPr>
          <w:p w:rsidR="00786914" w:rsidRPr="0071077B" w:rsidRDefault="00786914" w:rsidP="0006743B">
            <w:pPr>
              <w:pStyle w:val="TableText"/>
              <w:rPr>
                <w:szCs w:val="18"/>
              </w:rPr>
            </w:pPr>
            <w:r w:rsidRPr="0071077B">
              <w:rPr>
                <w:szCs w:val="18"/>
              </w:rPr>
              <w:t>24.7</w:t>
            </w:r>
          </w:p>
        </w:tc>
        <w:tc>
          <w:tcPr>
            <w:tcW w:w="490" w:type="pct"/>
            <w:shd w:val="clear" w:color="auto" w:fill="auto"/>
            <w:vAlign w:val="bottom"/>
          </w:tcPr>
          <w:p w:rsidR="00786914" w:rsidRPr="0071077B" w:rsidRDefault="00786914" w:rsidP="0006743B">
            <w:pPr>
              <w:pStyle w:val="TableText"/>
              <w:rPr>
                <w:szCs w:val="18"/>
              </w:rPr>
            </w:pPr>
            <w:r w:rsidRPr="0071077B">
              <w:rPr>
                <w:szCs w:val="18"/>
              </w:rPr>
              <w:t>23.1</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1.14</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-2.17–4.46</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41</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0.5</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IPSS/AUA @ 6 months (score)</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6</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323/315</w:t>
            </w:r>
          </w:p>
        </w:tc>
        <w:tc>
          <w:tcPr>
            <w:tcW w:w="490" w:type="pct"/>
            <w:shd w:val="clear" w:color="auto" w:fill="auto"/>
            <w:vAlign w:val="bottom"/>
          </w:tcPr>
          <w:p w:rsidR="00786914" w:rsidRPr="0071077B" w:rsidRDefault="00786914" w:rsidP="0006743B">
            <w:pPr>
              <w:pStyle w:val="TableText"/>
              <w:rPr>
                <w:szCs w:val="18"/>
              </w:rPr>
            </w:pPr>
            <w:r w:rsidRPr="0071077B">
              <w:rPr>
                <w:szCs w:val="18"/>
              </w:rPr>
              <w:t>4.0</w:t>
            </w:r>
          </w:p>
        </w:tc>
        <w:tc>
          <w:tcPr>
            <w:tcW w:w="490" w:type="pct"/>
            <w:shd w:val="clear" w:color="auto" w:fill="auto"/>
            <w:vAlign w:val="bottom"/>
          </w:tcPr>
          <w:p w:rsidR="00786914" w:rsidRPr="0071077B" w:rsidRDefault="00786914" w:rsidP="0006743B">
            <w:pPr>
              <w:pStyle w:val="TableText"/>
              <w:rPr>
                <w:szCs w:val="18"/>
              </w:rPr>
            </w:pPr>
            <w:r w:rsidRPr="0071077B">
              <w:rPr>
                <w:szCs w:val="18"/>
              </w:rPr>
              <w:t>4.4</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-0.66</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-1.34–-0.03</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71</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0.06</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IPSS/AUA @ 12 months (score)</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6</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295/296</w:t>
            </w:r>
          </w:p>
        </w:tc>
        <w:tc>
          <w:tcPr>
            <w:tcW w:w="490" w:type="pct"/>
            <w:shd w:val="clear" w:color="auto" w:fill="auto"/>
            <w:vAlign w:val="bottom"/>
          </w:tcPr>
          <w:p w:rsidR="00786914" w:rsidRPr="0071077B" w:rsidRDefault="00786914" w:rsidP="0006743B">
            <w:pPr>
              <w:pStyle w:val="TableText"/>
              <w:rPr>
                <w:szCs w:val="18"/>
              </w:rPr>
            </w:pPr>
            <w:r w:rsidRPr="0071077B">
              <w:rPr>
                <w:szCs w:val="18"/>
              </w:rPr>
              <w:t>3.6</w:t>
            </w:r>
          </w:p>
        </w:tc>
        <w:tc>
          <w:tcPr>
            <w:tcW w:w="490" w:type="pct"/>
            <w:shd w:val="clear" w:color="auto" w:fill="auto"/>
            <w:vAlign w:val="bottom"/>
          </w:tcPr>
          <w:p w:rsidR="00786914" w:rsidRPr="0071077B" w:rsidRDefault="00786914" w:rsidP="0006743B">
            <w:pPr>
              <w:pStyle w:val="TableText"/>
              <w:rPr>
                <w:szCs w:val="18"/>
              </w:rPr>
            </w:pPr>
            <w:r w:rsidRPr="0071077B">
              <w:rPr>
                <w:szCs w:val="18"/>
              </w:rPr>
              <w:t>4.4</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-0.96</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-1.73–-0.18</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80</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0.02</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IPSS/AUA @ 24 months (score)</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2</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125/116</w:t>
            </w:r>
          </w:p>
        </w:tc>
        <w:tc>
          <w:tcPr>
            <w:tcW w:w="490" w:type="pct"/>
            <w:shd w:val="clear" w:color="auto" w:fill="auto"/>
            <w:vAlign w:val="bottom"/>
          </w:tcPr>
          <w:p w:rsidR="00786914" w:rsidRPr="0071077B" w:rsidRDefault="00786914" w:rsidP="0006743B">
            <w:pPr>
              <w:pStyle w:val="TableText"/>
              <w:rPr>
                <w:szCs w:val="18"/>
              </w:rPr>
            </w:pPr>
            <w:r w:rsidRPr="0071077B">
              <w:rPr>
                <w:szCs w:val="18"/>
              </w:rPr>
              <w:t>2.6</w:t>
            </w:r>
          </w:p>
        </w:tc>
        <w:tc>
          <w:tcPr>
            <w:tcW w:w="490" w:type="pct"/>
            <w:shd w:val="clear" w:color="auto" w:fill="auto"/>
            <w:vAlign w:val="bottom"/>
          </w:tcPr>
          <w:p w:rsidR="00786914" w:rsidRPr="0071077B" w:rsidRDefault="00786914" w:rsidP="0006743B">
            <w:pPr>
              <w:pStyle w:val="TableText"/>
              <w:rPr>
                <w:szCs w:val="18"/>
              </w:rPr>
            </w:pPr>
            <w:r w:rsidRPr="0071077B">
              <w:rPr>
                <w:szCs w:val="18"/>
              </w:rPr>
              <w:t>3.8</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-1.49</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-3.29–0.32</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63</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0.11</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PVR volume @ 6 months (mls)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3</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160/158</w:t>
            </w:r>
          </w:p>
        </w:tc>
        <w:tc>
          <w:tcPr>
            <w:tcW w:w="490" w:type="pct"/>
            <w:shd w:val="clear" w:color="auto" w:fill="auto"/>
            <w:vAlign w:val="bottom"/>
          </w:tcPr>
          <w:p w:rsidR="00786914" w:rsidRPr="0071077B" w:rsidRDefault="00786914" w:rsidP="0006743B">
            <w:pPr>
              <w:pStyle w:val="TableText"/>
              <w:rPr>
                <w:szCs w:val="18"/>
              </w:rPr>
            </w:pPr>
            <w:r w:rsidRPr="0071077B">
              <w:rPr>
                <w:szCs w:val="18"/>
              </w:rPr>
              <w:t>14.7</w:t>
            </w:r>
          </w:p>
        </w:tc>
        <w:tc>
          <w:tcPr>
            <w:tcW w:w="490" w:type="pct"/>
            <w:shd w:val="clear" w:color="auto" w:fill="auto"/>
            <w:vAlign w:val="bottom"/>
          </w:tcPr>
          <w:p w:rsidR="00786914" w:rsidRPr="0071077B" w:rsidRDefault="00786914" w:rsidP="0006743B">
            <w:pPr>
              <w:pStyle w:val="TableText"/>
              <w:rPr>
                <w:szCs w:val="18"/>
              </w:rPr>
            </w:pPr>
            <w:r w:rsidRPr="0071077B">
              <w:rPr>
                <w:szCs w:val="18"/>
              </w:rPr>
              <w:t>28.7</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-11.9</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-14.74–-9.17</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0</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&lt;0.001</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PVR volume @ 12 months (mls)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2</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129/126</w:t>
            </w:r>
          </w:p>
        </w:tc>
        <w:tc>
          <w:tcPr>
            <w:tcW w:w="490" w:type="pct"/>
            <w:shd w:val="clear" w:color="auto" w:fill="auto"/>
            <w:vAlign w:val="bottom"/>
          </w:tcPr>
          <w:p w:rsidR="00786914" w:rsidRPr="0071077B" w:rsidRDefault="00786914" w:rsidP="0006743B">
            <w:pPr>
              <w:pStyle w:val="TableText"/>
              <w:rPr>
                <w:szCs w:val="18"/>
              </w:rPr>
            </w:pPr>
            <w:r w:rsidRPr="0071077B">
              <w:rPr>
                <w:szCs w:val="18"/>
              </w:rPr>
              <w:t>5.3</w:t>
            </w:r>
          </w:p>
        </w:tc>
        <w:tc>
          <w:tcPr>
            <w:tcW w:w="490" w:type="pct"/>
            <w:shd w:val="clear" w:color="auto" w:fill="auto"/>
            <w:vAlign w:val="bottom"/>
          </w:tcPr>
          <w:p w:rsidR="00786914" w:rsidRPr="0071077B" w:rsidRDefault="00786914" w:rsidP="0006743B">
            <w:pPr>
              <w:pStyle w:val="TableText"/>
              <w:rPr>
                <w:szCs w:val="18"/>
              </w:rPr>
            </w:pPr>
            <w:r w:rsidRPr="0071077B">
              <w:rPr>
                <w:szCs w:val="18"/>
              </w:rPr>
              <w:t>25.4</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-19.4</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-25.55–-13.16</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0</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&lt; 0.001</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Treatment failure/</w:t>
            </w:r>
            <w:r>
              <w:rPr>
                <w:szCs w:val="18"/>
              </w:rPr>
              <w:t>re-treatment</w:t>
            </w:r>
            <w:r w:rsidRPr="0071077B">
              <w:rPr>
                <w:szCs w:val="18"/>
              </w:rPr>
              <w:t>**</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2</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91/89</w:t>
            </w:r>
          </w:p>
        </w:tc>
        <w:tc>
          <w:tcPr>
            <w:tcW w:w="490" w:type="pct"/>
            <w:shd w:val="clear" w:color="auto" w:fill="auto"/>
            <w:vAlign w:val="bottom"/>
          </w:tcPr>
          <w:p w:rsidR="00786914" w:rsidRPr="0071077B" w:rsidRDefault="00786914" w:rsidP="0006743B">
            <w:pPr>
              <w:pStyle w:val="TableText"/>
              <w:rPr>
                <w:szCs w:val="18"/>
              </w:rPr>
            </w:pPr>
            <w:r w:rsidRPr="0071077B">
              <w:rPr>
                <w:szCs w:val="18"/>
              </w:rPr>
              <w:t>1**</w:t>
            </w:r>
          </w:p>
        </w:tc>
        <w:tc>
          <w:tcPr>
            <w:tcW w:w="490" w:type="pct"/>
            <w:shd w:val="clear" w:color="auto" w:fill="auto"/>
            <w:vAlign w:val="bottom"/>
          </w:tcPr>
          <w:p w:rsidR="00786914" w:rsidRPr="0071077B" w:rsidRDefault="00786914" w:rsidP="0006743B">
            <w:pPr>
              <w:pStyle w:val="TableText"/>
              <w:rPr>
                <w:szCs w:val="18"/>
              </w:rPr>
            </w:pPr>
            <w:r w:rsidRPr="0071077B">
              <w:rPr>
                <w:szCs w:val="18"/>
              </w:rPr>
              <w:t>5**</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0.27</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0.04-1.60</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0</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0.15</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Quality of life @ 6 months*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3</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139/136</w:t>
            </w:r>
          </w:p>
        </w:tc>
        <w:tc>
          <w:tcPr>
            <w:tcW w:w="490" w:type="pct"/>
            <w:shd w:val="clear" w:color="auto" w:fill="auto"/>
            <w:vAlign w:val="bottom"/>
          </w:tcPr>
          <w:p w:rsidR="00786914" w:rsidRPr="0071077B" w:rsidRDefault="00786914" w:rsidP="0006743B">
            <w:pPr>
              <w:pStyle w:val="TableText"/>
              <w:rPr>
                <w:szCs w:val="18"/>
              </w:rPr>
            </w:pPr>
            <w:r w:rsidRPr="0071077B">
              <w:rPr>
                <w:szCs w:val="18"/>
              </w:rPr>
              <w:t>1.2</w:t>
            </w:r>
          </w:p>
        </w:tc>
        <w:tc>
          <w:tcPr>
            <w:tcW w:w="490" w:type="pct"/>
            <w:shd w:val="clear" w:color="auto" w:fill="auto"/>
            <w:vAlign w:val="bottom"/>
          </w:tcPr>
          <w:p w:rsidR="00786914" w:rsidRPr="0071077B" w:rsidRDefault="00786914" w:rsidP="0006743B">
            <w:pPr>
              <w:pStyle w:val="TableText"/>
              <w:rPr>
                <w:szCs w:val="18"/>
              </w:rPr>
            </w:pPr>
            <w:r w:rsidRPr="0071077B">
              <w:rPr>
                <w:szCs w:val="18"/>
              </w:rPr>
              <w:t>1.2</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0.25</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0.05–0.44</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77.3</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0.01</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Quality of life @ 12 months*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3</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138/134</w:t>
            </w:r>
          </w:p>
        </w:tc>
        <w:tc>
          <w:tcPr>
            <w:tcW w:w="490" w:type="pct"/>
            <w:shd w:val="clear" w:color="auto" w:fill="auto"/>
            <w:vAlign w:val="bottom"/>
          </w:tcPr>
          <w:p w:rsidR="00786914" w:rsidRPr="0071077B" w:rsidRDefault="00786914" w:rsidP="0006743B">
            <w:pPr>
              <w:pStyle w:val="TableText"/>
              <w:rPr>
                <w:szCs w:val="18"/>
              </w:rPr>
            </w:pPr>
            <w:r w:rsidRPr="0071077B">
              <w:rPr>
                <w:szCs w:val="18"/>
              </w:rPr>
              <w:t>1.3</w:t>
            </w:r>
          </w:p>
        </w:tc>
        <w:tc>
          <w:tcPr>
            <w:tcW w:w="490" w:type="pct"/>
            <w:shd w:val="clear" w:color="auto" w:fill="auto"/>
            <w:vAlign w:val="bottom"/>
          </w:tcPr>
          <w:p w:rsidR="00786914" w:rsidRPr="0071077B" w:rsidRDefault="00786914" w:rsidP="0006743B">
            <w:pPr>
              <w:pStyle w:val="TableText"/>
              <w:rPr>
                <w:szCs w:val="18"/>
              </w:rPr>
            </w:pPr>
            <w:r w:rsidRPr="0071077B">
              <w:rPr>
                <w:szCs w:val="18"/>
              </w:rPr>
              <w:t>1.3</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0.06</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-0.26–0.38</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86.2</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0.73</w:t>
            </w:r>
          </w:p>
        </w:tc>
      </w:tr>
      <w:tr w:rsidR="00786914" w:rsidRPr="0001050B" w:rsidTr="0006743B">
        <w:trPr>
          <w:trHeight w:val="255"/>
        </w:trPr>
        <w:tc>
          <w:tcPr>
            <w:tcW w:w="1041" w:type="pct"/>
            <w:shd w:val="clear" w:color="auto" w:fill="auto"/>
            <w:noWrap/>
            <w:vAlign w:val="bottom"/>
          </w:tcPr>
          <w:p w:rsidR="00786914" w:rsidRPr="0071077B" w:rsidRDefault="00786914" w:rsidP="0006743B">
            <w:pPr>
              <w:pStyle w:val="TableText"/>
              <w:rPr>
                <w:szCs w:val="18"/>
              </w:rPr>
            </w:pPr>
            <w:r w:rsidRPr="0071077B">
              <w:rPr>
                <w:szCs w:val="18"/>
              </w:rPr>
              <w:t>Quality of life @ 24 months*</w:t>
            </w:r>
          </w:p>
        </w:tc>
        <w:tc>
          <w:tcPr>
            <w:tcW w:w="377" w:type="pct"/>
            <w:shd w:val="clear" w:color="auto" w:fill="auto"/>
            <w:noWrap/>
            <w:vAlign w:val="bottom"/>
          </w:tcPr>
          <w:p w:rsidR="00786914" w:rsidRPr="0071077B" w:rsidRDefault="00786914" w:rsidP="0006743B">
            <w:pPr>
              <w:pStyle w:val="TableText"/>
              <w:rPr>
                <w:szCs w:val="18"/>
              </w:rPr>
            </w:pPr>
            <w:r w:rsidRPr="0071077B">
              <w:rPr>
                <w:szCs w:val="18"/>
              </w:rPr>
              <w:t>2</w:t>
            </w:r>
          </w:p>
        </w:tc>
        <w:tc>
          <w:tcPr>
            <w:tcW w:w="481" w:type="pct"/>
            <w:shd w:val="clear" w:color="auto" w:fill="auto"/>
            <w:noWrap/>
            <w:vAlign w:val="bottom"/>
          </w:tcPr>
          <w:p w:rsidR="00786914" w:rsidRPr="0071077B" w:rsidRDefault="00786914" w:rsidP="0006743B">
            <w:pPr>
              <w:pStyle w:val="TableText"/>
              <w:rPr>
                <w:szCs w:val="18"/>
              </w:rPr>
            </w:pPr>
            <w:r w:rsidRPr="0071077B">
              <w:rPr>
                <w:szCs w:val="18"/>
              </w:rPr>
              <w:t>67/67</w:t>
            </w:r>
          </w:p>
        </w:tc>
        <w:tc>
          <w:tcPr>
            <w:tcW w:w="490" w:type="pct"/>
            <w:shd w:val="clear" w:color="auto" w:fill="auto"/>
            <w:vAlign w:val="bottom"/>
          </w:tcPr>
          <w:p w:rsidR="00786914" w:rsidRPr="0071077B" w:rsidRDefault="00786914" w:rsidP="0006743B">
            <w:pPr>
              <w:pStyle w:val="TableText"/>
              <w:rPr>
                <w:szCs w:val="18"/>
              </w:rPr>
            </w:pPr>
            <w:r w:rsidRPr="0071077B">
              <w:rPr>
                <w:szCs w:val="18"/>
              </w:rPr>
              <w:t>1.1</w:t>
            </w:r>
          </w:p>
        </w:tc>
        <w:tc>
          <w:tcPr>
            <w:tcW w:w="490" w:type="pct"/>
            <w:shd w:val="clear" w:color="auto" w:fill="auto"/>
            <w:vAlign w:val="bottom"/>
          </w:tcPr>
          <w:p w:rsidR="00786914" w:rsidRPr="0071077B" w:rsidRDefault="00786914" w:rsidP="0006743B">
            <w:pPr>
              <w:pStyle w:val="TableText"/>
              <w:rPr>
                <w:szCs w:val="18"/>
              </w:rPr>
            </w:pPr>
            <w:r w:rsidRPr="0071077B">
              <w:rPr>
                <w:szCs w:val="18"/>
              </w:rPr>
              <w:t>1.1</w:t>
            </w:r>
          </w:p>
        </w:tc>
        <w:tc>
          <w:tcPr>
            <w:tcW w:w="612" w:type="pct"/>
            <w:shd w:val="clear" w:color="auto" w:fill="auto"/>
            <w:noWrap/>
            <w:vAlign w:val="bottom"/>
          </w:tcPr>
          <w:p w:rsidR="00786914" w:rsidRPr="0071077B" w:rsidRDefault="00786914" w:rsidP="0006743B">
            <w:pPr>
              <w:pStyle w:val="TableText"/>
              <w:rPr>
                <w:szCs w:val="18"/>
              </w:rPr>
            </w:pPr>
            <w:r w:rsidRPr="0071077B">
              <w:rPr>
                <w:szCs w:val="18"/>
              </w:rPr>
              <w:t>-0.01</w:t>
            </w:r>
          </w:p>
        </w:tc>
        <w:tc>
          <w:tcPr>
            <w:tcW w:w="735" w:type="pct"/>
            <w:shd w:val="clear" w:color="auto" w:fill="auto"/>
            <w:noWrap/>
            <w:vAlign w:val="bottom"/>
          </w:tcPr>
          <w:p w:rsidR="00786914" w:rsidRPr="0071077B" w:rsidRDefault="00786914" w:rsidP="0006743B">
            <w:pPr>
              <w:pStyle w:val="TableText"/>
              <w:rPr>
                <w:szCs w:val="18"/>
              </w:rPr>
            </w:pPr>
            <w:r w:rsidRPr="0071077B">
              <w:rPr>
                <w:szCs w:val="18"/>
              </w:rPr>
              <w:t>-0.40–0.38</w:t>
            </w:r>
          </w:p>
        </w:tc>
        <w:tc>
          <w:tcPr>
            <w:tcW w:w="306" w:type="pct"/>
            <w:shd w:val="clear" w:color="auto" w:fill="auto"/>
            <w:noWrap/>
            <w:vAlign w:val="bottom"/>
          </w:tcPr>
          <w:p w:rsidR="00786914" w:rsidRPr="0071077B" w:rsidRDefault="00786914" w:rsidP="0006743B">
            <w:pPr>
              <w:pStyle w:val="TableText"/>
              <w:rPr>
                <w:szCs w:val="18"/>
              </w:rPr>
            </w:pPr>
            <w:r w:rsidRPr="0071077B">
              <w:rPr>
                <w:szCs w:val="18"/>
              </w:rPr>
              <w:t>0</w:t>
            </w:r>
          </w:p>
        </w:tc>
        <w:tc>
          <w:tcPr>
            <w:tcW w:w="467" w:type="pct"/>
            <w:shd w:val="clear" w:color="auto" w:fill="auto"/>
            <w:noWrap/>
            <w:vAlign w:val="bottom"/>
          </w:tcPr>
          <w:p w:rsidR="00786914" w:rsidRPr="0071077B" w:rsidRDefault="00786914" w:rsidP="0006743B">
            <w:pPr>
              <w:pStyle w:val="TableText"/>
              <w:rPr>
                <w:szCs w:val="18"/>
              </w:rPr>
            </w:pPr>
            <w:r w:rsidRPr="0071077B">
              <w:rPr>
                <w:szCs w:val="18"/>
              </w:rPr>
              <w:t>0.96</w:t>
            </w:r>
          </w:p>
        </w:tc>
      </w:tr>
    </w:tbl>
    <w:p w:rsidR="00786914" w:rsidRPr="00F62A8F" w:rsidRDefault="00786914" w:rsidP="0006743B">
      <w:pPr>
        <w:pStyle w:val="TableNotes"/>
      </w:pPr>
      <w:r>
        <w:t xml:space="preserve">PVR= post-void residual volume; </w:t>
      </w:r>
      <w:r w:rsidRPr="00512CC9">
        <w:t>MD=weighted mean difference; RR=relative risk</w:t>
      </w:r>
      <w:r>
        <w:t>;</w:t>
      </w:r>
      <w:r w:rsidRPr="00F62A8F">
        <w:rPr>
          <w:rFonts w:cs="Arial"/>
        </w:rPr>
        <w:t xml:space="preserve">* </w:t>
      </w:r>
      <w:r>
        <w:t>r</w:t>
      </w:r>
      <w:r w:rsidRPr="00512CC9">
        <w:t>esults are from Lour</w:t>
      </w:r>
      <w:r>
        <w:t>enco</w:t>
      </w:r>
      <w:r w:rsidRPr="00512CC9">
        <w:t xml:space="preserve"> et al (2008).as no additional data w</w:t>
      </w:r>
      <w:r>
        <w:t>ere</w:t>
      </w:r>
      <w:r w:rsidRPr="00512CC9">
        <w:t xml:space="preserve"> reported in the more recent studies</w:t>
      </w:r>
      <w:r>
        <w:t>;</w:t>
      </w:r>
      <w:r w:rsidRPr="00512CC9">
        <w:t xml:space="preserve"> **</w:t>
      </w:r>
      <w:r>
        <w:t>t</w:t>
      </w:r>
      <w:r w:rsidRPr="00512CC9">
        <w:t>otal number of events, rather than mean.</w:t>
      </w:r>
    </w:p>
    <w:p w:rsidR="00786914" w:rsidRDefault="00786914" w:rsidP="0006743B">
      <w:r w:rsidRPr="002B4CD4">
        <w:t>The study by Mavuduru et al (2009) identified in the updated literature search and not included in Lourenco, reports on effectiveness outcomes at 3 and 9 months. It is therefore not included in the pooled data at 6, 12 and 24 months below. The results are however outlined in Appendix D.</w:t>
      </w:r>
    </w:p>
    <w:p w:rsidR="00786914" w:rsidRDefault="00786914" w:rsidP="0006743B">
      <w:r>
        <w:t xml:space="preserve">Forest plots are set out below. </w:t>
      </w:r>
    </w:p>
    <w:p w:rsidR="00786914" w:rsidRDefault="00786914" w:rsidP="0006743B">
      <w:pPr>
        <w:pStyle w:val="Normalbold"/>
        <w:rPr>
          <w:rFonts w:eastAsia="Calibri"/>
          <w:lang w:eastAsia="en-US"/>
        </w:rPr>
      </w:pPr>
      <w:bookmarkStart w:id="193" w:name="_Toc327877872"/>
      <w:r w:rsidRPr="008416ED">
        <w:rPr>
          <w:rFonts w:eastAsia="Calibri"/>
          <w:lang w:eastAsia="en-US"/>
        </w:rPr>
        <w:t>Peak flow (Qmax)</w:t>
      </w:r>
      <w:bookmarkEnd w:id="193"/>
    </w:p>
    <w:p w:rsidR="00786914" w:rsidRDefault="00786914" w:rsidP="0006743B">
      <w:r w:rsidRPr="002B4CD4">
        <w:t>These data</w:t>
      </w:r>
      <w:r>
        <w:t xml:space="preserve"> shown in figures 9, 10 and 11 </w:t>
      </w:r>
      <w:r w:rsidRPr="002B4CD4">
        <w:t xml:space="preserve">indicate a statistically significant difference between the interventions at 12 months, favouring HoLEP. Differences at 6 and 24 months however do not show significant differences. The latter results should be interpreted with caution however due to the higher degree of heterogeneity across the studies at these time points. </w:t>
      </w:r>
      <w:r>
        <w:t>Three</w:t>
      </w:r>
      <w:r w:rsidRPr="002B4CD4">
        <w:t xml:space="preserve"> studies reported on longer-term follow-up in respect to peak flow. These were Ahyai et al 2007 reporting at 36 months</w:t>
      </w:r>
      <w:r>
        <w:t>, Westenberg et al 2004 at 48 months</w:t>
      </w:r>
      <w:r w:rsidRPr="002B4CD4">
        <w:t xml:space="preserve"> and Gilling et al 2011 reporting at 92 months (Appendix D). </w:t>
      </w:r>
      <w:r>
        <w:t>All three</w:t>
      </w:r>
      <w:r w:rsidRPr="002B4CD4">
        <w:t xml:space="preserve"> studies reported that at final follow-up patients treated with HoLEP had an increase in peak flow compared to those in the TURP, although these differences were not significant.</w:t>
      </w:r>
    </w:p>
    <w:p w:rsidR="00786914" w:rsidRDefault="00786914">
      <w:pPr>
        <w:spacing w:after="0"/>
        <w:ind w:left="0"/>
        <w:rPr>
          <w:rFonts w:ascii="Arial" w:hAnsi="Arial"/>
          <w:bCs/>
          <w:sz w:val="18"/>
        </w:rPr>
      </w:pPr>
      <w:r>
        <w:br w:type="page"/>
      </w:r>
    </w:p>
    <w:p w:rsidR="00786914" w:rsidRDefault="00786914" w:rsidP="0006743B">
      <w:pPr>
        <w:pStyle w:val="Caption"/>
        <w:rPr>
          <w:sz w:val="24"/>
          <w:szCs w:val="24"/>
        </w:rPr>
      </w:pPr>
      <w:bookmarkStart w:id="194" w:name="_Toc327882493"/>
      <w:r>
        <w:lastRenderedPageBreak/>
        <w:t xml:space="preserve">Figure </w:t>
      </w:r>
      <w:fldSimple w:instr=" SEQ Figure \* ARABIC ">
        <w:r w:rsidR="00F45C43">
          <w:rPr>
            <w:noProof/>
          </w:rPr>
          <w:t>9</w:t>
        </w:r>
      </w:fldSimple>
      <w:r>
        <w:t>:</w:t>
      </w:r>
      <w:r>
        <w:tab/>
      </w:r>
      <w:r w:rsidRPr="008416ED">
        <w:t xml:space="preserve">Qmax at </w:t>
      </w:r>
      <w:r>
        <w:t>6</w:t>
      </w:r>
      <w:r w:rsidRPr="008416ED">
        <w:t xml:space="preserve"> months</w:t>
      </w:r>
      <w:r>
        <w:t>: HoLEP compared with TURP</w:t>
      </w:r>
      <w:bookmarkEnd w:id="194"/>
    </w:p>
    <w:p w:rsidR="00786914" w:rsidRDefault="00786914" w:rsidP="0006743B">
      <w:pPr>
        <w:ind w:left="0"/>
        <w:rPr>
          <w:szCs w:val="24"/>
        </w:rPr>
      </w:pPr>
      <w:r>
        <w:rPr>
          <w:noProof/>
          <w:szCs w:val="24"/>
        </w:rPr>
        <w:drawing>
          <wp:inline distT="0" distB="0" distL="0" distR="0" wp14:anchorId="2F8C653B" wp14:editId="38145B01">
            <wp:extent cx="5732780" cy="1454785"/>
            <wp:effectExtent l="0" t="0" r="1270" b="0"/>
            <wp:docPr id="9" name="Picture 23" title="Figure 9: Qmax at 6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5732780" cy="1454785"/>
                    </a:xfrm>
                    <a:prstGeom prst="rect">
                      <a:avLst/>
                    </a:prstGeom>
                    <a:noFill/>
                    <a:ln w="9525">
                      <a:noFill/>
                      <a:miter lim="800000"/>
                      <a:headEnd/>
                      <a:tailEnd/>
                    </a:ln>
                  </pic:spPr>
                </pic:pic>
              </a:graphicData>
            </a:graphic>
          </wp:inline>
        </w:drawing>
      </w:r>
    </w:p>
    <w:p w:rsidR="00786914" w:rsidRDefault="00786914" w:rsidP="0006743B">
      <w:pPr>
        <w:pStyle w:val="Caption"/>
        <w:rPr>
          <w:sz w:val="24"/>
          <w:szCs w:val="24"/>
        </w:rPr>
      </w:pPr>
      <w:bookmarkStart w:id="195" w:name="_Toc327882494"/>
      <w:r>
        <w:t xml:space="preserve">Figure </w:t>
      </w:r>
      <w:fldSimple w:instr=" SEQ Figure \* ARABIC ">
        <w:r w:rsidR="00F45C43">
          <w:rPr>
            <w:noProof/>
          </w:rPr>
          <w:t>10</w:t>
        </w:r>
      </w:fldSimple>
      <w:r>
        <w:t>:</w:t>
      </w:r>
      <w:r>
        <w:tab/>
      </w:r>
      <w:r w:rsidRPr="008416ED">
        <w:t xml:space="preserve">Qmax at </w:t>
      </w:r>
      <w:r>
        <w:t>12</w:t>
      </w:r>
      <w:r w:rsidRPr="008416ED">
        <w:t xml:space="preserve"> months</w:t>
      </w:r>
      <w:r>
        <w:t>: HoLEP compared with TURP</w:t>
      </w:r>
      <w:bookmarkEnd w:id="195"/>
    </w:p>
    <w:p w:rsidR="00786914" w:rsidRDefault="00786914" w:rsidP="0006743B">
      <w:pPr>
        <w:ind w:left="0"/>
        <w:rPr>
          <w:szCs w:val="24"/>
        </w:rPr>
      </w:pPr>
      <w:r>
        <w:rPr>
          <w:noProof/>
          <w:szCs w:val="24"/>
        </w:rPr>
        <w:drawing>
          <wp:inline distT="0" distB="0" distL="0" distR="0" wp14:anchorId="7FF415A4" wp14:editId="51EF4471">
            <wp:extent cx="5732780" cy="1518920"/>
            <wp:effectExtent l="0" t="0" r="1270" b="5080"/>
            <wp:docPr id="10" name="Picture 24" title="Figure 10: Qmax at 12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5732780" cy="1518920"/>
                    </a:xfrm>
                    <a:prstGeom prst="rect">
                      <a:avLst/>
                    </a:prstGeom>
                    <a:noFill/>
                    <a:ln w="9525">
                      <a:noFill/>
                      <a:miter lim="800000"/>
                      <a:headEnd/>
                      <a:tailEnd/>
                    </a:ln>
                  </pic:spPr>
                </pic:pic>
              </a:graphicData>
            </a:graphic>
          </wp:inline>
        </w:drawing>
      </w:r>
    </w:p>
    <w:p w:rsidR="00786914" w:rsidRDefault="00786914" w:rsidP="0006743B">
      <w:pPr>
        <w:pStyle w:val="Caption"/>
      </w:pPr>
    </w:p>
    <w:p w:rsidR="00786914" w:rsidRDefault="00786914" w:rsidP="0006743B">
      <w:pPr>
        <w:pStyle w:val="Caption"/>
        <w:rPr>
          <w:sz w:val="24"/>
          <w:szCs w:val="24"/>
        </w:rPr>
      </w:pPr>
      <w:bookmarkStart w:id="196" w:name="_Toc327882495"/>
      <w:r>
        <w:t xml:space="preserve">Figure </w:t>
      </w:r>
      <w:fldSimple w:instr=" SEQ Figure \* ARABIC ">
        <w:r w:rsidR="00F45C43">
          <w:rPr>
            <w:noProof/>
          </w:rPr>
          <w:t>11</w:t>
        </w:r>
      </w:fldSimple>
      <w:r>
        <w:t>:</w:t>
      </w:r>
      <w:r>
        <w:tab/>
        <w:t>Qmax at 24</w:t>
      </w:r>
      <w:r w:rsidRPr="008416ED">
        <w:t xml:space="preserve"> months</w:t>
      </w:r>
      <w:r>
        <w:t>: HoLEP compared with TURP</w:t>
      </w:r>
      <w:bookmarkEnd w:id="196"/>
    </w:p>
    <w:p w:rsidR="00786914" w:rsidRDefault="00786914" w:rsidP="0006743B">
      <w:pPr>
        <w:ind w:left="0"/>
        <w:rPr>
          <w:noProof/>
          <w:szCs w:val="24"/>
        </w:rPr>
      </w:pPr>
      <w:r>
        <w:rPr>
          <w:noProof/>
          <w:szCs w:val="24"/>
        </w:rPr>
        <w:drawing>
          <wp:inline distT="0" distB="0" distL="0" distR="0" wp14:anchorId="6321734C" wp14:editId="1551190E">
            <wp:extent cx="5732780" cy="1153160"/>
            <wp:effectExtent l="0" t="0" r="1270" b="8890"/>
            <wp:docPr id="11" name="Picture 25" title="Figure 11: Qmax at 24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5732780" cy="1153160"/>
                    </a:xfrm>
                    <a:prstGeom prst="rect">
                      <a:avLst/>
                    </a:prstGeom>
                    <a:noFill/>
                    <a:ln w="9525">
                      <a:noFill/>
                      <a:miter lim="800000"/>
                      <a:headEnd/>
                      <a:tailEnd/>
                    </a:ln>
                  </pic:spPr>
                </pic:pic>
              </a:graphicData>
            </a:graphic>
          </wp:inline>
        </w:drawing>
      </w:r>
    </w:p>
    <w:p w:rsidR="00786914" w:rsidRDefault="00786914" w:rsidP="0006743B">
      <w:pPr>
        <w:pStyle w:val="Normalbold"/>
        <w:rPr>
          <w:rFonts w:eastAsia="Calibri"/>
          <w:lang w:eastAsia="en-US"/>
        </w:rPr>
      </w:pPr>
      <w:bookmarkStart w:id="197" w:name="_Toc327877873"/>
      <w:r w:rsidRPr="0016468D">
        <w:rPr>
          <w:rFonts w:eastAsia="Calibri"/>
          <w:lang w:eastAsia="en-US"/>
        </w:rPr>
        <w:t>Symptoms scores (IPSS/AUA)</w:t>
      </w:r>
      <w:bookmarkEnd w:id="197"/>
    </w:p>
    <w:p w:rsidR="00786914" w:rsidRDefault="00786914" w:rsidP="0006743B">
      <w:r w:rsidRPr="002B4CD4">
        <w:t xml:space="preserve">The data </w:t>
      </w:r>
      <w:r>
        <w:t xml:space="preserve">in Figures 12, 13 and 14 below </w:t>
      </w:r>
      <w:r w:rsidRPr="002B4CD4">
        <w:t>indicate that at there were statistically significant differences between the interventions that favoured HoLEP at 6 and 12 months. There was however a high degree of heterogeneity across all of the studies. Longer term follow-up of patients was available at 36 months (Ahyai et al 2007)</w:t>
      </w:r>
      <w:r>
        <w:t>, 48 months (Westenberg et al 2004)</w:t>
      </w:r>
      <w:r w:rsidRPr="002B4CD4">
        <w:t xml:space="preserve"> and at 92 months (Gilling et al 2011). At </w:t>
      </w:r>
      <w:r>
        <w:t>all three</w:t>
      </w:r>
      <w:r w:rsidRPr="002B4CD4">
        <w:t xml:space="preserve"> time points patients treated with HoLEP had lower symptom scores in comparison to patients in the TURP group, although these differences were not significant.</w:t>
      </w:r>
    </w:p>
    <w:p w:rsidR="00786914" w:rsidRPr="00113DEC" w:rsidRDefault="00786914" w:rsidP="0006743B">
      <w:pPr>
        <w:pStyle w:val="Caption"/>
      </w:pPr>
      <w:bookmarkStart w:id="198" w:name="_Toc327882496"/>
      <w:r>
        <w:t xml:space="preserve">Figure </w:t>
      </w:r>
      <w:fldSimple w:instr=" SEQ Figure \* ARABIC ">
        <w:r w:rsidR="00F45C43">
          <w:rPr>
            <w:noProof/>
          </w:rPr>
          <w:t>12</w:t>
        </w:r>
      </w:fldSimple>
      <w:r>
        <w:t>:</w:t>
      </w:r>
      <w:r>
        <w:tab/>
        <w:t>Symptom score</w:t>
      </w:r>
      <w:r w:rsidRPr="008508D8">
        <w:t xml:space="preserve"> at </w:t>
      </w:r>
      <w:r>
        <w:t>6</w:t>
      </w:r>
      <w:r w:rsidRPr="008508D8">
        <w:t xml:space="preserve"> months</w:t>
      </w:r>
      <w:r>
        <w:t>: HoLEP compared with TURP</w:t>
      </w:r>
      <w:bookmarkEnd w:id="198"/>
    </w:p>
    <w:p w:rsidR="00786914" w:rsidRDefault="00786914" w:rsidP="0006743B">
      <w:pPr>
        <w:ind w:left="0"/>
      </w:pPr>
      <w:r>
        <w:rPr>
          <w:noProof/>
        </w:rPr>
        <w:drawing>
          <wp:inline distT="0" distB="0" distL="0" distR="0" wp14:anchorId="633AFDE2" wp14:editId="692AB219">
            <wp:extent cx="5732780" cy="1518920"/>
            <wp:effectExtent l="0" t="0" r="1270" b="5080"/>
            <wp:docPr id="12" name="Picture 12" title="Figure 12: Symptom score at 6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732780" cy="1518920"/>
                    </a:xfrm>
                    <a:prstGeom prst="rect">
                      <a:avLst/>
                    </a:prstGeom>
                    <a:noFill/>
                    <a:ln w="9525">
                      <a:noFill/>
                      <a:miter lim="800000"/>
                      <a:headEnd/>
                      <a:tailEnd/>
                    </a:ln>
                  </pic:spPr>
                </pic:pic>
              </a:graphicData>
            </a:graphic>
          </wp:inline>
        </w:drawing>
      </w:r>
    </w:p>
    <w:p w:rsidR="00786914" w:rsidRDefault="00786914" w:rsidP="0006743B">
      <w:pPr>
        <w:pStyle w:val="Caption"/>
        <w:rPr>
          <w:rFonts w:ascii="Times New Roman" w:hAnsi="Times New Roman"/>
          <w:szCs w:val="24"/>
        </w:rPr>
      </w:pPr>
      <w:bookmarkStart w:id="199" w:name="_Toc327781478"/>
      <w:bookmarkStart w:id="200" w:name="_Toc327882497"/>
      <w:r>
        <w:lastRenderedPageBreak/>
        <w:t xml:space="preserve">Figure </w:t>
      </w:r>
      <w:fldSimple w:instr=" SEQ Figure \* ARABIC ">
        <w:r w:rsidR="00F45C43">
          <w:rPr>
            <w:noProof/>
          </w:rPr>
          <w:t>13</w:t>
        </w:r>
      </w:fldSimple>
      <w:r>
        <w:t>:</w:t>
      </w:r>
      <w:r>
        <w:tab/>
        <w:t>Symptom score at 12 months: HoLEP compared with TURP</w:t>
      </w:r>
      <w:bookmarkEnd w:id="199"/>
      <w:bookmarkEnd w:id="200"/>
    </w:p>
    <w:p w:rsidR="00786914" w:rsidRDefault="00786914" w:rsidP="0006743B">
      <w:pPr>
        <w:ind w:left="0"/>
      </w:pPr>
      <w:r>
        <w:rPr>
          <w:noProof/>
        </w:rPr>
        <w:drawing>
          <wp:inline distT="0" distB="0" distL="0" distR="0" wp14:anchorId="25FF519C" wp14:editId="4EEA900F">
            <wp:extent cx="5732780" cy="1518920"/>
            <wp:effectExtent l="0" t="0" r="1270" b="5080"/>
            <wp:docPr id="13" name="Picture 13" title="Figure 13: Symptom score at 12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732780" cy="1518920"/>
                    </a:xfrm>
                    <a:prstGeom prst="rect">
                      <a:avLst/>
                    </a:prstGeom>
                    <a:noFill/>
                    <a:ln w="9525">
                      <a:noFill/>
                      <a:miter lim="800000"/>
                      <a:headEnd/>
                      <a:tailEnd/>
                    </a:ln>
                  </pic:spPr>
                </pic:pic>
              </a:graphicData>
            </a:graphic>
          </wp:inline>
        </w:drawing>
      </w:r>
    </w:p>
    <w:p w:rsidR="00786914" w:rsidRDefault="00786914" w:rsidP="0006743B">
      <w:pPr>
        <w:pStyle w:val="Caption"/>
      </w:pPr>
      <w:bookmarkStart w:id="201" w:name="_Toc327882498"/>
      <w:r>
        <w:t xml:space="preserve">Figure </w:t>
      </w:r>
      <w:fldSimple w:instr=" SEQ Figure \* ARABIC ">
        <w:r w:rsidR="00F45C43">
          <w:rPr>
            <w:noProof/>
          </w:rPr>
          <w:t>14</w:t>
        </w:r>
      </w:fldSimple>
      <w:r>
        <w:t>:</w:t>
      </w:r>
      <w:r>
        <w:tab/>
        <w:t>Symptom score at 24 months: HoLEP compared with TURP</w:t>
      </w:r>
      <w:bookmarkEnd w:id="201"/>
    </w:p>
    <w:p w:rsidR="00786914" w:rsidRDefault="00786914" w:rsidP="0006743B">
      <w:pPr>
        <w:ind w:left="0"/>
        <w:rPr>
          <w:noProof/>
          <w:szCs w:val="24"/>
        </w:rPr>
      </w:pPr>
      <w:r>
        <w:rPr>
          <w:noProof/>
          <w:szCs w:val="24"/>
        </w:rPr>
        <w:drawing>
          <wp:inline distT="0" distB="0" distL="0" distR="0" wp14:anchorId="17A566BE" wp14:editId="3F6351F4">
            <wp:extent cx="5732780" cy="1073150"/>
            <wp:effectExtent l="0" t="0" r="1270" b="0"/>
            <wp:docPr id="14" name="Picture 12" title="Figure 14: Symptom score at 24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732780" cy="1073150"/>
                    </a:xfrm>
                    <a:prstGeom prst="rect">
                      <a:avLst/>
                    </a:prstGeom>
                    <a:noFill/>
                    <a:ln w="9525">
                      <a:noFill/>
                      <a:miter lim="800000"/>
                      <a:headEnd/>
                      <a:tailEnd/>
                    </a:ln>
                  </pic:spPr>
                </pic:pic>
              </a:graphicData>
            </a:graphic>
          </wp:inline>
        </w:drawing>
      </w:r>
    </w:p>
    <w:p w:rsidR="00786914" w:rsidRDefault="00786914" w:rsidP="0006743B">
      <w:pPr>
        <w:pStyle w:val="Normalbold"/>
        <w:rPr>
          <w:rFonts w:eastAsia="Calibri"/>
          <w:lang w:eastAsia="en-US"/>
        </w:rPr>
      </w:pPr>
      <w:bookmarkStart w:id="202" w:name="_Toc327877874"/>
      <w:r w:rsidRPr="0016468D">
        <w:rPr>
          <w:rFonts w:eastAsia="Calibri"/>
          <w:lang w:eastAsia="en-US"/>
        </w:rPr>
        <w:t>Post-void residual volume</w:t>
      </w:r>
      <w:bookmarkEnd w:id="202"/>
    </w:p>
    <w:p w:rsidR="00786914" w:rsidRDefault="00786914" w:rsidP="0006743B">
      <w:r w:rsidRPr="002B4CD4">
        <w:t xml:space="preserve">The data </w:t>
      </w:r>
      <w:r>
        <w:t xml:space="preserve">in Figures 15 and 16 </w:t>
      </w:r>
      <w:r w:rsidRPr="002B4CD4">
        <w:t>show statistically significant differences between the treatments at 6 and 12 months, favouring HoLEP. Ahyai et al (2007) provide follow-up data at 24 months and 36 months. At final follow-up patients treated with HoLEP had a significantly lower PVR compar</w:t>
      </w:r>
      <w:r>
        <w:t>ed</w:t>
      </w:r>
      <w:r w:rsidRPr="002B4CD4">
        <w:t xml:space="preserve"> to patients treated with TURP (8.4 mls ± 26.0 versus 20.2 ± 33.0 p&lt;0.012).</w:t>
      </w:r>
    </w:p>
    <w:p w:rsidR="00786914" w:rsidRPr="00113DEC" w:rsidRDefault="00786914" w:rsidP="0006743B">
      <w:pPr>
        <w:pStyle w:val="Caption"/>
      </w:pPr>
      <w:bookmarkStart w:id="203" w:name="_Toc327882499"/>
      <w:r>
        <w:t xml:space="preserve">Figure </w:t>
      </w:r>
      <w:fldSimple w:instr=" SEQ Figure \* ARABIC ">
        <w:r w:rsidR="00F45C43">
          <w:rPr>
            <w:noProof/>
          </w:rPr>
          <w:t>15</w:t>
        </w:r>
      </w:fldSimple>
      <w:r>
        <w:t>:</w:t>
      </w:r>
      <w:r>
        <w:tab/>
      </w:r>
      <w:r w:rsidRPr="00113DEC">
        <w:t xml:space="preserve">PVR at </w:t>
      </w:r>
      <w:r>
        <w:t xml:space="preserve">6 </w:t>
      </w:r>
      <w:r w:rsidRPr="00113DEC">
        <w:t>months</w:t>
      </w:r>
      <w:r>
        <w:rPr>
          <w:noProof/>
        </w:rPr>
        <w:t>: HoLEP compared with TURP</w:t>
      </w:r>
      <w:bookmarkEnd w:id="203"/>
    </w:p>
    <w:p w:rsidR="00786914" w:rsidRDefault="00786914" w:rsidP="0006743B">
      <w:pPr>
        <w:ind w:left="0"/>
        <w:rPr>
          <w:rFonts w:ascii="Times New Roman" w:hAnsi="Times New Roman"/>
          <w:szCs w:val="24"/>
        </w:rPr>
      </w:pPr>
      <w:r>
        <w:rPr>
          <w:rFonts w:ascii="Times New Roman" w:hAnsi="Times New Roman"/>
          <w:noProof/>
          <w:szCs w:val="24"/>
        </w:rPr>
        <w:drawing>
          <wp:inline distT="0" distB="0" distL="0" distR="0" wp14:anchorId="604BC9B1" wp14:editId="56857326">
            <wp:extent cx="5732780" cy="1153160"/>
            <wp:effectExtent l="0" t="0" r="1270" b="8890"/>
            <wp:docPr id="15" name="Picture 14" title="Figure 15: PVR at 6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732780" cy="1153160"/>
                    </a:xfrm>
                    <a:prstGeom prst="rect">
                      <a:avLst/>
                    </a:prstGeom>
                    <a:noFill/>
                    <a:ln w="9525">
                      <a:noFill/>
                      <a:miter lim="800000"/>
                      <a:headEnd/>
                      <a:tailEnd/>
                    </a:ln>
                  </pic:spPr>
                </pic:pic>
              </a:graphicData>
            </a:graphic>
          </wp:inline>
        </w:drawing>
      </w:r>
    </w:p>
    <w:p w:rsidR="00C44A5F" w:rsidRPr="00113DEC" w:rsidRDefault="00C44A5F" w:rsidP="00C44A5F">
      <w:pPr>
        <w:pStyle w:val="Caption"/>
      </w:pPr>
      <w:bookmarkStart w:id="204" w:name="_Toc327882500"/>
      <w:r>
        <w:t xml:space="preserve">Figure </w:t>
      </w:r>
      <w:fldSimple w:instr=" SEQ Figure \* ARABIC ">
        <w:r>
          <w:rPr>
            <w:noProof/>
          </w:rPr>
          <w:t>16</w:t>
        </w:r>
      </w:fldSimple>
      <w:r>
        <w:t>:</w:t>
      </w:r>
      <w:r>
        <w:tab/>
      </w:r>
      <w:r w:rsidRPr="00113DEC">
        <w:t>PVR at 12 months</w:t>
      </w:r>
      <w:r>
        <w:t>: HoLEP compared with TURP</w:t>
      </w:r>
      <w:bookmarkEnd w:id="204"/>
    </w:p>
    <w:p w:rsidR="00786914" w:rsidRDefault="00786914" w:rsidP="0006743B">
      <w:pPr>
        <w:ind w:left="0"/>
        <w:rPr>
          <w:rFonts w:ascii="Times New Roman" w:hAnsi="Times New Roman"/>
          <w:szCs w:val="24"/>
        </w:rPr>
      </w:pPr>
      <w:r>
        <w:rPr>
          <w:rFonts w:ascii="Times New Roman" w:hAnsi="Times New Roman"/>
          <w:noProof/>
          <w:szCs w:val="24"/>
        </w:rPr>
        <w:drawing>
          <wp:inline distT="0" distB="0" distL="0" distR="0" wp14:anchorId="589F6F91" wp14:editId="7787E3B1">
            <wp:extent cx="5732780" cy="1025525"/>
            <wp:effectExtent l="0" t="0" r="1270" b="3175"/>
            <wp:docPr id="16" name="Picture 14" title="Figure 16: PVR at 12 months: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5732780" cy="1025525"/>
                    </a:xfrm>
                    <a:prstGeom prst="rect">
                      <a:avLst/>
                    </a:prstGeom>
                    <a:noFill/>
                    <a:ln w="9525">
                      <a:noFill/>
                      <a:miter lim="800000"/>
                      <a:headEnd/>
                      <a:tailEnd/>
                    </a:ln>
                  </pic:spPr>
                </pic:pic>
              </a:graphicData>
            </a:graphic>
          </wp:inline>
        </w:drawing>
      </w:r>
    </w:p>
    <w:p w:rsidR="00786914" w:rsidRDefault="00786914" w:rsidP="0006743B">
      <w:pPr>
        <w:pStyle w:val="Normalbold"/>
      </w:pPr>
      <w:bookmarkStart w:id="205" w:name="_Toc327877875"/>
      <w:r>
        <w:t>Treatment failure/re-treatment rates</w:t>
      </w:r>
      <w:bookmarkEnd w:id="205"/>
    </w:p>
    <w:p w:rsidR="00786914" w:rsidRDefault="00786914" w:rsidP="0006743B">
      <w:r>
        <w:t xml:space="preserve">The general approach in this assessment was to update the results of the Lourenco et al report. This report however did not specifically extract data on treatment failure and re-treatment rates as outlined in the DAP. Lourenco instead reported on re-operation rates which included revision of the original procedure as well as surgical intervention for other complications such as stricture. It was decided that a review of data in the studies </w:t>
      </w:r>
      <w:r>
        <w:lastRenderedPageBreak/>
        <w:t>included in the Lourenco et al report for these outcomes would be undertaken to ascertain treatment failure/re-treatment rates. Re-operation rates are also reported for completeness (see Appendix G).</w:t>
      </w:r>
    </w:p>
    <w:p w:rsidR="00786914" w:rsidRDefault="00786914" w:rsidP="0006743B">
      <w:r>
        <w:t xml:space="preserve">Only two trials reported that patients had surgical revision or a second procedure for the symptoms of BPH. Both trials were from centres in Australasia. Tan et al (2003) states that one patient in the TURP group remained obstructed and underwent HoLEP after 11 months while no treatment failures were reported in the original HoLEP group. In the trial by Westenberg et al (2004) it is reported that one patient in the HoLEP group and 4 patients in the TURP group underwent revision </w:t>
      </w:r>
      <w:r w:rsidRPr="002B4CD4">
        <w:rPr>
          <w:szCs w:val="24"/>
        </w:rPr>
        <w:t>(RR 0.</w:t>
      </w:r>
      <w:r>
        <w:rPr>
          <w:szCs w:val="24"/>
        </w:rPr>
        <w:t>27</w:t>
      </w:r>
      <w:r w:rsidRPr="002B4CD4">
        <w:rPr>
          <w:szCs w:val="24"/>
        </w:rPr>
        <w:t>, 95% CI 0.</w:t>
      </w:r>
      <w:r>
        <w:rPr>
          <w:szCs w:val="24"/>
        </w:rPr>
        <w:t>04–</w:t>
      </w:r>
      <w:r w:rsidRPr="002B4CD4">
        <w:rPr>
          <w:szCs w:val="24"/>
        </w:rPr>
        <w:t>1.</w:t>
      </w:r>
      <w:r>
        <w:rPr>
          <w:szCs w:val="24"/>
        </w:rPr>
        <w:t>60,</w:t>
      </w:r>
      <w:r w:rsidRPr="002B4CD4">
        <w:rPr>
          <w:szCs w:val="24"/>
        </w:rPr>
        <w:t xml:space="preserve"> p=0.</w:t>
      </w:r>
      <w:r>
        <w:rPr>
          <w:szCs w:val="24"/>
        </w:rPr>
        <w:t>15</w:t>
      </w:r>
      <w:r w:rsidRPr="002B4CD4">
        <w:rPr>
          <w:szCs w:val="24"/>
        </w:rPr>
        <w:t>).</w:t>
      </w:r>
      <w:r>
        <w:t xml:space="preserve"> Ahyai et al (2007) state that while one patient experienced BPH recurrence following HoLEP the patient refused re-operation because of absence of discomfort.</w:t>
      </w:r>
      <w:r w:rsidRPr="0089522C">
        <w:rPr>
          <w:szCs w:val="24"/>
        </w:rPr>
        <w:t xml:space="preserve"> </w:t>
      </w:r>
      <w:r w:rsidRPr="002B4CD4">
        <w:rPr>
          <w:szCs w:val="24"/>
        </w:rPr>
        <w:t>In the follow</w:t>
      </w:r>
      <w:r>
        <w:rPr>
          <w:szCs w:val="24"/>
        </w:rPr>
        <w:t>-</w:t>
      </w:r>
      <w:r w:rsidRPr="002B4CD4">
        <w:rPr>
          <w:szCs w:val="24"/>
        </w:rPr>
        <w:t xml:space="preserve">up study of Gilling et al (2011), which updated Tan et al </w:t>
      </w:r>
      <w:r>
        <w:rPr>
          <w:szCs w:val="24"/>
        </w:rPr>
        <w:t>(</w:t>
      </w:r>
      <w:r w:rsidRPr="002B4CD4">
        <w:rPr>
          <w:szCs w:val="24"/>
        </w:rPr>
        <w:t>2003</w:t>
      </w:r>
      <w:r>
        <w:rPr>
          <w:szCs w:val="24"/>
        </w:rPr>
        <w:t>)</w:t>
      </w:r>
      <w:r w:rsidRPr="002B4CD4">
        <w:rPr>
          <w:szCs w:val="24"/>
        </w:rPr>
        <w:t>, one additional failure is reported in the TURP group. The two new studies identified in the updated literature search do not discuss treatment failures.</w:t>
      </w:r>
    </w:p>
    <w:p w:rsidR="00786914" w:rsidRDefault="00786914" w:rsidP="0006743B">
      <w:pPr>
        <w:rPr>
          <w:szCs w:val="24"/>
        </w:rPr>
      </w:pPr>
      <w:r w:rsidRPr="002B4CD4">
        <w:rPr>
          <w:szCs w:val="24"/>
        </w:rPr>
        <w:t xml:space="preserve">Lourenco et al 2008 </w:t>
      </w:r>
      <w:r>
        <w:rPr>
          <w:szCs w:val="24"/>
        </w:rPr>
        <w:t>included the results of four trials when assessing re-operation rates. As mentioned above, this included both surgical revision and re-operation for complications.</w:t>
      </w:r>
      <w:r w:rsidRPr="002B4CD4">
        <w:rPr>
          <w:szCs w:val="24"/>
        </w:rPr>
        <w:t xml:space="preserve"> No statistically significant differences were observed (RR 0.68, 95% CI 0.32</w:t>
      </w:r>
      <w:r>
        <w:rPr>
          <w:szCs w:val="24"/>
        </w:rPr>
        <w:t>–</w:t>
      </w:r>
      <w:r w:rsidRPr="002B4CD4">
        <w:rPr>
          <w:szCs w:val="24"/>
        </w:rPr>
        <w:t>1.44</w:t>
      </w:r>
      <w:r>
        <w:rPr>
          <w:szCs w:val="24"/>
        </w:rPr>
        <w:t>,</w:t>
      </w:r>
      <w:r w:rsidRPr="002B4CD4">
        <w:rPr>
          <w:szCs w:val="24"/>
        </w:rPr>
        <w:t xml:space="preserve"> p=0.31). </w:t>
      </w:r>
    </w:p>
    <w:p w:rsidR="00786914" w:rsidRDefault="00786914" w:rsidP="0006743B">
      <w:pPr>
        <w:pStyle w:val="Normalbold"/>
      </w:pPr>
      <w:bookmarkStart w:id="206" w:name="_Toc327877876"/>
      <w:r w:rsidRPr="003E6CF6">
        <w:t>Quality of life</w:t>
      </w:r>
      <w:bookmarkEnd w:id="206"/>
    </w:p>
    <w:p w:rsidR="00786914" w:rsidRDefault="00786914" w:rsidP="0006743B">
      <w:r>
        <w:t xml:space="preserve">Data from quality of life studies were assessed in the Lourenco et al report based on data (IPSS QoL 0-6 questionnaire) from three studies. At three months, no statistical significance between HoLEP and TURP was reported. At 12 months, evidence from the studies showed marked heterogeneity present in the meta-analysis, and the direction of effect was not consistent. At two and four years, there appeared to be no differences between the interventions. More </w:t>
      </w:r>
      <w:r w:rsidRPr="002B4CD4">
        <w:t>recently, Gilling et al (2011) have published longer term follow</w:t>
      </w:r>
      <w:r>
        <w:t>-</w:t>
      </w:r>
      <w:r w:rsidRPr="002B4CD4">
        <w:t>up data on QoL. It was reported that at 92 months patients in the HoLEP group had slightly higher scores than those in the TURP group, although statistical significance was not reported (see Appendix D).</w:t>
      </w:r>
    </w:p>
    <w:p w:rsidR="00786914" w:rsidRDefault="00786914" w:rsidP="0006743B">
      <w:r>
        <w:t xml:space="preserve">It was not possible to pool results </w:t>
      </w:r>
      <w:r w:rsidRPr="00962695">
        <w:t xml:space="preserve">for </w:t>
      </w:r>
      <w:r>
        <w:t xml:space="preserve">a number of other effectiveness outcomes </w:t>
      </w:r>
      <w:r w:rsidRPr="00962695">
        <w:t>due to the paucity of data</w:t>
      </w:r>
      <w:r>
        <w:t xml:space="preserve"> in a number of cases. These include:</w:t>
      </w:r>
    </w:p>
    <w:p w:rsidR="00786914" w:rsidRPr="002B4CD4" w:rsidRDefault="00786914" w:rsidP="0006743B">
      <w:pPr>
        <w:rPr>
          <w:b/>
          <w:u w:val="single"/>
        </w:rPr>
      </w:pPr>
      <w:r w:rsidRPr="008C5F6E">
        <w:rPr>
          <w:b/>
        </w:rPr>
        <w:t xml:space="preserve">Prostate volume: </w:t>
      </w:r>
      <w:r w:rsidRPr="002B4CD4">
        <w:t>It is difficult to draw conclusions from the available evidence for differences in effectiveness between HoLEP and TURP with regard to prostate volume for any of the time intervals reported. ‘Prostate volume’ was rarely reported in the identified literature. It was understood differently across those studies where it was reported. Within studies, statistically significant differences were not reported (Tan et al 2003), were not significant (Eltabey et al 20</w:t>
      </w:r>
      <w:r>
        <w:t>10</w:t>
      </w:r>
      <w:r w:rsidRPr="002B4CD4">
        <w:t>) or were significant (Mavuduru et al 2009).</w:t>
      </w:r>
    </w:p>
    <w:p w:rsidR="00786914" w:rsidRPr="00F149B6" w:rsidRDefault="00786914" w:rsidP="0006743B">
      <w:pPr>
        <w:rPr>
          <w:b/>
          <w:u w:val="single"/>
        </w:rPr>
      </w:pPr>
      <w:r w:rsidRPr="008C5F6E">
        <w:rPr>
          <w:b/>
        </w:rPr>
        <w:t>Bother scores:</w:t>
      </w:r>
      <w:r>
        <w:rPr>
          <w:b/>
          <w:u w:val="single"/>
        </w:rPr>
        <w:t xml:space="preserve"> </w:t>
      </w:r>
      <w:r w:rsidRPr="002B4CD4">
        <w:t>Although included in the DAP as an effectiveness outcome to be assessed, none of the studies included in this review reported on bother scores.</w:t>
      </w:r>
    </w:p>
    <w:p w:rsidR="00786914" w:rsidRDefault="00786914" w:rsidP="0006743B">
      <w:pPr>
        <w:pStyle w:val="Normalbold"/>
      </w:pPr>
      <w:bookmarkStart w:id="207" w:name="_Toc327877877"/>
      <w:r w:rsidRPr="000A3AAF">
        <w:t>Secondary effectiveness outcomes</w:t>
      </w:r>
      <w:bookmarkEnd w:id="207"/>
      <w:r w:rsidRPr="000A3AAF">
        <w:t xml:space="preserve"> </w:t>
      </w:r>
    </w:p>
    <w:p w:rsidR="00F45C43" w:rsidRDefault="00786914" w:rsidP="002D7BD4">
      <w:r>
        <w:t xml:space="preserve">In this review, </w:t>
      </w:r>
      <w:r w:rsidRPr="00962695">
        <w:t xml:space="preserve">HoLEP and TURP were also compared with respect to </w:t>
      </w:r>
      <w:r>
        <w:t xml:space="preserve">operative outcomes. These include </w:t>
      </w:r>
      <w:r w:rsidRPr="00962695">
        <w:t>length of operation, length of catheterisation, length of hospital stay, training</w:t>
      </w:r>
      <w:r w:rsidR="00FF41C8">
        <w:t xml:space="preserve"> </w:t>
      </w:r>
      <w:r w:rsidRPr="00962695">
        <w:t xml:space="preserve"> cost, </w:t>
      </w:r>
      <w:r>
        <w:t xml:space="preserve">and </w:t>
      </w:r>
      <w:r w:rsidRPr="00962695">
        <w:t>equipment cost and staffing cost</w:t>
      </w:r>
      <w:r>
        <w:t xml:space="preserve"> (</w:t>
      </w:r>
      <w:r w:rsidR="00766F46">
        <w:fldChar w:fldCharType="begin"/>
      </w:r>
      <w:r w:rsidR="00766F46">
        <w:instrText xml:space="preserve"> REF _Ref323309693 \h  \* MERGEFORMAT </w:instrText>
      </w:r>
      <w:r w:rsidR="00766F46">
        <w:fldChar w:fldCharType="separate"/>
      </w:r>
    </w:p>
    <w:p w:rsidR="00786914" w:rsidRDefault="00F45C43" w:rsidP="0006743B">
      <w:r>
        <w:lastRenderedPageBreak/>
        <w:t xml:space="preserve">Table </w:t>
      </w:r>
      <w:r>
        <w:rPr>
          <w:noProof/>
        </w:rPr>
        <w:t>16</w:t>
      </w:r>
      <w:r w:rsidR="00766F46">
        <w:fldChar w:fldCharType="end"/>
      </w:r>
      <w:r w:rsidR="00786914">
        <w:t>)</w:t>
      </w:r>
      <w:r w:rsidR="00786914" w:rsidRPr="00962695">
        <w:t>.</w:t>
      </w:r>
    </w:p>
    <w:p w:rsidR="00075E37" w:rsidRDefault="00075E37" w:rsidP="0006743B">
      <w:pPr>
        <w:pStyle w:val="Caption"/>
      </w:pPr>
      <w:bookmarkStart w:id="208" w:name="_Ref323309693"/>
      <w:bookmarkStart w:id="209" w:name="_Toc327803263"/>
      <w:bookmarkStart w:id="210" w:name="_Toc327881553"/>
    </w:p>
    <w:p w:rsidR="00786914" w:rsidRDefault="00786914" w:rsidP="0006743B">
      <w:pPr>
        <w:pStyle w:val="Caption"/>
        <w:rPr>
          <w:sz w:val="24"/>
          <w:szCs w:val="24"/>
        </w:rPr>
      </w:pPr>
      <w:r>
        <w:t xml:space="preserve">Table </w:t>
      </w:r>
      <w:fldSimple w:instr=" SEQ Table \* ARABIC ">
        <w:r w:rsidR="00F45C43">
          <w:rPr>
            <w:noProof/>
          </w:rPr>
          <w:t>16</w:t>
        </w:r>
      </w:fldSimple>
      <w:bookmarkEnd w:id="208"/>
      <w:r>
        <w:t>:</w:t>
      </w:r>
      <w:r>
        <w:tab/>
        <w:t>Secondary effectiveness outcomes: HoLEP compared with TURP</w:t>
      </w:r>
      <w:bookmarkEnd w:id="209"/>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6: Secondary effectiveness outcomes: HoLEP compared with TURP"/>
      </w:tblPr>
      <w:tblGrid>
        <w:gridCol w:w="1956"/>
        <w:gridCol w:w="848"/>
        <w:gridCol w:w="1344"/>
        <w:gridCol w:w="780"/>
        <w:gridCol w:w="852"/>
        <w:gridCol w:w="1205"/>
        <w:gridCol w:w="917"/>
        <w:gridCol w:w="529"/>
        <w:gridCol w:w="811"/>
      </w:tblGrid>
      <w:tr w:rsidR="00786914" w:rsidRPr="0001050B" w:rsidTr="0006743B">
        <w:trPr>
          <w:trHeight w:val="255"/>
        </w:trPr>
        <w:tc>
          <w:tcPr>
            <w:tcW w:w="1058" w:type="pct"/>
            <w:shd w:val="clear" w:color="auto" w:fill="auto"/>
            <w:noWrap/>
            <w:vAlign w:val="bottom"/>
          </w:tcPr>
          <w:p w:rsidR="00786914" w:rsidRPr="0001050B" w:rsidRDefault="00786914" w:rsidP="0006743B">
            <w:pPr>
              <w:pStyle w:val="Tableheading"/>
              <w:rPr>
                <w:lang w:val="en-IE"/>
              </w:rPr>
            </w:pPr>
            <w:r w:rsidRPr="0001050B">
              <w:rPr>
                <w:lang w:val="en-IE"/>
              </w:rPr>
              <w:t>Outcome</w:t>
            </w:r>
          </w:p>
        </w:tc>
        <w:tc>
          <w:tcPr>
            <w:tcW w:w="459" w:type="pct"/>
            <w:shd w:val="clear" w:color="auto" w:fill="auto"/>
            <w:noWrap/>
            <w:vAlign w:val="bottom"/>
          </w:tcPr>
          <w:p w:rsidR="00786914" w:rsidRPr="0001050B" w:rsidRDefault="00786914" w:rsidP="0006743B">
            <w:pPr>
              <w:pStyle w:val="Tableheading"/>
              <w:rPr>
                <w:lang w:val="en-IE"/>
              </w:rPr>
            </w:pPr>
            <w:r w:rsidRPr="0001050B">
              <w:rPr>
                <w:lang w:val="en-IE"/>
              </w:rPr>
              <w:t>Studies (n)</w:t>
            </w:r>
          </w:p>
        </w:tc>
        <w:tc>
          <w:tcPr>
            <w:tcW w:w="727" w:type="pct"/>
            <w:shd w:val="clear" w:color="auto" w:fill="auto"/>
            <w:noWrap/>
            <w:vAlign w:val="bottom"/>
          </w:tcPr>
          <w:p w:rsidR="00786914" w:rsidRPr="0001050B" w:rsidRDefault="00786914" w:rsidP="0006743B">
            <w:pPr>
              <w:pStyle w:val="Tableheading"/>
              <w:rPr>
                <w:lang w:val="en-IE"/>
              </w:rPr>
            </w:pPr>
            <w:r w:rsidRPr="0001050B">
              <w:rPr>
                <w:lang w:val="en-IE"/>
              </w:rPr>
              <w:t>Patients HoLEP</w:t>
            </w:r>
          </w:p>
          <w:p w:rsidR="00786914" w:rsidRPr="0001050B" w:rsidRDefault="00786914" w:rsidP="0006743B">
            <w:pPr>
              <w:pStyle w:val="Tableheading"/>
              <w:rPr>
                <w:lang w:val="en-IE"/>
              </w:rPr>
            </w:pPr>
            <w:r w:rsidRPr="0001050B">
              <w:rPr>
                <w:lang w:val="en-IE"/>
              </w:rPr>
              <w:t>/TURP</w:t>
            </w:r>
          </w:p>
          <w:p w:rsidR="00786914" w:rsidRPr="0001050B" w:rsidRDefault="00786914" w:rsidP="0006743B">
            <w:pPr>
              <w:pStyle w:val="Tableheading"/>
              <w:rPr>
                <w:lang w:val="en-IE"/>
              </w:rPr>
            </w:pPr>
            <w:r w:rsidRPr="0001050B">
              <w:rPr>
                <w:lang w:val="en-IE"/>
              </w:rPr>
              <w:t xml:space="preserve"> (n)</w:t>
            </w:r>
          </w:p>
        </w:tc>
        <w:tc>
          <w:tcPr>
            <w:tcW w:w="422" w:type="pct"/>
            <w:shd w:val="clear" w:color="auto" w:fill="auto"/>
            <w:vAlign w:val="bottom"/>
          </w:tcPr>
          <w:p w:rsidR="00786914" w:rsidRPr="0001050B" w:rsidRDefault="00786914" w:rsidP="0006743B">
            <w:pPr>
              <w:pStyle w:val="Tableheading"/>
              <w:rPr>
                <w:lang w:val="en-IE"/>
              </w:rPr>
            </w:pPr>
            <w:r w:rsidRPr="0001050B">
              <w:rPr>
                <w:lang w:val="en-IE"/>
              </w:rPr>
              <w:t>HoLEP</w:t>
            </w:r>
          </w:p>
          <w:p w:rsidR="00786914" w:rsidRPr="0001050B" w:rsidRDefault="00786914" w:rsidP="0006743B">
            <w:pPr>
              <w:pStyle w:val="Tableheading"/>
              <w:rPr>
                <w:lang w:val="en-IE"/>
              </w:rPr>
            </w:pPr>
            <w:r w:rsidRPr="0001050B">
              <w:rPr>
                <w:lang w:val="en-IE"/>
              </w:rPr>
              <w:t>(mean)</w:t>
            </w:r>
          </w:p>
        </w:tc>
        <w:tc>
          <w:tcPr>
            <w:tcW w:w="461" w:type="pct"/>
            <w:shd w:val="clear" w:color="auto" w:fill="auto"/>
            <w:vAlign w:val="bottom"/>
          </w:tcPr>
          <w:p w:rsidR="00786914" w:rsidRPr="0001050B" w:rsidRDefault="00786914" w:rsidP="0006743B">
            <w:pPr>
              <w:pStyle w:val="Tableheading"/>
              <w:rPr>
                <w:lang w:val="en-IE"/>
              </w:rPr>
            </w:pPr>
            <w:r w:rsidRPr="0001050B">
              <w:rPr>
                <w:lang w:val="en-IE"/>
              </w:rPr>
              <w:t>TURP (mean)</w:t>
            </w:r>
          </w:p>
        </w:tc>
        <w:tc>
          <w:tcPr>
            <w:tcW w:w="652" w:type="pct"/>
            <w:shd w:val="clear" w:color="auto" w:fill="auto"/>
            <w:noWrap/>
            <w:vAlign w:val="bottom"/>
          </w:tcPr>
          <w:p w:rsidR="00786914" w:rsidRPr="0001050B" w:rsidRDefault="00786914" w:rsidP="0006743B">
            <w:pPr>
              <w:pStyle w:val="Tableheading"/>
              <w:rPr>
                <w:lang w:val="en-IE"/>
              </w:rPr>
            </w:pPr>
            <w:r w:rsidRPr="0001050B">
              <w:rPr>
                <w:lang w:val="en-IE"/>
              </w:rPr>
              <w:t>Estimate of effect (MD)</w:t>
            </w:r>
          </w:p>
        </w:tc>
        <w:tc>
          <w:tcPr>
            <w:tcW w:w="496" w:type="pct"/>
            <w:shd w:val="clear" w:color="auto" w:fill="auto"/>
            <w:noWrap/>
            <w:vAlign w:val="bottom"/>
          </w:tcPr>
          <w:p w:rsidR="00786914" w:rsidRPr="0001050B" w:rsidRDefault="00786914" w:rsidP="0006743B">
            <w:pPr>
              <w:pStyle w:val="Tableheading"/>
              <w:rPr>
                <w:lang w:val="en-IE"/>
              </w:rPr>
            </w:pPr>
            <w:r w:rsidRPr="0001050B">
              <w:rPr>
                <w:lang w:val="en-IE"/>
              </w:rPr>
              <w:t>Range</w:t>
            </w:r>
          </w:p>
          <w:p w:rsidR="00786914" w:rsidRPr="0001050B" w:rsidRDefault="00786914" w:rsidP="0006743B">
            <w:pPr>
              <w:pStyle w:val="Tableheading"/>
              <w:rPr>
                <w:lang w:val="en-IE"/>
              </w:rPr>
            </w:pPr>
            <w:r w:rsidRPr="0001050B">
              <w:rPr>
                <w:lang w:val="en-IE"/>
              </w:rPr>
              <w:t>(95% CI)*</w:t>
            </w:r>
          </w:p>
        </w:tc>
        <w:tc>
          <w:tcPr>
            <w:tcW w:w="286" w:type="pct"/>
            <w:shd w:val="clear" w:color="auto" w:fill="auto"/>
            <w:noWrap/>
            <w:vAlign w:val="bottom"/>
          </w:tcPr>
          <w:p w:rsidR="00786914" w:rsidRPr="0001050B" w:rsidRDefault="00786914" w:rsidP="0006743B">
            <w:pPr>
              <w:pStyle w:val="Tableheading"/>
              <w:rPr>
                <w:lang w:val="en-IE"/>
              </w:rPr>
            </w:pPr>
            <w:r>
              <w:rPr>
                <w:lang w:val="en-IE"/>
              </w:rPr>
              <w:t>I</w:t>
            </w:r>
            <w:r w:rsidRPr="009B281C">
              <w:rPr>
                <w:vertAlign w:val="superscript"/>
                <w:lang w:val="en-IE"/>
              </w:rPr>
              <w:t>2</w:t>
            </w:r>
            <w:r w:rsidRPr="0001050B">
              <w:rPr>
                <w:lang w:val="en-IE"/>
              </w:rPr>
              <w:t xml:space="preserve"> (%)</w:t>
            </w:r>
          </w:p>
        </w:tc>
        <w:tc>
          <w:tcPr>
            <w:tcW w:w="439" w:type="pct"/>
            <w:shd w:val="clear" w:color="auto" w:fill="auto"/>
            <w:noWrap/>
            <w:vAlign w:val="bottom"/>
          </w:tcPr>
          <w:p w:rsidR="00786914" w:rsidRPr="0001050B" w:rsidRDefault="00786914" w:rsidP="0006743B">
            <w:pPr>
              <w:pStyle w:val="Tableheading"/>
              <w:rPr>
                <w:lang w:val="en-IE"/>
              </w:rPr>
            </w:pPr>
            <w:r w:rsidRPr="0001050B">
              <w:rPr>
                <w:lang w:val="en-IE"/>
              </w:rPr>
              <w:t>p-value</w:t>
            </w:r>
          </w:p>
        </w:tc>
      </w:tr>
      <w:tr w:rsidR="00786914" w:rsidRPr="0001050B" w:rsidTr="0006743B">
        <w:trPr>
          <w:trHeight w:val="323"/>
        </w:trPr>
        <w:tc>
          <w:tcPr>
            <w:tcW w:w="1058" w:type="pct"/>
            <w:shd w:val="clear" w:color="auto" w:fill="auto"/>
            <w:noWrap/>
            <w:vAlign w:val="bottom"/>
          </w:tcPr>
          <w:p w:rsidR="00786914" w:rsidRPr="0001050B" w:rsidRDefault="00786914" w:rsidP="0006743B">
            <w:pPr>
              <w:pStyle w:val="TableText"/>
              <w:rPr>
                <w:lang w:val="en-IE"/>
              </w:rPr>
            </w:pPr>
            <w:r>
              <w:rPr>
                <w:lang w:val="en-IE"/>
              </w:rPr>
              <w:t>Duration of operation (min)</w:t>
            </w:r>
          </w:p>
        </w:tc>
        <w:tc>
          <w:tcPr>
            <w:tcW w:w="459" w:type="pct"/>
            <w:shd w:val="clear" w:color="auto" w:fill="auto"/>
            <w:noWrap/>
            <w:vAlign w:val="bottom"/>
          </w:tcPr>
          <w:p w:rsidR="00786914" w:rsidRPr="0001050B" w:rsidRDefault="00786914" w:rsidP="0006743B">
            <w:pPr>
              <w:pStyle w:val="TableText"/>
              <w:rPr>
                <w:lang w:val="en-IE"/>
              </w:rPr>
            </w:pPr>
            <w:r>
              <w:rPr>
                <w:lang w:val="en-IE"/>
              </w:rPr>
              <w:t>6</w:t>
            </w:r>
          </w:p>
        </w:tc>
        <w:tc>
          <w:tcPr>
            <w:tcW w:w="727" w:type="pct"/>
            <w:shd w:val="clear" w:color="auto" w:fill="auto"/>
            <w:noWrap/>
            <w:vAlign w:val="bottom"/>
          </w:tcPr>
          <w:p w:rsidR="00786914" w:rsidRPr="0001050B" w:rsidRDefault="00786914" w:rsidP="0006743B">
            <w:pPr>
              <w:pStyle w:val="TableText"/>
              <w:rPr>
                <w:lang w:val="en-IE"/>
              </w:rPr>
            </w:pPr>
            <w:r>
              <w:rPr>
                <w:lang w:val="en-IE"/>
              </w:rPr>
              <w:t>331/336</w:t>
            </w:r>
          </w:p>
        </w:tc>
        <w:tc>
          <w:tcPr>
            <w:tcW w:w="422" w:type="pct"/>
            <w:shd w:val="clear" w:color="auto" w:fill="auto"/>
            <w:vAlign w:val="bottom"/>
          </w:tcPr>
          <w:p w:rsidR="00786914" w:rsidRPr="0001050B" w:rsidRDefault="00786914" w:rsidP="0006743B">
            <w:pPr>
              <w:pStyle w:val="TableText"/>
              <w:rPr>
                <w:lang w:val="en-IE"/>
              </w:rPr>
            </w:pPr>
            <w:r>
              <w:rPr>
                <w:lang w:val="en-IE"/>
              </w:rPr>
              <w:t>70</w:t>
            </w:r>
          </w:p>
        </w:tc>
        <w:tc>
          <w:tcPr>
            <w:tcW w:w="461" w:type="pct"/>
            <w:shd w:val="clear" w:color="auto" w:fill="auto"/>
            <w:vAlign w:val="bottom"/>
          </w:tcPr>
          <w:p w:rsidR="00786914" w:rsidRPr="0001050B" w:rsidRDefault="00786914" w:rsidP="0006743B">
            <w:pPr>
              <w:pStyle w:val="TableText"/>
              <w:rPr>
                <w:lang w:val="en-IE"/>
              </w:rPr>
            </w:pPr>
            <w:r>
              <w:rPr>
                <w:lang w:val="en-IE"/>
              </w:rPr>
              <w:t>54.6</w:t>
            </w:r>
          </w:p>
        </w:tc>
        <w:tc>
          <w:tcPr>
            <w:tcW w:w="652" w:type="pct"/>
            <w:shd w:val="clear" w:color="auto" w:fill="auto"/>
            <w:noWrap/>
            <w:vAlign w:val="bottom"/>
          </w:tcPr>
          <w:p w:rsidR="00786914" w:rsidRPr="0001050B" w:rsidRDefault="00786914" w:rsidP="0006743B">
            <w:pPr>
              <w:pStyle w:val="TableText"/>
              <w:rPr>
                <w:lang w:val="en-IE"/>
              </w:rPr>
            </w:pPr>
            <w:r>
              <w:rPr>
                <w:lang w:val="en-IE"/>
              </w:rPr>
              <w:t>15.8</w:t>
            </w:r>
          </w:p>
        </w:tc>
        <w:tc>
          <w:tcPr>
            <w:tcW w:w="496" w:type="pct"/>
            <w:shd w:val="clear" w:color="auto" w:fill="auto"/>
            <w:noWrap/>
            <w:vAlign w:val="bottom"/>
          </w:tcPr>
          <w:p w:rsidR="00786914" w:rsidRPr="0001050B" w:rsidRDefault="00786914" w:rsidP="0006743B">
            <w:pPr>
              <w:pStyle w:val="TableText"/>
              <w:rPr>
                <w:lang w:val="en-IE"/>
              </w:rPr>
            </w:pPr>
            <w:r>
              <w:rPr>
                <w:lang w:val="en-IE"/>
              </w:rPr>
              <w:t>8.70–21.46</w:t>
            </w:r>
          </w:p>
        </w:tc>
        <w:tc>
          <w:tcPr>
            <w:tcW w:w="286" w:type="pct"/>
            <w:shd w:val="clear" w:color="auto" w:fill="auto"/>
            <w:noWrap/>
            <w:vAlign w:val="bottom"/>
          </w:tcPr>
          <w:p w:rsidR="00786914" w:rsidRPr="0001050B" w:rsidRDefault="00786914" w:rsidP="0006743B">
            <w:pPr>
              <w:pStyle w:val="TableText"/>
              <w:rPr>
                <w:lang w:val="en-IE"/>
              </w:rPr>
            </w:pPr>
            <w:r>
              <w:rPr>
                <w:lang w:val="en-IE"/>
              </w:rPr>
              <w:t>72</w:t>
            </w:r>
          </w:p>
        </w:tc>
        <w:tc>
          <w:tcPr>
            <w:tcW w:w="439" w:type="pct"/>
            <w:shd w:val="clear" w:color="auto" w:fill="auto"/>
            <w:noWrap/>
            <w:vAlign w:val="bottom"/>
          </w:tcPr>
          <w:p w:rsidR="00786914" w:rsidRPr="0001050B" w:rsidRDefault="00786914" w:rsidP="0006743B">
            <w:pPr>
              <w:pStyle w:val="TableText"/>
              <w:rPr>
                <w:lang w:val="en-IE"/>
              </w:rPr>
            </w:pPr>
            <w:r>
              <w:rPr>
                <w:lang w:val="en-IE"/>
              </w:rPr>
              <w:t>p&lt;0.00001</w:t>
            </w:r>
          </w:p>
        </w:tc>
      </w:tr>
      <w:tr w:rsidR="00786914" w:rsidRPr="0001050B" w:rsidTr="0006743B">
        <w:trPr>
          <w:trHeight w:val="271"/>
        </w:trPr>
        <w:tc>
          <w:tcPr>
            <w:tcW w:w="1058" w:type="pct"/>
            <w:shd w:val="clear" w:color="auto" w:fill="auto"/>
            <w:noWrap/>
            <w:vAlign w:val="bottom"/>
          </w:tcPr>
          <w:p w:rsidR="00786914" w:rsidRPr="0001050B" w:rsidRDefault="00786914" w:rsidP="0006743B">
            <w:pPr>
              <w:pStyle w:val="TableText"/>
              <w:rPr>
                <w:lang w:val="en-IE"/>
              </w:rPr>
            </w:pPr>
            <w:r>
              <w:rPr>
                <w:lang w:val="en-IE"/>
              </w:rPr>
              <w:t>Duration of c</w:t>
            </w:r>
            <w:r w:rsidRPr="00113DEC">
              <w:rPr>
                <w:lang w:val="en-IE"/>
              </w:rPr>
              <w:t>atheterisation</w:t>
            </w:r>
            <w:r>
              <w:rPr>
                <w:lang w:val="en-IE"/>
              </w:rPr>
              <w:t xml:space="preserve"> (hours)</w:t>
            </w:r>
          </w:p>
        </w:tc>
        <w:tc>
          <w:tcPr>
            <w:tcW w:w="459" w:type="pct"/>
            <w:shd w:val="clear" w:color="auto" w:fill="auto"/>
            <w:noWrap/>
            <w:vAlign w:val="bottom"/>
          </w:tcPr>
          <w:p w:rsidR="00786914" w:rsidRPr="0001050B" w:rsidRDefault="00786914" w:rsidP="0006743B">
            <w:pPr>
              <w:pStyle w:val="TableText"/>
              <w:rPr>
                <w:lang w:val="en-IE"/>
              </w:rPr>
            </w:pPr>
            <w:r>
              <w:rPr>
                <w:lang w:val="en-IE"/>
              </w:rPr>
              <w:t>6</w:t>
            </w:r>
          </w:p>
        </w:tc>
        <w:tc>
          <w:tcPr>
            <w:tcW w:w="727" w:type="pct"/>
            <w:shd w:val="clear" w:color="auto" w:fill="auto"/>
            <w:noWrap/>
            <w:vAlign w:val="bottom"/>
          </w:tcPr>
          <w:p w:rsidR="00786914" w:rsidRPr="0001050B" w:rsidRDefault="00786914" w:rsidP="0006743B">
            <w:pPr>
              <w:pStyle w:val="TableText"/>
              <w:rPr>
                <w:lang w:val="en-IE"/>
              </w:rPr>
            </w:pPr>
            <w:r>
              <w:rPr>
                <w:lang w:val="en-IE"/>
              </w:rPr>
              <w:t>285/282</w:t>
            </w:r>
          </w:p>
        </w:tc>
        <w:tc>
          <w:tcPr>
            <w:tcW w:w="422" w:type="pct"/>
            <w:shd w:val="clear" w:color="auto" w:fill="auto"/>
            <w:vAlign w:val="bottom"/>
          </w:tcPr>
          <w:p w:rsidR="00786914" w:rsidRPr="0001050B" w:rsidRDefault="00786914" w:rsidP="0006743B">
            <w:pPr>
              <w:pStyle w:val="TableText"/>
              <w:rPr>
                <w:lang w:val="en-IE"/>
              </w:rPr>
            </w:pPr>
            <w:r>
              <w:rPr>
                <w:lang w:val="en-IE"/>
              </w:rPr>
              <w:t>31.1</w:t>
            </w:r>
          </w:p>
        </w:tc>
        <w:tc>
          <w:tcPr>
            <w:tcW w:w="461" w:type="pct"/>
            <w:shd w:val="clear" w:color="auto" w:fill="auto"/>
            <w:vAlign w:val="bottom"/>
          </w:tcPr>
          <w:p w:rsidR="00786914" w:rsidRPr="0001050B" w:rsidRDefault="00786914" w:rsidP="0006743B">
            <w:pPr>
              <w:pStyle w:val="TableText"/>
              <w:rPr>
                <w:lang w:val="en-IE"/>
              </w:rPr>
            </w:pPr>
            <w:r>
              <w:rPr>
                <w:lang w:val="en-IE"/>
              </w:rPr>
              <w:t>53.4</w:t>
            </w:r>
          </w:p>
        </w:tc>
        <w:tc>
          <w:tcPr>
            <w:tcW w:w="652" w:type="pct"/>
            <w:shd w:val="clear" w:color="auto" w:fill="auto"/>
            <w:noWrap/>
            <w:vAlign w:val="bottom"/>
          </w:tcPr>
          <w:p w:rsidR="00786914" w:rsidRPr="0001050B" w:rsidRDefault="00786914" w:rsidP="0006743B">
            <w:pPr>
              <w:pStyle w:val="TableText"/>
              <w:rPr>
                <w:lang w:val="en-IE"/>
              </w:rPr>
            </w:pPr>
            <w:r>
              <w:rPr>
                <w:lang w:val="en-IE"/>
              </w:rPr>
              <w:t>22.39</w:t>
            </w:r>
          </w:p>
        </w:tc>
        <w:tc>
          <w:tcPr>
            <w:tcW w:w="496" w:type="pct"/>
            <w:shd w:val="clear" w:color="auto" w:fill="auto"/>
            <w:noWrap/>
            <w:vAlign w:val="bottom"/>
          </w:tcPr>
          <w:p w:rsidR="00786914" w:rsidRPr="0001050B" w:rsidRDefault="00786914" w:rsidP="0006743B">
            <w:pPr>
              <w:pStyle w:val="TableText"/>
              <w:rPr>
                <w:lang w:val="en-IE"/>
              </w:rPr>
            </w:pPr>
            <w:r>
              <w:rPr>
                <w:lang w:val="en-IE"/>
              </w:rPr>
              <w:t>28.18–16.60</w:t>
            </w:r>
          </w:p>
        </w:tc>
        <w:tc>
          <w:tcPr>
            <w:tcW w:w="286" w:type="pct"/>
            <w:shd w:val="clear" w:color="auto" w:fill="auto"/>
            <w:noWrap/>
            <w:vAlign w:val="bottom"/>
          </w:tcPr>
          <w:p w:rsidR="00786914" w:rsidRPr="0001050B" w:rsidRDefault="00786914" w:rsidP="0006743B">
            <w:pPr>
              <w:pStyle w:val="TableText"/>
              <w:rPr>
                <w:lang w:val="en-IE"/>
              </w:rPr>
            </w:pPr>
            <w:r>
              <w:rPr>
                <w:lang w:val="en-IE"/>
              </w:rPr>
              <w:t>80</w:t>
            </w:r>
          </w:p>
        </w:tc>
        <w:tc>
          <w:tcPr>
            <w:tcW w:w="439" w:type="pct"/>
            <w:shd w:val="clear" w:color="auto" w:fill="auto"/>
            <w:noWrap/>
            <w:vAlign w:val="bottom"/>
          </w:tcPr>
          <w:p w:rsidR="00786914" w:rsidRPr="0001050B" w:rsidRDefault="00786914" w:rsidP="0006743B">
            <w:pPr>
              <w:pStyle w:val="TableText"/>
              <w:rPr>
                <w:lang w:val="en-IE"/>
              </w:rPr>
            </w:pPr>
            <w:r>
              <w:rPr>
                <w:lang w:val="en-IE"/>
              </w:rPr>
              <w:t>p&lt;0.00001</w:t>
            </w:r>
          </w:p>
        </w:tc>
      </w:tr>
      <w:tr w:rsidR="00786914" w:rsidRPr="0001050B" w:rsidTr="0006743B">
        <w:trPr>
          <w:trHeight w:val="255"/>
        </w:trPr>
        <w:tc>
          <w:tcPr>
            <w:tcW w:w="1058" w:type="pct"/>
            <w:shd w:val="clear" w:color="auto" w:fill="auto"/>
            <w:noWrap/>
            <w:vAlign w:val="bottom"/>
          </w:tcPr>
          <w:p w:rsidR="00786914" w:rsidRPr="0001050B" w:rsidRDefault="00786914" w:rsidP="0006743B">
            <w:pPr>
              <w:pStyle w:val="TableText"/>
              <w:rPr>
                <w:lang w:val="en-IE"/>
              </w:rPr>
            </w:pPr>
            <w:r>
              <w:rPr>
                <w:lang w:val="en-IE"/>
              </w:rPr>
              <w:t>Duration of hospital stay (days)</w:t>
            </w:r>
          </w:p>
        </w:tc>
        <w:tc>
          <w:tcPr>
            <w:tcW w:w="459" w:type="pct"/>
            <w:shd w:val="clear" w:color="auto" w:fill="auto"/>
            <w:noWrap/>
            <w:vAlign w:val="bottom"/>
          </w:tcPr>
          <w:p w:rsidR="00786914" w:rsidRPr="0001050B" w:rsidRDefault="00786914" w:rsidP="0006743B">
            <w:pPr>
              <w:pStyle w:val="TableText"/>
              <w:rPr>
                <w:lang w:val="en-IE"/>
              </w:rPr>
            </w:pPr>
            <w:r>
              <w:rPr>
                <w:lang w:val="en-IE"/>
              </w:rPr>
              <w:t>5</w:t>
            </w:r>
          </w:p>
        </w:tc>
        <w:tc>
          <w:tcPr>
            <w:tcW w:w="727" w:type="pct"/>
            <w:shd w:val="clear" w:color="auto" w:fill="auto"/>
            <w:noWrap/>
            <w:vAlign w:val="bottom"/>
          </w:tcPr>
          <w:p w:rsidR="00786914" w:rsidRPr="0001050B" w:rsidRDefault="00786914" w:rsidP="0006743B">
            <w:pPr>
              <w:pStyle w:val="TableText"/>
              <w:rPr>
                <w:lang w:val="en-IE"/>
              </w:rPr>
            </w:pPr>
            <w:r>
              <w:rPr>
                <w:lang w:val="en-IE"/>
              </w:rPr>
              <w:t>281/276</w:t>
            </w:r>
          </w:p>
        </w:tc>
        <w:tc>
          <w:tcPr>
            <w:tcW w:w="422" w:type="pct"/>
            <w:shd w:val="clear" w:color="auto" w:fill="auto"/>
            <w:vAlign w:val="bottom"/>
          </w:tcPr>
          <w:p w:rsidR="00786914" w:rsidRPr="0001050B" w:rsidRDefault="00786914" w:rsidP="0006743B">
            <w:pPr>
              <w:pStyle w:val="TableText"/>
              <w:rPr>
                <w:lang w:val="en-IE"/>
              </w:rPr>
            </w:pPr>
            <w:r>
              <w:rPr>
                <w:lang w:val="en-IE"/>
              </w:rPr>
              <w:t>1.9</w:t>
            </w:r>
          </w:p>
        </w:tc>
        <w:tc>
          <w:tcPr>
            <w:tcW w:w="461" w:type="pct"/>
            <w:shd w:val="clear" w:color="auto" w:fill="auto"/>
            <w:vAlign w:val="bottom"/>
          </w:tcPr>
          <w:p w:rsidR="00786914" w:rsidRPr="0001050B" w:rsidRDefault="00786914" w:rsidP="0006743B">
            <w:pPr>
              <w:pStyle w:val="TableText"/>
              <w:rPr>
                <w:lang w:val="en-IE"/>
              </w:rPr>
            </w:pPr>
            <w:r>
              <w:rPr>
                <w:lang w:val="en-IE"/>
              </w:rPr>
              <w:t>3.0</w:t>
            </w:r>
          </w:p>
        </w:tc>
        <w:tc>
          <w:tcPr>
            <w:tcW w:w="652" w:type="pct"/>
            <w:shd w:val="clear" w:color="auto" w:fill="auto"/>
            <w:noWrap/>
            <w:vAlign w:val="bottom"/>
          </w:tcPr>
          <w:p w:rsidR="00786914" w:rsidRPr="0001050B" w:rsidRDefault="00786914" w:rsidP="0006743B">
            <w:pPr>
              <w:pStyle w:val="TableText"/>
              <w:rPr>
                <w:lang w:val="en-IE"/>
              </w:rPr>
            </w:pPr>
            <w:r>
              <w:rPr>
                <w:lang w:val="en-IE"/>
              </w:rPr>
              <w:t>1.08</w:t>
            </w:r>
          </w:p>
        </w:tc>
        <w:tc>
          <w:tcPr>
            <w:tcW w:w="496" w:type="pct"/>
            <w:shd w:val="clear" w:color="auto" w:fill="auto"/>
            <w:noWrap/>
            <w:vAlign w:val="bottom"/>
          </w:tcPr>
          <w:p w:rsidR="00786914" w:rsidRPr="0001050B" w:rsidRDefault="00786914" w:rsidP="0006743B">
            <w:pPr>
              <w:pStyle w:val="TableText"/>
              <w:rPr>
                <w:lang w:val="en-IE"/>
              </w:rPr>
            </w:pPr>
            <w:r>
              <w:rPr>
                <w:lang w:val="en-IE"/>
              </w:rPr>
              <w:t>1.26–0.89</w:t>
            </w:r>
          </w:p>
        </w:tc>
        <w:tc>
          <w:tcPr>
            <w:tcW w:w="286" w:type="pct"/>
            <w:shd w:val="clear" w:color="auto" w:fill="auto"/>
            <w:noWrap/>
            <w:vAlign w:val="bottom"/>
          </w:tcPr>
          <w:p w:rsidR="00786914" w:rsidRPr="0001050B" w:rsidRDefault="00786914" w:rsidP="0006743B">
            <w:pPr>
              <w:pStyle w:val="TableText"/>
              <w:rPr>
                <w:lang w:val="en-IE"/>
              </w:rPr>
            </w:pPr>
            <w:r>
              <w:rPr>
                <w:lang w:val="en-IE"/>
              </w:rPr>
              <w:t>28</w:t>
            </w:r>
          </w:p>
        </w:tc>
        <w:tc>
          <w:tcPr>
            <w:tcW w:w="439" w:type="pct"/>
            <w:shd w:val="clear" w:color="auto" w:fill="auto"/>
            <w:noWrap/>
            <w:vAlign w:val="bottom"/>
          </w:tcPr>
          <w:p w:rsidR="00786914" w:rsidRPr="0001050B" w:rsidRDefault="00786914" w:rsidP="0006743B">
            <w:pPr>
              <w:pStyle w:val="TableText"/>
              <w:rPr>
                <w:lang w:val="en-IE"/>
              </w:rPr>
            </w:pPr>
            <w:r>
              <w:rPr>
                <w:lang w:val="en-IE"/>
              </w:rPr>
              <w:t>p&lt;0.00001</w:t>
            </w:r>
          </w:p>
        </w:tc>
      </w:tr>
    </w:tbl>
    <w:p w:rsidR="00786914" w:rsidRDefault="00786914" w:rsidP="0006743B">
      <w:pPr>
        <w:rPr>
          <w:szCs w:val="24"/>
        </w:rPr>
      </w:pPr>
    </w:p>
    <w:p w:rsidR="00786914" w:rsidRPr="002209B0" w:rsidRDefault="00786914" w:rsidP="0006743B">
      <w:r w:rsidRPr="002209B0">
        <w:t>Forest plots are set out below.</w:t>
      </w:r>
    </w:p>
    <w:p w:rsidR="00786914" w:rsidRDefault="00786914" w:rsidP="0006743B">
      <w:pPr>
        <w:pStyle w:val="Normalbold"/>
      </w:pPr>
      <w:bookmarkStart w:id="211" w:name="_Toc327877878"/>
      <w:r w:rsidRPr="00512CC9">
        <w:t>Duration of operation</w:t>
      </w:r>
      <w:bookmarkEnd w:id="211"/>
    </w:p>
    <w:p w:rsidR="00786914" w:rsidRDefault="00786914" w:rsidP="0006743B">
      <w:r>
        <w:t>As shown in Figure 17, s</w:t>
      </w:r>
      <w:r w:rsidRPr="00512CC9">
        <w:t>ix studies report that the duration of operation was longer for HoLEP than for TURP</w:t>
      </w:r>
      <w:r>
        <w:t>,</w:t>
      </w:r>
      <w:r w:rsidRPr="00512CC9">
        <w:t xml:space="preserve"> with statistically significant differences in all cases</w:t>
      </w:r>
      <w:r>
        <w:t xml:space="preserve">. </w:t>
      </w:r>
      <w:r w:rsidRPr="00512CC9">
        <w:t>One study (Eltabey et al 20</w:t>
      </w:r>
      <w:r>
        <w:t>10</w:t>
      </w:r>
      <w:r w:rsidRPr="00512CC9">
        <w:t>) reports slightly shorter operation time for HoLEP than for TURP</w:t>
      </w:r>
      <w:r>
        <w:t>; however,</w:t>
      </w:r>
      <w:r w:rsidRPr="00512CC9">
        <w:t xml:space="preserve"> the results are not statistically significant and there is significant heterogeneity across the studies. Pooling the results indicates that mean operative time was significantly longer in the HoLEP group than in the TURP group. Surgeon experience was often not noted in the studies and so it difficult to ascertain whether these results would reflect current operative times.</w:t>
      </w:r>
    </w:p>
    <w:p w:rsidR="00786914" w:rsidRDefault="00786914" w:rsidP="0006743B">
      <w:pPr>
        <w:pStyle w:val="Caption"/>
      </w:pPr>
      <w:bookmarkStart w:id="212" w:name="_Toc327882501"/>
      <w:r>
        <w:t xml:space="preserve">Figure </w:t>
      </w:r>
      <w:fldSimple w:instr=" SEQ Figure \* ARABIC ">
        <w:r w:rsidR="00F45C43">
          <w:rPr>
            <w:noProof/>
          </w:rPr>
          <w:t>17</w:t>
        </w:r>
      </w:fldSimple>
      <w:r>
        <w:t>:</w:t>
      </w:r>
      <w:r>
        <w:tab/>
        <w:t>Duration of operation: HoLEP compared with TURP</w:t>
      </w:r>
      <w:bookmarkEnd w:id="212"/>
    </w:p>
    <w:p w:rsidR="00786914" w:rsidRDefault="00786914" w:rsidP="0006743B">
      <w:pPr>
        <w:ind w:left="0"/>
        <w:rPr>
          <w:rFonts w:cs="Arial"/>
          <w:szCs w:val="24"/>
        </w:rPr>
      </w:pPr>
      <w:r>
        <w:rPr>
          <w:noProof/>
        </w:rPr>
        <w:drawing>
          <wp:inline distT="0" distB="0" distL="0" distR="0" wp14:anchorId="0721690C" wp14:editId="27C79793">
            <wp:extent cx="5732780" cy="1701800"/>
            <wp:effectExtent l="0" t="0" r="1270" b="0"/>
            <wp:docPr id="17" name="Picture 13" title="Figure 17: Duration of operation: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5732780" cy="1701800"/>
                    </a:xfrm>
                    <a:prstGeom prst="rect">
                      <a:avLst/>
                    </a:prstGeom>
                    <a:noFill/>
                    <a:ln w="9525">
                      <a:noFill/>
                      <a:miter lim="800000"/>
                      <a:headEnd/>
                      <a:tailEnd/>
                    </a:ln>
                  </pic:spPr>
                </pic:pic>
              </a:graphicData>
            </a:graphic>
          </wp:inline>
        </w:drawing>
      </w:r>
    </w:p>
    <w:p w:rsidR="00786914" w:rsidRDefault="00786914" w:rsidP="0006743B">
      <w:pPr>
        <w:pStyle w:val="Normalbold"/>
      </w:pPr>
      <w:bookmarkStart w:id="213" w:name="_Toc327877879"/>
      <w:r w:rsidRPr="00995CAB">
        <w:t>Duration of hospital stay</w:t>
      </w:r>
      <w:bookmarkEnd w:id="213"/>
    </w:p>
    <w:p w:rsidR="00AE6E57" w:rsidRDefault="00786914" w:rsidP="00AE6E57">
      <w:r>
        <w:t>As shown in Figure 18, all five</w:t>
      </w:r>
      <w:r w:rsidRPr="00962695">
        <w:t xml:space="preserve"> studies consistently report shorter hospital stay for HoLEP than for TURP</w:t>
      </w:r>
      <w:r>
        <w:t xml:space="preserve"> with statistically significant differences.</w:t>
      </w:r>
      <w:bookmarkStart w:id="214" w:name="_Toc327882502"/>
    </w:p>
    <w:p w:rsidR="00AE6E57" w:rsidRDefault="00AE6E57">
      <w:pPr>
        <w:spacing w:after="200" w:line="276" w:lineRule="auto"/>
        <w:ind w:left="0"/>
      </w:pPr>
      <w:r>
        <w:br w:type="page"/>
      </w:r>
    </w:p>
    <w:p w:rsidR="00786914" w:rsidRDefault="00786914" w:rsidP="0006743B">
      <w:pPr>
        <w:pStyle w:val="Caption"/>
        <w:rPr>
          <w:rFonts w:cs="Arial"/>
          <w:sz w:val="24"/>
          <w:szCs w:val="24"/>
        </w:rPr>
      </w:pPr>
      <w:r>
        <w:lastRenderedPageBreak/>
        <w:t xml:space="preserve">Figure </w:t>
      </w:r>
      <w:fldSimple w:instr=" SEQ Figure \* ARABIC ">
        <w:r w:rsidR="00F45C43">
          <w:rPr>
            <w:noProof/>
          </w:rPr>
          <w:t>18</w:t>
        </w:r>
      </w:fldSimple>
      <w:r>
        <w:t>:</w:t>
      </w:r>
      <w:r>
        <w:tab/>
        <w:t>Duration of hospital stay: HOLEP compared with TURP</w:t>
      </w:r>
      <w:bookmarkEnd w:id="214"/>
    </w:p>
    <w:p w:rsidR="00786914" w:rsidRPr="00962695" w:rsidRDefault="00786914" w:rsidP="0006743B">
      <w:pPr>
        <w:ind w:left="0"/>
        <w:rPr>
          <w:rFonts w:cs="Arial"/>
          <w:szCs w:val="24"/>
        </w:rPr>
      </w:pPr>
      <w:r>
        <w:rPr>
          <w:rFonts w:cs="Arial"/>
          <w:noProof/>
          <w:szCs w:val="24"/>
        </w:rPr>
        <w:drawing>
          <wp:inline distT="0" distB="0" distL="0" distR="0" wp14:anchorId="2F0EAE4E" wp14:editId="6141C040">
            <wp:extent cx="5732780" cy="1487170"/>
            <wp:effectExtent l="0" t="0" r="1270" b="0"/>
            <wp:docPr id="18" name="Picture 1" title="Figure 18: Duration of hospital stay: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32780" cy="1487170"/>
                    </a:xfrm>
                    <a:prstGeom prst="rect">
                      <a:avLst/>
                    </a:prstGeom>
                    <a:noFill/>
                    <a:ln w="9525">
                      <a:noFill/>
                      <a:miter lim="800000"/>
                      <a:headEnd/>
                      <a:tailEnd/>
                    </a:ln>
                  </pic:spPr>
                </pic:pic>
              </a:graphicData>
            </a:graphic>
          </wp:inline>
        </w:drawing>
      </w:r>
    </w:p>
    <w:p w:rsidR="00786914" w:rsidRDefault="00786914" w:rsidP="0006743B">
      <w:pPr>
        <w:pStyle w:val="Normalbold"/>
      </w:pPr>
      <w:bookmarkStart w:id="215" w:name="_Toc327877880"/>
      <w:r w:rsidRPr="005D1F6A">
        <w:t>Length of catheterisation</w:t>
      </w:r>
      <w:bookmarkEnd w:id="215"/>
    </w:p>
    <w:p w:rsidR="00786914" w:rsidRPr="00962695" w:rsidRDefault="00786914" w:rsidP="0006743B">
      <w:r>
        <w:t>As shown in Figure 19, a</w:t>
      </w:r>
      <w:r w:rsidRPr="00962695">
        <w:t xml:space="preserve">ll </w:t>
      </w:r>
      <w:r>
        <w:t>six</w:t>
      </w:r>
      <w:r w:rsidRPr="00962695">
        <w:t xml:space="preserve"> studies consistently report shorter catheterisation time for HoLEP than for TURP</w:t>
      </w:r>
      <w:r>
        <w:t>, with statistically significant differences but a high degree of heterogeneity. The estimate of effect between the groups however may be overestimated by differences in how the procedures were performed.</w:t>
      </w:r>
    </w:p>
    <w:p w:rsidR="00786914" w:rsidRDefault="00786914" w:rsidP="0006743B">
      <w:pPr>
        <w:pStyle w:val="Caption"/>
      </w:pPr>
      <w:bookmarkStart w:id="216" w:name="_Toc327882503"/>
      <w:r>
        <w:t xml:space="preserve">Figure </w:t>
      </w:r>
      <w:fldSimple w:instr=" SEQ Figure \* ARABIC ">
        <w:r w:rsidR="00F45C43">
          <w:rPr>
            <w:noProof/>
          </w:rPr>
          <w:t>19</w:t>
        </w:r>
      </w:fldSimple>
      <w:r>
        <w:t>:</w:t>
      </w:r>
      <w:r>
        <w:tab/>
        <w:t>Duration of catheterisation: HoLEP compared with TURP</w:t>
      </w:r>
      <w:bookmarkEnd w:id="216"/>
    </w:p>
    <w:p w:rsidR="00786914" w:rsidRDefault="00786914" w:rsidP="0006743B">
      <w:pPr>
        <w:pStyle w:val="Caption"/>
      </w:pPr>
      <w:r>
        <w:rPr>
          <w:noProof/>
        </w:rPr>
        <w:drawing>
          <wp:inline distT="0" distB="0" distL="0" distR="0" wp14:anchorId="32792FE4" wp14:editId="6E2F1318">
            <wp:extent cx="5732780" cy="1550670"/>
            <wp:effectExtent l="0" t="0" r="1270" b="0"/>
            <wp:docPr id="19" name="Picture 11" title="Figure 19: Duration of catheterisation: HoLEP compared with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5732780" cy="1550670"/>
                    </a:xfrm>
                    <a:prstGeom prst="rect">
                      <a:avLst/>
                    </a:prstGeom>
                    <a:noFill/>
                    <a:ln w="9525">
                      <a:noFill/>
                      <a:miter lim="800000"/>
                      <a:headEnd/>
                      <a:tailEnd/>
                    </a:ln>
                  </pic:spPr>
                </pic:pic>
              </a:graphicData>
            </a:graphic>
          </wp:inline>
        </w:drawing>
      </w:r>
    </w:p>
    <w:p w:rsidR="00786914" w:rsidRDefault="00786914" w:rsidP="0006743B">
      <w:pPr>
        <w:pStyle w:val="Normalbold"/>
      </w:pPr>
      <w:bookmarkStart w:id="217" w:name="_Toc327877881"/>
      <w:r>
        <w:t>Other outcomes</w:t>
      </w:r>
      <w:bookmarkEnd w:id="217"/>
    </w:p>
    <w:p w:rsidR="00786914" w:rsidRDefault="00786914" w:rsidP="0006743B">
      <w:r>
        <w:t>None of the studies included in this evaluation considered the other outcomes listed in the DAP (training, equipment and staffing costs).</w:t>
      </w:r>
    </w:p>
    <w:tbl>
      <w:tblPr>
        <w:tblW w:w="0" w:type="auto"/>
        <w:tblInd w:w="1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11"/>
      </w:tblGrid>
      <w:tr w:rsidR="00786914" w:rsidRPr="004C6B15">
        <w:trPr>
          <w:trHeight w:val="538"/>
        </w:trPr>
        <w:tc>
          <w:tcPr>
            <w:tcW w:w="9111" w:type="dxa"/>
            <w:shd w:val="clear" w:color="auto" w:fill="auto"/>
          </w:tcPr>
          <w:p w:rsidR="00786914" w:rsidRPr="001B4239" w:rsidRDefault="00786914" w:rsidP="0006743B">
            <w:pPr>
              <w:pStyle w:val="Summaryboxheading"/>
              <w:rPr>
                <w:szCs w:val="24"/>
              </w:rPr>
            </w:pPr>
            <w:r w:rsidRPr="001B4239">
              <w:rPr>
                <w:szCs w:val="24"/>
              </w:rPr>
              <w:t>Summary of effectiveness</w:t>
            </w:r>
            <w:r>
              <w:rPr>
                <w:szCs w:val="24"/>
              </w:rPr>
              <w:t xml:space="preserve"> of HoLEP versus TURP</w:t>
            </w:r>
          </w:p>
          <w:p w:rsidR="00786914" w:rsidRPr="001B4239" w:rsidRDefault="00786914" w:rsidP="0006743B">
            <w:pPr>
              <w:ind w:left="0"/>
              <w:rPr>
                <w:rFonts w:ascii="Arial Narrow" w:hAnsi="Arial Narrow"/>
              </w:rPr>
            </w:pPr>
            <w:r w:rsidRPr="001B4239">
              <w:rPr>
                <w:rFonts w:ascii="Arial Narrow" w:hAnsi="Arial Narrow"/>
              </w:rPr>
              <w:t>HoLEP appears to be as effective, or more effective, than TURP across a range of effectiveness outcomes. These include peak flow (Qmax), symptom scores and PVRs. Quality of life differences and differences in respect of treatment failure/</w:t>
            </w:r>
            <w:r>
              <w:rPr>
                <w:rFonts w:ascii="Arial Narrow" w:hAnsi="Arial Narrow"/>
              </w:rPr>
              <w:t>re-treatment</w:t>
            </w:r>
            <w:r w:rsidRPr="001B4239">
              <w:rPr>
                <w:rFonts w:ascii="Arial Narrow" w:hAnsi="Arial Narrow"/>
              </w:rPr>
              <w:t xml:space="preserve"> rates between the interventions were not significant. </w:t>
            </w:r>
          </w:p>
          <w:p w:rsidR="00786914" w:rsidRPr="004C6B15" w:rsidRDefault="00786914" w:rsidP="0006743B">
            <w:pPr>
              <w:ind w:left="0"/>
            </w:pPr>
            <w:r w:rsidRPr="001B4239">
              <w:rPr>
                <w:rFonts w:ascii="Arial Narrow" w:hAnsi="Arial Narrow"/>
              </w:rPr>
              <w:t>A HoLEP procedure takes longer to complete than a TURP procedure, but is associated with a statistically significant shorter hospital stay. Catheterisation times are also shorter.</w:t>
            </w:r>
          </w:p>
        </w:tc>
      </w:tr>
    </w:tbl>
    <w:p w:rsidR="00786914" w:rsidRDefault="00786914" w:rsidP="0006743B">
      <w:pPr>
        <w:pStyle w:val="Heading2"/>
      </w:pPr>
      <w:bookmarkStart w:id="218" w:name="_Toc323642288"/>
      <w:bookmarkStart w:id="219" w:name="_Toc327877882"/>
    </w:p>
    <w:p w:rsidR="00786914" w:rsidRDefault="00786914" w:rsidP="0006743B">
      <w:pPr>
        <w:rPr>
          <w:rFonts w:ascii="Tahoma" w:hAnsi="Tahoma"/>
          <w:sz w:val="28"/>
        </w:rPr>
      </w:pPr>
      <w:r>
        <w:br w:type="page"/>
      </w:r>
    </w:p>
    <w:p w:rsidR="00786914" w:rsidRDefault="00786914" w:rsidP="0006743B">
      <w:pPr>
        <w:pStyle w:val="Heading2"/>
      </w:pPr>
      <w:bookmarkStart w:id="220" w:name="_Toc365900576"/>
      <w:r>
        <w:lastRenderedPageBreak/>
        <w:t>Is it safe? HoLEP compared with OP</w:t>
      </w:r>
      <w:bookmarkEnd w:id="218"/>
      <w:bookmarkEnd w:id="219"/>
      <w:bookmarkEnd w:id="220"/>
    </w:p>
    <w:p w:rsidR="00786914" w:rsidRDefault="00786914" w:rsidP="0006743B">
      <w:pPr>
        <w:pStyle w:val="Normalbold"/>
      </w:pPr>
      <w:bookmarkStart w:id="221" w:name="_Toc327877883"/>
      <w:r w:rsidRPr="00F81250">
        <w:t>Primary safety outcomes</w:t>
      </w:r>
      <w:bookmarkEnd w:id="221"/>
    </w:p>
    <w:p w:rsidR="00786914" w:rsidRPr="00B21F04" w:rsidRDefault="00786914" w:rsidP="0006743B">
      <w:r>
        <w:t xml:space="preserve">Short-term complications assessed in this report include blood transfusion rates, acute urinary retention, infection and mortality. Longer term complications include </w:t>
      </w:r>
      <w:r w:rsidRPr="00B21F04">
        <w:t xml:space="preserve">urethral stricture, erectile dysfunction and urinary incontinence. </w:t>
      </w:r>
    </w:p>
    <w:p w:rsidR="00786914" w:rsidRPr="00B21F04" w:rsidRDefault="00786914" w:rsidP="0006743B">
      <w:r>
        <w:t xml:space="preserve">Table 17 </w:t>
      </w:r>
      <w:r w:rsidRPr="00B21F04">
        <w:t xml:space="preserve">outlines the </w:t>
      </w:r>
      <w:r>
        <w:t>primary safety outcomes</w:t>
      </w:r>
      <w:r w:rsidRPr="00B21F04">
        <w:t xml:space="preserve"> reported in the studies.</w:t>
      </w:r>
    </w:p>
    <w:p w:rsidR="00786914" w:rsidRPr="0061637C" w:rsidRDefault="00786914" w:rsidP="0006743B">
      <w:pPr>
        <w:pStyle w:val="Caption"/>
      </w:pPr>
      <w:bookmarkStart w:id="222" w:name="_Ref323309935"/>
      <w:bookmarkStart w:id="223" w:name="_Ref323640888"/>
      <w:bookmarkStart w:id="224" w:name="_Toc327803264"/>
      <w:bookmarkStart w:id="225" w:name="_Toc327881554"/>
      <w:bookmarkStart w:id="226" w:name="_Ref317757675"/>
      <w:bookmarkStart w:id="227" w:name="_Ref317775422"/>
      <w:r w:rsidRPr="0061637C">
        <w:t xml:space="preserve">Table </w:t>
      </w:r>
      <w:fldSimple w:instr=" SEQ Table \* ARABIC ">
        <w:r w:rsidR="00F45C43">
          <w:rPr>
            <w:noProof/>
          </w:rPr>
          <w:t>17</w:t>
        </w:r>
      </w:fldSimple>
      <w:bookmarkEnd w:id="222"/>
      <w:r w:rsidRPr="0061637C">
        <w:t>:</w:t>
      </w:r>
      <w:r w:rsidRPr="0061637C">
        <w:tab/>
        <w:t>Safety outcomes: HoLEP compared with OP</w:t>
      </w:r>
      <w:bookmarkEnd w:id="223"/>
      <w:bookmarkEnd w:id="224"/>
      <w:bookmarkEnd w:id="225"/>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7: Safety outcomes: HoLEP compared with OP"/>
      </w:tblPr>
      <w:tblGrid>
        <w:gridCol w:w="1843"/>
        <w:gridCol w:w="874"/>
        <w:gridCol w:w="1559"/>
        <w:gridCol w:w="1276"/>
        <w:gridCol w:w="1134"/>
        <w:gridCol w:w="992"/>
        <w:gridCol w:w="992"/>
        <w:gridCol w:w="544"/>
        <w:gridCol w:w="851"/>
      </w:tblGrid>
      <w:tr w:rsidR="00786914" w:rsidRPr="00602C71" w:rsidTr="0006743B">
        <w:trPr>
          <w:trHeight w:val="300"/>
        </w:trPr>
        <w:tc>
          <w:tcPr>
            <w:tcW w:w="1843" w:type="dxa"/>
            <w:shd w:val="clear" w:color="auto" w:fill="auto"/>
            <w:noWrap/>
            <w:vAlign w:val="bottom"/>
          </w:tcPr>
          <w:p w:rsidR="00786914" w:rsidRPr="00A162FF" w:rsidRDefault="00786914" w:rsidP="0006743B">
            <w:pPr>
              <w:pStyle w:val="Tableheading"/>
            </w:pPr>
            <w:r w:rsidRPr="00A162FF">
              <w:t>Outcome</w:t>
            </w:r>
          </w:p>
        </w:tc>
        <w:tc>
          <w:tcPr>
            <w:tcW w:w="874" w:type="dxa"/>
            <w:shd w:val="clear" w:color="auto" w:fill="auto"/>
            <w:noWrap/>
            <w:vAlign w:val="bottom"/>
          </w:tcPr>
          <w:p w:rsidR="00786914" w:rsidRDefault="00786914" w:rsidP="0006743B">
            <w:pPr>
              <w:pStyle w:val="Tableheading"/>
            </w:pPr>
            <w:r w:rsidRPr="00A162FF">
              <w:t>Studies (n)</w:t>
            </w:r>
          </w:p>
        </w:tc>
        <w:tc>
          <w:tcPr>
            <w:tcW w:w="1559" w:type="dxa"/>
            <w:shd w:val="clear" w:color="auto" w:fill="auto"/>
            <w:noWrap/>
            <w:vAlign w:val="bottom"/>
          </w:tcPr>
          <w:p w:rsidR="00786914" w:rsidRDefault="00786914" w:rsidP="0006743B">
            <w:pPr>
              <w:pStyle w:val="Tableheading"/>
            </w:pPr>
            <w:r w:rsidRPr="00A162FF">
              <w:t>Patients HoLEP</w:t>
            </w:r>
          </w:p>
          <w:p w:rsidR="00786914" w:rsidRDefault="00786914" w:rsidP="0006743B">
            <w:pPr>
              <w:pStyle w:val="Tableheading"/>
            </w:pPr>
            <w:r w:rsidRPr="00A162FF">
              <w:t>/</w:t>
            </w:r>
            <w:r>
              <w:t>OP</w:t>
            </w:r>
            <w:r w:rsidRPr="00A162FF">
              <w:t xml:space="preserve"> (n)</w:t>
            </w:r>
          </w:p>
        </w:tc>
        <w:tc>
          <w:tcPr>
            <w:tcW w:w="1276" w:type="dxa"/>
            <w:shd w:val="clear" w:color="auto" w:fill="auto"/>
            <w:vAlign w:val="bottom"/>
          </w:tcPr>
          <w:p w:rsidR="00786914" w:rsidRDefault="00786914" w:rsidP="0006743B">
            <w:pPr>
              <w:pStyle w:val="Tableheading"/>
            </w:pPr>
            <w:r w:rsidRPr="00A162FF">
              <w:t>HoLEP</w:t>
            </w:r>
          </w:p>
          <w:p w:rsidR="00786914" w:rsidRDefault="00786914" w:rsidP="0006743B">
            <w:pPr>
              <w:pStyle w:val="Tableheading"/>
            </w:pPr>
            <w:r w:rsidRPr="00A162FF">
              <w:t>(</w:t>
            </w:r>
            <w:r>
              <w:t>total events</w:t>
            </w:r>
            <w:r w:rsidRPr="00A162FF">
              <w:t>)</w:t>
            </w:r>
          </w:p>
        </w:tc>
        <w:tc>
          <w:tcPr>
            <w:tcW w:w="1134" w:type="dxa"/>
            <w:shd w:val="clear" w:color="auto" w:fill="auto"/>
            <w:vAlign w:val="bottom"/>
          </w:tcPr>
          <w:p w:rsidR="00786914" w:rsidRDefault="00786914" w:rsidP="0006743B">
            <w:pPr>
              <w:pStyle w:val="Tableheading"/>
            </w:pPr>
            <w:r>
              <w:t>OP</w:t>
            </w:r>
          </w:p>
          <w:p w:rsidR="00786914" w:rsidRDefault="00786914" w:rsidP="0006743B">
            <w:pPr>
              <w:pStyle w:val="Tableheading"/>
            </w:pPr>
            <w:r w:rsidRPr="00A162FF">
              <w:t>(</w:t>
            </w:r>
            <w:r>
              <w:t>total events</w:t>
            </w:r>
            <w:r w:rsidRPr="00A162FF">
              <w:t>)</w:t>
            </w:r>
          </w:p>
        </w:tc>
        <w:tc>
          <w:tcPr>
            <w:tcW w:w="992" w:type="dxa"/>
            <w:shd w:val="clear" w:color="auto" w:fill="auto"/>
            <w:noWrap/>
            <w:vAlign w:val="bottom"/>
          </w:tcPr>
          <w:p w:rsidR="00786914" w:rsidRDefault="00786914" w:rsidP="0006743B">
            <w:pPr>
              <w:pStyle w:val="Tableheading"/>
            </w:pPr>
            <w:r w:rsidRPr="00A162FF">
              <w:t>Estimate of effect</w:t>
            </w:r>
            <w:r>
              <w:t xml:space="preserve"> (RR)</w:t>
            </w:r>
          </w:p>
        </w:tc>
        <w:tc>
          <w:tcPr>
            <w:tcW w:w="992" w:type="dxa"/>
            <w:shd w:val="clear" w:color="auto" w:fill="auto"/>
            <w:noWrap/>
            <w:vAlign w:val="bottom"/>
          </w:tcPr>
          <w:p w:rsidR="00786914" w:rsidRDefault="00786914" w:rsidP="0006743B">
            <w:pPr>
              <w:pStyle w:val="Tableheading"/>
            </w:pPr>
            <w:r w:rsidRPr="00A162FF">
              <w:t>Range</w:t>
            </w:r>
          </w:p>
          <w:p w:rsidR="00786914" w:rsidRDefault="00786914" w:rsidP="0006743B">
            <w:pPr>
              <w:pStyle w:val="Tableheading"/>
            </w:pPr>
            <w:r w:rsidRPr="00A162FF">
              <w:t>(95% CI)*</w:t>
            </w:r>
          </w:p>
        </w:tc>
        <w:tc>
          <w:tcPr>
            <w:tcW w:w="544" w:type="dxa"/>
            <w:shd w:val="clear" w:color="auto" w:fill="auto"/>
            <w:noWrap/>
            <w:vAlign w:val="bottom"/>
          </w:tcPr>
          <w:p w:rsidR="00786914" w:rsidRDefault="00786914" w:rsidP="0006743B">
            <w:pPr>
              <w:pStyle w:val="Tableheading"/>
            </w:pPr>
            <w:r w:rsidRPr="00A162FF">
              <w:t>I</w:t>
            </w:r>
            <w:r w:rsidRPr="00CC357E">
              <w:rPr>
                <w:vertAlign w:val="superscript"/>
              </w:rPr>
              <w:t>2</w:t>
            </w:r>
            <w:r w:rsidRPr="00A162FF">
              <w:t xml:space="preserve"> (%)</w:t>
            </w:r>
          </w:p>
        </w:tc>
        <w:tc>
          <w:tcPr>
            <w:tcW w:w="851" w:type="dxa"/>
            <w:shd w:val="clear" w:color="auto" w:fill="auto"/>
            <w:noWrap/>
            <w:vAlign w:val="bottom"/>
          </w:tcPr>
          <w:p w:rsidR="00786914" w:rsidRDefault="00786914" w:rsidP="0006743B">
            <w:pPr>
              <w:pStyle w:val="Tableheading"/>
            </w:pPr>
            <w:r w:rsidRPr="00A162FF">
              <w:t>p-value</w:t>
            </w:r>
          </w:p>
        </w:tc>
      </w:tr>
      <w:tr w:rsidR="00786914" w:rsidRPr="00602C71" w:rsidTr="0006743B">
        <w:trPr>
          <w:trHeight w:val="255"/>
        </w:trPr>
        <w:tc>
          <w:tcPr>
            <w:tcW w:w="1843" w:type="dxa"/>
            <w:shd w:val="clear" w:color="auto" w:fill="auto"/>
            <w:noWrap/>
            <w:vAlign w:val="bottom"/>
          </w:tcPr>
          <w:p w:rsidR="00786914" w:rsidRPr="0061637C" w:rsidRDefault="00786914" w:rsidP="0006743B">
            <w:pPr>
              <w:pStyle w:val="TableText"/>
            </w:pPr>
            <w:r w:rsidRPr="0061637C">
              <w:t>Blood transfusion rates</w:t>
            </w:r>
          </w:p>
        </w:tc>
        <w:tc>
          <w:tcPr>
            <w:tcW w:w="874" w:type="dxa"/>
            <w:shd w:val="clear" w:color="auto" w:fill="auto"/>
            <w:noWrap/>
            <w:vAlign w:val="bottom"/>
          </w:tcPr>
          <w:p w:rsidR="00786914" w:rsidRPr="0061637C" w:rsidRDefault="00786914" w:rsidP="0006743B">
            <w:pPr>
              <w:pStyle w:val="TableText"/>
            </w:pPr>
            <w:r w:rsidRPr="0061637C">
              <w:t>2</w:t>
            </w:r>
          </w:p>
        </w:tc>
        <w:tc>
          <w:tcPr>
            <w:tcW w:w="1559" w:type="dxa"/>
            <w:shd w:val="clear" w:color="auto" w:fill="auto"/>
            <w:noWrap/>
            <w:vAlign w:val="bottom"/>
          </w:tcPr>
          <w:p w:rsidR="00786914" w:rsidRPr="0061637C" w:rsidRDefault="00786914" w:rsidP="0006743B">
            <w:pPr>
              <w:pStyle w:val="TableText"/>
            </w:pPr>
            <w:r w:rsidRPr="0061637C">
              <w:t>101/99</w:t>
            </w:r>
          </w:p>
        </w:tc>
        <w:tc>
          <w:tcPr>
            <w:tcW w:w="1276" w:type="dxa"/>
            <w:shd w:val="clear" w:color="auto" w:fill="auto"/>
            <w:vAlign w:val="bottom"/>
          </w:tcPr>
          <w:p w:rsidR="00786914" w:rsidRPr="0061637C" w:rsidRDefault="00786914" w:rsidP="0006743B">
            <w:pPr>
              <w:pStyle w:val="TableText"/>
            </w:pPr>
            <w:r w:rsidRPr="0061637C">
              <w:t>2</w:t>
            </w:r>
          </w:p>
        </w:tc>
        <w:tc>
          <w:tcPr>
            <w:tcW w:w="1134" w:type="dxa"/>
            <w:shd w:val="clear" w:color="auto" w:fill="auto"/>
            <w:vAlign w:val="bottom"/>
          </w:tcPr>
          <w:p w:rsidR="00786914" w:rsidRPr="0061637C" w:rsidRDefault="00786914" w:rsidP="0006743B">
            <w:pPr>
              <w:pStyle w:val="TableText"/>
            </w:pPr>
            <w:r w:rsidRPr="0061637C">
              <w:t>15</w:t>
            </w:r>
          </w:p>
        </w:tc>
        <w:tc>
          <w:tcPr>
            <w:tcW w:w="992" w:type="dxa"/>
            <w:shd w:val="clear" w:color="auto" w:fill="auto"/>
            <w:noWrap/>
            <w:vAlign w:val="bottom"/>
          </w:tcPr>
          <w:p w:rsidR="00786914" w:rsidRPr="0061637C" w:rsidRDefault="00786914" w:rsidP="0006743B">
            <w:pPr>
              <w:pStyle w:val="TableText"/>
            </w:pPr>
            <w:r w:rsidRPr="0061637C">
              <w:t>0.19</w:t>
            </w:r>
          </w:p>
        </w:tc>
        <w:tc>
          <w:tcPr>
            <w:tcW w:w="992" w:type="dxa"/>
            <w:shd w:val="clear" w:color="auto" w:fill="auto"/>
            <w:noWrap/>
            <w:vAlign w:val="bottom"/>
          </w:tcPr>
          <w:p w:rsidR="00786914" w:rsidRPr="0061637C" w:rsidRDefault="00786914" w:rsidP="0006743B">
            <w:pPr>
              <w:pStyle w:val="TableText"/>
            </w:pPr>
            <w:r w:rsidRPr="0061637C">
              <w:t>0.05–0.73</w:t>
            </w:r>
          </w:p>
        </w:tc>
        <w:tc>
          <w:tcPr>
            <w:tcW w:w="544" w:type="dxa"/>
            <w:shd w:val="clear" w:color="auto" w:fill="auto"/>
            <w:noWrap/>
            <w:vAlign w:val="bottom"/>
          </w:tcPr>
          <w:p w:rsidR="00786914" w:rsidRPr="0061637C" w:rsidRDefault="00786914" w:rsidP="0006743B">
            <w:pPr>
              <w:pStyle w:val="TableText"/>
            </w:pPr>
            <w:r w:rsidRPr="0061637C">
              <w:t>0</w:t>
            </w:r>
          </w:p>
        </w:tc>
        <w:tc>
          <w:tcPr>
            <w:tcW w:w="851" w:type="dxa"/>
            <w:shd w:val="clear" w:color="auto" w:fill="auto"/>
            <w:noWrap/>
            <w:vAlign w:val="bottom"/>
          </w:tcPr>
          <w:p w:rsidR="00786914" w:rsidRPr="0061637C" w:rsidRDefault="00786914" w:rsidP="0006743B">
            <w:pPr>
              <w:pStyle w:val="TableText"/>
            </w:pPr>
            <w:r w:rsidRPr="0061637C">
              <w:t>p=0.02</w:t>
            </w:r>
          </w:p>
        </w:tc>
      </w:tr>
      <w:tr w:rsidR="00786914" w:rsidRPr="00602C71" w:rsidTr="0006743B">
        <w:trPr>
          <w:trHeight w:val="255"/>
        </w:trPr>
        <w:tc>
          <w:tcPr>
            <w:tcW w:w="1843" w:type="dxa"/>
            <w:shd w:val="clear" w:color="auto" w:fill="auto"/>
            <w:noWrap/>
            <w:vAlign w:val="bottom"/>
          </w:tcPr>
          <w:p w:rsidR="00786914" w:rsidRPr="0061637C" w:rsidRDefault="00786914" w:rsidP="0006743B">
            <w:pPr>
              <w:pStyle w:val="TableText"/>
            </w:pPr>
            <w:r w:rsidRPr="0061637C">
              <w:t>Urethral stricture</w:t>
            </w:r>
          </w:p>
        </w:tc>
        <w:tc>
          <w:tcPr>
            <w:tcW w:w="874" w:type="dxa"/>
            <w:shd w:val="clear" w:color="auto" w:fill="auto"/>
            <w:noWrap/>
            <w:vAlign w:val="bottom"/>
          </w:tcPr>
          <w:p w:rsidR="00786914" w:rsidRPr="0061637C" w:rsidRDefault="00786914" w:rsidP="0006743B">
            <w:pPr>
              <w:pStyle w:val="TableText"/>
            </w:pPr>
            <w:r w:rsidRPr="0061637C">
              <w:t>2</w:t>
            </w:r>
          </w:p>
        </w:tc>
        <w:tc>
          <w:tcPr>
            <w:tcW w:w="1559" w:type="dxa"/>
            <w:shd w:val="clear" w:color="auto" w:fill="auto"/>
            <w:noWrap/>
            <w:vAlign w:val="bottom"/>
          </w:tcPr>
          <w:p w:rsidR="00786914" w:rsidRPr="0061637C" w:rsidRDefault="00786914" w:rsidP="0006743B">
            <w:pPr>
              <w:pStyle w:val="TableText"/>
            </w:pPr>
            <w:r w:rsidRPr="0061637C">
              <w:t>101/88</w:t>
            </w:r>
          </w:p>
        </w:tc>
        <w:tc>
          <w:tcPr>
            <w:tcW w:w="1276" w:type="dxa"/>
            <w:shd w:val="clear" w:color="auto" w:fill="auto"/>
            <w:vAlign w:val="bottom"/>
          </w:tcPr>
          <w:p w:rsidR="00786914" w:rsidRPr="0061637C" w:rsidRDefault="00786914" w:rsidP="0006743B">
            <w:pPr>
              <w:pStyle w:val="TableText"/>
            </w:pPr>
            <w:r w:rsidRPr="0061637C">
              <w:t>5</w:t>
            </w:r>
          </w:p>
        </w:tc>
        <w:tc>
          <w:tcPr>
            <w:tcW w:w="1134" w:type="dxa"/>
            <w:shd w:val="clear" w:color="auto" w:fill="auto"/>
            <w:vAlign w:val="bottom"/>
          </w:tcPr>
          <w:p w:rsidR="00786914" w:rsidRPr="0061637C" w:rsidRDefault="00786914" w:rsidP="0006743B">
            <w:pPr>
              <w:pStyle w:val="TableText"/>
            </w:pPr>
            <w:r w:rsidRPr="0061637C">
              <w:t>4</w:t>
            </w:r>
          </w:p>
        </w:tc>
        <w:tc>
          <w:tcPr>
            <w:tcW w:w="992" w:type="dxa"/>
            <w:shd w:val="clear" w:color="auto" w:fill="auto"/>
            <w:noWrap/>
            <w:vAlign w:val="bottom"/>
          </w:tcPr>
          <w:p w:rsidR="00786914" w:rsidRPr="0061637C" w:rsidRDefault="00786914" w:rsidP="0006743B">
            <w:pPr>
              <w:pStyle w:val="TableText"/>
            </w:pPr>
            <w:r w:rsidRPr="0061637C">
              <w:t>1.07</w:t>
            </w:r>
          </w:p>
        </w:tc>
        <w:tc>
          <w:tcPr>
            <w:tcW w:w="992" w:type="dxa"/>
            <w:shd w:val="clear" w:color="auto" w:fill="auto"/>
            <w:noWrap/>
            <w:vAlign w:val="bottom"/>
          </w:tcPr>
          <w:p w:rsidR="00786914" w:rsidRPr="0061637C" w:rsidRDefault="00786914" w:rsidP="0006743B">
            <w:pPr>
              <w:pStyle w:val="TableText"/>
            </w:pPr>
            <w:r w:rsidRPr="0061637C">
              <w:t>0.30–3.87</w:t>
            </w:r>
          </w:p>
        </w:tc>
        <w:tc>
          <w:tcPr>
            <w:tcW w:w="544" w:type="dxa"/>
            <w:shd w:val="clear" w:color="auto" w:fill="auto"/>
            <w:noWrap/>
            <w:vAlign w:val="bottom"/>
          </w:tcPr>
          <w:p w:rsidR="00786914" w:rsidRPr="0061637C" w:rsidRDefault="00786914" w:rsidP="0006743B">
            <w:pPr>
              <w:pStyle w:val="TableText"/>
            </w:pPr>
            <w:r w:rsidRPr="0061637C">
              <w:t>0</w:t>
            </w:r>
          </w:p>
        </w:tc>
        <w:tc>
          <w:tcPr>
            <w:tcW w:w="851" w:type="dxa"/>
            <w:shd w:val="clear" w:color="auto" w:fill="auto"/>
            <w:noWrap/>
            <w:vAlign w:val="bottom"/>
          </w:tcPr>
          <w:p w:rsidR="00786914" w:rsidRPr="0061637C" w:rsidRDefault="00786914" w:rsidP="0006743B">
            <w:pPr>
              <w:pStyle w:val="TableText"/>
            </w:pPr>
            <w:r w:rsidRPr="0061637C">
              <w:t>p=0.91</w:t>
            </w:r>
          </w:p>
        </w:tc>
      </w:tr>
      <w:tr w:rsidR="00786914" w:rsidRPr="00602C71" w:rsidTr="0006743B">
        <w:trPr>
          <w:trHeight w:val="80"/>
        </w:trPr>
        <w:tc>
          <w:tcPr>
            <w:tcW w:w="1843" w:type="dxa"/>
            <w:shd w:val="clear" w:color="auto" w:fill="auto"/>
            <w:noWrap/>
            <w:vAlign w:val="bottom"/>
          </w:tcPr>
          <w:p w:rsidR="00786914" w:rsidRPr="0061637C" w:rsidRDefault="00786914" w:rsidP="0006743B">
            <w:pPr>
              <w:pStyle w:val="TableText"/>
            </w:pPr>
            <w:r w:rsidRPr="0061637C">
              <w:t>Incontinence</w:t>
            </w:r>
          </w:p>
        </w:tc>
        <w:tc>
          <w:tcPr>
            <w:tcW w:w="874" w:type="dxa"/>
            <w:shd w:val="clear" w:color="auto" w:fill="auto"/>
            <w:noWrap/>
            <w:vAlign w:val="bottom"/>
          </w:tcPr>
          <w:p w:rsidR="00786914" w:rsidRPr="0061637C" w:rsidRDefault="00786914" w:rsidP="0006743B">
            <w:pPr>
              <w:pStyle w:val="TableText"/>
            </w:pPr>
            <w:r w:rsidRPr="0061637C">
              <w:t>2</w:t>
            </w:r>
          </w:p>
        </w:tc>
        <w:tc>
          <w:tcPr>
            <w:tcW w:w="1559" w:type="dxa"/>
            <w:shd w:val="clear" w:color="auto" w:fill="auto"/>
            <w:noWrap/>
            <w:vAlign w:val="bottom"/>
          </w:tcPr>
          <w:p w:rsidR="00786914" w:rsidRPr="0061637C" w:rsidRDefault="00786914" w:rsidP="0006743B">
            <w:pPr>
              <w:pStyle w:val="TableText"/>
            </w:pPr>
            <w:r w:rsidRPr="0061637C">
              <w:t>97/99</w:t>
            </w:r>
          </w:p>
        </w:tc>
        <w:tc>
          <w:tcPr>
            <w:tcW w:w="1276" w:type="dxa"/>
            <w:shd w:val="clear" w:color="auto" w:fill="auto"/>
            <w:vAlign w:val="bottom"/>
          </w:tcPr>
          <w:p w:rsidR="00786914" w:rsidRPr="0061637C" w:rsidRDefault="00786914" w:rsidP="0006743B">
            <w:pPr>
              <w:pStyle w:val="TableText"/>
            </w:pPr>
            <w:r w:rsidRPr="0061637C">
              <w:t>7</w:t>
            </w:r>
          </w:p>
        </w:tc>
        <w:tc>
          <w:tcPr>
            <w:tcW w:w="1134" w:type="dxa"/>
            <w:shd w:val="clear" w:color="auto" w:fill="auto"/>
            <w:vAlign w:val="bottom"/>
          </w:tcPr>
          <w:p w:rsidR="00786914" w:rsidRPr="0061637C" w:rsidRDefault="00786914" w:rsidP="0006743B">
            <w:pPr>
              <w:pStyle w:val="TableText"/>
            </w:pPr>
            <w:r w:rsidRPr="0061637C">
              <w:t>9</w:t>
            </w:r>
          </w:p>
        </w:tc>
        <w:tc>
          <w:tcPr>
            <w:tcW w:w="992" w:type="dxa"/>
            <w:shd w:val="clear" w:color="auto" w:fill="auto"/>
            <w:noWrap/>
            <w:vAlign w:val="bottom"/>
          </w:tcPr>
          <w:p w:rsidR="00786914" w:rsidRPr="0061637C" w:rsidRDefault="00786914" w:rsidP="0006743B">
            <w:pPr>
              <w:pStyle w:val="TableText"/>
            </w:pPr>
            <w:r w:rsidRPr="0061637C">
              <w:t>0.79</w:t>
            </w:r>
          </w:p>
        </w:tc>
        <w:tc>
          <w:tcPr>
            <w:tcW w:w="992" w:type="dxa"/>
            <w:shd w:val="clear" w:color="auto" w:fill="auto"/>
            <w:noWrap/>
            <w:vAlign w:val="bottom"/>
          </w:tcPr>
          <w:p w:rsidR="00786914" w:rsidRPr="0061637C" w:rsidRDefault="00786914" w:rsidP="0006743B">
            <w:pPr>
              <w:pStyle w:val="TableText"/>
            </w:pPr>
            <w:r w:rsidRPr="0061637C">
              <w:t>0.31–2.04</w:t>
            </w:r>
          </w:p>
        </w:tc>
        <w:tc>
          <w:tcPr>
            <w:tcW w:w="544" w:type="dxa"/>
            <w:shd w:val="clear" w:color="auto" w:fill="auto"/>
            <w:noWrap/>
            <w:vAlign w:val="bottom"/>
          </w:tcPr>
          <w:p w:rsidR="00786914" w:rsidRPr="0061637C" w:rsidRDefault="00786914" w:rsidP="0006743B">
            <w:pPr>
              <w:pStyle w:val="TableText"/>
            </w:pPr>
            <w:r w:rsidRPr="0061637C">
              <w:t>0</w:t>
            </w:r>
          </w:p>
        </w:tc>
        <w:tc>
          <w:tcPr>
            <w:tcW w:w="851" w:type="dxa"/>
            <w:shd w:val="clear" w:color="auto" w:fill="auto"/>
            <w:noWrap/>
            <w:vAlign w:val="bottom"/>
          </w:tcPr>
          <w:p w:rsidR="00786914" w:rsidRPr="0061637C" w:rsidRDefault="00786914" w:rsidP="0006743B">
            <w:pPr>
              <w:pStyle w:val="TableText"/>
            </w:pPr>
            <w:r w:rsidRPr="0061637C">
              <w:t>p=0.63</w:t>
            </w:r>
          </w:p>
        </w:tc>
      </w:tr>
      <w:bookmarkEnd w:id="226"/>
      <w:bookmarkEnd w:id="227"/>
    </w:tbl>
    <w:p w:rsidR="00786914" w:rsidRDefault="00786914" w:rsidP="0006743B"/>
    <w:p w:rsidR="00786914" w:rsidRPr="00B21F04" w:rsidRDefault="00786914" w:rsidP="0006743B">
      <w:r>
        <w:t xml:space="preserve">Sufficient data were available to pool the results for blood transfusion rates, urethral stricture and incontinence. </w:t>
      </w:r>
    </w:p>
    <w:p w:rsidR="00786914" w:rsidRDefault="00786914" w:rsidP="0006743B">
      <w:pPr>
        <w:pStyle w:val="Normalbold"/>
      </w:pPr>
      <w:bookmarkStart w:id="228" w:name="_Toc327877884"/>
      <w:r w:rsidRPr="00BA7B73">
        <w:t>Bleeding (blood transfusion)</w:t>
      </w:r>
      <w:bookmarkEnd w:id="228"/>
    </w:p>
    <w:p w:rsidR="00786914" w:rsidRDefault="00786914" w:rsidP="0006743B">
      <w:pPr>
        <w:rPr>
          <w:rFonts w:cs="Calibri"/>
          <w:szCs w:val="24"/>
        </w:rPr>
      </w:pPr>
      <w:r w:rsidRPr="00B21F04">
        <w:rPr>
          <w:rFonts w:cs="Calibri"/>
          <w:szCs w:val="24"/>
        </w:rPr>
        <w:t>In a meta-analysis of the two studies, patients allocated to HoLEP were less likely to have a blood transfusion that than those allocated to</w:t>
      </w:r>
      <w:r>
        <w:rPr>
          <w:rFonts w:cs="Calibri"/>
          <w:szCs w:val="24"/>
        </w:rPr>
        <w:t xml:space="preserve"> OP as outlined in Figure 20.</w:t>
      </w:r>
    </w:p>
    <w:p w:rsidR="00786914" w:rsidRDefault="00786914" w:rsidP="0006743B">
      <w:pPr>
        <w:pStyle w:val="Caption"/>
        <w:rPr>
          <w:rFonts w:cs="Calibri"/>
          <w:sz w:val="24"/>
          <w:szCs w:val="24"/>
        </w:rPr>
      </w:pPr>
      <w:bookmarkStart w:id="229" w:name="_Toc327882504"/>
      <w:r>
        <w:t xml:space="preserve">Figure </w:t>
      </w:r>
      <w:fldSimple w:instr=" SEQ Figure \* ARABIC ">
        <w:r w:rsidR="00F45C43">
          <w:rPr>
            <w:noProof/>
          </w:rPr>
          <w:t>20</w:t>
        </w:r>
      </w:fldSimple>
      <w:r>
        <w:t>:</w:t>
      </w:r>
      <w:r>
        <w:tab/>
        <w:t>Blood transfusion rates: HoLEP compared with OP</w:t>
      </w:r>
      <w:bookmarkEnd w:id="229"/>
    </w:p>
    <w:p w:rsidR="00786914" w:rsidRDefault="00786914" w:rsidP="0006743B">
      <w:pPr>
        <w:ind w:left="0"/>
        <w:rPr>
          <w:rFonts w:cs="Calibri"/>
          <w:szCs w:val="24"/>
        </w:rPr>
      </w:pPr>
      <w:r>
        <w:rPr>
          <w:rFonts w:cs="Calibri"/>
          <w:noProof/>
          <w:szCs w:val="24"/>
        </w:rPr>
        <w:drawing>
          <wp:inline distT="0" distB="0" distL="0" distR="0" wp14:anchorId="1EFC74AF" wp14:editId="561525E1">
            <wp:extent cx="5732780" cy="1240155"/>
            <wp:effectExtent l="0" t="0" r="1270" b="0"/>
            <wp:docPr id="20" name="Picture 14" title="Figure 20: Blood transfusion rate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5732780" cy="1240155"/>
                    </a:xfrm>
                    <a:prstGeom prst="rect">
                      <a:avLst/>
                    </a:prstGeom>
                    <a:noFill/>
                    <a:ln w="9525">
                      <a:noFill/>
                      <a:miter lim="800000"/>
                      <a:headEnd/>
                      <a:tailEnd/>
                    </a:ln>
                  </pic:spPr>
                </pic:pic>
              </a:graphicData>
            </a:graphic>
          </wp:inline>
        </w:drawing>
      </w:r>
    </w:p>
    <w:p w:rsidR="00786914" w:rsidRDefault="00786914" w:rsidP="0006743B">
      <w:pPr>
        <w:pStyle w:val="Normalbold"/>
      </w:pPr>
      <w:bookmarkStart w:id="230" w:name="_Toc327877885"/>
      <w:r w:rsidRPr="00853A95">
        <w:t>Urethral stricture</w:t>
      </w:r>
      <w:bookmarkEnd w:id="230"/>
    </w:p>
    <w:p w:rsidR="00786914" w:rsidRDefault="00786914" w:rsidP="0006743B">
      <w:r w:rsidRPr="00B21F04">
        <w:t>Urethral stricture was reported in both studies</w:t>
      </w:r>
      <w:r>
        <w:t xml:space="preserve"> at various time points </w:t>
      </w:r>
      <w:r w:rsidRPr="00025AA4">
        <w:t>and the data below includes all reported cases regardless of when the event occurred</w:t>
      </w:r>
      <w:r>
        <w:t>. The majority (n=8) occurred past 12 months (see Appendix D). R</w:t>
      </w:r>
      <w:r w:rsidRPr="00B21F04">
        <w:t xml:space="preserve">ates </w:t>
      </w:r>
      <w:r>
        <w:t xml:space="preserve">were </w:t>
      </w:r>
      <w:r w:rsidRPr="00B21F04">
        <w:t>similar between HoLEP and OP patients</w:t>
      </w:r>
      <w:r>
        <w:t xml:space="preserve"> and no</w:t>
      </w:r>
      <w:r w:rsidRPr="00B21F04">
        <w:t xml:space="preserve"> statistically significant differences were found between the two groups in terms of incidence of strictures</w:t>
      </w:r>
      <w:r>
        <w:t>.</w:t>
      </w:r>
    </w:p>
    <w:p w:rsidR="00786914" w:rsidRDefault="00786914">
      <w:pPr>
        <w:spacing w:after="0"/>
        <w:ind w:left="0"/>
        <w:rPr>
          <w:rFonts w:ascii="Arial" w:hAnsi="Arial"/>
          <w:bCs/>
          <w:sz w:val="18"/>
        </w:rPr>
      </w:pPr>
      <w:bookmarkStart w:id="231" w:name="_Toc327882505"/>
      <w:r>
        <w:br w:type="page"/>
      </w:r>
    </w:p>
    <w:p w:rsidR="00786914" w:rsidRDefault="00786914" w:rsidP="0006743B">
      <w:pPr>
        <w:pStyle w:val="Caption"/>
        <w:rPr>
          <w:rFonts w:cs="Calibri"/>
          <w:sz w:val="24"/>
          <w:szCs w:val="24"/>
        </w:rPr>
      </w:pPr>
      <w:r>
        <w:lastRenderedPageBreak/>
        <w:t xml:space="preserve">Figure </w:t>
      </w:r>
      <w:fldSimple w:instr=" SEQ Figure \* ARABIC ">
        <w:r w:rsidR="00F45C43">
          <w:rPr>
            <w:noProof/>
          </w:rPr>
          <w:t>21</w:t>
        </w:r>
      </w:fldSimple>
      <w:r>
        <w:t>:</w:t>
      </w:r>
      <w:r>
        <w:tab/>
        <w:t>Urethral stricture: HoLEP compared with OP</w:t>
      </w:r>
      <w:bookmarkEnd w:id="231"/>
    </w:p>
    <w:p w:rsidR="00786914" w:rsidRDefault="00786914" w:rsidP="0006743B">
      <w:pPr>
        <w:ind w:left="0"/>
        <w:rPr>
          <w:rFonts w:cs="Calibri"/>
          <w:szCs w:val="24"/>
        </w:rPr>
      </w:pPr>
      <w:r>
        <w:rPr>
          <w:noProof/>
        </w:rPr>
        <w:drawing>
          <wp:inline distT="0" distB="0" distL="0" distR="0" wp14:anchorId="045B0D72" wp14:editId="341F86B0">
            <wp:extent cx="5731510" cy="1237615"/>
            <wp:effectExtent l="0" t="0" r="2540" b="635"/>
            <wp:docPr id="96" name="Picture 13" title="Figure 21: Urethral stricture: HoLEP compared with OP"/>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30" cstate="print"/>
                    <a:srcRect/>
                    <a:stretch>
                      <a:fillRect/>
                    </a:stretch>
                  </pic:blipFill>
                  <pic:spPr bwMode="auto">
                    <a:xfrm>
                      <a:off x="0" y="0"/>
                      <a:ext cx="5731510" cy="1237615"/>
                    </a:xfrm>
                    <a:prstGeom prst="rect">
                      <a:avLst/>
                    </a:prstGeom>
                    <a:noFill/>
                    <a:ln w="9525">
                      <a:noFill/>
                      <a:miter lim="800000"/>
                      <a:headEnd/>
                      <a:tailEnd/>
                    </a:ln>
                  </pic:spPr>
                </pic:pic>
              </a:graphicData>
            </a:graphic>
          </wp:inline>
        </w:drawing>
      </w:r>
    </w:p>
    <w:p w:rsidR="00786914" w:rsidRDefault="00786914" w:rsidP="0006743B">
      <w:pPr>
        <w:pStyle w:val="Normalbold"/>
      </w:pPr>
      <w:bookmarkStart w:id="232" w:name="_Toc327877886"/>
      <w:r w:rsidRPr="00325C3C">
        <w:t>Incontinence</w:t>
      </w:r>
      <w:bookmarkEnd w:id="232"/>
    </w:p>
    <w:p w:rsidR="00786914" w:rsidRDefault="00786914" w:rsidP="0006743B">
      <w:r w:rsidRPr="00B21F04">
        <w:t xml:space="preserve">Combining the data from the study </w:t>
      </w:r>
      <w:r>
        <w:t xml:space="preserve">showed </w:t>
      </w:r>
      <w:r w:rsidRPr="00B21F04">
        <w:t>no significant differences between the two groups</w:t>
      </w:r>
      <w:r>
        <w:t xml:space="preserve"> in respect to incontinence. The data in Figure 22 below do not include rates of transitory incontinence which was reported in both studies (Appendix D).</w:t>
      </w:r>
    </w:p>
    <w:p w:rsidR="00786914" w:rsidRDefault="00786914" w:rsidP="0006743B">
      <w:pPr>
        <w:pStyle w:val="Caption"/>
        <w:rPr>
          <w:rFonts w:cs="Calibri"/>
          <w:sz w:val="24"/>
          <w:szCs w:val="24"/>
        </w:rPr>
      </w:pPr>
      <w:bookmarkStart w:id="233" w:name="_Toc327882506"/>
      <w:r>
        <w:t xml:space="preserve">Figure </w:t>
      </w:r>
      <w:fldSimple w:instr=" SEQ Figure \* ARABIC ">
        <w:r w:rsidR="00F45C43">
          <w:rPr>
            <w:noProof/>
          </w:rPr>
          <w:t>22</w:t>
        </w:r>
      </w:fldSimple>
      <w:r>
        <w:t>:</w:t>
      </w:r>
      <w:r>
        <w:tab/>
        <w:t>Incontinence: HoLEP compared with OP</w:t>
      </w:r>
      <w:bookmarkEnd w:id="233"/>
    </w:p>
    <w:p w:rsidR="00786914" w:rsidRDefault="00786914" w:rsidP="0006743B">
      <w:pPr>
        <w:ind w:left="0"/>
        <w:rPr>
          <w:rFonts w:cs="Calibri"/>
          <w:szCs w:val="24"/>
        </w:rPr>
      </w:pPr>
      <w:r>
        <w:rPr>
          <w:rFonts w:cs="Calibri"/>
          <w:noProof/>
          <w:szCs w:val="24"/>
        </w:rPr>
        <w:drawing>
          <wp:inline distT="0" distB="0" distL="0" distR="0" wp14:anchorId="387ED139" wp14:editId="742D55E4">
            <wp:extent cx="5732780" cy="1240155"/>
            <wp:effectExtent l="0" t="0" r="1270" b="0"/>
            <wp:docPr id="22" name="Picture 16" title="Figure 22: Incontinence: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5732780" cy="1240155"/>
                    </a:xfrm>
                    <a:prstGeom prst="rect">
                      <a:avLst/>
                    </a:prstGeom>
                    <a:noFill/>
                    <a:ln w="9525">
                      <a:noFill/>
                      <a:miter lim="800000"/>
                      <a:headEnd/>
                      <a:tailEnd/>
                    </a:ln>
                  </pic:spPr>
                </pic:pic>
              </a:graphicData>
            </a:graphic>
          </wp:inline>
        </w:drawing>
      </w:r>
    </w:p>
    <w:p w:rsidR="00786914" w:rsidRPr="00FB036B" w:rsidRDefault="00786914" w:rsidP="0006743B">
      <w:r>
        <w:t>Pooling was not feasible for the remaining outcomes due to the lack of data. These include:</w:t>
      </w:r>
    </w:p>
    <w:p w:rsidR="00786914" w:rsidRPr="000A1B2A" w:rsidRDefault="00786914" w:rsidP="0006743B">
      <w:r w:rsidRPr="006C2192">
        <w:rPr>
          <w:b/>
        </w:rPr>
        <w:t>Erectile dysfunction:</w:t>
      </w:r>
      <w:r>
        <w:rPr>
          <w:b/>
          <w:u w:val="single"/>
        </w:rPr>
        <w:t xml:space="preserve"> </w:t>
      </w:r>
      <w:r w:rsidRPr="000A1B2A">
        <w:t>Naspro</w:t>
      </w:r>
      <w:r>
        <w:t xml:space="preserve"> </w:t>
      </w:r>
      <w:r w:rsidRPr="000A1B2A">
        <w:t>et al (2006) report that there was no significant reduction in IIEF scores</w:t>
      </w:r>
      <w:r w:rsidRPr="000A1B2A">
        <w:rPr>
          <w:rStyle w:val="FootnoteReference"/>
          <w:rFonts w:cs="Calibri"/>
          <w:szCs w:val="24"/>
        </w:rPr>
        <w:footnoteReference w:id="2"/>
      </w:r>
      <w:r w:rsidRPr="000A1B2A">
        <w:t>from baseline in the follow-up period (24 months) in either HoLEP or TURP patients. Kuntz et al</w:t>
      </w:r>
      <w:r>
        <w:t xml:space="preserve"> </w:t>
      </w:r>
      <w:r w:rsidRPr="000A1B2A">
        <w:t xml:space="preserve">(2008) do not report erectile dysfunction in the complications section of the </w:t>
      </w:r>
      <w:r>
        <w:t>study</w:t>
      </w:r>
      <w:r w:rsidRPr="000A1B2A">
        <w:t>. It was noted in the discussion section however that there w</w:t>
      </w:r>
      <w:r>
        <w:t>ere</w:t>
      </w:r>
      <w:r w:rsidRPr="000A1B2A">
        <w:t xml:space="preserve"> no significant differences in sexual function between the two groups at 3,6,12 or 18 months. </w:t>
      </w:r>
    </w:p>
    <w:p w:rsidR="00786914" w:rsidRPr="000A1B2A" w:rsidRDefault="00786914" w:rsidP="0006743B">
      <w:pPr>
        <w:rPr>
          <w:rFonts w:eastAsia="Calibri"/>
          <w:lang w:eastAsia="en-US"/>
        </w:rPr>
      </w:pPr>
      <w:r w:rsidRPr="006C2192">
        <w:rPr>
          <w:b/>
        </w:rPr>
        <w:t>Acute urinary retention:</w:t>
      </w:r>
      <w:r>
        <w:rPr>
          <w:u w:val="single"/>
        </w:rPr>
        <w:t xml:space="preserve"> </w:t>
      </w:r>
      <w:r w:rsidRPr="000A1B2A">
        <w:rPr>
          <w:rFonts w:eastAsia="Calibri"/>
          <w:lang w:eastAsia="en-US"/>
        </w:rPr>
        <w:t>Naspro et al 2006 reported that in the HoLEP group</w:t>
      </w:r>
      <w:r>
        <w:rPr>
          <w:rFonts w:eastAsia="Calibri"/>
          <w:lang w:eastAsia="en-US"/>
        </w:rPr>
        <w:t>, five</w:t>
      </w:r>
      <w:r w:rsidRPr="000A1B2A">
        <w:rPr>
          <w:rFonts w:eastAsia="Calibri"/>
          <w:lang w:eastAsia="en-US"/>
        </w:rPr>
        <w:t xml:space="preserve"> patients (12.1%) experience urinary retention in comparison to </w:t>
      </w:r>
      <w:r>
        <w:rPr>
          <w:rFonts w:eastAsia="Calibri"/>
          <w:lang w:eastAsia="en-US"/>
        </w:rPr>
        <w:t>two</w:t>
      </w:r>
      <w:r w:rsidRPr="000A1B2A">
        <w:rPr>
          <w:rFonts w:eastAsia="Calibri"/>
          <w:lang w:eastAsia="en-US"/>
        </w:rPr>
        <w:t xml:space="preserve"> patients (5.1%) in the OP group.</w:t>
      </w:r>
    </w:p>
    <w:p w:rsidR="00786914" w:rsidRPr="00505E23" w:rsidRDefault="00786914" w:rsidP="0006743B">
      <w:pPr>
        <w:rPr>
          <w:i/>
        </w:rPr>
      </w:pPr>
      <w:r w:rsidRPr="006C2192">
        <w:rPr>
          <w:b/>
        </w:rPr>
        <w:t>Dysuria:</w:t>
      </w:r>
      <w:r>
        <w:rPr>
          <w:b/>
        </w:rPr>
        <w:t xml:space="preserve"> </w:t>
      </w:r>
      <w:r w:rsidRPr="000A1B2A">
        <w:t xml:space="preserve">Naspro et al 2006 reported that at </w:t>
      </w:r>
      <w:r>
        <w:t>three</w:t>
      </w:r>
      <w:r w:rsidRPr="000A1B2A">
        <w:t xml:space="preserve"> months 28 patients (68.2%) in the HoLEP group experienced dysuria compared to 16 patients in the OP group (41%). At 12 months this rate had decreased to 10.8% and 8.5% in the</w:t>
      </w:r>
      <w:r>
        <w:t xml:space="preserve"> </w:t>
      </w:r>
      <w:r w:rsidRPr="000A1B2A">
        <w:t>HoLEP (4/41) and OP (3/39) group respectively.</w:t>
      </w:r>
    </w:p>
    <w:p w:rsidR="00786914" w:rsidRDefault="00786914" w:rsidP="0006743B">
      <w:pPr>
        <w:rPr>
          <w:i/>
        </w:rPr>
      </w:pPr>
      <w:r>
        <w:t>Infection and procedure-related mortality were not described in either of the studies.</w:t>
      </w:r>
    </w:p>
    <w:p w:rsidR="00786914" w:rsidRPr="00B21F04" w:rsidRDefault="00786914" w:rsidP="0006743B">
      <w:r w:rsidRPr="00B21F04">
        <w:t>Other adverse events re</w:t>
      </w:r>
      <w:r>
        <w:t>ported in the studies included three</w:t>
      </w:r>
      <w:r w:rsidRPr="00B21F04">
        <w:t xml:space="preserve"> cases of bladder </w:t>
      </w:r>
      <w:r>
        <w:t>mucosal</w:t>
      </w:r>
      <w:r w:rsidRPr="00B21F04">
        <w:t xml:space="preserve"> injury in patients undergoing HoLEP</w:t>
      </w:r>
      <w:r>
        <w:rPr>
          <w:noProof/>
        </w:rPr>
        <w:t>(Naspro et al 2006)</w:t>
      </w:r>
      <w: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34"/>
      </w:tblGrid>
      <w:tr w:rsidR="00786914" w:rsidRPr="004C6B15">
        <w:trPr>
          <w:trHeight w:val="679"/>
        </w:trPr>
        <w:tc>
          <w:tcPr>
            <w:tcW w:w="9134" w:type="dxa"/>
            <w:shd w:val="clear" w:color="auto" w:fill="auto"/>
          </w:tcPr>
          <w:p w:rsidR="00786914" w:rsidRPr="00697D74" w:rsidRDefault="00786914" w:rsidP="0006743B">
            <w:pPr>
              <w:pStyle w:val="Summaryboxheading"/>
              <w:rPr>
                <w:szCs w:val="24"/>
              </w:rPr>
            </w:pPr>
            <w:r w:rsidRPr="00697D74">
              <w:rPr>
                <w:szCs w:val="24"/>
              </w:rPr>
              <w:lastRenderedPageBreak/>
              <w:t xml:space="preserve">Summary of </w:t>
            </w:r>
            <w:r>
              <w:rPr>
                <w:szCs w:val="24"/>
              </w:rPr>
              <w:t>s</w:t>
            </w:r>
            <w:r w:rsidRPr="00697D74">
              <w:rPr>
                <w:szCs w:val="24"/>
              </w:rPr>
              <w:t>afety</w:t>
            </w:r>
            <w:r>
              <w:rPr>
                <w:szCs w:val="24"/>
              </w:rPr>
              <w:t xml:space="preserve"> of HoLEP versus OP</w:t>
            </w:r>
          </w:p>
          <w:p w:rsidR="00786914" w:rsidRPr="005F687E" w:rsidRDefault="00786914" w:rsidP="0006743B">
            <w:pPr>
              <w:pStyle w:val="Summaryboxtext"/>
            </w:pPr>
            <w:r w:rsidRPr="005F687E">
              <w:t>The evidence on safety is based on two RCTs of 200 people (101 HoLEP and 99 OP).</w:t>
            </w:r>
          </w:p>
          <w:p w:rsidR="00786914" w:rsidRPr="00852FE2" w:rsidRDefault="00786914" w:rsidP="0006743B">
            <w:pPr>
              <w:pStyle w:val="Summaryboxtext"/>
              <w:rPr>
                <w:b/>
              </w:rPr>
            </w:pPr>
            <w:r w:rsidRPr="005F687E">
              <w:t>In a meta-analysis of the two studies, patients allocated to HoLEP were less likely to have a blood transfusion that than those allocated to TURP. Other complications, such as incontinence and stricture, were comparable between the groups.</w:t>
            </w:r>
          </w:p>
        </w:tc>
      </w:tr>
    </w:tbl>
    <w:p w:rsidR="00786914" w:rsidRDefault="00786914" w:rsidP="0006743B">
      <w:pPr>
        <w:rPr>
          <w:rFonts w:cs="Calibri"/>
          <w:szCs w:val="24"/>
        </w:rPr>
      </w:pPr>
    </w:p>
    <w:p w:rsidR="00786914" w:rsidRPr="00ED2C57" w:rsidRDefault="00786914" w:rsidP="0006743B">
      <w:pPr>
        <w:pStyle w:val="Heading2"/>
      </w:pPr>
      <w:bookmarkStart w:id="234" w:name="_Toc323642289"/>
      <w:bookmarkStart w:id="235" w:name="_Toc327877887"/>
      <w:bookmarkStart w:id="236" w:name="_Toc365900577"/>
      <w:r w:rsidRPr="00ED2C57">
        <w:t>Is it effective? HoLEP compared with OP</w:t>
      </w:r>
      <w:bookmarkEnd w:id="234"/>
      <w:bookmarkEnd w:id="235"/>
      <w:bookmarkEnd w:id="236"/>
    </w:p>
    <w:p w:rsidR="00786914" w:rsidRDefault="00786914" w:rsidP="0006743B">
      <w:r>
        <w:t>Outcomes assessed in the comparison of HoLEP with OP included peak flow, symptom score, bother score, PVR, prostate volume and quality of life scores. Rates of treatment failure/re-treatment were also assessed. Pooling of data for three outcomes (Qmax, IPSS and treatment failure) was possible and these are listed below (</w:t>
      </w:r>
      <w:r w:rsidR="00766F46">
        <w:fldChar w:fldCharType="begin"/>
      </w:r>
      <w:r w:rsidR="00766F46">
        <w:instrText xml:space="preserve"> REF _Ref323310115 \h  \* MERGEFORMAT </w:instrText>
      </w:r>
      <w:r w:rsidR="00766F46">
        <w:fldChar w:fldCharType="separate"/>
      </w:r>
      <w:r w:rsidR="00F45C43">
        <w:t xml:space="preserve">Table </w:t>
      </w:r>
      <w:r w:rsidR="00F45C43">
        <w:rPr>
          <w:noProof/>
        </w:rPr>
        <w:t>18</w:t>
      </w:r>
      <w:r w:rsidR="00766F46">
        <w:fldChar w:fldCharType="end"/>
      </w:r>
      <w:r>
        <w:t>). Statistically significant differences associated with either intervention were not demonstrated at any time period in any of the outcomes.</w:t>
      </w:r>
    </w:p>
    <w:p w:rsidR="00786914" w:rsidRDefault="00786914" w:rsidP="0006743B">
      <w:pPr>
        <w:pStyle w:val="Caption"/>
        <w:rPr>
          <w:rFonts w:cs="Calibri"/>
          <w:sz w:val="24"/>
          <w:szCs w:val="24"/>
        </w:rPr>
      </w:pPr>
      <w:bookmarkStart w:id="237" w:name="_Ref323310115"/>
      <w:bookmarkStart w:id="238" w:name="_Toc327803265"/>
      <w:bookmarkStart w:id="239" w:name="_Toc327881555"/>
      <w:r>
        <w:t xml:space="preserve">Table </w:t>
      </w:r>
      <w:fldSimple w:instr=" SEQ Table \* ARABIC ">
        <w:r w:rsidR="00F45C43">
          <w:rPr>
            <w:noProof/>
          </w:rPr>
          <w:t>18</w:t>
        </w:r>
      </w:fldSimple>
      <w:bookmarkEnd w:id="237"/>
      <w:r>
        <w:t>:</w:t>
      </w:r>
      <w:r>
        <w:tab/>
        <w:t>Effectiveness outcomes: HoLEP compared with OP</w:t>
      </w:r>
      <w:bookmarkEnd w:id="238"/>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8: Effectiveness outcomes: HoLEP compared with OP"/>
      </w:tblPr>
      <w:tblGrid>
        <w:gridCol w:w="2114"/>
        <w:gridCol w:w="904"/>
        <w:gridCol w:w="919"/>
        <w:gridCol w:w="1135"/>
        <w:gridCol w:w="993"/>
        <w:gridCol w:w="991"/>
        <w:gridCol w:w="935"/>
        <w:gridCol w:w="571"/>
        <w:gridCol w:w="680"/>
      </w:tblGrid>
      <w:tr w:rsidR="00786914" w:rsidRPr="0001050B" w:rsidTr="0006743B">
        <w:trPr>
          <w:trHeight w:val="255"/>
        </w:trPr>
        <w:tc>
          <w:tcPr>
            <w:tcW w:w="1144" w:type="pct"/>
            <w:shd w:val="clear" w:color="auto" w:fill="auto"/>
            <w:noWrap/>
            <w:vAlign w:val="bottom"/>
          </w:tcPr>
          <w:p w:rsidR="00786914" w:rsidRPr="005F687E" w:rsidRDefault="00786914" w:rsidP="0006743B">
            <w:pPr>
              <w:pStyle w:val="Tableheading"/>
              <w:rPr>
                <w:szCs w:val="18"/>
              </w:rPr>
            </w:pPr>
            <w:r w:rsidRPr="005F687E">
              <w:rPr>
                <w:szCs w:val="18"/>
              </w:rPr>
              <w:t>Outcome</w:t>
            </w:r>
          </w:p>
        </w:tc>
        <w:tc>
          <w:tcPr>
            <w:tcW w:w="489" w:type="pct"/>
            <w:shd w:val="clear" w:color="auto" w:fill="auto"/>
            <w:noWrap/>
            <w:vAlign w:val="bottom"/>
          </w:tcPr>
          <w:p w:rsidR="00786914" w:rsidRPr="005F687E" w:rsidRDefault="00786914" w:rsidP="0006743B">
            <w:pPr>
              <w:pStyle w:val="Tableheading"/>
              <w:rPr>
                <w:szCs w:val="18"/>
              </w:rPr>
            </w:pPr>
            <w:r w:rsidRPr="005F687E">
              <w:rPr>
                <w:szCs w:val="18"/>
              </w:rPr>
              <w:t>Studies (n)</w:t>
            </w:r>
          </w:p>
        </w:tc>
        <w:tc>
          <w:tcPr>
            <w:tcW w:w="497" w:type="pct"/>
            <w:shd w:val="clear" w:color="auto" w:fill="auto"/>
            <w:noWrap/>
            <w:vAlign w:val="bottom"/>
          </w:tcPr>
          <w:p w:rsidR="00786914" w:rsidRPr="005F687E" w:rsidRDefault="00786914" w:rsidP="0006743B">
            <w:pPr>
              <w:pStyle w:val="Tableheading"/>
              <w:rPr>
                <w:szCs w:val="18"/>
              </w:rPr>
            </w:pPr>
            <w:r w:rsidRPr="005F687E">
              <w:rPr>
                <w:szCs w:val="18"/>
              </w:rPr>
              <w:t>Patients HoLEP</w:t>
            </w:r>
          </w:p>
          <w:p w:rsidR="00786914" w:rsidRPr="005F687E" w:rsidRDefault="00786914" w:rsidP="0006743B">
            <w:pPr>
              <w:pStyle w:val="Tableheading"/>
              <w:rPr>
                <w:szCs w:val="18"/>
              </w:rPr>
            </w:pPr>
            <w:r w:rsidRPr="005F687E">
              <w:rPr>
                <w:szCs w:val="18"/>
              </w:rPr>
              <w:t>/OP</w:t>
            </w:r>
          </w:p>
          <w:p w:rsidR="00786914" w:rsidRPr="005F687E" w:rsidRDefault="00786914" w:rsidP="0006743B">
            <w:pPr>
              <w:pStyle w:val="Tableheading"/>
              <w:rPr>
                <w:szCs w:val="18"/>
              </w:rPr>
            </w:pPr>
            <w:r w:rsidRPr="005F687E">
              <w:rPr>
                <w:szCs w:val="18"/>
              </w:rPr>
              <w:t xml:space="preserve"> (n)</w:t>
            </w:r>
          </w:p>
        </w:tc>
        <w:tc>
          <w:tcPr>
            <w:tcW w:w="614" w:type="pct"/>
            <w:shd w:val="clear" w:color="auto" w:fill="auto"/>
            <w:vAlign w:val="bottom"/>
          </w:tcPr>
          <w:p w:rsidR="00786914" w:rsidRPr="005F687E" w:rsidRDefault="00786914" w:rsidP="0006743B">
            <w:pPr>
              <w:pStyle w:val="Tableheading"/>
              <w:rPr>
                <w:szCs w:val="18"/>
              </w:rPr>
            </w:pPr>
            <w:r w:rsidRPr="005F687E">
              <w:rPr>
                <w:szCs w:val="18"/>
              </w:rPr>
              <w:t>HoLEP</w:t>
            </w:r>
          </w:p>
          <w:p w:rsidR="00786914" w:rsidRPr="005F687E" w:rsidRDefault="00786914" w:rsidP="0006743B">
            <w:pPr>
              <w:pStyle w:val="Tableheading"/>
              <w:rPr>
                <w:szCs w:val="18"/>
              </w:rPr>
            </w:pPr>
            <w:r w:rsidRPr="005F687E">
              <w:rPr>
                <w:szCs w:val="18"/>
              </w:rPr>
              <w:t>(mean)</w:t>
            </w:r>
          </w:p>
        </w:tc>
        <w:tc>
          <w:tcPr>
            <w:tcW w:w="537" w:type="pct"/>
            <w:shd w:val="clear" w:color="auto" w:fill="auto"/>
            <w:vAlign w:val="bottom"/>
          </w:tcPr>
          <w:p w:rsidR="00786914" w:rsidRPr="005F687E" w:rsidRDefault="00786914" w:rsidP="0006743B">
            <w:pPr>
              <w:pStyle w:val="Tableheading"/>
              <w:rPr>
                <w:szCs w:val="18"/>
              </w:rPr>
            </w:pPr>
            <w:r w:rsidRPr="005F687E">
              <w:rPr>
                <w:szCs w:val="18"/>
              </w:rPr>
              <w:t>OP (mean)</w:t>
            </w:r>
          </w:p>
        </w:tc>
        <w:tc>
          <w:tcPr>
            <w:tcW w:w="536" w:type="pct"/>
            <w:shd w:val="clear" w:color="auto" w:fill="auto"/>
            <w:noWrap/>
            <w:vAlign w:val="bottom"/>
          </w:tcPr>
          <w:p w:rsidR="00786914" w:rsidRPr="005F687E" w:rsidRDefault="00786914" w:rsidP="0006743B">
            <w:pPr>
              <w:pStyle w:val="Tableheading"/>
              <w:rPr>
                <w:szCs w:val="18"/>
              </w:rPr>
            </w:pPr>
            <w:r w:rsidRPr="005F687E">
              <w:rPr>
                <w:szCs w:val="18"/>
              </w:rPr>
              <w:t>Estimate of effect (MD)</w:t>
            </w:r>
          </w:p>
        </w:tc>
        <w:tc>
          <w:tcPr>
            <w:tcW w:w="506" w:type="pct"/>
            <w:shd w:val="clear" w:color="auto" w:fill="auto"/>
            <w:noWrap/>
            <w:vAlign w:val="bottom"/>
          </w:tcPr>
          <w:p w:rsidR="00786914" w:rsidRPr="005F687E" w:rsidRDefault="00786914" w:rsidP="0006743B">
            <w:pPr>
              <w:pStyle w:val="Tableheading"/>
              <w:rPr>
                <w:szCs w:val="18"/>
              </w:rPr>
            </w:pPr>
            <w:r w:rsidRPr="005F687E">
              <w:rPr>
                <w:szCs w:val="18"/>
              </w:rPr>
              <w:t>Range</w:t>
            </w:r>
          </w:p>
          <w:p w:rsidR="00786914" w:rsidRPr="005F687E" w:rsidRDefault="00786914" w:rsidP="0006743B">
            <w:pPr>
              <w:pStyle w:val="Tableheading"/>
              <w:rPr>
                <w:szCs w:val="18"/>
              </w:rPr>
            </w:pPr>
            <w:r w:rsidRPr="005F687E">
              <w:rPr>
                <w:szCs w:val="18"/>
              </w:rPr>
              <w:t>(95% CI)*</w:t>
            </w:r>
          </w:p>
        </w:tc>
        <w:tc>
          <w:tcPr>
            <w:tcW w:w="309" w:type="pct"/>
            <w:shd w:val="clear" w:color="auto" w:fill="auto"/>
            <w:noWrap/>
            <w:vAlign w:val="bottom"/>
          </w:tcPr>
          <w:p w:rsidR="00786914" w:rsidRPr="005F687E" w:rsidRDefault="00786914" w:rsidP="0006743B">
            <w:pPr>
              <w:pStyle w:val="Tableheading"/>
              <w:rPr>
                <w:szCs w:val="18"/>
              </w:rPr>
            </w:pPr>
            <w:r w:rsidRPr="005F687E">
              <w:rPr>
                <w:szCs w:val="18"/>
              </w:rPr>
              <w:t>I2 (%)</w:t>
            </w:r>
          </w:p>
        </w:tc>
        <w:tc>
          <w:tcPr>
            <w:tcW w:w="369" w:type="pct"/>
            <w:shd w:val="clear" w:color="auto" w:fill="auto"/>
            <w:noWrap/>
            <w:vAlign w:val="bottom"/>
          </w:tcPr>
          <w:p w:rsidR="00786914" w:rsidRPr="005F687E" w:rsidRDefault="00786914" w:rsidP="0006743B">
            <w:pPr>
              <w:pStyle w:val="Tableheading"/>
              <w:rPr>
                <w:szCs w:val="18"/>
              </w:rPr>
            </w:pPr>
            <w:r w:rsidRPr="005F687E">
              <w:rPr>
                <w:szCs w:val="18"/>
              </w:rPr>
              <w:t>p-value</w:t>
            </w:r>
          </w:p>
        </w:tc>
      </w:tr>
      <w:tr w:rsidR="00786914" w:rsidRPr="0001050B" w:rsidTr="0006743B">
        <w:trPr>
          <w:trHeight w:val="255"/>
        </w:trPr>
        <w:tc>
          <w:tcPr>
            <w:tcW w:w="1144" w:type="pct"/>
            <w:shd w:val="clear" w:color="auto" w:fill="auto"/>
            <w:noWrap/>
            <w:vAlign w:val="bottom"/>
          </w:tcPr>
          <w:p w:rsidR="00786914" w:rsidRPr="0001050B" w:rsidRDefault="00786914" w:rsidP="0006743B">
            <w:pPr>
              <w:pStyle w:val="TableText"/>
              <w:rPr>
                <w:lang w:val="en-IE"/>
              </w:rPr>
            </w:pPr>
            <w:r w:rsidRPr="0001050B">
              <w:rPr>
                <w:lang w:val="en-IE"/>
              </w:rPr>
              <w:t>Qmax @ 12 months(ml/s)</w:t>
            </w:r>
          </w:p>
        </w:tc>
        <w:tc>
          <w:tcPr>
            <w:tcW w:w="489" w:type="pct"/>
            <w:shd w:val="clear" w:color="auto" w:fill="auto"/>
            <w:noWrap/>
            <w:vAlign w:val="bottom"/>
          </w:tcPr>
          <w:p w:rsidR="00786914" w:rsidRPr="0001050B" w:rsidRDefault="00786914" w:rsidP="0006743B">
            <w:pPr>
              <w:pStyle w:val="TableText"/>
              <w:rPr>
                <w:lang w:val="en-IE"/>
              </w:rPr>
            </w:pPr>
            <w:r>
              <w:rPr>
                <w:lang w:val="en-IE"/>
              </w:rPr>
              <w:t>2</w:t>
            </w:r>
          </w:p>
        </w:tc>
        <w:tc>
          <w:tcPr>
            <w:tcW w:w="497" w:type="pct"/>
            <w:shd w:val="clear" w:color="auto" w:fill="auto"/>
            <w:noWrap/>
            <w:vAlign w:val="bottom"/>
          </w:tcPr>
          <w:p w:rsidR="00786914" w:rsidRPr="0001050B" w:rsidRDefault="00786914" w:rsidP="0006743B">
            <w:pPr>
              <w:pStyle w:val="TableText"/>
              <w:rPr>
                <w:lang w:val="en-IE"/>
              </w:rPr>
            </w:pPr>
            <w:r>
              <w:rPr>
                <w:lang w:val="en-IE"/>
              </w:rPr>
              <w:t>93/84</w:t>
            </w:r>
          </w:p>
        </w:tc>
        <w:tc>
          <w:tcPr>
            <w:tcW w:w="614" w:type="pct"/>
            <w:shd w:val="clear" w:color="auto" w:fill="auto"/>
            <w:vAlign w:val="bottom"/>
          </w:tcPr>
          <w:p w:rsidR="00786914" w:rsidRPr="0001050B" w:rsidRDefault="00786914" w:rsidP="0006743B">
            <w:pPr>
              <w:pStyle w:val="TableText"/>
              <w:rPr>
                <w:lang w:val="en-IE"/>
              </w:rPr>
            </w:pPr>
            <w:r>
              <w:rPr>
                <w:lang w:val="en-IE"/>
              </w:rPr>
              <w:t>24.9</w:t>
            </w:r>
          </w:p>
        </w:tc>
        <w:tc>
          <w:tcPr>
            <w:tcW w:w="537" w:type="pct"/>
            <w:shd w:val="clear" w:color="auto" w:fill="auto"/>
            <w:vAlign w:val="bottom"/>
          </w:tcPr>
          <w:p w:rsidR="00786914" w:rsidRPr="0001050B" w:rsidRDefault="00786914" w:rsidP="0006743B">
            <w:pPr>
              <w:pStyle w:val="TableText"/>
              <w:rPr>
                <w:lang w:val="en-IE"/>
              </w:rPr>
            </w:pPr>
            <w:r>
              <w:rPr>
                <w:lang w:val="en-IE"/>
              </w:rPr>
              <w:t>26.3</w:t>
            </w:r>
          </w:p>
        </w:tc>
        <w:tc>
          <w:tcPr>
            <w:tcW w:w="536" w:type="pct"/>
            <w:shd w:val="clear" w:color="auto" w:fill="auto"/>
            <w:noWrap/>
            <w:vAlign w:val="bottom"/>
          </w:tcPr>
          <w:p w:rsidR="00786914" w:rsidRPr="0001050B" w:rsidRDefault="00786914" w:rsidP="0006743B">
            <w:pPr>
              <w:pStyle w:val="TableText"/>
              <w:rPr>
                <w:lang w:val="en-IE"/>
              </w:rPr>
            </w:pPr>
            <w:r>
              <w:rPr>
                <w:lang w:val="en-IE"/>
              </w:rPr>
              <w:t>1.53</w:t>
            </w:r>
          </w:p>
        </w:tc>
        <w:tc>
          <w:tcPr>
            <w:tcW w:w="506" w:type="pct"/>
            <w:shd w:val="clear" w:color="auto" w:fill="auto"/>
            <w:noWrap/>
            <w:vAlign w:val="bottom"/>
          </w:tcPr>
          <w:p w:rsidR="00786914" w:rsidRPr="0001050B" w:rsidRDefault="00786914" w:rsidP="0006743B">
            <w:pPr>
              <w:pStyle w:val="TableText"/>
              <w:rPr>
                <w:lang w:val="en-IE"/>
              </w:rPr>
            </w:pPr>
            <w:r>
              <w:rPr>
                <w:lang w:val="en-IE"/>
              </w:rPr>
              <w:t>3.51–0.45</w:t>
            </w:r>
          </w:p>
        </w:tc>
        <w:tc>
          <w:tcPr>
            <w:tcW w:w="309" w:type="pct"/>
            <w:shd w:val="clear" w:color="auto" w:fill="auto"/>
            <w:noWrap/>
            <w:vAlign w:val="bottom"/>
          </w:tcPr>
          <w:p w:rsidR="00786914" w:rsidRPr="0001050B" w:rsidRDefault="00786914" w:rsidP="0006743B">
            <w:pPr>
              <w:pStyle w:val="TableText"/>
              <w:rPr>
                <w:lang w:val="en-IE"/>
              </w:rPr>
            </w:pPr>
            <w:r>
              <w:rPr>
                <w:lang w:val="en-IE"/>
              </w:rPr>
              <w:t>0</w:t>
            </w:r>
          </w:p>
        </w:tc>
        <w:tc>
          <w:tcPr>
            <w:tcW w:w="369" w:type="pct"/>
            <w:shd w:val="clear" w:color="auto" w:fill="auto"/>
            <w:noWrap/>
            <w:vAlign w:val="bottom"/>
          </w:tcPr>
          <w:p w:rsidR="00786914" w:rsidRPr="0001050B" w:rsidRDefault="00786914" w:rsidP="0006743B">
            <w:pPr>
              <w:pStyle w:val="TableText"/>
              <w:rPr>
                <w:lang w:val="en-IE"/>
              </w:rPr>
            </w:pPr>
            <w:r>
              <w:rPr>
                <w:lang w:val="en-IE"/>
              </w:rPr>
              <w:t>p=0.13</w:t>
            </w:r>
          </w:p>
        </w:tc>
      </w:tr>
      <w:tr w:rsidR="00786914" w:rsidRPr="0001050B" w:rsidTr="0006743B">
        <w:trPr>
          <w:trHeight w:val="255"/>
        </w:trPr>
        <w:tc>
          <w:tcPr>
            <w:tcW w:w="1144" w:type="pct"/>
            <w:shd w:val="clear" w:color="auto" w:fill="auto"/>
            <w:noWrap/>
            <w:vAlign w:val="bottom"/>
          </w:tcPr>
          <w:p w:rsidR="00786914" w:rsidRPr="0001050B" w:rsidRDefault="00786914" w:rsidP="0006743B">
            <w:pPr>
              <w:pStyle w:val="TableText"/>
              <w:rPr>
                <w:lang w:val="en-IE"/>
              </w:rPr>
            </w:pPr>
            <w:r w:rsidRPr="0001050B">
              <w:rPr>
                <w:lang w:val="en-IE"/>
              </w:rPr>
              <w:t>Qmax @ 24 months (ml/s)</w:t>
            </w:r>
          </w:p>
        </w:tc>
        <w:tc>
          <w:tcPr>
            <w:tcW w:w="489" w:type="pct"/>
            <w:shd w:val="clear" w:color="auto" w:fill="auto"/>
            <w:noWrap/>
            <w:vAlign w:val="bottom"/>
          </w:tcPr>
          <w:p w:rsidR="00786914" w:rsidRPr="0001050B" w:rsidRDefault="00786914" w:rsidP="0006743B">
            <w:pPr>
              <w:pStyle w:val="TableText"/>
              <w:rPr>
                <w:lang w:val="en-IE"/>
              </w:rPr>
            </w:pPr>
            <w:r>
              <w:rPr>
                <w:lang w:val="en-IE"/>
              </w:rPr>
              <w:t>2</w:t>
            </w:r>
          </w:p>
        </w:tc>
        <w:tc>
          <w:tcPr>
            <w:tcW w:w="497" w:type="pct"/>
            <w:shd w:val="clear" w:color="auto" w:fill="auto"/>
            <w:noWrap/>
            <w:vAlign w:val="bottom"/>
          </w:tcPr>
          <w:p w:rsidR="00786914" w:rsidRPr="0001050B" w:rsidRDefault="00786914" w:rsidP="0006743B">
            <w:pPr>
              <w:pStyle w:val="TableText"/>
              <w:rPr>
                <w:lang w:val="en-IE"/>
              </w:rPr>
            </w:pPr>
            <w:r>
              <w:rPr>
                <w:lang w:val="en-IE"/>
              </w:rPr>
              <w:t>88/79</w:t>
            </w:r>
          </w:p>
        </w:tc>
        <w:tc>
          <w:tcPr>
            <w:tcW w:w="614" w:type="pct"/>
            <w:shd w:val="clear" w:color="auto" w:fill="auto"/>
            <w:vAlign w:val="bottom"/>
          </w:tcPr>
          <w:p w:rsidR="00786914" w:rsidRPr="0001050B" w:rsidRDefault="00786914" w:rsidP="0006743B">
            <w:pPr>
              <w:pStyle w:val="TableText"/>
              <w:rPr>
                <w:lang w:val="en-IE"/>
              </w:rPr>
            </w:pPr>
            <w:r>
              <w:rPr>
                <w:lang w:val="en-IE"/>
              </w:rPr>
              <w:t>23</w:t>
            </w:r>
          </w:p>
        </w:tc>
        <w:tc>
          <w:tcPr>
            <w:tcW w:w="537" w:type="pct"/>
            <w:shd w:val="clear" w:color="auto" w:fill="auto"/>
            <w:vAlign w:val="bottom"/>
          </w:tcPr>
          <w:p w:rsidR="00786914" w:rsidRPr="0001050B" w:rsidRDefault="00786914" w:rsidP="0006743B">
            <w:pPr>
              <w:pStyle w:val="TableText"/>
              <w:rPr>
                <w:lang w:val="en-IE"/>
              </w:rPr>
            </w:pPr>
            <w:r>
              <w:rPr>
                <w:lang w:val="en-IE"/>
              </w:rPr>
              <w:t>23.8</w:t>
            </w:r>
          </w:p>
        </w:tc>
        <w:tc>
          <w:tcPr>
            <w:tcW w:w="536" w:type="pct"/>
            <w:shd w:val="clear" w:color="auto" w:fill="auto"/>
            <w:noWrap/>
            <w:vAlign w:val="bottom"/>
          </w:tcPr>
          <w:p w:rsidR="00786914" w:rsidRPr="0001050B" w:rsidRDefault="00786914" w:rsidP="0006743B">
            <w:pPr>
              <w:pStyle w:val="TableText"/>
              <w:rPr>
                <w:lang w:val="en-IE"/>
              </w:rPr>
            </w:pPr>
            <w:r>
              <w:rPr>
                <w:lang w:val="en-IE"/>
              </w:rPr>
              <w:t>0.78</w:t>
            </w:r>
          </w:p>
        </w:tc>
        <w:tc>
          <w:tcPr>
            <w:tcW w:w="506" w:type="pct"/>
            <w:shd w:val="clear" w:color="auto" w:fill="auto"/>
            <w:noWrap/>
            <w:vAlign w:val="bottom"/>
          </w:tcPr>
          <w:p w:rsidR="00786914" w:rsidRPr="0001050B" w:rsidRDefault="00786914" w:rsidP="0006743B">
            <w:pPr>
              <w:pStyle w:val="TableText"/>
              <w:rPr>
                <w:lang w:val="en-IE"/>
              </w:rPr>
            </w:pPr>
            <w:r>
              <w:rPr>
                <w:lang w:val="en-IE"/>
              </w:rPr>
              <w:t>3.10–1.54</w:t>
            </w:r>
          </w:p>
        </w:tc>
        <w:tc>
          <w:tcPr>
            <w:tcW w:w="309" w:type="pct"/>
            <w:shd w:val="clear" w:color="auto" w:fill="auto"/>
            <w:noWrap/>
            <w:vAlign w:val="bottom"/>
          </w:tcPr>
          <w:p w:rsidR="00786914" w:rsidRPr="0001050B" w:rsidRDefault="00786914" w:rsidP="0006743B">
            <w:pPr>
              <w:pStyle w:val="TableText"/>
              <w:rPr>
                <w:lang w:val="en-IE"/>
              </w:rPr>
            </w:pPr>
            <w:r>
              <w:rPr>
                <w:lang w:val="en-IE"/>
              </w:rPr>
              <w:t>0</w:t>
            </w:r>
          </w:p>
        </w:tc>
        <w:tc>
          <w:tcPr>
            <w:tcW w:w="369" w:type="pct"/>
            <w:shd w:val="clear" w:color="auto" w:fill="auto"/>
            <w:noWrap/>
            <w:vAlign w:val="bottom"/>
          </w:tcPr>
          <w:p w:rsidR="00786914" w:rsidRPr="0001050B" w:rsidRDefault="00786914" w:rsidP="0006743B">
            <w:pPr>
              <w:pStyle w:val="TableText"/>
              <w:rPr>
                <w:lang w:val="en-IE"/>
              </w:rPr>
            </w:pPr>
            <w:r>
              <w:rPr>
                <w:lang w:val="en-IE"/>
              </w:rPr>
              <w:t>p=0.51</w:t>
            </w:r>
          </w:p>
        </w:tc>
      </w:tr>
      <w:tr w:rsidR="00786914" w:rsidRPr="0001050B" w:rsidTr="0006743B">
        <w:trPr>
          <w:trHeight w:val="255"/>
        </w:trPr>
        <w:tc>
          <w:tcPr>
            <w:tcW w:w="1144" w:type="pct"/>
            <w:shd w:val="clear" w:color="auto" w:fill="auto"/>
            <w:noWrap/>
            <w:vAlign w:val="bottom"/>
          </w:tcPr>
          <w:p w:rsidR="00786914" w:rsidRPr="0001050B" w:rsidRDefault="00786914" w:rsidP="0006743B">
            <w:pPr>
              <w:pStyle w:val="TableText"/>
              <w:rPr>
                <w:lang w:val="en-IE"/>
              </w:rPr>
            </w:pPr>
            <w:r w:rsidRPr="0001050B">
              <w:rPr>
                <w:lang w:val="en-IE"/>
              </w:rPr>
              <w:t>IPSS/AUA @ 12 months (score)</w:t>
            </w:r>
          </w:p>
        </w:tc>
        <w:tc>
          <w:tcPr>
            <w:tcW w:w="489" w:type="pct"/>
            <w:shd w:val="clear" w:color="auto" w:fill="auto"/>
            <w:noWrap/>
            <w:vAlign w:val="bottom"/>
          </w:tcPr>
          <w:p w:rsidR="00786914" w:rsidRPr="0001050B" w:rsidRDefault="00786914" w:rsidP="0006743B">
            <w:pPr>
              <w:pStyle w:val="TableText"/>
              <w:rPr>
                <w:lang w:val="en-IE"/>
              </w:rPr>
            </w:pPr>
            <w:r>
              <w:rPr>
                <w:lang w:val="en-IE"/>
              </w:rPr>
              <w:t>2</w:t>
            </w:r>
          </w:p>
        </w:tc>
        <w:tc>
          <w:tcPr>
            <w:tcW w:w="497" w:type="pct"/>
            <w:shd w:val="clear" w:color="auto" w:fill="auto"/>
            <w:noWrap/>
            <w:vAlign w:val="bottom"/>
          </w:tcPr>
          <w:p w:rsidR="00786914" w:rsidRPr="0001050B" w:rsidRDefault="00786914" w:rsidP="0006743B">
            <w:pPr>
              <w:pStyle w:val="TableText"/>
              <w:rPr>
                <w:lang w:val="en-IE"/>
              </w:rPr>
            </w:pPr>
            <w:r>
              <w:rPr>
                <w:lang w:val="en-IE"/>
              </w:rPr>
              <w:t>93/84</w:t>
            </w:r>
          </w:p>
        </w:tc>
        <w:tc>
          <w:tcPr>
            <w:tcW w:w="614" w:type="pct"/>
            <w:shd w:val="clear" w:color="auto" w:fill="auto"/>
            <w:vAlign w:val="bottom"/>
          </w:tcPr>
          <w:p w:rsidR="00786914" w:rsidRPr="0001050B" w:rsidRDefault="00786914" w:rsidP="0006743B">
            <w:pPr>
              <w:pStyle w:val="TableText"/>
              <w:rPr>
                <w:lang w:val="en-IE"/>
              </w:rPr>
            </w:pPr>
            <w:r>
              <w:rPr>
                <w:lang w:val="en-IE"/>
              </w:rPr>
              <w:t>5.4</w:t>
            </w:r>
          </w:p>
        </w:tc>
        <w:tc>
          <w:tcPr>
            <w:tcW w:w="537" w:type="pct"/>
            <w:shd w:val="clear" w:color="auto" w:fill="auto"/>
            <w:vAlign w:val="bottom"/>
          </w:tcPr>
          <w:p w:rsidR="00786914" w:rsidRPr="0001050B" w:rsidRDefault="00786914" w:rsidP="0006743B">
            <w:pPr>
              <w:pStyle w:val="TableText"/>
              <w:rPr>
                <w:lang w:val="en-IE"/>
              </w:rPr>
            </w:pPr>
            <w:r>
              <w:rPr>
                <w:lang w:val="en-IE"/>
              </w:rPr>
              <w:t>5.4</w:t>
            </w:r>
          </w:p>
        </w:tc>
        <w:tc>
          <w:tcPr>
            <w:tcW w:w="536" w:type="pct"/>
            <w:shd w:val="clear" w:color="auto" w:fill="auto"/>
            <w:noWrap/>
            <w:vAlign w:val="bottom"/>
          </w:tcPr>
          <w:p w:rsidR="00786914" w:rsidRPr="0001050B" w:rsidRDefault="00786914" w:rsidP="0006743B">
            <w:pPr>
              <w:pStyle w:val="TableText"/>
              <w:rPr>
                <w:lang w:val="en-IE"/>
              </w:rPr>
            </w:pPr>
            <w:r>
              <w:rPr>
                <w:lang w:val="en-IE"/>
              </w:rPr>
              <w:t>0.01</w:t>
            </w:r>
          </w:p>
        </w:tc>
        <w:tc>
          <w:tcPr>
            <w:tcW w:w="506" w:type="pct"/>
            <w:shd w:val="clear" w:color="auto" w:fill="auto"/>
            <w:noWrap/>
            <w:vAlign w:val="bottom"/>
          </w:tcPr>
          <w:p w:rsidR="00786914" w:rsidRPr="0001050B" w:rsidRDefault="00786914" w:rsidP="0006743B">
            <w:pPr>
              <w:pStyle w:val="TableText"/>
              <w:rPr>
                <w:lang w:val="en-IE"/>
              </w:rPr>
            </w:pPr>
            <w:r>
              <w:rPr>
                <w:lang w:val="en-IE"/>
              </w:rPr>
              <w:t>0.79–0.81</w:t>
            </w:r>
          </w:p>
        </w:tc>
        <w:tc>
          <w:tcPr>
            <w:tcW w:w="309" w:type="pct"/>
            <w:shd w:val="clear" w:color="auto" w:fill="auto"/>
            <w:noWrap/>
            <w:vAlign w:val="bottom"/>
          </w:tcPr>
          <w:p w:rsidR="00786914" w:rsidRPr="0001050B" w:rsidRDefault="00786914" w:rsidP="0006743B">
            <w:pPr>
              <w:pStyle w:val="TableText"/>
              <w:rPr>
                <w:lang w:val="en-IE"/>
              </w:rPr>
            </w:pPr>
            <w:r>
              <w:rPr>
                <w:lang w:val="en-IE"/>
              </w:rPr>
              <w:t>0</w:t>
            </w:r>
          </w:p>
        </w:tc>
        <w:tc>
          <w:tcPr>
            <w:tcW w:w="369" w:type="pct"/>
            <w:shd w:val="clear" w:color="auto" w:fill="auto"/>
            <w:noWrap/>
            <w:vAlign w:val="bottom"/>
          </w:tcPr>
          <w:p w:rsidR="00786914" w:rsidRPr="0001050B" w:rsidRDefault="00786914" w:rsidP="0006743B">
            <w:pPr>
              <w:pStyle w:val="TableText"/>
              <w:rPr>
                <w:lang w:val="en-IE"/>
              </w:rPr>
            </w:pPr>
            <w:r>
              <w:rPr>
                <w:lang w:val="en-IE"/>
              </w:rPr>
              <w:t>p=0.99</w:t>
            </w:r>
          </w:p>
        </w:tc>
      </w:tr>
      <w:tr w:rsidR="00786914" w:rsidRPr="0001050B" w:rsidTr="0006743B">
        <w:trPr>
          <w:trHeight w:val="255"/>
        </w:trPr>
        <w:tc>
          <w:tcPr>
            <w:tcW w:w="1144" w:type="pct"/>
            <w:shd w:val="clear" w:color="auto" w:fill="auto"/>
            <w:noWrap/>
            <w:vAlign w:val="bottom"/>
          </w:tcPr>
          <w:p w:rsidR="00786914" w:rsidRPr="0001050B" w:rsidRDefault="00786914" w:rsidP="0006743B">
            <w:pPr>
              <w:pStyle w:val="TableText"/>
              <w:rPr>
                <w:lang w:val="en-IE"/>
              </w:rPr>
            </w:pPr>
            <w:r w:rsidRPr="0001050B">
              <w:rPr>
                <w:lang w:val="en-IE"/>
              </w:rPr>
              <w:t>IPSS/AUA @ 24 months (score)</w:t>
            </w:r>
          </w:p>
        </w:tc>
        <w:tc>
          <w:tcPr>
            <w:tcW w:w="489" w:type="pct"/>
            <w:shd w:val="clear" w:color="auto" w:fill="auto"/>
            <w:noWrap/>
            <w:vAlign w:val="bottom"/>
          </w:tcPr>
          <w:p w:rsidR="00786914" w:rsidRPr="0001050B" w:rsidRDefault="00786914" w:rsidP="0006743B">
            <w:pPr>
              <w:pStyle w:val="TableText"/>
              <w:rPr>
                <w:lang w:val="en-IE"/>
              </w:rPr>
            </w:pPr>
            <w:r w:rsidRPr="0001050B">
              <w:rPr>
                <w:lang w:val="en-IE"/>
              </w:rPr>
              <w:t>2</w:t>
            </w:r>
          </w:p>
        </w:tc>
        <w:tc>
          <w:tcPr>
            <w:tcW w:w="497" w:type="pct"/>
            <w:shd w:val="clear" w:color="auto" w:fill="auto"/>
            <w:noWrap/>
            <w:vAlign w:val="bottom"/>
          </w:tcPr>
          <w:p w:rsidR="00786914" w:rsidRPr="0001050B" w:rsidRDefault="00786914" w:rsidP="0006743B">
            <w:pPr>
              <w:pStyle w:val="TableText"/>
              <w:rPr>
                <w:lang w:val="en-IE"/>
              </w:rPr>
            </w:pPr>
            <w:r>
              <w:rPr>
                <w:lang w:val="en-IE"/>
              </w:rPr>
              <w:t>88/79</w:t>
            </w:r>
          </w:p>
        </w:tc>
        <w:tc>
          <w:tcPr>
            <w:tcW w:w="614" w:type="pct"/>
            <w:shd w:val="clear" w:color="auto" w:fill="auto"/>
            <w:vAlign w:val="bottom"/>
          </w:tcPr>
          <w:p w:rsidR="00786914" w:rsidRPr="0001050B" w:rsidRDefault="00786914" w:rsidP="0006743B">
            <w:pPr>
              <w:pStyle w:val="TableText"/>
              <w:rPr>
                <w:lang w:val="en-IE"/>
              </w:rPr>
            </w:pPr>
            <w:r>
              <w:rPr>
                <w:lang w:val="en-IE"/>
              </w:rPr>
              <w:t>5.1</w:t>
            </w:r>
          </w:p>
        </w:tc>
        <w:tc>
          <w:tcPr>
            <w:tcW w:w="537" w:type="pct"/>
            <w:shd w:val="clear" w:color="auto" w:fill="auto"/>
            <w:vAlign w:val="bottom"/>
          </w:tcPr>
          <w:p w:rsidR="00786914" w:rsidRPr="0001050B" w:rsidRDefault="00786914" w:rsidP="0006743B">
            <w:pPr>
              <w:pStyle w:val="TableText"/>
              <w:rPr>
                <w:lang w:val="en-IE"/>
              </w:rPr>
            </w:pPr>
            <w:r>
              <w:rPr>
                <w:lang w:val="en-IE"/>
              </w:rPr>
              <w:t>5.3</w:t>
            </w:r>
          </w:p>
        </w:tc>
        <w:tc>
          <w:tcPr>
            <w:tcW w:w="536" w:type="pct"/>
            <w:shd w:val="clear" w:color="auto" w:fill="auto"/>
            <w:noWrap/>
            <w:vAlign w:val="bottom"/>
          </w:tcPr>
          <w:p w:rsidR="00786914" w:rsidRPr="0001050B" w:rsidRDefault="00786914" w:rsidP="0006743B">
            <w:pPr>
              <w:pStyle w:val="TableText"/>
              <w:rPr>
                <w:lang w:val="en-IE"/>
              </w:rPr>
            </w:pPr>
            <w:r>
              <w:rPr>
                <w:lang w:val="en-IE"/>
              </w:rPr>
              <w:t>0.11</w:t>
            </w:r>
          </w:p>
        </w:tc>
        <w:tc>
          <w:tcPr>
            <w:tcW w:w="506" w:type="pct"/>
            <w:shd w:val="clear" w:color="auto" w:fill="auto"/>
            <w:noWrap/>
            <w:vAlign w:val="bottom"/>
          </w:tcPr>
          <w:p w:rsidR="00786914" w:rsidRPr="0001050B" w:rsidRDefault="00786914" w:rsidP="0006743B">
            <w:pPr>
              <w:pStyle w:val="TableText"/>
              <w:rPr>
                <w:lang w:val="en-IE"/>
              </w:rPr>
            </w:pPr>
            <w:r>
              <w:rPr>
                <w:lang w:val="en-IE"/>
              </w:rPr>
              <w:t>0.98–0.76</w:t>
            </w:r>
          </w:p>
        </w:tc>
        <w:tc>
          <w:tcPr>
            <w:tcW w:w="309" w:type="pct"/>
            <w:shd w:val="clear" w:color="auto" w:fill="auto"/>
            <w:noWrap/>
            <w:vAlign w:val="bottom"/>
          </w:tcPr>
          <w:p w:rsidR="00786914" w:rsidRPr="0001050B" w:rsidRDefault="00786914" w:rsidP="0006743B">
            <w:pPr>
              <w:pStyle w:val="TableText"/>
              <w:rPr>
                <w:lang w:val="en-IE"/>
              </w:rPr>
            </w:pPr>
            <w:r>
              <w:rPr>
                <w:lang w:val="en-IE"/>
              </w:rPr>
              <w:t>0</w:t>
            </w:r>
          </w:p>
        </w:tc>
        <w:tc>
          <w:tcPr>
            <w:tcW w:w="369" w:type="pct"/>
            <w:shd w:val="clear" w:color="auto" w:fill="auto"/>
            <w:noWrap/>
            <w:vAlign w:val="bottom"/>
          </w:tcPr>
          <w:p w:rsidR="00786914" w:rsidRPr="0001050B" w:rsidRDefault="00786914" w:rsidP="0006743B">
            <w:pPr>
              <w:pStyle w:val="TableText"/>
              <w:rPr>
                <w:lang w:val="en-IE"/>
              </w:rPr>
            </w:pPr>
            <w:r>
              <w:rPr>
                <w:lang w:val="en-IE"/>
              </w:rPr>
              <w:t>p=0.80</w:t>
            </w:r>
          </w:p>
        </w:tc>
      </w:tr>
      <w:tr w:rsidR="00786914" w:rsidRPr="0001050B" w:rsidTr="0006743B">
        <w:trPr>
          <w:trHeight w:val="255"/>
        </w:trPr>
        <w:tc>
          <w:tcPr>
            <w:tcW w:w="1144" w:type="pct"/>
            <w:shd w:val="clear" w:color="auto" w:fill="auto"/>
            <w:noWrap/>
            <w:vAlign w:val="bottom"/>
          </w:tcPr>
          <w:p w:rsidR="00786914" w:rsidRPr="0001050B" w:rsidRDefault="00786914" w:rsidP="0006743B">
            <w:pPr>
              <w:pStyle w:val="TableText"/>
              <w:rPr>
                <w:lang w:val="en-IE"/>
              </w:rPr>
            </w:pPr>
            <w:r w:rsidRPr="0001050B">
              <w:rPr>
                <w:lang w:val="en-IE"/>
              </w:rPr>
              <w:t>Treatment failure/re-</w:t>
            </w:r>
            <w:r>
              <w:rPr>
                <w:lang w:val="en-IE"/>
              </w:rPr>
              <w:t>operation</w:t>
            </w:r>
          </w:p>
        </w:tc>
        <w:tc>
          <w:tcPr>
            <w:tcW w:w="489" w:type="pct"/>
            <w:shd w:val="clear" w:color="auto" w:fill="auto"/>
            <w:noWrap/>
            <w:vAlign w:val="bottom"/>
          </w:tcPr>
          <w:p w:rsidR="00786914" w:rsidRPr="0001050B" w:rsidRDefault="00786914" w:rsidP="0006743B">
            <w:pPr>
              <w:pStyle w:val="TableText"/>
              <w:rPr>
                <w:lang w:val="en-IE"/>
              </w:rPr>
            </w:pPr>
            <w:r>
              <w:rPr>
                <w:lang w:val="en-IE"/>
              </w:rPr>
              <w:t>2</w:t>
            </w:r>
          </w:p>
        </w:tc>
        <w:tc>
          <w:tcPr>
            <w:tcW w:w="497" w:type="pct"/>
            <w:shd w:val="clear" w:color="auto" w:fill="auto"/>
            <w:noWrap/>
            <w:vAlign w:val="bottom"/>
          </w:tcPr>
          <w:p w:rsidR="00786914" w:rsidRPr="0001050B" w:rsidRDefault="00786914" w:rsidP="0006743B">
            <w:pPr>
              <w:pStyle w:val="TableText"/>
              <w:rPr>
                <w:lang w:val="en-IE"/>
              </w:rPr>
            </w:pPr>
            <w:r>
              <w:rPr>
                <w:lang w:val="en-IE"/>
              </w:rPr>
              <w:t>97/95</w:t>
            </w:r>
          </w:p>
        </w:tc>
        <w:tc>
          <w:tcPr>
            <w:tcW w:w="614" w:type="pct"/>
            <w:shd w:val="clear" w:color="auto" w:fill="auto"/>
            <w:vAlign w:val="bottom"/>
          </w:tcPr>
          <w:p w:rsidR="00786914" w:rsidRPr="0001050B" w:rsidRDefault="00786914" w:rsidP="0006743B">
            <w:pPr>
              <w:pStyle w:val="TableText"/>
              <w:rPr>
                <w:lang w:val="en-IE"/>
              </w:rPr>
            </w:pPr>
            <w:r>
              <w:rPr>
                <w:lang w:val="en-IE"/>
              </w:rPr>
              <w:t>5*</w:t>
            </w:r>
          </w:p>
        </w:tc>
        <w:tc>
          <w:tcPr>
            <w:tcW w:w="537" w:type="pct"/>
            <w:shd w:val="clear" w:color="auto" w:fill="auto"/>
            <w:vAlign w:val="bottom"/>
          </w:tcPr>
          <w:p w:rsidR="00786914" w:rsidRPr="0001050B" w:rsidRDefault="00786914" w:rsidP="0006743B">
            <w:pPr>
              <w:pStyle w:val="TableText"/>
              <w:rPr>
                <w:lang w:val="en-IE"/>
              </w:rPr>
            </w:pPr>
            <w:r>
              <w:rPr>
                <w:lang w:val="en-IE"/>
              </w:rPr>
              <w:t>6*</w:t>
            </w:r>
          </w:p>
        </w:tc>
        <w:tc>
          <w:tcPr>
            <w:tcW w:w="536" w:type="pct"/>
            <w:shd w:val="clear" w:color="auto" w:fill="auto"/>
            <w:noWrap/>
            <w:vAlign w:val="bottom"/>
          </w:tcPr>
          <w:p w:rsidR="00786914" w:rsidRPr="0001050B" w:rsidRDefault="00786914" w:rsidP="0006743B">
            <w:pPr>
              <w:pStyle w:val="TableText"/>
              <w:rPr>
                <w:lang w:val="en-IE"/>
              </w:rPr>
            </w:pPr>
            <w:r>
              <w:rPr>
                <w:lang w:val="en-IE"/>
              </w:rPr>
              <w:t>0.82</w:t>
            </w:r>
          </w:p>
        </w:tc>
        <w:tc>
          <w:tcPr>
            <w:tcW w:w="506" w:type="pct"/>
            <w:shd w:val="clear" w:color="auto" w:fill="auto"/>
            <w:noWrap/>
            <w:vAlign w:val="bottom"/>
          </w:tcPr>
          <w:p w:rsidR="00786914" w:rsidRPr="0001050B" w:rsidRDefault="00786914" w:rsidP="0006743B">
            <w:pPr>
              <w:pStyle w:val="TableText"/>
              <w:rPr>
                <w:lang w:val="en-IE"/>
              </w:rPr>
            </w:pPr>
            <w:r>
              <w:rPr>
                <w:lang w:val="en-IE"/>
              </w:rPr>
              <w:t>0.26–2.59</w:t>
            </w:r>
          </w:p>
        </w:tc>
        <w:tc>
          <w:tcPr>
            <w:tcW w:w="309" w:type="pct"/>
            <w:shd w:val="clear" w:color="auto" w:fill="auto"/>
            <w:noWrap/>
            <w:vAlign w:val="bottom"/>
          </w:tcPr>
          <w:p w:rsidR="00786914" w:rsidRPr="0001050B" w:rsidRDefault="00786914" w:rsidP="0006743B">
            <w:pPr>
              <w:pStyle w:val="TableText"/>
              <w:rPr>
                <w:lang w:val="en-IE"/>
              </w:rPr>
            </w:pPr>
            <w:r>
              <w:rPr>
                <w:lang w:val="en-IE"/>
              </w:rPr>
              <w:t>0</w:t>
            </w:r>
          </w:p>
        </w:tc>
        <w:tc>
          <w:tcPr>
            <w:tcW w:w="369" w:type="pct"/>
            <w:shd w:val="clear" w:color="auto" w:fill="auto"/>
            <w:noWrap/>
            <w:vAlign w:val="bottom"/>
          </w:tcPr>
          <w:p w:rsidR="00786914" w:rsidRPr="0001050B" w:rsidRDefault="00786914" w:rsidP="0006743B">
            <w:pPr>
              <w:pStyle w:val="TableText"/>
              <w:rPr>
                <w:lang w:val="en-IE"/>
              </w:rPr>
            </w:pPr>
            <w:r w:rsidRPr="00CB0316">
              <w:rPr>
                <w:lang w:val="en-IE"/>
              </w:rPr>
              <w:t>P=0.73</w:t>
            </w:r>
          </w:p>
        </w:tc>
      </w:tr>
    </w:tbl>
    <w:p w:rsidR="00786914" w:rsidRPr="00111C3B" w:rsidRDefault="00786914" w:rsidP="0006743B">
      <w:pPr>
        <w:pStyle w:val="TableNotes"/>
      </w:pPr>
      <w:r>
        <w:t>* Total number of events rather than mean</w:t>
      </w:r>
      <w:r w:rsidRPr="00111C3B">
        <w:t xml:space="preserve">; </w:t>
      </w:r>
      <w:r>
        <w:t>MD=mean difference</w:t>
      </w:r>
    </w:p>
    <w:p w:rsidR="00786914" w:rsidRDefault="00786914" w:rsidP="0006743B">
      <w:pPr>
        <w:rPr>
          <w:b/>
          <w:szCs w:val="24"/>
        </w:rPr>
      </w:pPr>
      <w:r>
        <w:rPr>
          <w:rFonts w:cs="Calibri"/>
          <w:szCs w:val="24"/>
        </w:rPr>
        <w:t>Forest plots are set out below.</w:t>
      </w:r>
    </w:p>
    <w:p w:rsidR="00786914" w:rsidRPr="005F687E" w:rsidRDefault="00786914" w:rsidP="0006743B">
      <w:pPr>
        <w:rPr>
          <w:b/>
        </w:rPr>
      </w:pPr>
      <w:r w:rsidRPr="005F687E">
        <w:rPr>
          <w:b/>
        </w:rPr>
        <w:t>Peak flow (Qmax)</w:t>
      </w:r>
    </w:p>
    <w:p w:rsidR="00786914" w:rsidRDefault="00786914" w:rsidP="0006743B">
      <w:r>
        <w:t xml:space="preserve">Pooling of data at 12 and 24 months is shown in figures 23 and 24. </w:t>
      </w:r>
      <w:r w:rsidRPr="000A1B2A">
        <w:t>Longer</w:t>
      </w:r>
      <w:r>
        <w:t xml:space="preserve"> </w:t>
      </w:r>
      <w:r w:rsidRPr="000A1B2A">
        <w:t xml:space="preserve">term follow-up is reported by Kuntz et al (2008). At 36 months, 48 months and 60 months mean peak flow is comparable between the group. At final follow-up at </w:t>
      </w:r>
      <w:r>
        <w:t>five</w:t>
      </w:r>
      <w:r w:rsidRPr="000A1B2A">
        <w:t xml:space="preserve"> years mean peak flow is 24.3 ± 10.10 in the HoLEP group and 24.4 ± 7.4 in the OP group p=0.97.</w:t>
      </w:r>
    </w:p>
    <w:p w:rsidR="00786914" w:rsidRDefault="00786914" w:rsidP="0006743B">
      <w:pPr>
        <w:pStyle w:val="Caption"/>
        <w:rPr>
          <w:rFonts w:cs="Calibri"/>
          <w:sz w:val="24"/>
          <w:szCs w:val="24"/>
        </w:rPr>
      </w:pPr>
      <w:bookmarkStart w:id="240" w:name="_Toc327882507"/>
      <w:r>
        <w:t xml:space="preserve">Figure </w:t>
      </w:r>
      <w:fldSimple w:instr=" SEQ Figure \* ARABIC ">
        <w:r w:rsidR="00F45C43">
          <w:rPr>
            <w:noProof/>
          </w:rPr>
          <w:t>23</w:t>
        </w:r>
      </w:fldSimple>
      <w:r>
        <w:t>:</w:t>
      </w:r>
      <w:r>
        <w:tab/>
        <w:t>Qmax at 12 months: HoLEP compared with OP</w:t>
      </w:r>
      <w:bookmarkEnd w:id="240"/>
    </w:p>
    <w:p w:rsidR="00786914" w:rsidRDefault="00786914" w:rsidP="0006743B">
      <w:pPr>
        <w:ind w:left="0"/>
        <w:rPr>
          <w:rFonts w:cs="Calibri"/>
          <w:szCs w:val="24"/>
        </w:rPr>
      </w:pPr>
      <w:r>
        <w:rPr>
          <w:rFonts w:cs="Calibri"/>
          <w:noProof/>
          <w:szCs w:val="24"/>
        </w:rPr>
        <w:drawing>
          <wp:inline distT="0" distB="0" distL="0" distR="0" wp14:anchorId="0A44F209" wp14:editId="1205ED75">
            <wp:extent cx="5732780" cy="1129030"/>
            <wp:effectExtent l="0" t="0" r="1270" b="0"/>
            <wp:docPr id="23" name="Picture 31" title="Figure 23: Qmax at 12 month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5732780" cy="1129030"/>
                    </a:xfrm>
                    <a:prstGeom prst="rect">
                      <a:avLst/>
                    </a:prstGeom>
                    <a:noFill/>
                    <a:ln w="9525">
                      <a:noFill/>
                      <a:miter lim="800000"/>
                      <a:headEnd/>
                      <a:tailEnd/>
                    </a:ln>
                  </pic:spPr>
                </pic:pic>
              </a:graphicData>
            </a:graphic>
          </wp:inline>
        </w:drawing>
      </w:r>
    </w:p>
    <w:p w:rsidR="00786914" w:rsidRDefault="00786914" w:rsidP="0006743B">
      <w:pPr>
        <w:pStyle w:val="Caption"/>
        <w:rPr>
          <w:rFonts w:cs="Calibri"/>
          <w:sz w:val="24"/>
          <w:szCs w:val="24"/>
        </w:rPr>
      </w:pPr>
      <w:bookmarkStart w:id="241" w:name="_Toc327882508"/>
      <w:r>
        <w:lastRenderedPageBreak/>
        <w:t xml:space="preserve">Figure </w:t>
      </w:r>
      <w:fldSimple w:instr=" SEQ Figure \* ARABIC ">
        <w:r w:rsidR="00F45C43">
          <w:rPr>
            <w:noProof/>
          </w:rPr>
          <w:t>24</w:t>
        </w:r>
      </w:fldSimple>
      <w:r>
        <w:t>:</w:t>
      </w:r>
      <w:r>
        <w:tab/>
        <w:t>Q max at 24 months: HoLEP compared with OP</w:t>
      </w:r>
      <w:bookmarkEnd w:id="241"/>
    </w:p>
    <w:p w:rsidR="00786914" w:rsidRDefault="00786914" w:rsidP="0006743B">
      <w:pPr>
        <w:ind w:left="0"/>
        <w:rPr>
          <w:rFonts w:cs="Calibri"/>
          <w:szCs w:val="24"/>
        </w:rPr>
      </w:pPr>
      <w:r>
        <w:rPr>
          <w:rFonts w:cs="Calibri"/>
          <w:noProof/>
          <w:szCs w:val="24"/>
        </w:rPr>
        <w:drawing>
          <wp:inline distT="0" distB="0" distL="0" distR="0" wp14:anchorId="08735F19" wp14:editId="4D140165">
            <wp:extent cx="5732780" cy="1137285"/>
            <wp:effectExtent l="0" t="0" r="1270" b="5715"/>
            <wp:docPr id="24" name="Picture 32" title="Figure 24: Q max at 24 month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5732780" cy="1137285"/>
                    </a:xfrm>
                    <a:prstGeom prst="rect">
                      <a:avLst/>
                    </a:prstGeom>
                    <a:noFill/>
                    <a:ln w="9525">
                      <a:noFill/>
                      <a:miter lim="800000"/>
                      <a:headEnd/>
                      <a:tailEnd/>
                    </a:ln>
                  </pic:spPr>
                </pic:pic>
              </a:graphicData>
            </a:graphic>
          </wp:inline>
        </w:drawing>
      </w:r>
    </w:p>
    <w:p w:rsidR="00786914" w:rsidRPr="005F687E" w:rsidRDefault="00786914" w:rsidP="0006743B">
      <w:pPr>
        <w:rPr>
          <w:b/>
        </w:rPr>
      </w:pPr>
      <w:r w:rsidRPr="005F687E">
        <w:rPr>
          <w:b/>
        </w:rPr>
        <w:t>Symptom scores</w:t>
      </w:r>
    </w:p>
    <w:p w:rsidR="00786914" w:rsidRDefault="00786914" w:rsidP="0006743B">
      <w:pPr>
        <w:rPr>
          <w:rFonts w:cs="Calibri"/>
        </w:rPr>
      </w:pPr>
      <w:r>
        <w:t xml:space="preserve">Symptom scores at 12 months and 24 months are shown in figures 25 and 26. </w:t>
      </w:r>
      <w:r w:rsidRPr="000A1B2A">
        <w:t xml:space="preserve">Comparable changes in symptom scores were obtained within each of the interventions, with no statistically significant differences between the groups. </w:t>
      </w:r>
      <w:r w:rsidRPr="000A1B2A">
        <w:rPr>
          <w:rFonts w:cs="Calibri"/>
        </w:rPr>
        <w:t>Kuntz et al (2008) report that this change is maintained at up to five years (3.00 ± 3.2 in the HoLEP group compared to 3.00 ± 1.7 in the OP group p=0.98).</w:t>
      </w:r>
    </w:p>
    <w:p w:rsidR="00786914" w:rsidRDefault="00786914" w:rsidP="0006743B">
      <w:pPr>
        <w:pStyle w:val="Caption"/>
        <w:rPr>
          <w:rFonts w:cs="Calibri"/>
          <w:sz w:val="24"/>
          <w:szCs w:val="24"/>
        </w:rPr>
      </w:pPr>
      <w:bookmarkStart w:id="242" w:name="_Toc327882509"/>
      <w:r>
        <w:t xml:space="preserve">Figure </w:t>
      </w:r>
      <w:fldSimple w:instr=" SEQ Figure \* ARABIC ">
        <w:r w:rsidR="00F45C43">
          <w:rPr>
            <w:noProof/>
          </w:rPr>
          <w:t>25</w:t>
        </w:r>
      </w:fldSimple>
      <w:r>
        <w:t>:</w:t>
      </w:r>
      <w:r>
        <w:tab/>
        <w:t>Symptom scores at 12 months: HoLEP compared with OP</w:t>
      </w:r>
      <w:bookmarkEnd w:id="242"/>
    </w:p>
    <w:p w:rsidR="00786914" w:rsidRDefault="00786914" w:rsidP="0006743B">
      <w:pPr>
        <w:ind w:left="0"/>
        <w:rPr>
          <w:rFonts w:cs="Calibri"/>
          <w:szCs w:val="24"/>
        </w:rPr>
      </w:pPr>
      <w:r>
        <w:rPr>
          <w:rFonts w:cs="Calibri"/>
          <w:noProof/>
          <w:szCs w:val="24"/>
        </w:rPr>
        <w:drawing>
          <wp:inline distT="0" distB="0" distL="0" distR="0" wp14:anchorId="13866C31" wp14:editId="26F147E1">
            <wp:extent cx="5732780" cy="1129030"/>
            <wp:effectExtent l="0" t="0" r="1270" b="0"/>
            <wp:docPr id="25" name="Picture 33" title="Figure 25: Symptom scores at 12 month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srcRect/>
                    <a:stretch>
                      <a:fillRect/>
                    </a:stretch>
                  </pic:blipFill>
                  <pic:spPr bwMode="auto">
                    <a:xfrm>
                      <a:off x="0" y="0"/>
                      <a:ext cx="5732780" cy="1129030"/>
                    </a:xfrm>
                    <a:prstGeom prst="rect">
                      <a:avLst/>
                    </a:prstGeom>
                    <a:noFill/>
                    <a:ln w="9525">
                      <a:noFill/>
                      <a:miter lim="800000"/>
                      <a:headEnd/>
                      <a:tailEnd/>
                    </a:ln>
                  </pic:spPr>
                </pic:pic>
              </a:graphicData>
            </a:graphic>
          </wp:inline>
        </w:drawing>
      </w:r>
    </w:p>
    <w:p w:rsidR="00786914" w:rsidRDefault="00786914" w:rsidP="0006743B">
      <w:pPr>
        <w:pStyle w:val="Caption"/>
        <w:rPr>
          <w:rFonts w:cs="Calibri"/>
          <w:sz w:val="24"/>
          <w:szCs w:val="24"/>
        </w:rPr>
      </w:pPr>
      <w:bookmarkStart w:id="243" w:name="_Toc327781479"/>
      <w:bookmarkStart w:id="244" w:name="_Toc327882510"/>
      <w:r>
        <w:t xml:space="preserve">Figure </w:t>
      </w:r>
      <w:fldSimple w:instr=" SEQ Figure \* ARABIC ">
        <w:r w:rsidR="00F45C43">
          <w:rPr>
            <w:noProof/>
          </w:rPr>
          <w:t>26</w:t>
        </w:r>
      </w:fldSimple>
      <w:r>
        <w:t>:</w:t>
      </w:r>
      <w:r>
        <w:tab/>
        <w:t>Symptom scores at 24 months: HoLEP compared with OP</w:t>
      </w:r>
      <w:bookmarkEnd w:id="243"/>
      <w:bookmarkEnd w:id="244"/>
    </w:p>
    <w:p w:rsidR="00786914" w:rsidRDefault="00786914" w:rsidP="0006743B">
      <w:pPr>
        <w:ind w:left="0"/>
        <w:rPr>
          <w:rFonts w:cs="Calibri"/>
          <w:szCs w:val="24"/>
        </w:rPr>
      </w:pPr>
      <w:r>
        <w:rPr>
          <w:rFonts w:cs="Calibri"/>
          <w:noProof/>
          <w:szCs w:val="24"/>
        </w:rPr>
        <w:drawing>
          <wp:inline distT="0" distB="0" distL="0" distR="0" wp14:anchorId="115F3F6F" wp14:editId="0E113DC0">
            <wp:extent cx="5732780" cy="1137285"/>
            <wp:effectExtent l="0" t="0" r="1270" b="5715"/>
            <wp:docPr id="26" name="Picture 4" title="Figure 26: Symptom scores at 24 month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5732780" cy="1137285"/>
                    </a:xfrm>
                    <a:prstGeom prst="rect">
                      <a:avLst/>
                    </a:prstGeom>
                    <a:noFill/>
                    <a:ln w="9525">
                      <a:noFill/>
                      <a:miter lim="800000"/>
                      <a:headEnd/>
                      <a:tailEnd/>
                    </a:ln>
                  </pic:spPr>
                </pic:pic>
              </a:graphicData>
            </a:graphic>
          </wp:inline>
        </w:drawing>
      </w:r>
    </w:p>
    <w:p w:rsidR="00786914" w:rsidRPr="005F687E" w:rsidRDefault="00786914" w:rsidP="0006743B">
      <w:pPr>
        <w:rPr>
          <w:b/>
        </w:rPr>
      </w:pPr>
      <w:r w:rsidRPr="005F687E">
        <w:rPr>
          <w:b/>
        </w:rPr>
        <w:t>Treatment failure/re-operation rates</w:t>
      </w:r>
    </w:p>
    <w:p w:rsidR="00786914" w:rsidRPr="000A1B2A" w:rsidRDefault="00786914" w:rsidP="0006743B">
      <w:r>
        <w:t xml:space="preserve">Treatment failure/re-operation rates are shown in figure 27. </w:t>
      </w:r>
      <w:r w:rsidRPr="000A1B2A">
        <w:t xml:space="preserve">Naspro et al (2006) report that the overall reintervention rate at 12 months </w:t>
      </w:r>
      <w:r>
        <w:t>w</w:t>
      </w:r>
      <w:r w:rsidRPr="000A1B2A">
        <w:t>as 5.4% for HoLEP and 5.7% for OP</w:t>
      </w:r>
      <w:r>
        <w:t>. N</w:t>
      </w:r>
      <w:r w:rsidRPr="000A1B2A">
        <w:t>o other details are provided</w:t>
      </w:r>
      <w:r>
        <w:t xml:space="preserve"> and it would seem the reintervention is due to other complications such as bleeding and stricture rather than a revision of the original surgery</w:t>
      </w:r>
      <w:r w:rsidRPr="000A1B2A">
        <w:t>.</w:t>
      </w:r>
      <w:r>
        <w:t xml:space="preserve"> However this is an assumption and unclear from the report.</w:t>
      </w:r>
      <w:r w:rsidRPr="000A1B2A">
        <w:t xml:space="preserve"> In the study by Kuntz et al (2008), three patients in the HoLEP group underwent </w:t>
      </w:r>
      <w:r>
        <w:t>re-operation</w:t>
      </w:r>
      <w:r w:rsidRPr="000A1B2A">
        <w:t xml:space="preserve">, including one for bladder neck contracture and two for urethral stricture. In the OP group, there were three bladder neck contractures and one urethral stricture. </w:t>
      </w:r>
    </w:p>
    <w:p w:rsidR="00786914" w:rsidRDefault="00786914">
      <w:pPr>
        <w:spacing w:after="0"/>
        <w:ind w:left="0"/>
        <w:rPr>
          <w:rFonts w:ascii="Arial" w:hAnsi="Arial"/>
          <w:bCs/>
          <w:sz w:val="18"/>
        </w:rPr>
      </w:pPr>
      <w:bookmarkStart w:id="245" w:name="_Toc327882511"/>
      <w:r>
        <w:br w:type="page"/>
      </w:r>
    </w:p>
    <w:p w:rsidR="00786914" w:rsidRDefault="00786914" w:rsidP="0006743B">
      <w:pPr>
        <w:pStyle w:val="Caption"/>
        <w:rPr>
          <w:sz w:val="24"/>
          <w:szCs w:val="24"/>
        </w:rPr>
      </w:pPr>
      <w:r>
        <w:lastRenderedPageBreak/>
        <w:t xml:space="preserve">Figure </w:t>
      </w:r>
      <w:fldSimple w:instr=" SEQ Figure \* ARABIC ">
        <w:r w:rsidR="00F45C43">
          <w:rPr>
            <w:noProof/>
          </w:rPr>
          <w:t>27</w:t>
        </w:r>
      </w:fldSimple>
      <w:r>
        <w:t>:</w:t>
      </w:r>
      <w:r>
        <w:tab/>
        <w:t>Re-operation</w:t>
      </w:r>
      <w:r w:rsidRPr="00A2525E">
        <w:t xml:space="preserve"> rates: HoLEP</w:t>
      </w:r>
      <w:r>
        <w:t xml:space="preserve"> compared with</w:t>
      </w:r>
      <w:r w:rsidRPr="00A2525E">
        <w:t xml:space="preserve"> OP</w:t>
      </w:r>
      <w:bookmarkEnd w:id="245"/>
    </w:p>
    <w:p w:rsidR="00786914" w:rsidRDefault="00786914">
      <w:pPr>
        <w:ind w:left="0"/>
      </w:pPr>
      <w:r>
        <w:rPr>
          <w:noProof/>
        </w:rPr>
        <w:drawing>
          <wp:inline distT="0" distB="0" distL="0" distR="0" wp14:anchorId="467A999C" wp14:editId="6863CB9D">
            <wp:extent cx="5725160" cy="1280160"/>
            <wp:effectExtent l="0" t="0" r="8890" b="0"/>
            <wp:docPr id="27" name="Picture 3" title="Figure 27: Re-operation rates: HoLEP compared with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5725160" cy="1280160"/>
                    </a:xfrm>
                    <a:prstGeom prst="rect">
                      <a:avLst/>
                    </a:prstGeom>
                    <a:noFill/>
                    <a:ln w="9525">
                      <a:noFill/>
                      <a:miter lim="800000"/>
                      <a:headEnd/>
                      <a:tailEnd/>
                    </a:ln>
                  </pic:spPr>
                </pic:pic>
              </a:graphicData>
            </a:graphic>
          </wp:inline>
        </w:drawing>
      </w:r>
    </w:p>
    <w:p w:rsidR="00786914" w:rsidRDefault="00786914" w:rsidP="0006743B">
      <w:r w:rsidRPr="000A1B2A">
        <w:t>Data w</w:t>
      </w:r>
      <w:r>
        <w:t>ere</w:t>
      </w:r>
      <w:r w:rsidRPr="000A1B2A">
        <w:t xml:space="preserve"> not pooled in respect of a number of other outcomes:</w:t>
      </w:r>
    </w:p>
    <w:p w:rsidR="00786914" w:rsidRPr="000A1B2A" w:rsidRDefault="00786914" w:rsidP="0006743B">
      <w:r w:rsidRPr="006C2192">
        <w:rPr>
          <w:b/>
        </w:rPr>
        <w:t>Post-void residual volume (PVR):</w:t>
      </w:r>
      <w:r>
        <w:rPr>
          <w:b/>
          <w:u w:val="single"/>
        </w:rPr>
        <w:t xml:space="preserve"> </w:t>
      </w:r>
      <w:r w:rsidRPr="000A1B2A">
        <w:t>Only Kuntz et al (2008) reported on PVR</w:t>
      </w:r>
      <w:r>
        <w:t>.</w:t>
      </w:r>
      <w:r w:rsidRPr="000A1B2A">
        <w:t xml:space="preserve"> Non</w:t>
      </w:r>
      <w:r>
        <w:t>-</w:t>
      </w:r>
      <w:r w:rsidRPr="000A1B2A">
        <w:t>statistically significant differences between the interventions were not reported at baseline, 3 months, 6 months, 12 months, 2 years, 3 years, 4 years or 5 years. Th</w:t>
      </w:r>
      <w:r>
        <w:t>ese</w:t>
      </w:r>
      <w:r w:rsidRPr="000A1B2A">
        <w:t xml:space="preserve"> data </w:t>
      </w:r>
      <w:r>
        <w:t>are</w:t>
      </w:r>
      <w:r w:rsidRPr="000A1B2A">
        <w:t xml:space="preserve"> shown in Appendix D.</w:t>
      </w:r>
    </w:p>
    <w:p w:rsidR="00786914" w:rsidRDefault="00786914" w:rsidP="0006743B">
      <w:r w:rsidRPr="006C2192">
        <w:rPr>
          <w:b/>
        </w:rPr>
        <w:t xml:space="preserve">Prostate volume: </w:t>
      </w:r>
      <w:r w:rsidRPr="000A1B2A">
        <w:t>Prostate volume was reported in terms of the amount of tissue resected. Naspro et al (2006) state that peri-operative specimen weight was 59</w:t>
      </w:r>
      <w:r>
        <w:t>g</w:t>
      </w:r>
      <w:r w:rsidRPr="000A1B2A">
        <w:t xml:space="preserve"> in the HoLEP group compared to 86</w:t>
      </w:r>
      <w:r>
        <w:t>g</w:t>
      </w:r>
      <w:r w:rsidRPr="000A1B2A">
        <w:t xml:space="preserve"> in the OP group (p=0.0046). Kuntz et al (2008) report no significant differences in terms of resected tissue (94</w:t>
      </w:r>
      <w:r>
        <w:t>g</w:t>
      </w:r>
      <w:r w:rsidRPr="000A1B2A">
        <w:t xml:space="preserve"> v</w:t>
      </w:r>
      <w:r>
        <w:t>ersu</w:t>
      </w:r>
      <w:r w:rsidRPr="000A1B2A">
        <w:t>s 96</w:t>
      </w:r>
      <w:r>
        <w:t>g</w:t>
      </w:r>
      <w:r w:rsidRPr="000A1B2A">
        <w:t>) between the two groups.</w:t>
      </w:r>
    </w:p>
    <w:p w:rsidR="00786914" w:rsidRPr="00090E05" w:rsidRDefault="00786914" w:rsidP="0006743B">
      <w:r w:rsidRPr="006C2192">
        <w:rPr>
          <w:b/>
        </w:rPr>
        <w:t>Bother scores:</w:t>
      </w:r>
      <w:r>
        <w:rPr>
          <w:b/>
          <w:u w:val="single"/>
        </w:rPr>
        <w:t xml:space="preserve"> </w:t>
      </w:r>
      <w:r>
        <w:t>Although included in the DAP as a primary effectiveness outcome for either of these interventions, n</w:t>
      </w:r>
      <w:r w:rsidRPr="00090E05">
        <w:t>one of the studies included here reported on</w:t>
      </w:r>
      <w:r>
        <w:t xml:space="preserve"> this.</w:t>
      </w:r>
    </w:p>
    <w:p w:rsidR="00786914" w:rsidRDefault="00786914" w:rsidP="0006743B">
      <w:r w:rsidRPr="006C2192">
        <w:rPr>
          <w:b/>
        </w:rPr>
        <w:t>Quality of life:</w:t>
      </w:r>
      <w:r>
        <w:rPr>
          <w:b/>
          <w:u w:val="single"/>
        </w:rPr>
        <w:t xml:space="preserve"> </w:t>
      </w:r>
      <w:r w:rsidRPr="000A1B2A">
        <w:t>Naspro</w:t>
      </w:r>
      <w:r>
        <w:t xml:space="preserve"> </w:t>
      </w:r>
      <w:r w:rsidRPr="000A1B2A">
        <w:t>et al (2006) reported</w:t>
      </w:r>
      <w:r w:rsidRPr="00090E05">
        <w:t xml:space="preserve"> on quality of life at </w:t>
      </w:r>
      <w:r>
        <w:t xml:space="preserve">baseline, </w:t>
      </w:r>
      <w:r w:rsidRPr="00090E05">
        <w:t>12 and 24 month</w:t>
      </w:r>
      <w:r>
        <w:t>s (Appendix D). No statistically significant differences between the interventions were recorded.</w:t>
      </w:r>
    </w:p>
    <w:p w:rsidR="00786914" w:rsidRPr="00090E05" w:rsidRDefault="00786914" w:rsidP="0006743B">
      <w:pPr>
        <w:pStyle w:val="Normalbold"/>
      </w:pPr>
      <w:bookmarkStart w:id="246" w:name="_Toc327877888"/>
      <w:r w:rsidRPr="00090E05">
        <w:t>Secondary effectiveness outcomes</w:t>
      </w:r>
      <w:bookmarkEnd w:id="246"/>
      <w:r w:rsidRPr="00090E05">
        <w:t xml:space="preserve"> </w:t>
      </w:r>
    </w:p>
    <w:p w:rsidR="00786914" w:rsidRPr="00090E05" w:rsidRDefault="00786914" w:rsidP="0006743B">
      <w:r w:rsidRPr="00090E05">
        <w:t xml:space="preserve">HoLEP and OP were also compared with respect to operative outcomes. </w:t>
      </w:r>
      <w:r>
        <w:t xml:space="preserve">Outcomes of interest listed in the DAP </w:t>
      </w:r>
      <w:r w:rsidRPr="00090E05">
        <w:t>include</w:t>
      </w:r>
      <w:r>
        <w:t>d</w:t>
      </w:r>
      <w:r w:rsidRPr="00090E05">
        <w:t xml:space="preserve"> length of operation, length of catheterisation, length of hospital stay, training cost, equipment cost and staffing cost. </w:t>
      </w:r>
      <w:r>
        <w:t xml:space="preserve">Both studies reported on </w:t>
      </w:r>
      <w:r w:rsidRPr="00090E05">
        <w:t>length of operation, catheterisation</w:t>
      </w:r>
      <w:r>
        <w:t xml:space="preserve"> and</w:t>
      </w:r>
      <w:r w:rsidRPr="00090E05">
        <w:t xml:space="preserve"> hospital stay</w:t>
      </w:r>
      <w:r>
        <w:t xml:space="preserve">. Due to the clinical heterogeneity of these studies in terms of the intervention, results were not pooled. They are described below and summarised in 19. </w:t>
      </w:r>
      <w:r w:rsidRPr="00A0634C">
        <w:t>None of the studies included here reported on training, equipment or staffing costs</w:t>
      </w:r>
      <w:r>
        <w:t xml:space="preserve">. </w:t>
      </w:r>
    </w:p>
    <w:p w:rsidR="00786914" w:rsidRPr="00090E05" w:rsidRDefault="00786914" w:rsidP="0006743B">
      <w:r w:rsidRPr="000A1B2A">
        <w:t>Naspro et al (2006) report that catheterisation time (1.5 v</w:t>
      </w:r>
      <w:r>
        <w:t>ersu</w:t>
      </w:r>
      <w:r w:rsidRPr="000A1B2A">
        <w:t>s 4.1 days) and hospital stay (2.7 v</w:t>
      </w:r>
      <w:r>
        <w:t>ersu</w:t>
      </w:r>
      <w:r w:rsidRPr="000A1B2A">
        <w:t>s 5.4 days) was shorter for</w:t>
      </w:r>
      <w:r>
        <w:t xml:space="preserve"> </w:t>
      </w:r>
      <w:r w:rsidRPr="000A1B2A">
        <w:t>HoLEP</w:t>
      </w:r>
      <w:r>
        <w:t xml:space="preserve"> </w:t>
      </w:r>
      <w:r w:rsidRPr="000A1B2A">
        <w:t>than for OP patients. Operative time for HoLEP was however longer. Similarly, Kuntz et al (2008) report a longer operative time for HoLEP. They note</w:t>
      </w:r>
      <w:r>
        <w:t xml:space="preserve"> </w:t>
      </w:r>
      <w:r w:rsidRPr="000A1B2A">
        <w:t>however</w:t>
      </w:r>
      <w:r>
        <w:t xml:space="preserve"> </w:t>
      </w:r>
      <w:r w:rsidRPr="000A1B2A">
        <w:t xml:space="preserve">that this was because the majority of patients had been operated </w:t>
      </w:r>
      <w:r>
        <w:t xml:space="preserve">on </w:t>
      </w:r>
      <w:r w:rsidRPr="000A1B2A">
        <w:t>according to an earlier mushroom technique. When the use of the mechanical tissue morcellator was introduced, the</w:t>
      </w:r>
      <w:r>
        <w:t xml:space="preserve"> </w:t>
      </w:r>
      <w:r w:rsidRPr="000A1B2A">
        <w:t>operative time significantly decreased.</w:t>
      </w:r>
      <w:r>
        <w:t xml:space="preserve"> </w:t>
      </w:r>
      <w:r w:rsidRPr="000A1B2A">
        <w:t xml:space="preserve">Length of catheterisation (1.3 versus 8.1 days) and length of hospital stay (2.9 versus 10.4 days) were also shorter for HoLEP in comparison </w:t>
      </w:r>
      <w:r>
        <w:t xml:space="preserve">with </w:t>
      </w:r>
      <w:r w:rsidRPr="000A1B2A">
        <w:t>OP.</w:t>
      </w:r>
    </w:p>
    <w:p w:rsidR="00F45C43" w:rsidRPr="002D7BD4" w:rsidRDefault="00786914" w:rsidP="002D7BD4">
      <w:r>
        <w:t xml:space="preserve">These data are summarised in </w:t>
      </w:r>
      <w:r w:rsidR="00766F46">
        <w:fldChar w:fldCharType="begin"/>
      </w:r>
      <w:r w:rsidR="00766F46">
        <w:instrText xml:space="preserve"> REF _Ref323310571 \h  \* MERGEFORMAT </w:instrText>
      </w:r>
      <w:r w:rsidR="00766F46">
        <w:fldChar w:fldCharType="separate"/>
      </w:r>
      <w:r w:rsidR="00F45C43">
        <w:br w:type="page"/>
      </w:r>
    </w:p>
    <w:p w:rsidR="00786914" w:rsidRDefault="00F45C43" w:rsidP="0006743B">
      <w:r>
        <w:rPr>
          <w:noProof/>
        </w:rPr>
        <w:lastRenderedPageBreak/>
        <w:t>Table</w:t>
      </w:r>
      <w:r>
        <w:t xml:space="preserve"> </w:t>
      </w:r>
      <w:r>
        <w:rPr>
          <w:noProof/>
        </w:rPr>
        <w:t>19</w:t>
      </w:r>
      <w:r w:rsidR="00766F46">
        <w:fldChar w:fldCharType="end"/>
      </w:r>
      <w:r w:rsidR="00786914">
        <w:t>.</w:t>
      </w:r>
    </w:p>
    <w:p w:rsidR="00786914" w:rsidRDefault="00786914">
      <w:pPr>
        <w:spacing w:after="0"/>
        <w:ind w:left="0"/>
        <w:rPr>
          <w:rFonts w:ascii="Arial" w:hAnsi="Arial"/>
          <w:bCs/>
          <w:sz w:val="18"/>
        </w:rPr>
      </w:pPr>
      <w:bookmarkStart w:id="247" w:name="_Ref323310571"/>
      <w:bookmarkStart w:id="248" w:name="_Toc327803266"/>
      <w:bookmarkStart w:id="249" w:name="_Toc327881556"/>
      <w:r>
        <w:br w:type="page"/>
      </w:r>
    </w:p>
    <w:p w:rsidR="00786914" w:rsidRDefault="00786914" w:rsidP="0006743B">
      <w:pPr>
        <w:pStyle w:val="Caption"/>
      </w:pPr>
      <w:r>
        <w:lastRenderedPageBreak/>
        <w:t xml:space="preserve">Table </w:t>
      </w:r>
      <w:fldSimple w:instr=" SEQ Table \* ARABIC ">
        <w:r w:rsidR="00F45C43">
          <w:rPr>
            <w:noProof/>
          </w:rPr>
          <w:t>19</w:t>
        </w:r>
      </w:fldSimple>
      <w:bookmarkEnd w:id="247"/>
      <w:r>
        <w:t>:</w:t>
      </w:r>
      <w:r>
        <w:tab/>
        <w:t>Secondary effectiveness outcomes: HoLEP compared with OP</w:t>
      </w:r>
      <w:bookmarkEnd w:id="248"/>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920"/>
        <w:gridCol w:w="1909"/>
        <w:gridCol w:w="1688"/>
      </w:tblGrid>
      <w:tr w:rsidR="00786914" w:rsidRPr="00090E05" w:rsidTr="0006743B">
        <w:trPr>
          <w:trHeight w:val="426"/>
        </w:trPr>
        <w:tc>
          <w:tcPr>
            <w:tcW w:w="1474" w:type="pct"/>
            <w:vAlign w:val="bottom"/>
          </w:tcPr>
          <w:p w:rsidR="00786914" w:rsidRPr="00090E05" w:rsidRDefault="00786914" w:rsidP="0006743B">
            <w:pPr>
              <w:pStyle w:val="Tableheading"/>
            </w:pPr>
            <w:r w:rsidRPr="00090E05">
              <w:t>Study</w:t>
            </w:r>
          </w:p>
        </w:tc>
        <w:tc>
          <w:tcPr>
            <w:tcW w:w="1580" w:type="pct"/>
            <w:vAlign w:val="bottom"/>
          </w:tcPr>
          <w:p w:rsidR="00786914" w:rsidRPr="00090E05" w:rsidRDefault="00786914" w:rsidP="0006743B">
            <w:pPr>
              <w:pStyle w:val="Tableheading"/>
            </w:pPr>
            <w:r>
              <w:t>Operative outcomes</w:t>
            </w:r>
          </w:p>
        </w:tc>
        <w:tc>
          <w:tcPr>
            <w:tcW w:w="1033" w:type="pct"/>
            <w:vAlign w:val="bottom"/>
          </w:tcPr>
          <w:p w:rsidR="00786914" w:rsidRPr="00090E05" w:rsidRDefault="00786914" w:rsidP="0006743B">
            <w:pPr>
              <w:pStyle w:val="Tableheading"/>
            </w:pPr>
            <w:r>
              <w:t>Ho</w:t>
            </w:r>
            <w:r w:rsidRPr="00090E05">
              <w:t>LEP</w:t>
            </w:r>
          </w:p>
        </w:tc>
        <w:tc>
          <w:tcPr>
            <w:tcW w:w="914" w:type="pct"/>
            <w:shd w:val="clear" w:color="auto" w:fill="auto"/>
            <w:vAlign w:val="bottom"/>
          </w:tcPr>
          <w:p w:rsidR="00786914" w:rsidRPr="00090E05" w:rsidRDefault="00786914" w:rsidP="0006743B">
            <w:pPr>
              <w:pStyle w:val="Tableheading"/>
            </w:pPr>
            <w:r w:rsidRPr="00090E05">
              <w:t>OP</w:t>
            </w:r>
          </w:p>
        </w:tc>
      </w:tr>
      <w:tr w:rsidR="00786914" w:rsidRPr="00090E05" w:rsidTr="0006743B">
        <w:trPr>
          <w:trHeight w:val="153"/>
        </w:trPr>
        <w:tc>
          <w:tcPr>
            <w:tcW w:w="1474" w:type="pct"/>
            <w:vMerge w:val="restart"/>
            <w:vAlign w:val="center"/>
          </w:tcPr>
          <w:p w:rsidR="00786914" w:rsidRPr="00090E05" w:rsidRDefault="00786914" w:rsidP="0006743B">
            <w:pPr>
              <w:pStyle w:val="TableText"/>
              <w:rPr>
                <w:b/>
              </w:rPr>
            </w:pPr>
            <w:r>
              <w:rPr>
                <w:b/>
              </w:rPr>
              <w:t>Naspro et al (2006)</w:t>
            </w:r>
          </w:p>
        </w:tc>
        <w:tc>
          <w:tcPr>
            <w:tcW w:w="1580" w:type="pct"/>
            <w:vAlign w:val="bottom"/>
          </w:tcPr>
          <w:p w:rsidR="00786914" w:rsidRPr="00090E05" w:rsidRDefault="00786914" w:rsidP="0006743B">
            <w:pPr>
              <w:pStyle w:val="TableText"/>
            </w:pPr>
            <w:r w:rsidRPr="00090E05">
              <w:t>Length of operation</w:t>
            </w:r>
          </w:p>
        </w:tc>
        <w:tc>
          <w:tcPr>
            <w:tcW w:w="1033" w:type="pct"/>
            <w:vAlign w:val="bottom"/>
          </w:tcPr>
          <w:p w:rsidR="00786914" w:rsidRPr="00090E05" w:rsidRDefault="00786914" w:rsidP="0006743B">
            <w:pPr>
              <w:pStyle w:val="TableText"/>
            </w:pPr>
            <w:r w:rsidRPr="00090E05">
              <w:t>72.09min</w:t>
            </w:r>
          </w:p>
        </w:tc>
        <w:tc>
          <w:tcPr>
            <w:tcW w:w="914" w:type="pct"/>
            <w:vAlign w:val="bottom"/>
          </w:tcPr>
          <w:p w:rsidR="00786914" w:rsidRPr="00090E05" w:rsidRDefault="00786914" w:rsidP="0006743B">
            <w:pPr>
              <w:pStyle w:val="TableText"/>
            </w:pPr>
            <w:r w:rsidRPr="00090E05">
              <w:t>58.31min</w:t>
            </w:r>
          </w:p>
        </w:tc>
      </w:tr>
      <w:tr w:rsidR="00786914" w:rsidRPr="00090E05" w:rsidTr="0006743B">
        <w:trPr>
          <w:trHeight w:val="146"/>
        </w:trPr>
        <w:tc>
          <w:tcPr>
            <w:tcW w:w="1474" w:type="pct"/>
            <w:vMerge/>
            <w:vAlign w:val="center"/>
          </w:tcPr>
          <w:p w:rsidR="00786914" w:rsidRPr="00090E05" w:rsidRDefault="00786914" w:rsidP="0006743B">
            <w:pPr>
              <w:pStyle w:val="TableText"/>
              <w:rPr>
                <w:b/>
              </w:rPr>
            </w:pPr>
          </w:p>
        </w:tc>
        <w:tc>
          <w:tcPr>
            <w:tcW w:w="1580" w:type="pct"/>
            <w:vAlign w:val="bottom"/>
          </w:tcPr>
          <w:p w:rsidR="00786914" w:rsidRPr="00090E05" w:rsidRDefault="00786914" w:rsidP="0006743B">
            <w:pPr>
              <w:pStyle w:val="TableText"/>
            </w:pPr>
            <w:r w:rsidRPr="00090E05">
              <w:t>Length of catheterisation(d</w:t>
            </w:r>
            <w:r>
              <w:t>ays</w:t>
            </w:r>
            <w:r w:rsidRPr="00090E05">
              <w:t>)</w:t>
            </w:r>
          </w:p>
        </w:tc>
        <w:tc>
          <w:tcPr>
            <w:tcW w:w="1033" w:type="pct"/>
            <w:vAlign w:val="bottom"/>
          </w:tcPr>
          <w:p w:rsidR="00786914" w:rsidRPr="00090E05" w:rsidRDefault="00786914" w:rsidP="0006743B">
            <w:pPr>
              <w:pStyle w:val="TableText"/>
            </w:pPr>
            <w:r w:rsidRPr="00090E05">
              <w:t>1.5</w:t>
            </w:r>
          </w:p>
        </w:tc>
        <w:tc>
          <w:tcPr>
            <w:tcW w:w="914" w:type="pct"/>
            <w:vAlign w:val="bottom"/>
          </w:tcPr>
          <w:p w:rsidR="00786914" w:rsidRPr="00090E05" w:rsidRDefault="00786914" w:rsidP="0006743B">
            <w:pPr>
              <w:pStyle w:val="TableText"/>
            </w:pPr>
            <w:r w:rsidRPr="00090E05">
              <w:t>4.1</w:t>
            </w:r>
          </w:p>
        </w:tc>
      </w:tr>
      <w:tr w:rsidR="00786914" w:rsidRPr="00090E05" w:rsidTr="0006743B">
        <w:trPr>
          <w:trHeight w:val="146"/>
        </w:trPr>
        <w:tc>
          <w:tcPr>
            <w:tcW w:w="1474" w:type="pct"/>
            <w:vMerge/>
            <w:vAlign w:val="center"/>
          </w:tcPr>
          <w:p w:rsidR="00786914" w:rsidRPr="00090E05" w:rsidRDefault="00786914" w:rsidP="0006743B">
            <w:pPr>
              <w:pStyle w:val="TableText"/>
              <w:rPr>
                <w:b/>
              </w:rPr>
            </w:pPr>
          </w:p>
        </w:tc>
        <w:tc>
          <w:tcPr>
            <w:tcW w:w="1580" w:type="pct"/>
            <w:vAlign w:val="bottom"/>
          </w:tcPr>
          <w:p w:rsidR="00786914" w:rsidRPr="00090E05" w:rsidRDefault="00786914" w:rsidP="0006743B">
            <w:pPr>
              <w:pStyle w:val="TableText"/>
            </w:pPr>
            <w:r w:rsidRPr="00090E05">
              <w:t>Length of hospital stay (d</w:t>
            </w:r>
            <w:r>
              <w:t>ays</w:t>
            </w:r>
            <w:r w:rsidRPr="00090E05">
              <w:t>)</w:t>
            </w:r>
          </w:p>
        </w:tc>
        <w:tc>
          <w:tcPr>
            <w:tcW w:w="1033" w:type="pct"/>
            <w:vAlign w:val="bottom"/>
          </w:tcPr>
          <w:p w:rsidR="00786914" w:rsidRPr="00090E05" w:rsidRDefault="00786914" w:rsidP="0006743B">
            <w:pPr>
              <w:pStyle w:val="TableText"/>
            </w:pPr>
            <w:r w:rsidRPr="00090E05">
              <w:t>2.7</w:t>
            </w:r>
          </w:p>
        </w:tc>
        <w:tc>
          <w:tcPr>
            <w:tcW w:w="914" w:type="pct"/>
            <w:vAlign w:val="bottom"/>
          </w:tcPr>
          <w:p w:rsidR="00786914" w:rsidRPr="00090E05" w:rsidRDefault="00786914" w:rsidP="0006743B">
            <w:pPr>
              <w:pStyle w:val="TableText"/>
            </w:pPr>
            <w:r w:rsidRPr="00090E05">
              <w:t>5.43</w:t>
            </w:r>
          </w:p>
        </w:tc>
      </w:tr>
      <w:tr w:rsidR="00786914" w:rsidRPr="00090E05" w:rsidTr="0006743B">
        <w:trPr>
          <w:trHeight w:val="153"/>
        </w:trPr>
        <w:tc>
          <w:tcPr>
            <w:tcW w:w="1474" w:type="pct"/>
            <w:vMerge w:val="restart"/>
            <w:vAlign w:val="center"/>
          </w:tcPr>
          <w:p w:rsidR="00786914" w:rsidRPr="00805073" w:rsidRDefault="00786914" w:rsidP="0006743B">
            <w:pPr>
              <w:pStyle w:val="TableText"/>
              <w:rPr>
                <w:b/>
                <w:lang w:val="fr-FR"/>
              </w:rPr>
            </w:pPr>
            <w:r w:rsidRPr="00805073">
              <w:rPr>
                <w:b/>
                <w:lang w:val="fr-FR"/>
              </w:rPr>
              <w:t xml:space="preserve">Kuntz et al </w:t>
            </w:r>
            <w:r>
              <w:rPr>
                <w:b/>
                <w:lang w:val="fr-FR"/>
              </w:rPr>
              <w:t>(</w:t>
            </w:r>
            <w:r w:rsidRPr="00805073">
              <w:rPr>
                <w:b/>
                <w:lang w:val="fr-FR"/>
              </w:rPr>
              <w:t>2008</w:t>
            </w:r>
            <w:r>
              <w:rPr>
                <w:b/>
                <w:lang w:val="fr-FR"/>
              </w:rPr>
              <w:t>)</w:t>
            </w:r>
            <w:r w:rsidRPr="00805073">
              <w:rPr>
                <w:b/>
                <w:lang w:val="fr-FR"/>
              </w:rPr>
              <w:t>; Kuntz&amp;Lehrich</w:t>
            </w:r>
            <w:r>
              <w:rPr>
                <w:b/>
                <w:lang w:val="fr-FR"/>
              </w:rPr>
              <w:t xml:space="preserve"> </w:t>
            </w:r>
            <w:r>
              <w:rPr>
                <w:b/>
                <w:noProof/>
                <w:lang w:val="fr-FR"/>
              </w:rPr>
              <w:t>(2002)</w:t>
            </w:r>
          </w:p>
        </w:tc>
        <w:tc>
          <w:tcPr>
            <w:tcW w:w="1580" w:type="pct"/>
            <w:vAlign w:val="bottom"/>
          </w:tcPr>
          <w:p w:rsidR="00786914" w:rsidRPr="00090E05" w:rsidRDefault="00786914" w:rsidP="0006743B">
            <w:pPr>
              <w:pStyle w:val="TableText"/>
            </w:pPr>
            <w:r w:rsidRPr="00090E05">
              <w:t>Length of operation</w:t>
            </w:r>
          </w:p>
        </w:tc>
        <w:tc>
          <w:tcPr>
            <w:tcW w:w="1033" w:type="pct"/>
            <w:vAlign w:val="bottom"/>
          </w:tcPr>
          <w:p w:rsidR="00786914" w:rsidRPr="00090E05" w:rsidRDefault="00786914" w:rsidP="0006743B">
            <w:pPr>
              <w:pStyle w:val="TableText"/>
            </w:pPr>
            <w:r w:rsidRPr="00090E05">
              <w:t>136 min</w:t>
            </w:r>
          </w:p>
        </w:tc>
        <w:tc>
          <w:tcPr>
            <w:tcW w:w="914" w:type="pct"/>
            <w:vAlign w:val="bottom"/>
          </w:tcPr>
          <w:p w:rsidR="00786914" w:rsidRPr="00090E05" w:rsidRDefault="00786914" w:rsidP="0006743B">
            <w:pPr>
              <w:pStyle w:val="TableText"/>
            </w:pPr>
            <w:r w:rsidRPr="00090E05">
              <w:t>91 min</w:t>
            </w:r>
          </w:p>
        </w:tc>
      </w:tr>
      <w:tr w:rsidR="00786914" w:rsidRPr="00090E05" w:rsidTr="0006743B">
        <w:trPr>
          <w:trHeight w:val="146"/>
        </w:trPr>
        <w:tc>
          <w:tcPr>
            <w:tcW w:w="1474" w:type="pct"/>
            <w:vMerge/>
            <w:vAlign w:val="bottom"/>
          </w:tcPr>
          <w:p w:rsidR="00786914" w:rsidRPr="00090E05" w:rsidRDefault="00786914" w:rsidP="0006743B">
            <w:pPr>
              <w:pStyle w:val="TableText"/>
              <w:rPr>
                <w:b/>
              </w:rPr>
            </w:pPr>
          </w:p>
        </w:tc>
        <w:tc>
          <w:tcPr>
            <w:tcW w:w="1580" w:type="pct"/>
            <w:vAlign w:val="bottom"/>
          </w:tcPr>
          <w:p w:rsidR="00786914" w:rsidRPr="00090E05" w:rsidRDefault="00786914" w:rsidP="0006743B">
            <w:pPr>
              <w:pStyle w:val="TableText"/>
            </w:pPr>
            <w:r w:rsidRPr="00090E05">
              <w:t>Length of catheterisation(d</w:t>
            </w:r>
            <w:r>
              <w:t>ays</w:t>
            </w:r>
            <w:r w:rsidRPr="00090E05">
              <w:t>)</w:t>
            </w:r>
          </w:p>
        </w:tc>
        <w:tc>
          <w:tcPr>
            <w:tcW w:w="1033" w:type="pct"/>
            <w:vAlign w:val="bottom"/>
          </w:tcPr>
          <w:p w:rsidR="00786914" w:rsidRPr="00090E05" w:rsidRDefault="00786914" w:rsidP="0006743B">
            <w:pPr>
              <w:pStyle w:val="TableText"/>
            </w:pPr>
            <w:r w:rsidRPr="00090E05">
              <w:t>1.25</w:t>
            </w:r>
          </w:p>
        </w:tc>
        <w:tc>
          <w:tcPr>
            <w:tcW w:w="914" w:type="pct"/>
            <w:vAlign w:val="bottom"/>
          </w:tcPr>
          <w:p w:rsidR="00786914" w:rsidRPr="00090E05" w:rsidRDefault="00786914" w:rsidP="0006743B">
            <w:pPr>
              <w:pStyle w:val="TableText"/>
            </w:pPr>
            <w:r w:rsidRPr="00090E05">
              <w:t>8.1</w:t>
            </w:r>
          </w:p>
        </w:tc>
      </w:tr>
      <w:tr w:rsidR="00786914" w:rsidRPr="00090E05" w:rsidTr="0006743B">
        <w:trPr>
          <w:trHeight w:val="146"/>
        </w:trPr>
        <w:tc>
          <w:tcPr>
            <w:tcW w:w="1474" w:type="pct"/>
            <w:vMerge/>
            <w:vAlign w:val="bottom"/>
          </w:tcPr>
          <w:p w:rsidR="00786914" w:rsidRPr="00090E05" w:rsidRDefault="00786914" w:rsidP="0006743B">
            <w:pPr>
              <w:pStyle w:val="TableText"/>
              <w:rPr>
                <w:b/>
              </w:rPr>
            </w:pPr>
          </w:p>
        </w:tc>
        <w:tc>
          <w:tcPr>
            <w:tcW w:w="1580" w:type="pct"/>
            <w:vAlign w:val="bottom"/>
          </w:tcPr>
          <w:p w:rsidR="00786914" w:rsidRPr="00090E05" w:rsidRDefault="00786914" w:rsidP="0006743B">
            <w:pPr>
              <w:pStyle w:val="TableText"/>
            </w:pPr>
            <w:r w:rsidRPr="00090E05">
              <w:t>Length of hospital stay</w:t>
            </w:r>
            <w:r>
              <w:t xml:space="preserve"> (days)</w:t>
            </w:r>
          </w:p>
        </w:tc>
        <w:tc>
          <w:tcPr>
            <w:tcW w:w="1033" w:type="pct"/>
            <w:vAlign w:val="bottom"/>
          </w:tcPr>
          <w:p w:rsidR="00786914" w:rsidRPr="00090E05" w:rsidRDefault="00786914" w:rsidP="0006743B">
            <w:pPr>
              <w:pStyle w:val="TableText"/>
            </w:pPr>
            <w:r w:rsidRPr="00090E05">
              <w:t>2.9</w:t>
            </w:r>
          </w:p>
        </w:tc>
        <w:tc>
          <w:tcPr>
            <w:tcW w:w="914" w:type="pct"/>
            <w:vAlign w:val="bottom"/>
          </w:tcPr>
          <w:p w:rsidR="00786914" w:rsidRPr="00090E05" w:rsidRDefault="00786914" w:rsidP="0006743B">
            <w:pPr>
              <w:pStyle w:val="TableText"/>
            </w:pPr>
            <w:r w:rsidRPr="00090E05">
              <w:t>10.4</w:t>
            </w:r>
          </w:p>
        </w:tc>
      </w:tr>
    </w:tbl>
    <w:p w:rsidR="00786914" w:rsidRPr="000C5637" w:rsidRDefault="00786914" w:rsidP="0006743B">
      <w:pPr>
        <w:ind w:left="0"/>
        <w:rPr>
          <w:highlight w:val="yellow"/>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34"/>
      </w:tblGrid>
      <w:tr w:rsidR="00786914" w:rsidRPr="000C5637">
        <w:trPr>
          <w:trHeight w:val="538"/>
        </w:trPr>
        <w:tc>
          <w:tcPr>
            <w:tcW w:w="9134" w:type="dxa"/>
            <w:shd w:val="clear" w:color="auto" w:fill="auto"/>
          </w:tcPr>
          <w:p w:rsidR="00786914" w:rsidRPr="005F687E" w:rsidRDefault="00786914" w:rsidP="0006743B">
            <w:pPr>
              <w:pStyle w:val="Summaryboxheading"/>
            </w:pPr>
            <w:r w:rsidRPr="005F687E">
              <w:t>Summary of effectiveness of HoLEP versus OP</w:t>
            </w:r>
          </w:p>
          <w:p w:rsidR="00786914" w:rsidRPr="00B250B2" w:rsidRDefault="00786914" w:rsidP="0006743B">
            <w:pPr>
              <w:pStyle w:val="Summaryboxtext"/>
            </w:pPr>
            <w:r w:rsidRPr="00512CC9">
              <w:t>Based on the evidence from these two RCTs, HoLEP appears to be as effective as OP across a range of effectiveness outcomes. These include Qmax,</w:t>
            </w:r>
            <w:r>
              <w:t xml:space="preserve"> s</w:t>
            </w:r>
            <w:r w:rsidRPr="00512CC9">
              <w:t xml:space="preserve">ymptom </w:t>
            </w:r>
            <w:r>
              <w:t>s</w:t>
            </w:r>
            <w:r w:rsidRPr="00512CC9">
              <w:t xml:space="preserve">cores and </w:t>
            </w:r>
            <w:r>
              <w:t>PVRs</w:t>
            </w:r>
            <w:r w:rsidRPr="00512CC9">
              <w:t xml:space="preserve">. No evidence of superiority for HoLEP (or OP) was demonstrated from either of the studies. </w:t>
            </w:r>
          </w:p>
          <w:p w:rsidR="00786914" w:rsidRPr="00B250B2" w:rsidRDefault="00786914" w:rsidP="0006743B">
            <w:pPr>
              <w:pStyle w:val="Summaryboxtext"/>
            </w:pPr>
            <w:r w:rsidRPr="00512CC9">
              <w:t>It was not possible to adequately address</w:t>
            </w:r>
            <w:r>
              <w:t>,</w:t>
            </w:r>
            <w:r w:rsidRPr="00512CC9">
              <w:t xml:space="preserve"> from the data available</w:t>
            </w:r>
            <w:r>
              <w:t>,</w:t>
            </w:r>
            <w:r w:rsidRPr="00512CC9">
              <w:t xml:space="preserve"> the differences between the interventions with respect to </w:t>
            </w:r>
            <w:r>
              <w:t>q</w:t>
            </w:r>
            <w:r w:rsidRPr="00512CC9">
              <w:t xml:space="preserve">uality of </w:t>
            </w:r>
            <w:r>
              <w:t>l</w:t>
            </w:r>
            <w:r w:rsidRPr="00512CC9">
              <w:t>ife or treatment failure/</w:t>
            </w:r>
            <w:r>
              <w:t>re-treatment</w:t>
            </w:r>
            <w:r w:rsidRPr="00512CC9">
              <w:t xml:space="preserve"> rates. </w:t>
            </w:r>
          </w:p>
          <w:p w:rsidR="00786914" w:rsidRPr="000C5637" w:rsidRDefault="00786914" w:rsidP="0006743B">
            <w:pPr>
              <w:pStyle w:val="Summaryboxtext"/>
              <w:rPr>
                <w:highlight w:val="yellow"/>
              </w:rPr>
            </w:pPr>
            <w:r w:rsidRPr="00512CC9">
              <w:t>A HoLEP procedure may take longer to complete than an OP procedure, but may be associated with a shorter hospital stay and shorter catheterisation times. Th</w:t>
            </w:r>
            <w:r>
              <w:t>ese</w:t>
            </w:r>
            <w:r w:rsidRPr="00512CC9">
              <w:t xml:space="preserve"> data should however be interpreted with caution.</w:t>
            </w:r>
          </w:p>
        </w:tc>
      </w:tr>
    </w:tbl>
    <w:p w:rsidR="00786914" w:rsidRPr="004C6B15" w:rsidRDefault="00786914" w:rsidP="0006743B">
      <w:pPr>
        <w:pStyle w:val="Heading1"/>
      </w:pPr>
      <w:bookmarkStart w:id="250" w:name="_Toc323642290"/>
      <w:bookmarkStart w:id="251" w:name="_Toc327877889"/>
      <w:bookmarkStart w:id="252" w:name="_Toc365900578"/>
      <w:r w:rsidRPr="004C6B15">
        <w:lastRenderedPageBreak/>
        <w:t>Other relevant considerations</w:t>
      </w:r>
      <w:bookmarkEnd w:id="250"/>
      <w:bookmarkEnd w:id="251"/>
      <w:bookmarkEnd w:id="252"/>
    </w:p>
    <w:p w:rsidR="00786914" w:rsidRDefault="00786914" w:rsidP="0006743B">
      <w:pPr>
        <w:pStyle w:val="Heading2"/>
      </w:pPr>
      <w:bookmarkStart w:id="253" w:name="_Toc323642291"/>
      <w:bookmarkStart w:id="254" w:name="_Toc327877890"/>
      <w:bookmarkStart w:id="255" w:name="_Toc365900579"/>
      <w:r w:rsidRPr="004C6B15">
        <w:t>Expert opinion</w:t>
      </w:r>
      <w:bookmarkEnd w:id="253"/>
      <w:bookmarkEnd w:id="254"/>
      <w:bookmarkEnd w:id="255"/>
    </w:p>
    <w:p w:rsidR="00786914" w:rsidRDefault="00786914" w:rsidP="0006743B">
      <w:r>
        <w:t xml:space="preserve">Expert clinicians </w:t>
      </w:r>
      <w:r w:rsidR="00A07985">
        <w:t xml:space="preserve">form the </w:t>
      </w:r>
      <w:r w:rsidR="00532456">
        <w:t xml:space="preserve">Health </w:t>
      </w:r>
      <w:r w:rsidR="00A07985">
        <w:t>Expert Standing Panel</w:t>
      </w:r>
      <w:r>
        <w:t xml:space="preserve"> provided commentary and advice during the development of this report on a range of issues including</w:t>
      </w:r>
    </w:p>
    <w:p w:rsidR="00786914" w:rsidRDefault="00786914" w:rsidP="0006743B">
      <w:pPr>
        <w:rPr>
          <w:b/>
        </w:rPr>
      </w:pPr>
      <w:r w:rsidRPr="007867C3">
        <w:rPr>
          <w:b/>
        </w:rPr>
        <w:t>Overall opinion</w:t>
      </w:r>
    </w:p>
    <w:p w:rsidR="009F2F4B" w:rsidRDefault="00786914" w:rsidP="009F2F4B">
      <w:pPr>
        <w:rPr>
          <w:b/>
        </w:rPr>
      </w:pPr>
      <w:r>
        <w:t xml:space="preserve">Experts were strongly in favour of a positive listing of the procedure. HoLEP was described as one of the few surgical procedures for which there is RCT evidence comparing it directly with the gold standards. Long-term RCT data shows that it is at least as effective as TURP, but may be safer and in the long-term and may be associated with a lower rate of </w:t>
      </w:r>
      <w:r w:rsidR="00FE592A">
        <w:t>re-</w:t>
      </w:r>
      <w:r>
        <w:t>treatment. The latter was because more tissue can be removed in large prostates compared with TURP, and this has been borne out in the urodynamic data in several of the RCTs which show a greater decrease in obstruction with HoLEP. Procedures for BPH other than HoLEP, including increased use of laser technologies, were considered to be more likely to be used as alternatives to TURP or OP in the future.</w:t>
      </w:r>
      <w:r w:rsidR="009F2F4B" w:rsidRPr="009F2F4B">
        <w:rPr>
          <w:b/>
        </w:rPr>
        <w:t xml:space="preserve"> </w:t>
      </w:r>
    </w:p>
    <w:p w:rsidR="00B47E3F" w:rsidRDefault="00B47E3F" w:rsidP="009F2F4B">
      <w:pPr>
        <w:rPr>
          <w:b/>
        </w:rPr>
      </w:pPr>
      <w:r>
        <w:t xml:space="preserve">The inclusion of </w:t>
      </w:r>
      <w:r w:rsidRPr="00D90FF4">
        <w:rPr>
          <w:u w:val="single"/>
        </w:rPr>
        <w:t>“(≥ 100W)”</w:t>
      </w:r>
      <w:r>
        <w:t xml:space="preserve"> in the proposed item descriptor – “</w:t>
      </w:r>
      <w:r w:rsidRPr="00D90FF4">
        <w:rPr>
          <w:i/>
        </w:rPr>
        <w:t>Endoscopic enucleation of the prostate using high powered (&gt;= 100W) laser and an end-firing, non-contact fibre with or without tissue morcellation</w:t>
      </w:r>
      <w:r>
        <w:t>”</w:t>
      </w:r>
      <w:r w:rsidR="00D90FF4">
        <w:t xml:space="preserve"> was considered to be potentially too restrictive</w:t>
      </w:r>
      <w:r w:rsidR="00FE592A">
        <w:t xml:space="preserve">. Given that some of the RCTs used high powered lasers that were 80W, and that there are some 50W protocols, the experts considered that the descriptor should say simply “high powered”. </w:t>
      </w:r>
    </w:p>
    <w:p w:rsidR="009F2F4B" w:rsidRDefault="009F2F4B" w:rsidP="009F2F4B">
      <w:pPr>
        <w:rPr>
          <w:b/>
        </w:rPr>
      </w:pPr>
      <w:r>
        <w:rPr>
          <w:b/>
        </w:rPr>
        <w:t>Financial considerations</w:t>
      </w:r>
    </w:p>
    <w:p w:rsidR="009F2F4B" w:rsidRDefault="009F2F4B" w:rsidP="009F2F4B">
      <w:r>
        <w:t>It is difficult to estimate a growth rate, although the introduction of an MBS item number would lead to increase uptake in this technology. There is a learning curve associated with the procedure so this uptake may not be rapid initially. It is something which will probably gradually increase over time. The capital outlay of the equipment is also something that needs to be considered in the uptake of the procedure and also the hospital reimbursement banding for the consumables. If these are made to work in favour of a business model to purchase a high power Holmium laser, then hospitals would be more likely to make this investment. Advantages to hospitals included a reduced length of stay for the procedure, reduced complications and less professional time spent on managing these.</w:t>
      </w:r>
    </w:p>
    <w:p w:rsidR="00786914" w:rsidRPr="007867C3" w:rsidRDefault="00786914" w:rsidP="0006743B"/>
    <w:p w:rsidR="00786914" w:rsidRDefault="00786914" w:rsidP="0006743B">
      <w:pPr>
        <w:pStyle w:val="Heading1"/>
      </w:pPr>
      <w:bookmarkStart w:id="256" w:name="_Toc323642292"/>
      <w:bookmarkStart w:id="257" w:name="_Toc327877891"/>
      <w:bookmarkStart w:id="258" w:name="_Toc323642294"/>
      <w:bookmarkStart w:id="259" w:name="_Toc365900580"/>
      <w:r w:rsidRPr="004C6B15">
        <w:lastRenderedPageBreak/>
        <w:t>What are the economic considerations?</w:t>
      </w:r>
      <w:bookmarkEnd w:id="256"/>
      <w:bookmarkEnd w:id="257"/>
      <w:bookmarkEnd w:id="259"/>
    </w:p>
    <w:p w:rsidR="00786914" w:rsidRDefault="00786914" w:rsidP="0006743B">
      <w:pPr>
        <w:pStyle w:val="Heading2"/>
      </w:pPr>
      <w:bookmarkStart w:id="260" w:name="_Toc323642293"/>
      <w:bookmarkStart w:id="261" w:name="_Toc327877892"/>
      <w:bookmarkStart w:id="262" w:name="_Toc365900581"/>
      <w:r>
        <w:t>Economic evaluation</w:t>
      </w:r>
      <w:bookmarkEnd w:id="260"/>
      <w:bookmarkEnd w:id="261"/>
      <w:bookmarkEnd w:id="262"/>
    </w:p>
    <w:p w:rsidR="00786914" w:rsidRPr="007A011C" w:rsidRDefault="00786914" w:rsidP="0006743B">
      <w:r w:rsidRPr="007A011C">
        <w:rPr>
          <w:rFonts w:cs="Garamond"/>
          <w:color w:val="000000"/>
          <w:sz w:val="23"/>
          <w:szCs w:val="23"/>
        </w:rPr>
        <w:t>E</w:t>
      </w:r>
      <w:r w:rsidRPr="007A011C">
        <w:t xml:space="preserve">conomic evaluation is important in order to understand both the costs and consequences of introducing a new medical intervention. The introduction of a procedure may be costly, and it is important to ensure that where public funds are limited, those tests which represent the best value for money are identified </w:t>
      </w:r>
      <w:r>
        <w:rPr>
          <w:noProof/>
        </w:rPr>
        <w:t>(Drummond et al 2005)</w:t>
      </w:r>
      <w:r w:rsidRPr="007A011C">
        <w:t xml:space="preserve">. In an economic evaluation, alternative options are compared in terms of their costs and consequences. The most widely used type of economic evaluation is the cost-effectiveness analysis (CEA). In a CEA, consequences are measured in natural or physical units. A cost-utility analysis (CUA) is a specific form of CEA in which the effect of healthcare technologies on life expectancy and health-related quality of life (HRQoL) are combined. The most common outcome measure for a CUA is the quality-adjusted life year (QALY). A CUA is considered the gold standard for economic evaluations because it allows the direct comparison of the relative health benefits of healthcare technologies across different disease areas and populations and therefore facilitates resource allocation decisions </w:t>
      </w:r>
      <w:r>
        <w:rPr>
          <w:noProof/>
        </w:rPr>
        <w:t>(</w:t>
      </w:r>
      <w:r w:rsidRPr="000A20EE">
        <w:rPr>
          <w:noProof/>
        </w:rPr>
        <w:t>Drummond et al 2005; Gold et al 1999</w:t>
      </w:r>
      <w:r>
        <w:rPr>
          <w:noProof/>
        </w:rPr>
        <w:t>)</w:t>
      </w:r>
      <w:r>
        <w:t>.</w:t>
      </w:r>
    </w:p>
    <w:p w:rsidR="00786914" w:rsidRPr="00A43EAD" w:rsidRDefault="00786914" w:rsidP="0006743B">
      <w:r w:rsidRPr="007A011C">
        <w:t xml:space="preserve">To the extent that data allow, a decision-analytic model can be used to synthesise data on costs and consequences obtained from various sources, such as the literature, primary data collected and expert opinion, to estimate the cost-effectiveness or cost per QALY of the new intervention compared to conventional approaches </w:t>
      </w:r>
      <w:r>
        <w:rPr>
          <w:noProof/>
        </w:rPr>
        <w:t>(</w:t>
      </w:r>
      <w:r w:rsidRPr="000A20EE">
        <w:rPr>
          <w:noProof/>
        </w:rPr>
        <w:t>Briggs et al 2006</w:t>
      </w:r>
      <w:r>
        <w:rPr>
          <w:noProof/>
        </w:rPr>
        <w:t>)</w:t>
      </w:r>
      <w:r w:rsidRPr="007A011C">
        <w:t>. In the context of economic evaluation, a decision-analytic model uses mathematical relationships to define a series of possible consequences that would follow from a set of alternative options being evaluated. A key purpose of decision-analytic modelling is to allow for the variability and uncertainty associated with all decisions. Nevertheless, the quality of the model is highly dependent on the quality of information used to populate it.</w:t>
      </w:r>
    </w:p>
    <w:p w:rsidR="00786914" w:rsidRDefault="00786914" w:rsidP="0006743B">
      <w:pPr>
        <w:pStyle w:val="Normalbold"/>
      </w:pPr>
      <w:bookmarkStart w:id="263" w:name="_Toc327877893"/>
      <w:r>
        <w:t>Literature review</w:t>
      </w:r>
      <w:bookmarkEnd w:id="263"/>
    </w:p>
    <w:p w:rsidR="00786914" w:rsidRDefault="00786914" w:rsidP="0006743B">
      <w:r>
        <w:t xml:space="preserve">The literature search described in the ‘Approach to assessment’ section of this report identified two papers that included a formal economic evaluation relevant to this </w:t>
      </w:r>
      <w:r w:rsidRPr="000A20EE">
        <w:t>assessment (Lourenco et al 2008;Salonia et al 2006). An</w:t>
      </w:r>
      <w:r w:rsidRPr="00EC757B">
        <w:t xml:space="preserve"> overview of these is provided below and in Appendix G.</w:t>
      </w:r>
      <w:r>
        <w:t xml:space="preserve"> An additional literature search was conducted to identify any further economic evaluations relevant to the assessment of HoLEP compared with TURP or OP. This search strategy combined the MeSH terms used in the search of clinical evidence with search filters developed by the Centre for Reviews and Dissemination to specifically identify publications of economic evaluations. A description of the supplementary search strategy is given in Appendix C.</w:t>
      </w:r>
    </w:p>
    <w:p w:rsidR="00786914" w:rsidRPr="00EC757B" w:rsidRDefault="00786914" w:rsidP="0006743B">
      <w:r w:rsidRPr="00EC757B">
        <w:t>This supplementary search identified two papers that reported on economic evaluations relevant to the assessment (</w:t>
      </w:r>
      <w:r w:rsidRPr="000A20EE">
        <w:t>Stovsky et al 2006;Fraundorfer at al 2001</w:t>
      </w:r>
      <w:r w:rsidRPr="00EC757B">
        <w:t>). An overview of these is provided below and in Appendix G.</w:t>
      </w:r>
    </w:p>
    <w:p w:rsidR="00786914" w:rsidRDefault="00786914">
      <w:pPr>
        <w:spacing w:after="0"/>
        <w:ind w:left="0"/>
        <w:rPr>
          <w:b/>
        </w:rPr>
      </w:pPr>
      <w:bookmarkStart w:id="264" w:name="_Toc327877894"/>
      <w:r>
        <w:br w:type="page"/>
      </w:r>
    </w:p>
    <w:p w:rsidR="00786914" w:rsidRDefault="00786914" w:rsidP="0006743B">
      <w:pPr>
        <w:pStyle w:val="Normalbold"/>
      </w:pPr>
      <w:r>
        <w:lastRenderedPageBreak/>
        <w:t>Economic evaluations comparing HoLEP with TURP</w:t>
      </w:r>
      <w:bookmarkEnd w:id="264"/>
    </w:p>
    <w:p w:rsidR="00786914" w:rsidRDefault="00786914" w:rsidP="0006743B">
      <w:r w:rsidRPr="006C2192">
        <w:rPr>
          <w:b/>
        </w:rPr>
        <w:t xml:space="preserve">Lourenco et al 2008 (Armstrong et al </w:t>
      </w:r>
      <w:r w:rsidRPr="006C2192">
        <w:rPr>
          <w:b/>
          <w:noProof/>
        </w:rPr>
        <w:t>(2009)</w:t>
      </w:r>
      <w:r w:rsidRPr="006C2192">
        <w:rPr>
          <w:b/>
        </w:rPr>
        <w:t>:</w:t>
      </w:r>
      <w:r>
        <w:t xml:space="preserve"> The Lourenco et al systematic review referred to in earlier sections of this report also included a wide-ranging economic evaluation of a range of interventions that explored the cost-effectiveness of multiple treatment strategies for BPH. Strategies included in the economic evaluation could be used in various combinations, where patients experiencing treatment failure were eligible to either receive re-treatment using the same method or to receive treatment with another, more invasive, procedure. The economic evaluation was performed through the development of a Markov model. Health states and transition probabilities derived from the meta-analysis of clinical evidence informed the movement of a cohort of 25,000 patients through the model. The time horizon the model was 10 years, with individual cycle lengths of three months.</w:t>
      </w:r>
    </w:p>
    <w:p w:rsidR="00786914" w:rsidRDefault="00786914" w:rsidP="0006743B">
      <w:r>
        <w:t>Results presented were the costs and consequences (QALYs) accrued across the cohort over the time horizon of the model. Only costs incurred from the perspective of the English National Health Service were considered.</w:t>
      </w:r>
    </w:p>
    <w:p w:rsidR="00786914" w:rsidRDefault="00786914" w:rsidP="0006743B">
      <w:r>
        <w:t xml:space="preserve">For the specific comparison of HoLEP versus TURP, the results indicated that HoLEP was both less costly and more effective than TURP alone (HoLEP is dominant). Across the cohort population of 25,000 patients used in the model, HoLEP treatment was associated with cost savings of </w:t>
      </w:r>
      <w:r w:rsidRPr="00CA519B">
        <w:t>£</w:t>
      </w:r>
      <w:r>
        <w:t>35,082,760 with a corresponding gain of 1,434 QALYs.</w:t>
      </w:r>
    </w:p>
    <w:p w:rsidR="00786914" w:rsidRDefault="00786914" w:rsidP="0006743B">
      <w:r>
        <w:t>A series of results for alternative treatment strategies was also presented. These results do not impact on this assessment as they related to alternative (i.e. non HoLEP, TURP or OP) interventions and have not been summarised here.</w:t>
      </w:r>
    </w:p>
    <w:p w:rsidR="00786914" w:rsidRDefault="00786914" w:rsidP="0006743B">
      <w:r w:rsidRPr="006C2192">
        <w:rPr>
          <w:b/>
        </w:rPr>
        <w:t xml:space="preserve">Stovsky et al </w:t>
      </w:r>
      <w:r w:rsidRPr="006C2192">
        <w:rPr>
          <w:b/>
          <w:noProof/>
        </w:rPr>
        <w:t>(2006)</w:t>
      </w:r>
      <w:r w:rsidRPr="006C2192">
        <w:rPr>
          <w:b/>
        </w:rPr>
        <w:t>:</w:t>
      </w:r>
      <w:r>
        <w:t xml:space="preserve"> This American study assessed seven treatment options for BPH including photoselective vaporisation of the prostate (PVP), microwave thermotherapy (TUMT), transurethral needle ablation (TUNA), interstitial laser coagulation (ILC) and transurethral resection (TURP). Unlike the Lourenco et al evaluation, this study did not allow patients to receive more than one treatment option. When initial treatment failed the patient would receive re-treatment with the original technique.</w:t>
      </w:r>
    </w:p>
    <w:p w:rsidR="00786914" w:rsidRDefault="00786914" w:rsidP="0006743B">
      <w:r>
        <w:t>The economic evaluation was performed through the development of a Markov model in which health states and transition probabilities informed the movement of a cohort of 10,000 patients through the model. The time horizon of the model was two years, with individual cycle lengths of one month.</w:t>
      </w:r>
    </w:p>
    <w:p w:rsidR="00786914" w:rsidRDefault="00786914" w:rsidP="0006743B">
      <w:r>
        <w:t>Results presented were the costs accrued across the entire cohort over the duration of the model, as well as the change in clinical outcomes of symptom scores, Qmax and QoL from the pre-treatment baseline. Only costs incurred from the perspective of a third-party payer (US Medicare) were considered.</w:t>
      </w:r>
    </w:p>
    <w:p w:rsidR="00786914" w:rsidRDefault="00786914" w:rsidP="0006743B">
      <w:r>
        <w:t>PVP resulted in the largest benefit in all clinical outcome measures, followed by TURP. The remaining five interventions would be ranked differently according to the clinical outcome measure selected. The numbers of adverse events were not reported as these were used simply to obtain an estimate of the costs. The expected cost (2005 $US) per patient over two years was$3,589 for PVP, $4,754 for ILC, $4,927 for TUNA, $6,179 for TURP and $5,461–$5,699 for TUMT.A synthesis of cost and outcomes facilitating the calculation of the ICER was not presented.</w:t>
      </w:r>
    </w:p>
    <w:p w:rsidR="00786914" w:rsidRPr="009F1126" w:rsidRDefault="00786914" w:rsidP="0006743B">
      <w:pPr>
        <w:rPr>
          <w:b/>
        </w:rPr>
      </w:pPr>
      <w:r w:rsidRPr="006C2192">
        <w:rPr>
          <w:b/>
        </w:rPr>
        <w:lastRenderedPageBreak/>
        <w:t>Fraundorfer et al 2001:</w:t>
      </w:r>
      <w:r>
        <w:rPr>
          <w:b/>
          <w:u w:val="single"/>
        </w:rPr>
        <w:t xml:space="preserve"> </w:t>
      </w:r>
      <w:r>
        <w:t>This study compared HoLRP – holmium laser resection of the prostate. The primary difference between HoLEP and this procedure is the means by which the excised prostatic tissue is removed. This study outlines that HoLEP is associated with a shorter duration of operation and has largely replaced HoLRP as a surgical technique for the treatment of BPH. While this study does not consider HoLEP in comparison to TURP, the high degree of similarity between HoLRP and HoLEP suggests the findings of this study would be broadly applicable to the cost-effectiveness of HoLEP.</w:t>
      </w:r>
    </w:p>
    <w:p w:rsidR="00786914" w:rsidRDefault="00786914" w:rsidP="0006743B">
      <w:r>
        <w:t>This economic evaluation was conducted using clinical and economic data collected from a single-centre clinical trial. One-hundred and twenty patients with BPH and urodynamically proven obstruction were randomised to undergo either TURP (n=59) or HoLRP (n=61). Clinical and economic data were recorded prospectively out to one year postoperatively. The time horizon of the economic evaluation was that of the clinical trial (one year).</w:t>
      </w:r>
    </w:p>
    <w:p w:rsidR="00786914" w:rsidRDefault="00786914" w:rsidP="0006743B">
      <w:r>
        <w:t>Results presented were the total immediate procedural costs associated with HoLRP and TURP, as well as the costs of unplanned clinical visits and inpatient admissions throughout the one-year duration of the trial. The main outcomes assessed were those relating to the immediate treatment with either HoLRP or TURP including resection time (minutes), catheterisation time (hours), nursing contact time (minutes), hospital stay (hours) and blood transfusion (n). Clinical effectiveness measures presented included Qmax (ml/s), symptom score (AUA) and Schafer-grade outcomes at 6 and 12 months. Unscheduled clinic visits, readmissions and complications were also assessed. Only costs incurred from the perspective of the treating hospital were considered in the economic evaluation.</w:t>
      </w:r>
    </w:p>
    <w:p w:rsidR="00786914" w:rsidRDefault="00786914" w:rsidP="0006743B">
      <w:pPr>
        <w:pStyle w:val="Normalbold"/>
      </w:pPr>
      <w:bookmarkStart w:id="265" w:name="_Toc327877895"/>
      <w:r>
        <w:t>Economic evaluations comparing HoLEP with OP</w:t>
      </w:r>
      <w:bookmarkEnd w:id="265"/>
    </w:p>
    <w:p w:rsidR="00786914" w:rsidRDefault="00786914" w:rsidP="0006743B">
      <w:r>
        <w:t>Only one study was identified that assessed economic aspects of HoLEP treatment as an alternative to OP.</w:t>
      </w:r>
    </w:p>
    <w:p w:rsidR="00786914" w:rsidRPr="00AD6C5E" w:rsidRDefault="00786914" w:rsidP="0006743B">
      <w:pPr>
        <w:rPr>
          <w:b/>
        </w:rPr>
      </w:pPr>
      <w:r w:rsidRPr="006C2192">
        <w:rPr>
          <w:b/>
        </w:rPr>
        <w:t>Salonia et al 2006:</w:t>
      </w:r>
      <w:r>
        <w:t xml:space="preserve"> The aim of this study was to compare the cost of HoLEP with OP in the treatment of BPH in men with a large (70–220g) prostate. The economic data used in this analysis were collected through the conduct of a single-centre clinical trial. In this trial 63 consecutive patients with BPH were randomised to undergo either OP (n=29) or HoLEP (n=34). It is assumed in this study that the time horizon included is only the overall length of stay for the procedure as postoperative clinical and economic data are not presented.</w:t>
      </w:r>
    </w:p>
    <w:p w:rsidR="00786914" w:rsidRDefault="00786914" w:rsidP="0006743B">
      <w:r>
        <w:t>Results presented were the total immediate procedural costs associated with HoLEP and OP. Clinical effectiveness measures for either treatment approach were not presented.</w:t>
      </w:r>
    </w:p>
    <w:p w:rsidR="00786914" w:rsidRDefault="00786914" w:rsidP="0006743B">
      <w:r>
        <w:t>The cost analysis in this study showed a mean cost of €2,868.90 ($US3,556.30) for OP and €2,356.50 ($US2,919.40) for HoLEP, a difference of €512.40 ($US636.90) in favour of HoLEP. A synthesis of cost and outcomes facilitating the calculation of the ICER was not presented.</w:t>
      </w:r>
    </w:p>
    <w:p w:rsidR="00786914" w:rsidRDefault="00786914">
      <w:pPr>
        <w:spacing w:after="0"/>
        <w:ind w:left="0"/>
        <w:rPr>
          <w:b/>
        </w:rPr>
      </w:pPr>
      <w:bookmarkStart w:id="266" w:name="_Toc327877896"/>
      <w:r>
        <w:br w:type="page"/>
      </w:r>
    </w:p>
    <w:p w:rsidR="00786914" w:rsidRDefault="00786914" w:rsidP="0006743B">
      <w:pPr>
        <w:pStyle w:val="Normalbold"/>
      </w:pPr>
      <w:r>
        <w:lastRenderedPageBreak/>
        <w:t>Discussion of reviewed literature</w:t>
      </w:r>
      <w:bookmarkEnd w:id="266"/>
    </w:p>
    <w:p w:rsidR="00786914" w:rsidRDefault="00786914" w:rsidP="0006743B">
      <w:r>
        <w:t xml:space="preserve">There is relatively little economic literature relating to HoLEP, and the majority of these papers assess the cost-effectiveness of HoLEP in comparison with TURP. Only Lourenco et al (2008) however specifically reported on both the cost and effectiveness of HoLEP in comparison with TURP. In this evaluation, HoLEP was less costly and more effective than TURP. It is important to note however that this economic evaluation assessed the comparative cost-effectiveness of a range of treatment interventions and clinical management approaches and that a direct assessment of HoLEP against TURP was not the primary focus of this evaluation. </w:t>
      </w:r>
    </w:p>
    <w:p w:rsidR="00786914" w:rsidRDefault="00786914" w:rsidP="0006743B">
      <w:r>
        <w:t xml:space="preserve">All other studies comparing HoLEP with TURP presented the comparative costs for PVP (not always HoLEP specifically), or for HoLRP and did not include an accompanying synthesis of costs with clinical effectiveness. As such they are not placed to inform the question of the cost-effectiveness of HoLEP compared to TURP. All of the identified economic evaluations indicated that HoLEP (or HoLRP) was a less costly procedure than TURP. Differences in costs were driven primarily by reduced resource use associated with adverse events from the treatment procedure, as well as reduced average length of hospital stay times associated with HoLEP treatment. </w:t>
      </w:r>
    </w:p>
    <w:p w:rsidR="00786914" w:rsidRDefault="00786914" w:rsidP="0006743B">
      <w:r>
        <w:t>The costs presented across the economic evaluations described above were presented from a range of different payer perspectives. As a result of the differences in payer perspective it is difficult to gauge how consistent the results of the published economic evaluations are. Further, the range of payer perspectives used in previous studies impacts on how reliably the costs presented in previous economic evaluations will reflect those incurred in the Australian context and from the perspective of the Federal Government as its role as the primary funder of healthcare in Australia.</w:t>
      </w:r>
    </w:p>
    <w:p w:rsidR="00786914" w:rsidRDefault="00786914" w:rsidP="0006743B">
      <w:r>
        <w:t>The potential issues on the transferability of the results presented in previous economic evaluations to the Australian context leads to the situation whereby the conduct of a cost-effectiveness of HoLEP compared with TURP was undertaken as part of this assessment. This economic evaluation also used data from the updated meta-analysis. The methodological approach to the evaluation followed the parameters outlined in the DAP.</w:t>
      </w:r>
    </w:p>
    <w:p w:rsidR="00786914" w:rsidRDefault="00786914" w:rsidP="0006743B">
      <w:r>
        <w:t>Overall there is a paucity of economic literature evaluating HoLEP treatment compared with OP. Only one publication was identified in the systematic literature review which presented a costing analysis covering the perioperative period only, reporting lower costs associated with HoLEP over OP. As no literature was identified that reported a synthesis of costs and effectiveness for HoLEP compared to OP, the conduct of an economic evaluation assessing the cost-effectiveness of HoLEP compared with OP in the Australian context was undertaken as part of this assessment.</w:t>
      </w:r>
    </w:p>
    <w:p w:rsidR="00786914" w:rsidRPr="003E6CF6" w:rsidRDefault="00786914" w:rsidP="0006743B">
      <w:pPr>
        <w:pStyle w:val="Normalbold"/>
      </w:pPr>
      <w:bookmarkStart w:id="267" w:name="_Toc327877897"/>
      <w:r w:rsidRPr="003E6CF6">
        <w:t xml:space="preserve">Description of the </w:t>
      </w:r>
      <w:r>
        <w:t>economic evaluation undertaken</w:t>
      </w:r>
      <w:bookmarkEnd w:id="267"/>
    </w:p>
    <w:p w:rsidR="00786914" w:rsidRDefault="00786914" w:rsidP="0006743B">
      <w:r>
        <w:t>Where applicable, the framework for the economic evaluation conducted in this assessment was aligned with the requirements of the DAP and included:</w:t>
      </w:r>
    </w:p>
    <w:p w:rsidR="00786914" w:rsidRDefault="00786914" w:rsidP="0006743B">
      <w:r w:rsidRPr="0001791B">
        <w:rPr>
          <w:b/>
        </w:rPr>
        <w:t xml:space="preserve">Study question: </w:t>
      </w:r>
      <w:r w:rsidRPr="0001791B">
        <w:t>There are two decision options (i.e. questions for public funding) listed in the DAP. These are:</w:t>
      </w:r>
    </w:p>
    <w:p w:rsidR="00786914" w:rsidRPr="00F1645C" w:rsidRDefault="00786914" w:rsidP="0006743B">
      <w:pPr>
        <w:pStyle w:val="Bullet"/>
      </w:pPr>
      <w:r w:rsidRPr="00F1645C">
        <w:lastRenderedPageBreak/>
        <w:t>In men with symptomatic BPH no longer manageable with medications, and with an expected prostate size less than 80–100g, what is the cost-effectiveness of HoLEP compared with TURP?</w:t>
      </w:r>
    </w:p>
    <w:p w:rsidR="00786914" w:rsidRPr="00F1645C" w:rsidRDefault="00786914" w:rsidP="0006743B">
      <w:pPr>
        <w:pStyle w:val="Bullet"/>
      </w:pPr>
      <w:r w:rsidRPr="00F1645C">
        <w:t>In men with symptomatic BPH no longer manageable with medications, and with an expected prostate size greater than 80–100g, what is cost-effectiveness of HoLEP compared with OP or two-stage TURP?</w:t>
      </w:r>
    </w:p>
    <w:p w:rsidR="00786914" w:rsidRDefault="00786914" w:rsidP="0006743B">
      <w:r>
        <w:t>As no studies were identified reporting on the comparative effectiveness of HoLEP and two-stage TURP in the treatment of BPH in men with an expected prostate size of greater than 80-100g the cost-effectiveness of two-stage TURP was not able to be addressed here.</w:t>
      </w:r>
    </w:p>
    <w:p w:rsidR="00786914" w:rsidRPr="00E60D35" w:rsidRDefault="00786914" w:rsidP="0006743B">
      <w:r w:rsidRPr="0001791B">
        <w:rPr>
          <w:b/>
        </w:rPr>
        <w:t xml:space="preserve">Time horizon: </w:t>
      </w:r>
      <w:r w:rsidRPr="0001791B">
        <w:t>A time horizon of five years was chosen. This is based on the availability of clinical effectiveness data used in the meta-analysis presented as part of this report.</w:t>
      </w:r>
    </w:p>
    <w:p w:rsidR="00786914" w:rsidRPr="00401CE0" w:rsidRDefault="00786914" w:rsidP="0006743B">
      <w:r w:rsidRPr="0001791B">
        <w:rPr>
          <w:b/>
        </w:rPr>
        <w:t xml:space="preserve">Discount rate: </w:t>
      </w:r>
      <w:r w:rsidRPr="0001791B">
        <w:t>A discount rate of 5% was applied to all costs and effects incurred after the first year of initial treatment</w:t>
      </w:r>
      <w:r>
        <w:t xml:space="preserve">. </w:t>
      </w:r>
      <w:r w:rsidRPr="0001791B">
        <w:t>The base year is 2012.</w:t>
      </w:r>
    </w:p>
    <w:p w:rsidR="00786914" w:rsidRPr="00401CE0" w:rsidRDefault="00786914" w:rsidP="0006743B">
      <w:r w:rsidRPr="0001791B">
        <w:rPr>
          <w:b/>
        </w:rPr>
        <w:t>Type of economic evaluation</w:t>
      </w:r>
      <w:r w:rsidRPr="0001791B">
        <w:rPr>
          <w:b/>
          <w:bCs/>
        </w:rPr>
        <w:t xml:space="preserve">: </w:t>
      </w:r>
      <w:r w:rsidRPr="0001791B">
        <w:t>A cost-utility analysis was undertaken.</w:t>
      </w:r>
    </w:p>
    <w:p w:rsidR="00786914" w:rsidRPr="00401CE0" w:rsidRDefault="00786914" w:rsidP="0006743B">
      <w:r w:rsidRPr="0001791B">
        <w:rPr>
          <w:b/>
        </w:rPr>
        <w:t>Economic model</w:t>
      </w:r>
      <w:r w:rsidRPr="004D1C1B">
        <w:t xml:space="preserve">: </w:t>
      </w:r>
      <w:r w:rsidRPr="0001791B">
        <w:t>A Markov model was developed, allowing patients transition through health states over the time horizon. Individual cycle lengths were six months with half-cycle correction employed to account for the continuous nature of transitio</w:t>
      </w:r>
      <w:r>
        <w:t>n probabilities within a cycle.</w:t>
      </w:r>
    </w:p>
    <w:p w:rsidR="00786914" w:rsidRPr="00401CE0" w:rsidRDefault="00786914" w:rsidP="0006743B">
      <w:r w:rsidRPr="00E60D35">
        <w:t>The model includes health states</w:t>
      </w:r>
      <w:r>
        <w:t xml:space="preserve">: </w:t>
      </w:r>
      <w:r w:rsidRPr="00401CE0">
        <w:rPr>
          <w:u w:val="single"/>
        </w:rPr>
        <w:t>initial treatment</w:t>
      </w:r>
      <w:r w:rsidRPr="00401CE0">
        <w:t xml:space="preserve"> (with or without adverse events); </w:t>
      </w:r>
      <w:r w:rsidRPr="00C557C9">
        <w:rPr>
          <w:u w:val="single"/>
        </w:rPr>
        <w:t>well</w:t>
      </w:r>
      <w:r w:rsidRPr="00401CE0">
        <w:t xml:space="preserve"> (treatment successful); </w:t>
      </w:r>
      <w:r w:rsidRPr="00401CE0">
        <w:rPr>
          <w:u w:val="single"/>
        </w:rPr>
        <w:t>long-term side effects</w:t>
      </w:r>
      <w:r w:rsidRPr="00401CE0">
        <w:t xml:space="preserve"> (successful treatment but resulting in side effects); </w:t>
      </w:r>
      <w:r w:rsidRPr="00401CE0">
        <w:rPr>
          <w:u w:val="single"/>
        </w:rPr>
        <w:t>treatment failure</w:t>
      </w:r>
      <w:r w:rsidRPr="00401CE0">
        <w:t xml:space="preserve"> (treatment unsuccessful requiring re-intervention); </w:t>
      </w:r>
      <w:r w:rsidRPr="00401CE0">
        <w:rPr>
          <w:u w:val="single"/>
        </w:rPr>
        <w:t>repeat treatment</w:t>
      </w:r>
      <w:r w:rsidRPr="00401CE0">
        <w:t xml:space="preserve"> (with or without adverse events);</w:t>
      </w:r>
      <w:r>
        <w:t xml:space="preserve"> </w:t>
      </w:r>
      <w:r w:rsidRPr="00C557C9">
        <w:rPr>
          <w:u w:val="single"/>
        </w:rPr>
        <w:t>treatment for urethral stricture</w:t>
      </w:r>
      <w:r>
        <w:rPr>
          <w:u w:val="single"/>
        </w:rPr>
        <w:t>;</w:t>
      </w:r>
      <w:r>
        <w:t xml:space="preserve"> </w:t>
      </w:r>
      <w:r w:rsidRPr="00401CE0">
        <w:t xml:space="preserve">and </w:t>
      </w:r>
      <w:r w:rsidRPr="00401CE0">
        <w:rPr>
          <w:u w:val="single"/>
        </w:rPr>
        <w:t>death</w:t>
      </w:r>
      <w:r w:rsidRPr="00401CE0">
        <w:t xml:space="preserve"> (all cause mortality).</w:t>
      </w:r>
    </w:p>
    <w:p w:rsidR="00786914" w:rsidRDefault="00786914" w:rsidP="0006743B">
      <w:pPr>
        <w:rPr>
          <w:u w:val="single"/>
        </w:rPr>
      </w:pPr>
      <w:r>
        <w:t xml:space="preserve">All patients commence the model in the </w:t>
      </w:r>
      <w:r w:rsidRPr="00531A20">
        <w:t>‘</w:t>
      </w:r>
      <w:r>
        <w:t>i</w:t>
      </w:r>
      <w:r w:rsidRPr="00401CE0">
        <w:t>nitial treatment’ state.</w:t>
      </w:r>
    </w:p>
    <w:p w:rsidR="00786914" w:rsidRDefault="00786914" w:rsidP="0006743B">
      <w:r w:rsidRPr="004D1C1B">
        <w:t xml:space="preserve">In keeping with the DAP, patients </w:t>
      </w:r>
      <w:r>
        <w:t>can</w:t>
      </w:r>
      <w:r w:rsidRPr="004D1C1B">
        <w:t xml:space="preserve"> under</w:t>
      </w:r>
      <w:r>
        <w:t xml:space="preserve">go </w:t>
      </w:r>
      <w:r w:rsidRPr="004D1C1B">
        <w:t xml:space="preserve">a maximum of two </w:t>
      </w:r>
      <w:r>
        <w:t xml:space="preserve">HoLEP or TURP </w:t>
      </w:r>
      <w:r w:rsidRPr="004D1C1B">
        <w:t xml:space="preserve">procedures over the </w:t>
      </w:r>
      <w:r>
        <w:t>time frame</w:t>
      </w:r>
      <w:r w:rsidRPr="004D1C1B">
        <w:t>.</w:t>
      </w:r>
    </w:p>
    <w:p w:rsidR="00786914" w:rsidRDefault="00786914" w:rsidP="0006743B">
      <w:r w:rsidRPr="0001791B">
        <w:rPr>
          <w:b/>
        </w:rPr>
        <w:t>Treatment options after failed first procedure</w:t>
      </w:r>
      <w:r w:rsidRPr="004D1C1B">
        <w:t>:</w:t>
      </w:r>
      <w:r>
        <w:t xml:space="preserve"> </w:t>
      </w:r>
      <w:r w:rsidRPr="0001791B">
        <w:t>The treatment options after a failed first procedure were defined in the DAP as:</w:t>
      </w:r>
    </w:p>
    <w:p w:rsidR="00786914" w:rsidRPr="0001791B" w:rsidRDefault="00786914" w:rsidP="0006743B">
      <w:pPr>
        <w:rPr>
          <w:b/>
        </w:rPr>
      </w:pPr>
      <w:r w:rsidRPr="0001791B">
        <w:rPr>
          <w:b/>
        </w:rPr>
        <w:t>Prostate size &lt;80–100g</w:t>
      </w:r>
    </w:p>
    <w:p w:rsidR="00786914" w:rsidRPr="0001791B" w:rsidRDefault="00786914" w:rsidP="0006743B">
      <w:pPr>
        <w:pStyle w:val="Bullet"/>
      </w:pPr>
      <w:r w:rsidRPr="0001791B">
        <w:t>Failed HoLEP: Second HoLEP or TURP</w:t>
      </w:r>
    </w:p>
    <w:p w:rsidR="00786914" w:rsidRPr="0001791B" w:rsidRDefault="00786914" w:rsidP="0006743B">
      <w:pPr>
        <w:pStyle w:val="Bullet"/>
      </w:pPr>
      <w:r w:rsidRPr="0001791B">
        <w:t>Failed TURP: Second TURP.</w:t>
      </w:r>
    </w:p>
    <w:p w:rsidR="00786914" w:rsidRPr="0001791B" w:rsidRDefault="00786914" w:rsidP="0006743B">
      <w:pPr>
        <w:rPr>
          <w:b/>
        </w:rPr>
      </w:pPr>
      <w:r w:rsidRPr="0001791B">
        <w:rPr>
          <w:b/>
        </w:rPr>
        <w:t>Prostate size &gt;80–100g</w:t>
      </w:r>
    </w:p>
    <w:p w:rsidR="00786914" w:rsidRPr="0001791B" w:rsidRDefault="00786914" w:rsidP="0006743B">
      <w:pPr>
        <w:pStyle w:val="Bullet"/>
      </w:pPr>
      <w:r w:rsidRPr="0001791B">
        <w:t>Failed HoLEP: Second HoLEP, or OP</w:t>
      </w:r>
    </w:p>
    <w:p w:rsidR="00786914" w:rsidRPr="0001791B" w:rsidRDefault="00786914" w:rsidP="0006743B">
      <w:pPr>
        <w:pStyle w:val="Bullet"/>
      </w:pPr>
      <w:r w:rsidRPr="0001791B">
        <w:t>Failed OP: no subsequent treatment option in this model</w:t>
      </w:r>
      <w:r>
        <w:t>.</w:t>
      </w:r>
    </w:p>
    <w:p w:rsidR="00786914" w:rsidRPr="00D54043" w:rsidRDefault="00786914" w:rsidP="0006743B">
      <w:pPr>
        <w:pStyle w:val="Normalbold"/>
      </w:pPr>
      <w:bookmarkStart w:id="268" w:name="_Toc327877898"/>
      <w:r>
        <w:lastRenderedPageBreak/>
        <w:t>Assumptions</w:t>
      </w:r>
      <w:bookmarkEnd w:id="268"/>
    </w:p>
    <w:p w:rsidR="00786914" w:rsidRPr="00401CE0" w:rsidRDefault="00786914" w:rsidP="0006743B">
      <w:r w:rsidRPr="00401CE0">
        <w:t>Based on results of meta-analysis the length of hospital stay for treatment (without adverse events) for HoLEP, TURP and OP is two, three and five days respectively.</w:t>
      </w:r>
    </w:p>
    <w:p w:rsidR="00FF41C8" w:rsidRDefault="00FF41C8" w:rsidP="00FF41C8">
      <w:pPr>
        <w:rPr>
          <w:highlight w:val="yellow"/>
        </w:rPr>
      </w:pPr>
      <w:r>
        <w:t>It was assumed that the clinical and other management of patients with BPH up to the time of procedure, as well as post-operative management are equivalent. Based on this assumption, hospital costs for HoLEP procedures were derived based on equivalent TURP costs but adjusted for lengths of stay.</w:t>
      </w:r>
    </w:p>
    <w:p w:rsidR="00786914" w:rsidRPr="00401CE0" w:rsidRDefault="00B90464" w:rsidP="0006743B">
      <w:r>
        <w:t>F</w:t>
      </w:r>
      <w:r w:rsidR="00786914" w:rsidRPr="00401CE0">
        <w:t>or HoLEP</w:t>
      </w:r>
      <w:r w:rsidR="00786914">
        <w:t xml:space="preserve"> treatment,</w:t>
      </w:r>
      <w:r w:rsidR="00786914" w:rsidRPr="00401CE0">
        <w:t xml:space="preserve"> adverse events associated with the procedure, longer-term complications and </w:t>
      </w:r>
      <w:r w:rsidR="00786914">
        <w:t>re-treatment</w:t>
      </w:r>
      <w:r w:rsidR="00786914" w:rsidRPr="00401CE0">
        <w:t xml:space="preserve"> rates were calculated by multiplying the relative risk of experiencing these events </w:t>
      </w:r>
      <w:r w:rsidR="00786914">
        <w:t xml:space="preserve">by the associated </w:t>
      </w:r>
      <w:r w:rsidR="00786914" w:rsidRPr="00EB3027">
        <w:t xml:space="preserve">rates for TURP or OP </w:t>
      </w:r>
      <w:r w:rsidR="00786914">
        <w:t xml:space="preserve">that were </w:t>
      </w:r>
      <w:r w:rsidR="00786914" w:rsidRPr="00401CE0">
        <w:t>derived from the meta-analysis of data</w:t>
      </w:r>
      <w:r w:rsidR="00786914">
        <w:t>.</w:t>
      </w:r>
      <w:r w:rsidR="00786914" w:rsidRPr="00401CE0">
        <w:t xml:space="preserve"> </w:t>
      </w:r>
    </w:p>
    <w:p w:rsidR="00786914" w:rsidRPr="00401CE0" w:rsidRDefault="00786914" w:rsidP="0006743B">
      <w:r w:rsidRPr="00401CE0">
        <w:t xml:space="preserve">From the published literature it was not possible to determine if a given patient experienced more than one </w:t>
      </w:r>
      <w:r>
        <w:t xml:space="preserve">short-term </w:t>
      </w:r>
      <w:r w:rsidRPr="00401CE0">
        <w:t xml:space="preserve">adverse event following treatment. As a result, rates of </w:t>
      </w:r>
      <w:r>
        <w:t>these</w:t>
      </w:r>
      <w:r w:rsidRPr="00401CE0">
        <w:t xml:space="preserve"> events were derived by summing the rates presented in the meta-analysis</w:t>
      </w:r>
      <w:r>
        <w:t xml:space="preserve">. </w:t>
      </w:r>
      <w:r w:rsidRPr="00401CE0">
        <w:t>As the events and patient numbers that were summed are not necessarily mutually exclusive this may result in an overall over-estimation of rates</w:t>
      </w:r>
      <w:r>
        <w:t xml:space="preserve">. </w:t>
      </w:r>
      <w:r w:rsidRPr="00401CE0">
        <w:t xml:space="preserve">Therefore, the overall figures presented for adverse events represent a ‘worst case’ </w:t>
      </w:r>
      <w:r>
        <w:t xml:space="preserve">treatment </w:t>
      </w:r>
      <w:r w:rsidRPr="00401CE0">
        <w:t>scenario.</w:t>
      </w:r>
    </w:p>
    <w:p w:rsidR="00786914" w:rsidRPr="00401CE0" w:rsidRDefault="00786914" w:rsidP="0006743B">
      <w:r>
        <w:t>A</w:t>
      </w:r>
      <w:r w:rsidRPr="00401CE0">
        <w:t>dverse events associated with treatment (HoL</w:t>
      </w:r>
      <w:r>
        <w:t>EP or</w:t>
      </w:r>
      <w:r w:rsidRPr="00401CE0">
        <w:t xml:space="preserve"> TURP</w:t>
      </w:r>
      <w:r>
        <w:t>)</w:t>
      </w:r>
      <w:r w:rsidRPr="00401CE0">
        <w:t xml:space="preserve"> would be treated on an in-patient basis</w:t>
      </w:r>
      <w:r>
        <w:t xml:space="preserve"> and </w:t>
      </w:r>
      <w:r w:rsidRPr="00401CE0">
        <w:t>result in additional length of hospital stay of two days.</w:t>
      </w:r>
      <w:r>
        <w:t xml:space="preserve"> Adverse events associated with OP would be treated and resolved within the five day treatment time frame for this intervention.</w:t>
      </w:r>
    </w:p>
    <w:p w:rsidR="00786914" w:rsidRDefault="00786914" w:rsidP="0006743B">
      <w:r>
        <w:t>T</w:t>
      </w:r>
      <w:r w:rsidRPr="00401CE0">
        <w:t xml:space="preserve">reatment for </w:t>
      </w:r>
      <w:r>
        <w:t xml:space="preserve">longer-term </w:t>
      </w:r>
      <w:r w:rsidRPr="00401CE0">
        <w:t>incontinence would include either behavioural interventions, including education programs and lifestyle modifications, or pharmacologic therapy using oxybutynin 5mg twice daily (or equivalent).</w:t>
      </w:r>
    </w:p>
    <w:p w:rsidR="00786914" w:rsidRDefault="00786914" w:rsidP="0006743B">
      <w:r>
        <w:t xml:space="preserve">Treatment for urethral stricture would be performed as an in-patient procedure and undertaken by either </w:t>
      </w:r>
      <w:r w:rsidRPr="00FF5F61">
        <w:t xml:space="preserve">urethrotomy </w:t>
      </w:r>
      <w:r>
        <w:t>or</w:t>
      </w:r>
      <w:r w:rsidRPr="00FF5F61">
        <w:t xml:space="preserve"> dilation</w:t>
      </w:r>
      <w:r>
        <w:t>. Patients would not undergo any re-treatment upon failure of initial urethral stricture treatment. The utility associated with urethral stricture is the same as that for long-term incontinence.</w:t>
      </w:r>
    </w:p>
    <w:p w:rsidR="00786914" w:rsidRPr="00A37839" w:rsidRDefault="00786914" w:rsidP="0006743B">
      <w:pPr>
        <w:pStyle w:val="Normalbold"/>
      </w:pPr>
      <w:bookmarkStart w:id="269" w:name="_Toc327877899"/>
      <w:r w:rsidRPr="00A37839">
        <w:t>Transition probabilities.</w:t>
      </w:r>
      <w:bookmarkEnd w:id="269"/>
    </w:p>
    <w:p w:rsidR="00786914" w:rsidRDefault="00786914" w:rsidP="0006743B">
      <w:r w:rsidRPr="00A37839">
        <w:t xml:space="preserve">Rates of </w:t>
      </w:r>
      <w:r>
        <w:t xml:space="preserve">short-term </w:t>
      </w:r>
      <w:r w:rsidRPr="00A37839">
        <w:t xml:space="preserve">adverse events, </w:t>
      </w:r>
      <w:r>
        <w:t>longer-term</w:t>
      </w:r>
      <w:r w:rsidRPr="00A37839">
        <w:t xml:space="preserve"> side effects and </w:t>
      </w:r>
      <w:r>
        <w:t>re-treatment</w:t>
      </w:r>
      <w:r w:rsidRPr="00A37839">
        <w:t xml:space="preserve"> </w:t>
      </w:r>
      <w:r>
        <w:t xml:space="preserve">associated with TURP were </w:t>
      </w:r>
      <w:r w:rsidRPr="00A37839">
        <w:t>derived from the meta-analysis</w:t>
      </w:r>
      <w:r>
        <w:t xml:space="preserve"> a</w:t>
      </w:r>
      <w:r w:rsidRPr="00A37839">
        <w:t>nd are shown in</w:t>
      </w:r>
      <w:r>
        <w:t xml:space="preserve"> Table 20</w:t>
      </w:r>
      <w:r w:rsidRPr="00A37839">
        <w:t xml:space="preserve">. </w:t>
      </w:r>
      <w:r>
        <w:t>All</w:t>
      </w:r>
      <w:r w:rsidRPr="00A37839">
        <w:t xml:space="preserve"> rates were transformed into probability values </w:t>
      </w:r>
      <w:r>
        <w:t>for use in the model using the formula:</w:t>
      </w:r>
    </w:p>
    <w:p w:rsidR="00786914" w:rsidRPr="008321AD" w:rsidRDefault="00786914" w:rsidP="0006743B">
      <w:pPr>
        <w:jc w:val="center"/>
        <w:rPr>
          <w:i/>
          <w:szCs w:val="24"/>
          <w:vertAlign w:val="superscript"/>
        </w:rPr>
      </w:pPr>
      <w:r w:rsidRPr="008321AD">
        <w:rPr>
          <w:szCs w:val="24"/>
        </w:rPr>
        <w:t>P=1-</w:t>
      </w:r>
      <w:r w:rsidRPr="008321AD">
        <w:rPr>
          <w:i/>
          <w:szCs w:val="24"/>
        </w:rPr>
        <w:t>e</w:t>
      </w:r>
      <w:r w:rsidRPr="008321AD">
        <w:rPr>
          <w:i/>
          <w:szCs w:val="24"/>
          <w:vertAlign w:val="superscript"/>
        </w:rPr>
        <w:t>-rt</w:t>
      </w:r>
    </w:p>
    <w:p w:rsidR="00786914" w:rsidRDefault="00786914" w:rsidP="0006743B">
      <w:r w:rsidRPr="006E6216">
        <w:t xml:space="preserve">Where P is the probability that an event will occur; </w:t>
      </w:r>
      <w:r w:rsidRPr="006E6216">
        <w:rPr>
          <w:i/>
        </w:rPr>
        <w:t>e</w:t>
      </w:r>
      <w:r w:rsidRPr="006E6216">
        <w:t xml:space="preserve"> is</w:t>
      </w:r>
      <w:r>
        <w:t xml:space="preserve"> the base of the natural logarithm; </w:t>
      </w:r>
      <w:r>
        <w:rPr>
          <w:i/>
        </w:rPr>
        <w:t>r</w:t>
      </w:r>
      <w:r>
        <w:t xml:space="preserve"> is the rate; and </w:t>
      </w:r>
      <w:r>
        <w:rPr>
          <w:i/>
        </w:rPr>
        <w:t>t</w:t>
      </w:r>
      <w:r>
        <w:t xml:space="preserve"> is time.</w:t>
      </w:r>
    </w:p>
    <w:p w:rsidR="00FF41C8" w:rsidRDefault="00FF41C8" w:rsidP="0006743B"/>
    <w:p w:rsidR="00FF41C8" w:rsidRPr="006E6216" w:rsidRDefault="00FF41C8" w:rsidP="0006743B">
      <w:pPr>
        <w:rPr>
          <w:vertAlign w:val="superscript"/>
        </w:rPr>
      </w:pPr>
    </w:p>
    <w:p w:rsidR="00786914" w:rsidRDefault="00786914" w:rsidP="0006743B">
      <w:pPr>
        <w:pStyle w:val="Caption"/>
      </w:pPr>
      <w:bookmarkStart w:id="270" w:name="_Toc327803267"/>
      <w:bookmarkStart w:id="271" w:name="_Toc327881557"/>
      <w:bookmarkStart w:id="272" w:name="_Ref323640933"/>
      <w:bookmarkStart w:id="273" w:name="_Toc323642336"/>
      <w:r>
        <w:lastRenderedPageBreak/>
        <w:t xml:space="preserve">Table </w:t>
      </w:r>
      <w:fldSimple w:instr=" SEQ Table \* ARABIC ">
        <w:r w:rsidR="00F45C43">
          <w:rPr>
            <w:noProof/>
          </w:rPr>
          <w:t>20</w:t>
        </w:r>
      </w:fldSimple>
      <w:r>
        <w:t>:</w:t>
      </w:r>
      <w:r>
        <w:tab/>
        <w:t>Adverse events, urethral stricture, long-term incontinence and re-treatment values</w:t>
      </w:r>
      <w:bookmarkEnd w:id="270"/>
      <w:bookmarkEnd w:id="271"/>
      <w:r>
        <w:t xml:space="preserve"> </w:t>
      </w:r>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786914" w:rsidRPr="00A37839" w:rsidTr="0006743B">
        <w:tc>
          <w:tcPr>
            <w:tcW w:w="1666" w:type="pct"/>
            <w:vAlign w:val="bottom"/>
          </w:tcPr>
          <w:p w:rsidR="00786914" w:rsidRPr="005F687E" w:rsidRDefault="00786914" w:rsidP="0006743B">
            <w:pPr>
              <w:pStyle w:val="Tableheading"/>
            </w:pPr>
            <w:r w:rsidRPr="005F687E">
              <w:t>Health state</w:t>
            </w:r>
          </w:p>
        </w:tc>
        <w:tc>
          <w:tcPr>
            <w:tcW w:w="1666" w:type="pct"/>
            <w:vAlign w:val="bottom"/>
          </w:tcPr>
          <w:p w:rsidR="00786914" w:rsidRPr="005F687E" w:rsidRDefault="00786914" w:rsidP="0006743B">
            <w:pPr>
              <w:pStyle w:val="Tableheading"/>
            </w:pPr>
            <w:r w:rsidRPr="005F687E">
              <w:t>P</w:t>
            </w:r>
          </w:p>
        </w:tc>
        <w:tc>
          <w:tcPr>
            <w:tcW w:w="1667" w:type="pct"/>
          </w:tcPr>
          <w:p w:rsidR="00786914" w:rsidRPr="005F687E" w:rsidRDefault="00786914" w:rsidP="0006743B">
            <w:pPr>
              <w:pStyle w:val="Tableheading"/>
            </w:pPr>
            <w:r w:rsidRPr="005F687E">
              <w:t>Source</w:t>
            </w:r>
          </w:p>
        </w:tc>
      </w:tr>
      <w:tr w:rsidR="00786914" w:rsidRPr="00A37839" w:rsidTr="0006743B">
        <w:tc>
          <w:tcPr>
            <w:tcW w:w="1666" w:type="pct"/>
            <w:vAlign w:val="bottom"/>
          </w:tcPr>
          <w:p w:rsidR="00786914" w:rsidRPr="005E7D8A" w:rsidRDefault="00786914" w:rsidP="0006743B">
            <w:pPr>
              <w:pStyle w:val="TableText"/>
            </w:pPr>
            <w:r w:rsidRPr="005E7D8A">
              <w:t>Adverse events (TURP)</w:t>
            </w:r>
          </w:p>
        </w:tc>
        <w:tc>
          <w:tcPr>
            <w:tcW w:w="1666" w:type="pct"/>
          </w:tcPr>
          <w:p w:rsidR="00786914" w:rsidRPr="005E7D8A" w:rsidRDefault="00786914" w:rsidP="0006743B">
            <w:pPr>
              <w:pStyle w:val="TableText"/>
            </w:pPr>
            <w:r w:rsidRPr="005E7D8A">
              <w:t>0.18</w:t>
            </w:r>
          </w:p>
        </w:tc>
        <w:tc>
          <w:tcPr>
            <w:tcW w:w="1667" w:type="pct"/>
          </w:tcPr>
          <w:p w:rsidR="00786914" w:rsidRPr="005E7D8A" w:rsidRDefault="00786914" w:rsidP="0006743B">
            <w:pPr>
              <w:pStyle w:val="TableText"/>
            </w:pPr>
            <w:r w:rsidRPr="005E7D8A">
              <w:t>Derived</w:t>
            </w:r>
          </w:p>
        </w:tc>
      </w:tr>
      <w:tr w:rsidR="00786914" w:rsidRPr="00A37839" w:rsidTr="0006743B">
        <w:tc>
          <w:tcPr>
            <w:tcW w:w="1666" w:type="pct"/>
            <w:vAlign w:val="bottom"/>
          </w:tcPr>
          <w:p w:rsidR="00786914" w:rsidRPr="005E7D8A" w:rsidRDefault="00786914" w:rsidP="0006743B">
            <w:pPr>
              <w:pStyle w:val="TableText"/>
            </w:pPr>
            <w:r w:rsidRPr="005E7D8A">
              <w:t>Urethral stricture (TURP)</w:t>
            </w:r>
          </w:p>
        </w:tc>
        <w:tc>
          <w:tcPr>
            <w:tcW w:w="1666" w:type="pct"/>
          </w:tcPr>
          <w:p w:rsidR="00786914" w:rsidRPr="005E7D8A" w:rsidRDefault="00786914" w:rsidP="0006743B">
            <w:pPr>
              <w:pStyle w:val="TableText"/>
            </w:pPr>
            <w:r w:rsidRPr="005E7D8A">
              <w:t>0.09</w:t>
            </w:r>
          </w:p>
        </w:tc>
        <w:tc>
          <w:tcPr>
            <w:tcW w:w="1667" w:type="pct"/>
          </w:tcPr>
          <w:p w:rsidR="00786914" w:rsidRPr="005E7D8A" w:rsidRDefault="00786914" w:rsidP="0006743B">
            <w:pPr>
              <w:pStyle w:val="TableText"/>
            </w:pPr>
            <w:r w:rsidRPr="005E7D8A">
              <w:t>Derived</w:t>
            </w:r>
          </w:p>
        </w:tc>
      </w:tr>
      <w:tr w:rsidR="00786914" w:rsidRPr="00A37839" w:rsidTr="0006743B">
        <w:tc>
          <w:tcPr>
            <w:tcW w:w="1666" w:type="pct"/>
            <w:vAlign w:val="bottom"/>
          </w:tcPr>
          <w:p w:rsidR="00786914" w:rsidRPr="005E7D8A" w:rsidRDefault="00786914" w:rsidP="0006743B">
            <w:pPr>
              <w:pStyle w:val="TableText"/>
            </w:pPr>
            <w:r w:rsidRPr="005E7D8A">
              <w:t>Long-term incontinence (TURP)</w:t>
            </w:r>
          </w:p>
        </w:tc>
        <w:tc>
          <w:tcPr>
            <w:tcW w:w="1666" w:type="pct"/>
          </w:tcPr>
          <w:p w:rsidR="00786914" w:rsidRPr="005E7D8A" w:rsidRDefault="00786914" w:rsidP="0006743B">
            <w:pPr>
              <w:pStyle w:val="TableText"/>
            </w:pPr>
            <w:r w:rsidRPr="005E7D8A">
              <w:t>0.02</w:t>
            </w:r>
          </w:p>
        </w:tc>
        <w:tc>
          <w:tcPr>
            <w:tcW w:w="1667" w:type="pct"/>
          </w:tcPr>
          <w:p w:rsidR="00786914" w:rsidRPr="005E7D8A" w:rsidRDefault="00786914" w:rsidP="0006743B">
            <w:pPr>
              <w:pStyle w:val="TableText"/>
            </w:pPr>
            <w:r w:rsidRPr="005E7D8A">
              <w:t>Derived</w:t>
            </w:r>
          </w:p>
        </w:tc>
      </w:tr>
      <w:tr w:rsidR="00786914" w:rsidRPr="00A37839" w:rsidTr="0006743B">
        <w:tc>
          <w:tcPr>
            <w:tcW w:w="1666" w:type="pct"/>
            <w:vAlign w:val="bottom"/>
          </w:tcPr>
          <w:p w:rsidR="00786914" w:rsidRPr="005E7D8A" w:rsidRDefault="00786914" w:rsidP="0006743B">
            <w:pPr>
              <w:pStyle w:val="TableText"/>
            </w:pPr>
            <w:r w:rsidRPr="005E7D8A">
              <w:t>Reintervention for BPH (TURP)</w:t>
            </w:r>
          </w:p>
        </w:tc>
        <w:tc>
          <w:tcPr>
            <w:tcW w:w="1666" w:type="pct"/>
          </w:tcPr>
          <w:p w:rsidR="00786914" w:rsidRPr="005E7D8A" w:rsidRDefault="00786914" w:rsidP="0006743B">
            <w:pPr>
              <w:pStyle w:val="TableText"/>
            </w:pPr>
            <w:r w:rsidRPr="005E7D8A">
              <w:t>0.02</w:t>
            </w:r>
          </w:p>
        </w:tc>
        <w:tc>
          <w:tcPr>
            <w:tcW w:w="1667" w:type="pct"/>
          </w:tcPr>
          <w:p w:rsidR="00786914" w:rsidRPr="005E7D8A" w:rsidRDefault="00786914" w:rsidP="0006743B">
            <w:pPr>
              <w:pStyle w:val="TableText"/>
            </w:pPr>
            <w:r w:rsidRPr="005E7D8A">
              <w:t>Derived</w:t>
            </w:r>
          </w:p>
        </w:tc>
      </w:tr>
    </w:tbl>
    <w:p w:rsidR="00786914" w:rsidRDefault="00786914" w:rsidP="0006743B"/>
    <w:p w:rsidR="00786914" w:rsidRDefault="00786914" w:rsidP="0006743B">
      <w:pPr>
        <w:spacing w:after="200" w:line="276" w:lineRule="auto"/>
        <w:ind w:left="567"/>
      </w:pPr>
      <w:r w:rsidRPr="00A37839">
        <w:t xml:space="preserve">The relative risk of </w:t>
      </w:r>
      <w:r>
        <w:t xml:space="preserve">short-term </w:t>
      </w:r>
      <w:r w:rsidRPr="00A37839">
        <w:t>adverse events</w:t>
      </w:r>
      <w:r>
        <w:t xml:space="preserve"> and longer-term complications including urethral stricture,</w:t>
      </w:r>
      <w:r w:rsidRPr="00A37839">
        <w:t xml:space="preserve"> </w:t>
      </w:r>
      <w:r>
        <w:t>incontinence and reintervention for BPH</w:t>
      </w:r>
      <w:r w:rsidRPr="00A37839">
        <w:t xml:space="preserve"> associated with HoLEP relative to T</w:t>
      </w:r>
      <w:r>
        <w:t>URP are shown in Table 21.</w:t>
      </w:r>
    </w:p>
    <w:p w:rsidR="00786914" w:rsidRDefault="00786914" w:rsidP="0006743B">
      <w:pPr>
        <w:pStyle w:val="Caption"/>
        <w:keepNext/>
      </w:pPr>
      <w:bookmarkStart w:id="274" w:name="_Toc327803268"/>
      <w:bookmarkStart w:id="275" w:name="_Toc327881558"/>
      <w:bookmarkStart w:id="276" w:name="_Ref323647385"/>
      <w:bookmarkStart w:id="277" w:name="_Toc323642337"/>
      <w:r>
        <w:t xml:space="preserve">Table </w:t>
      </w:r>
      <w:fldSimple w:instr=" SEQ Table \* ARABIC ">
        <w:r w:rsidR="00F45C43">
          <w:rPr>
            <w:noProof/>
          </w:rPr>
          <w:t>21</w:t>
        </w:r>
      </w:fldSimple>
      <w:r>
        <w:t>: Relative risk values of HoLEP compared to TURP</w:t>
      </w:r>
      <w:bookmarkEnd w:id="274"/>
      <w:bookmarkEnd w:id="2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721"/>
        <w:gridCol w:w="1721"/>
        <w:gridCol w:w="2362"/>
      </w:tblGrid>
      <w:tr w:rsidR="00786914" w:rsidRPr="00A37839" w:rsidTr="0006743B">
        <w:tc>
          <w:tcPr>
            <w:tcW w:w="1860" w:type="pct"/>
          </w:tcPr>
          <w:bookmarkEnd w:id="276"/>
          <w:bookmarkEnd w:id="277"/>
          <w:p w:rsidR="00786914" w:rsidRPr="00AA30BA" w:rsidRDefault="00786914" w:rsidP="0006743B">
            <w:pPr>
              <w:pStyle w:val="Tableheading"/>
            </w:pPr>
            <w:r w:rsidRPr="00AA30BA">
              <w:t>Health state</w:t>
            </w:r>
          </w:p>
        </w:tc>
        <w:tc>
          <w:tcPr>
            <w:tcW w:w="931" w:type="pct"/>
          </w:tcPr>
          <w:p w:rsidR="00786914" w:rsidRPr="00AA30BA" w:rsidRDefault="00786914" w:rsidP="0006743B">
            <w:pPr>
              <w:pStyle w:val="Tableheading"/>
            </w:pPr>
            <w:r w:rsidRPr="00AA30BA">
              <w:t>Relative Risk</w:t>
            </w:r>
          </w:p>
        </w:tc>
        <w:tc>
          <w:tcPr>
            <w:tcW w:w="931" w:type="pct"/>
          </w:tcPr>
          <w:p w:rsidR="00786914" w:rsidRPr="00AA30BA" w:rsidRDefault="00786914" w:rsidP="0006743B">
            <w:pPr>
              <w:pStyle w:val="Tableheading"/>
            </w:pPr>
            <w:r w:rsidRPr="00AA30BA">
              <w:t>95% CI</w:t>
            </w:r>
          </w:p>
        </w:tc>
        <w:tc>
          <w:tcPr>
            <w:tcW w:w="1278" w:type="pct"/>
          </w:tcPr>
          <w:p w:rsidR="00786914" w:rsidRPr="00AA30BA" w:rsidRDefault="00786914" w:rsidP="0006743B">
            <w:pPr>
              <w:pStyle w:val="Tableheading"/>
            </w:pPr>
            <w:r w:rsidRPr="00AA30BA">
              <w:t>Source</w:t>
            </w:r>
          </w:p>
        </w:tc>
      </w:tr>
      <w:tr w:rsidR="00786914" w:rsidRPr="00A37839" w:rsidTr="0006743B">
        <w:tc>
          <w:tcPr>
            <w:tcW w:w="1860" w:type="pct"/>
            <w:vAlign w:val="bottom"/>
          </w:tcPr>
          <w:p w:rsidR="00786914" w:rsidRPr="00AA30BA" w:rsidRDefault="00786914" w:rsidP="0006743B">
            <w:pPr>
              <w:pStyle w:val="TableText"/>
            </w:pPr>
            <w:r w:rsidRPr="00AA30BA">
              <w:t>Adverse events (HoLEP)</w:t>
            </w:r>
          </w:p>
        </w:tc>
        <w:tc>
          <w:tcPr>
            <w:tcW w:w="931" w:type="pct"/>
          </w:tcPr>
          <w:p w:rsidR="00786914" w:rsidRPr="00AA30BA" w:rsidRDefault="00786914" w:rsidP="0006743B">
            <w:pPr>
              <w:pStyle w:val="TableText"/>
            </w:pPr>
            <w:r w:rsidRPr="00AA30BA">
              <w:t>0.51</w:t>
            </w:r>
          </w:p>
        </w:tc>
        <w:tc>
          <w:tcPr>
            <w:tcW w:w="931" w:type="pct"/>
          </w:tcPr>
          <w:p w:rsidR="00786914" w:rsidRPr="00AA30BA" w:rsidRDefault="00786914" w:rsidP="0006743B">
            <w:pPr>
              <w:pStyle w:val="TableText"/>
            </w:pPr>
            <w:r w:rsidRPr="00AA30BA">
              <w:t>0.31 – 0.86</w:t>
            </w:r>
          </w:p>
        </w:tc>
        <w:tc>
          <w:tcPr>
            <w:tcW w:w="1278" w:type="pct"/>
          </w:tcPr>
          <w:p w:rsidR="00786914" w:rsidRPr="00AA30BA" w:rsidRDefault="00786914" w:rsidP="0006743B">
            <w:pPr>
              <w:pStyle w:val="TableText"/>
            </w:pPr>
            <w:r>
              <w:t>Derived</w:t>
            </w:r>
          </w:p>
        </w:tc>
      </w:tr>
      <w:tr w:rsidR="00786914" w:rsidRPr="00A37839" w:rsidTr="0006743B">
        <w:tc>
          <w:tcPr>
            <w:tcW w:w="1860" w:type="pct"/>
            <w:vAlign w:val="bottom"/>
          </w:tcPr>
          <w:p w:rsidR="00786914" w:rsidRPr="00AA30BA" w:rsidRDefault="00786914" w:rsidP="0006743B">
            <w:pPr>
              <w:pStyle w:val="TableText"/>
            </w:pPr>
            <w:r w:rsidRPr="00AA30BA">
              <w:t>Urethral stricture (HoLEP)</w:t>
            </w:r>
          </w:p>
        </w:tc>
        <w:tc>
          <w:tcPr>
            <w:tcW w:w="931" w:type="pct"/>
          </w:tcPr>
          <w:p w:rsidR="00786914" w:rsidRPr="00AA30BA" w:rsidRDefault="00786914" w:rsidP="0006743B">
            <w:pPr>
              <w:pStyle w:val="TableText"/>
            </w:pPr>
            <w:r w:rsidRPr="00AA30BA">
              <w:t>0.65</w:t>
            </w:r>
          </w:p>
        </w:tc>
        <w:tc>
          <w:tcPr>
            <w:tcW w:w="931" w:type="pct"/>
          </w:tcPr>
          <w:p w:rsidR="00786914" w:rsidRPr="00AA30BA" w:rsidRDefault="00786914" w:rsidP="0006743B">
            <w:pPr>
              <w:pStyle w:val="TableText"/>
            </w:pPr>
            <w:r w:rsidRPr="00AA30BA">
              <w:t>0.33 – 1.27</w:t>
            </w:r>
          </w:p>
        </w:tc>
        <w:tc>
          <w:tcPr>
            <w:tcW w:w="1278" w:type="pct"/>
          </w:tcPr>
          <w:p w:rsidR="00786914" w:rsidRPr="00AA30BA" w:rsidRDefault="00786914" w:rsidP="0006743B">
            <w:pPr>
              <w:pStyle w:val="TableText"/>
            </w:pPr>
            <w:r w:rsidRPr="00AA30BA">
              <w:t>Meta-analysis</w:t>
            </w:r>
          </w:p>
        </w:tc>
      </w:tr>
      <w:tr w:rsidR="00786914" w:rsidRPr="00A37839" w:rsidTr="0006743B">
        <w:tc>
          <w:tcPr>
            <w:tcW w:w="1860" w:type="pct"/>
            <w:vAlign w:val="bottom"/>
          </w:tcPr>
          <w:p w:rsidR="00786914" w:rsidRPr="00AA30BA" w:rsidRDefault="00786914" w:rsidP="0006743B">
            <w:pPr>
              <w:pStyle w:val="TableText"/>
            </w:pPr>
            <w:r w:rsidRPr="00AA30BA">
              <w:t>Long-term incontinence (HoLEP)</w:t>
            </w:r>
          </w:p>
        </w:tc>
        <w:tc>
          <w:tcPr>
            <w:tcW w:w="931" w:type="pct"/>
          </w:tcPr>
          <w:p w:rsidR="00786914" w:rsidRPr="00AA30BA" w:rsidRDefault="00786914" w:rsidP="0006743B">
            <w:pPr>
              <w:pStyle w:val="TableText"/>
            </w:pPr>
            <w:r w:rsidRPr="00AA30BA">
              <w:t>0.84</w:t>
            </w:r>
          </w:p>
        </w:tc>
        <w:tc>
          <w:tcPr>
            <w:tcW w:w="931" w:type="pct"/>
          </w:tcPr>
          <w:p w:rsidR="00786914" w:rsidRPr="00AA30BA" w:rsidRDefault="00786914" w:rsidP="0006743B">
            <w:pPr>
              <w:pStyle w:val="TableText"/>
            </w:pPr>
            <w:r w:rsidRPr="00AA30BA">
              <w:t>0.31 – 2.28</w:t>
            </w:r>
          </w:p>
        </w:tc>
        <w:tc>
          <w:tcPr>
            <w:tcW w:w="1278" w:type="pct"/>
          </w:tcPr>
          <w:p w:rsidR="00786914" w:rsidRPr="00AA30BA" w:rsidRDefault="00786914" w:rsidP="0006743B">
            <w:pPr>
              <w:pStyle w:val="TableText"/>
            </w:pPr>
            <w:r w:rsidRPr="00AA30BA">
              <w:t>Meta-analysis</w:t>
            </w:r>
          </w:p>
        </w:tc>
      </w:tr>
      <w:tr w:rsidR="00786914" w:rsidRPr="00A37839" w:rsidTr="0006743B">
        <w:tc>
          <w:tcPr>
            <w:tcW w:w="1860" w:type="pct"/>
            <w:vAlign w:val="bottom"/>
          </w:tcPr>
          <w:p w:rsidR="00786914" w:rsidRPr="00AA30BA" w:rsidRDefault="00786914" w:rsidP="0006743B">
            <w:pPr>
              <w:pStyle w:val="TableText"/>
            </w:pPr>
            <w:r w:rsidRPr="00AA30BA">
              <w:t>Reintervention for BPH (HoLEP)</w:t>
            </w:r>
          </w:p>
        </w:tc>
        <w:tc>
          <w:tcPr>
            <w:tcW w:w="931" w:type="pct"/>
          </w:tcPr>
          <w:p w:rsidR="00786914" w:rsidRPr="00AA30BA" w:rsidRDefault="00786914" w:rsidP="0006743B">
            <w:pPr>
              <w:pStyle w:val="TableText"/>
            </w:pPr>
            <w:r w:rsidRPr="00AA30BA">
              <w:t>0.27</w:t>
            </w:r>
          </w:p>
        </w:tc>
        <w:tc>
          <w:tcPr>
            <w:tcW w:w="931" w:type="pct"/>
          </w:tcPr>
          <w:p w:rsidR="00786914" w:rsidRPr="00AA30BA" w:rsidRDefault="00786914" w:rsidP="0006743B">
            <w:pPr>
              <w:pStyle w:val="TableText"/>
            </w:pPr>
            <w:r w:rsidRPr="00AA30BA">
              <w:t>0.04 – 1.60</w:t>
            </w:r>
          </w:p>
        </w:tc>
        <w:tc>
          <w:tcPr>
            <w:tcW w:w="1278" w:type="pct"/>
          </w:tcPr>
          <w:p w:rsidR="00786914" w:rsidRPr="00AA30BA" w:rsidRDefault="00786914" w:rsidP="0006743B">
            <w:pPr>
              <w:pStyle w:val="TableText"/>
            </w:pPr>
            <w:r w:rsidRPr="00AA30BA">
              <w:t>Meta-analysis</w:t>
            </w:r>
          </w:p>
        </w:tc>
      </w:tr>
    </w:tbl>
    <w:p w:rsidR="00786914" w:rsidRPr="00A37839" w:rsidRDefault="00786914" w:rsidP="0006743B"/>
    <w:p w:rsidR="00786914" w:rsidRPr="00A37839" w:rsidRDefault="00786914" w:rsidP="0006743B">
      <w:r w:rsidRPr="00A37839">
        <w:t xml:space="preserve">Rates of </w:t>
      </w:r>
      <w:r>
        <w:t xml:space="preserve">short-term </w:t>
      </w:r>
      <w:r w:rsidRPr="00A37839">
        <w:t xml:space="preserve">adverse events, </w:t>
      </w:r>
      <w:r>
        <w:t xml:space="preserve">urethral stricture and </w:t>
      </w:r>
      <w:r w:rsidRPr="00A37839">
        <w:t xml:space="preserve">long-term </w:t>
      </w:r>
      <w:r>
        <w:t xml:space="preserve">incontinence </w:t>
      </w:r>
      <w:r w:rsidRPr="00A37839">
        <w:t>used in the model for OP are shown in</w:t>
      </w:r>
      <w:r>
        <w:t xml:space="preserve"> Table 22. </w:t>
      </w:r>
      <w:r w:rsidRPr="00A37839">
        <w:t xml:space="preserve">Similarly to TURP, these rates were transformed into probability values </w:t>
      </w:r>
      <w:r>
        <w:t>for use in the model as described above</w:t>
      </w:r>
      <w:r w:rsidRPr="00A37839">
        <w:t>.</w:t>
      </w:r>
    </w:p>
    <w:p w:rsidR="00786914" w:rsidRDefault="00786914" w:rsidP="0006743B">
      <w:pPr>
        <w:pStyle w:val="Caption"/>
        <w:keepNext/>
      </w:pPr>
      <w:bookmarkStart w:id="278" w:name="_Toc327803269"/>
      <w:bookmarkStart w:id="279" w:name="_Toc327881559"/>
      <w:bookmarkStart w:id="280" w:name="_Ref323640951"/>
      <w:bookmarkStart w:id="281" w:name="_Toc323642338"/>
      <w:r>
        <w:t xml:space="preserve">Table </w:t>
      </w:r>
      <w:fldSimple w:instr=" SEQ Table \* ARABIC ">
        <w:r w:rsidR="00F45C43">
          <w:rPr>
            <w:noProof/>
          </w:rPr>
          <w:t>22</w:t>
        </w:r>
      </w:fldSimple>
      <w:r>
        <w:t>:</w:t>
      </w:r>
      <w:r>
        <w:tab/>
        <w:t>Adverse events, urethral stricture and long-term incontinence associated with OP</w:t>
      </w:r>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786914" w:rsidRPr="00A37839" w:rsidTr="0006743B">
        <w:tc>
          <w:tcPr>
            <w:tcW w:w="1666" w:type="pct"/>
            <w:vAlign w:val="bottom"/>
          </w:tcPr>
          <w:bookmarkEnd w:id="280"/>
          <w:bookmarkEnd w:id="281"/>
          <w:p w:rsidR="00786914" w:rsidRPr="00AA30BA" w:rsidRDefault="00786914" w:rsidP="0006743B">
            <w:pPr>
              <w:pStyle w:val="Tableheading"/>
            </w:pPr>
            <w:r w:rsidRPr="00AA30BA">
              <w:t>Health state</w:t>
            </w:r>
          </w:p>
        </w:tc>
        <w:tc>
          <w:tcPr>
            <w:tcW w:w="1666" w:type="pct"/>
            <w:vAlign w:val="bottom"/>
          </w:tcPr>
          <w:p w:rsidR="00786914" w:rsidRPr="00AA30BA" w:rsidRDefault="00786914" w:rsidP="0006743B">
            <w:pPr>
              <w:pStyle w:val="Tableheading"/>
            </w:pPr>
            <w:r w:rsidRPr="00AA30BA">
              <w:rPr>
                <w:i/>
              </w:rPr>
              <w:t>P</w:t>
            </w:r>
          </w:p>
        </w:tc>
        <w:tc>
          <w:tcPr>
            <w:tcW w:w="1667" w:type="pct"/>
            <w:vAlign w:val="bottom"/>
          </w:tcPr>
          <w:p w:rsidR="00786914" w:rsidRPr="00AA30BA" w:rsidRDefault="00786914" w:rsidP="0006743B">
            <w:pPr>
              <w:pStyle w:val="Tableheading"/>
            </w:pPr>
            <w:r w:rsidRPr="00AA30BA">
              <w:t>Source</w:t>
            </w:r>
          </w:p>
        </w:tc>
      </w:tr>
      <w:tr w:rsidR="00786914" w:rsidRPr="00A37839" w:rsidTr="0006743B">
        <w:tc>
          <w:tcPr>
            <w:tcW w:w="1666" w:type="pct"/>
          </w:tcPr>
          <w:p w:rsidR="00786914" w:rsidRPr="00AA30BA" w:rsidRDefault="00786914" w:rsidP="0006743B">
            <w:pPr>
              <w:pStyle w:val="TableText"/>
            </w:pPr>
            <w:r w:rsidRPr="00AA30BA">
              <w:t>Adverse events (OP)</w:t>
            </w:r>
          </w:p>
        </w:tc>
        <w:tc>
          <w:tcPr>
            <w:tcW w:w="1666" w:type="pct"/>
            <w:vAlign w:val="bottom"/>
          </w:tcPr>
          <w:p w:rsidR="00786914" w:rsidRPr="00AA30BA" w:rsidRDefault="00786914" w:rsidP="0006743B">
            <w:pPr>
              <w:pStyle w:val="TableText"/>
            </w:pPr>
            <w:r w:rsidRPr="00AA30BA">
              <w:t>0.19</w:t>
            </w:r>
          </w:p>
        </w:tc>
        <w:tc>
          <w:tcPr>
            <w:tcW w:w="1667" w:type="pct"/>
          </w:tcPr>
          <w:p w:rsidR="00786914" w:rsidRPr="00AA30BA" w:rsidRDefault="00786914" w:rsidP="0006743B">
            <w:pPr>
              <w:pStyle w:val="TableText"/>
            </w:pPr>
            <w:r w:rsidRPr="00AA30BA">
              <w:t>Derived</w:t>
            </w:r>
          </w:p>
        </w:tc>
      </w:tr>
      <w:tr w:rsidR="00786914" w:rsidRPr="00A37839" w:rsidTr="0006743B">
        <w:tc>
          <w:tcPr>
            <w:tcW w:w="1666" w:type="pct"/>
          </w:tcPr>
          <w:p w:rsidR="00786914" w:rsidRPr="00AA30BA" w:rsidRDefault="00786914" w:rsidP="0006743B">
            <w:pPr>
              <w:pStyle w:val="TableText"/>
            </w:pPr>
            <w:r w:rsidRPr="00AA30BA">
              <w:t>Urethral stricture (OP)</w:t>
            </w:r>
          </w:p>
        </w:tc>
        <w:tc>
          <w:tcPr>
            <w:tcW w:w="1666" w:type="pct"/>
          </w:tcPr>
          <w:p w:rsidR="00786914" w:rsidRPr="00AA30BA" w:rsidRDefault="00786914" w:rsidP="0006743B">
            <w:pPr>
              <w:pStyle w:val="TableText"/>
            </w:pPr>
            <w:r w:rsidRPr="00AA30BA">
              <w:t>0.014</w:t>
            </w:r>
          </w:p>
        </w:tc>
        <w:tc>
          <w:tcPr>
            <w:tcW w:w="1667" w:type="pct"/>
          </w:tcPr>
          <w:p w:rsidR="00786914" w:rsidRPr="00AA30BA" w:rsidRDefault="00786914" w:rsidP="0006743B">
            <w:pPr>
              <w:pStyle w:val="TableText"/>
            </w:pPr>
            <w:r w:rsidRPr="00AA30BA">
              <w:t>Derived</w:t>
            </w:r>
          </w:p>
        </w:tc>
      </w:tr>
      <w:tr w:rsidR="00786914" w:rsidRPr="00A37839" w:rsidTr="0006743B">
        <w:tc>
          <w:tcPr>
            <w:tcW w:w="1666" w:type="pct"/>
            <w:vAlign w:val="bottom"/>
          </w:tcPr>
          <w:p w:rsidR="00786914" w:rsidRPr="00AA30BA" w:rsidRDefault="00786914" w:rsidP="0006743B">
            <w:pPr>
              <w:pStyle w:val="TableText"/>
            </w:pPr>
            <w:r w:rsidRPr="00AA30BA">
              <w:t>Long-term incontinence (OP)</w:t>
            </w:r>
          </w:p>
        </w:tc>
        <w:tc>
          <w:tcPr>
            <w:tcW w:w="1666" w:type="pct"/>
          </w:tcPr>
          <w:p w:rsidR="00786914" w:rsidRPr="00AA30BA" w:rsidRDefault="00786914" w:rsidP="0006743B">
            <w:pPr>
              <w:pStyle w:val="TableText"/>
            </w:pPr>
            <w:r w:rsidRPr="00B026AF">
              <w:t>0.05</w:t>
            </w:r>
          </w:p>
        </w:tc>
        <w:tc>
          <w:tcPr>
            <w:tcW w:w="1667" w:type="pct"/>
          </w:tcPr>
          <w:p w:rsidR="00786914" w:rsidRPr="00AA30BA" w:rsidRDefault="00786914" w:rsidP="0006743B">
            <w:pPr>
              <w:pStyle w:val="TableText"/>
            </w:pPr>
            <w:r w:rsidRPr="00AA30BA">
              <w:t>Derived</w:t>
            </w:r>
          </w:p>
        </w:tc>
      </w:tr>
    </w:tbl>
    <w:p w:rsidR="00786914" w:rsidRPr="00A37839" w:rsidRDefault="00786914" w:rsidP="0006743B"/>
    <w:p w:rsidR="00786914" w:rsidRPr="00A37839" w:rsidRDefault="00786914" w:rsidP="0006743B">
      <w:r w:rsidRPr="00A37839">
        <w:t xml:space="preserve">The relative risk of adverse events, </w:t>
      </w:r>
      <w:r>
        <w:t xml:space="preserve">urethral stricture and </w:t>
      </w:r>
      <w:r w:rsidRPr="00A37839">
        <w:t xml:space="preserve">long-term </w:t>
      </w:r>
      <w:r>
        <w:t xml:space="preserve">incontinence </w:t>
      </w:r>
      <w:r w:rsidRPr="00A37839">
        <w:t>associated with HoLEP relative to OP are shown in</w:t>
      </w:r>
      <w:r>
        <w:t xml:space="preserve"> Table 23</w:t>
      </w:r>
      <w:r w:rsidRPr="00A37839">
        <w:t>.</w:t>
      </w:r>
    </w:p>
    <w:p w:rsidR="00786914" w:rsidRDefault="00786914" w:rsidP="0006743B">
      <w:pPr>
        <w:pStyle w:val="Caption"/>
        <w:keepNext/>
      </w:pPr>
      <w:bookmarkStart w:id="282" w:name="_Toc327803270"/>
      <w:bookmarkStart w:id="283" w:name="_Toc327881560"/>
      <w:bookmarkStart w:id="284" w:name="_Ref323640963"/>
      <w:bookmarkStart w:id="285" w:name="_Toc323642339"/>
      <w:r>
        <w:t xml:space="preserve">Table </w:t>
      </w:r>
      <w:fldSimple w:instr=" SEQ Table \* ARABIC ">
        <w:r w:rsidR="00F45C43">
          <w:rPr>
            <w:noProof/>
          </w:rPr>
          <w:t>23</w:t>
        </w:r>
      </w:fldSimple>
      <w:r>
        <w:t>: Adverse events, urethral stricture and long-term incontinence relative risk values of HoLEP when compared with OP</w:t>
      </w:r>
      <w:bookmarkEnd w:id="282"/>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721"/>
        <w:gridCol w:w="1721"/>
        <w:gridCol w:w="2362"/>
      </w:tblGrid>
      <w:tr w:rsidR="00786914" w:rsidRPr="00A37839" w:rsidTr="0006743B">
        <w:tc>
          <w:tcPr>
            <w:tcW w:w="1860" w:type="pct"/>
          </w:tcPr>
          <w:bookmarkEnd w:id="284"/>
          <w:bookmarkEnd w:id="285"/>
          <w:p w:rsidR="00786914" w:rsidRPr="00AA30BA" w:rsidRDefault="00786914" w:rsidP="0006743B">
            <w:pPr>
              <w:pStyle w:val="Tableheading"/>
            </w:pPr>
            <w:r w:rsidRPr="00AA30BA">
              <w:t>Health state</w:t>
            </w:r>
          </w:p>
        </w:tc>
        <w:tc>
          <w:tcPr>
            <w:tcW w:w="931" w:type="pct"/>
          </w:tcPr>
          <w:p w:rsidR="00786914" w:rsidRPr="00AA30BA" w:rsidRDefault="00786914" w:rsidP="0006743B">
            <w:pPr>
              <w:pStyle w:val="Tableheading"/>
            </w:pPr>
            <w:r w:rsidRPr="00AA30BA">
              <w:t>Relative Risk</w:t>
            </w:r>
          </w:p>
        </w:tc>
        <w:tc>
          <w:tcPr>
            <w:tcW w:w="931" w:type="pct"/>
          </w:tcPr>
          <w:p w:rsidR="00786914" w:rsidRPr="00AA30BA" w:rsidRDefault="00786914" w:rsidP="0006743B">
            <w:pPr>
              <w:pStyle w:val="Tableheading"/>
            </w:pPr>
            <w:r w:rsidRPr="00AA30BA">
              <w:t>95% CI</w:t>
            </w:r>
          </w:p>
        </w:tc>
        <w:tc>
          <w:tcPr>
            <w:tcW w:w="1278" w:type="pct"/>
          </w:tcPr>
          <w:p w:rsidR="00786914" w:rsidRPr="00AA30BA" w:rsidRDefault="00786914" w:rsidP="0006743B">
            <w:pPr>
              <w:pStyle w:val="Tableheading"/>
            </w:pPr>
            <w:r w:rsidRPr="00AA30BA">
              <w:t>Source</w:t>
            </w:r>
          </w:p>
        </w:tc>
      </w:tr>
      <w:tr w:rsidR="00786914" w:rsidRPr="00A37839" w:rsidTr="0006743B">
        <w:tc>
          <w:tcPr>
            <w:tcW w:w="1860" w:type="pct"/>
            <w:vAlign w:val="bottom"/>
          </w:tcPr>
          <w:p w:rsidR="00786914" w:rsidRPr="00AA30BA" w:rsidRDefault="00786914" w:rsidP="0006743B">
            <w:pPr>
              <w:pStyle w:val="TableText"/>
            </w:pPr>
            <w:r w:rsidRPr="00AA30BA">
              <w:t>Adverse events (HoLEP)</w:t>
            </w:r>
          </w:p>
        </w:tc>
        <w:tc>
          <w:tcPr>
            <w:tcW w:w="931" w:type="pct"/>
          </w:tcPr>
          <w:p w:rsidR="00786914" w:rsidRPr="00AA30BA" w:rsidRDefault="00786914" w:rsidP="0006743B">
            <w:pPr>
              <w:pStyle w:val="TableText"/>
            </w:pPr>
            <w:r w:rsidRPr="00AA30BA">
              <w:t>0.40</w:t>
            </w:r>
          </w:p>
        </w:tc>
        <w:tc>
          <w:tcPr>
            <w:tcW w:w="931" w:type="pct"/>
          </w:tcPr>
          <w:p w:rsidR="00786914" w:rsidRPr="00AA30BA" w:rsidRDefault="00786914" w:rsidP="0006743B">
            <w:pPr>
              <w:pStyle w:val="TableText"/>
            </w:pPr>
            <w:r w:rsidRPr="00AA30BA">
              <w:t>0.17 – 0.93</w:t>
            </w:r>
          </w:p>
        </w:tc>
        <w:tc>
          <w:tcPr>
            <w:tcW w:w="1278" w:type="pct"/>
          </w:tcPr>
          <w:p w:rsidR="00786914" w:rsidRPr="00AA30BA" w:rsidRDefault="00786914" w:rsidP="0006743B">
            <w:pPr>
              <w:pStyle w:val="TableText"/>
            </w:pPr>
            <w:r>
              <w:t>Derived</w:t>
            </w:r>
          </w:p>
        </w:tc>
      </w:tr>
      <w:tr w:rsidR="00786914" w:rsidRPr="00A37839" w:rsidTr="0006743B">
        <w:tc>
          <w:tcPr>
            <w:tcW w:w="1860" w:type="pct"/>
            <w:vAlign w:val="bottom"/>
          </w:tcPr>
          <w:p w:rsidR="00786914" w:rsidRPr="00AA30BA" w:rsidRDefault="00786914" w:rsidP="0006743B">
            <w:pPr>
              <w:pStyle w:val="TableText"/>
            </w:pPr>
            <w:r w:rsidRPr="00AA30BA">
              <w:t>Urethral stricture (HoLEP)</w:t>
            </w:r>
          </w:p>
        </w:tc>
        <w:tc>
          <w:tcPr>
            <w:tcW w:w="931" w:type="pct"/>
          </w:tcPr>
          <w:p w:rsidR="00786914" w:rsidRPr="00AA30BA" w:rsidRDefault="00786914" w:rsidP="0006743B">
            <w:pPr>
              <w:pStyle w:val="TableText"/>
            </w:pPr>
            <w:r w:rsidRPr="00AA30BA">
              <w:t>1.07</w:t>
            </w:r>
          </w:p>
        </w:tc>
        <w:tc>
          <w:tcPr>
            <w:tcW w:w="931" w:type="pct"/>
          </w:tcPr>
          <w:p w:rsidR="00786914" w:rsidRPr="00AA30BA" w:rsidRDefault="00786914" w:rsidP="0006743B">
            <w:pPr>
              <w:pStyle w:val="TableText"/>
            </w:pPr>
            <w:r w:rsidRPr="00AA30BA">
              <w:t>0.30 – 3.87</w:t>
            </w:r>
          </w:p>
        </w:tc>
        <w:tc>
          <w:tcPr>
            <w:tcW w:w="1278" w:type="pct"/>
          </w:tcPr>
          <w:p w:rsidR="00786914" w:rsidRPr="00AA30BA" w:rsidRDefault="00786914" w:rsidP="0006743B">
            <w:pPr>
              <w:pStyle w:val="TableText"/>
            </w:pPr>
            <w:r w:rsidRPr="00AA30BA">
              <w:t>Meta-analysis</w:t>
            </w:r>
          </w:p>
        </w:tc>
      </w:tr>
      <w:tr w:rsidR="00786914" w:rsidRPr="00A37839" w:rsidTr="0006743B">
        <w:tc>
          <w:tcPr>
            <w:tcW w:w="1860" w:type="pct"/>
            <w:vAlign w:val="bottom"/>
          </w:tcPr>
          <w:p w:rsidR="00786914" w:rsidRPr="00AA30BA" w:rsidRDefault="00786914" w:rsidP="0006743B">
            <w:pPr>
              <w:pStyle w:val="TableText"/>
            </w:pPr>
            <w:r w:rsidRPr="00AA30BA">
              <w:t>Long-term incontinence (HoLEP)</w:t>
            </w:r>
          </w:p>
        </w:tc>
        <w:tc>
          <w:tcPr>
            <w:tcW w:w="931" w:type="pct"/>
          </w:tcPr>
          <w:p w:rsidR="00786914" w:rsidRPr="00AA30BA" w:rsidRDefault="00786914" w:rsidP="0006743B">
            <w:pPr>
              <w:pStyle w:val="TableText"/>
            </w:pPr>
            <w:r w:rsidRPr="00AA30BA">
              <w:t>0.79</w:t>
            </w:r>
          </w:p>
        </w:tc>
        <w:tc>
          <w:tcPr>
            <w:tcW w:w="931" w:type="pct"/>
          </w:tcPr>
          <w:p w:rsidR="00786914" w:rsidRPr="00AA30BA" w:rsidRDefault="00786914" w:rsidP="0006743B">
            <w:pPr>
              <w:pStyle w:val="TableText"/>
            </w:pPr>
            <w:r w:rsidRPr="00AA30BA">
              <w:t>0.31 – 2.04</w:t>
            </w:r>
          </w:p>
        </w:tc>
        <w:tc>
          <w:tcPr>
            <w:tcW w:w="1278" w:type="pct"/>
          </w:tcPr>
          <w:p w:rsidR="00786914" w:rsidRPr="00AA30BA" w:rsidRDefault="00786914" w:rsidP="0006743B">
            <w:pPr>
              <w:pStyle w:val="TableText"/>
            </w:pPr>
            <w:r w:rsidRPr="00AA30BA">
              <w:t>Meta-analysis</w:t>
            </w:r>
          </w:p>
        </w:tc>
      </w:tr>
    </w:tbl>
    <w:p w:rsidR="00786914" w:rsidRDefault="00786914" w:rsidP="0006743B"/>
    <w:p w:rsidR="00786914" w:rsidRDefault="00786914" w:rsidP="0006743B">
      <w:r>
        <w:t xml:space="preserve">As the model assumes that there is no failure rate for OP, the failure rate for HoLEP treatment used in the model assessing treatment in men with </w:t>
      </w:r>
      <w:r w:rsidRPr="00A37839">
        <w:t>prostate sizes (&gt; 80-100g)</w:t>
      </w:r>
      <w:r>
        <w:t xml:space="preserve"> was assumed to the same as for the treatment of men with smaller prostates (&lt;80-100g). A yearly rate of 0.003 was derived by averaging the HoLEP re-treatment rates reported in the literature </w:t>
      </w:r>
      <w:r w:rsidRPr="000A20EE">
        <w:t>(Tan 2003, Westenberg 2004).</w:t>
      </w:r>
      <w:r>
        <w:t xml:space="preserve"> This rate was converted into a probability value as described above.</w:t>
      </w:r>
    </w:p>
    <w:p w:rsidR="00786914" w:rsidRDefault="00786914" w:rsidP="0006743B">
      <w:r>
        <w:lastRenderedPageBreak/>
        <w:t xml:space="preserve">The risk of failure following treatment for urethral stricture with either </w:t>
      </w:r>
      <w:r w:rsidRPr="00FF5F61">
        <w:t xml:space="preserve">urethrotomy </w:t>
      </w:r>
      <w:r>
        <w:t>or</w:t>
      </w:r>
      <w:r w:rsidRPr="00FF5F61">
        <w:t xml:space="preserve"> dilation</w:t>
      </w:r>
      <w:r>
        <w:t xml:space="preserve"> was taken to be 0.</w:t>
      </w:r>
      <w:r w:rsidRPr="0006743B">
        <w:t>17 (Steenkamp et al., 1997).</w:t>
      </w:r>
    </w:p>
    <w:p w:rsidR="00786914" w:rsidRPr="00A37839" w:rsidRDefault="00786914" w:rsidP="0006743B">
      <w:pPr>
        <w:pStyle w:val="Normalbold"/>
      </w:pPr>
      <w:bookmarkStart w:id="286" w:name="_Toc327877900"/>
      <w:r w:rsidRPr="00A37839">
        <w:t>Costs</w:t>
      </w:r>
      <w:bookmarkEnd w:id="286"/>
    </w:p>
    <w:p w:rsidR="00786914" w:rsidRPr="00A37839" w:rsidRDefault="00786914" w:rsidP="0006743B">
      <w:r w:rsidRPr="00A37839">
        <w:t xml:space="preserve">Costs associated with the treatment of BPH, as well as the </w:t>
      </w:r>
      <w:r>
        <w:t>tho</w:t>
      </w:r>
      <w:r w:rsidRPr="00A37839">
        <w:t>s</w:t>
      </w:r>
      <w:r>
        <w:t>e</w:t>
      </w:r>
      <w:r w:rsidRPr="00A37839">
        <w:t xml:space="preserve"> associated with adverse events and the treatment of any longer-term side effects stemming from the initial treatment, are summarised in</w:t>
      </w:r>
      <w:r>
        <w:t xml:space="preserve"> Tables 24 and 25. </w:t>
      </w:r>
      <w:r w:rsidRPr="00A37839">
        <w:t>All costs are presented in Australian dollars with the base year of 2012.</w:t>
      </w:r>
    </w:p>
    <w:p w:rsidR="00786914" w:rsidRPr="00A37839" w:rsidRDefault="00786914" w:rsidP="0006743B">
      <w:r>
        <w:t xml:space="preserve">A range of proposed MBS fees for HoLEP were outlined in the DAP and were tested in the analysis. These alternate fees assess the impact of removing the tissue morcellation procedure (cost $220) from the total proposed fee, and/or the 20% premium ($200.54) over the TURP fee that was </w:t>
      </w:r>
      <w:r w:rsidR="009B190E">
        <w:t>suggested by the applicant as an appropriate fee for HoLEP when morcellation is not used.</w:t>
      </w:r>
    </w:p>
    <w:p w:rsidR="00786914" w:rsidRDefault="00786914" w:rsidP="0006743B">
      <w:r w:rsidRPr="00A37839">
        <w:t>The cost for HoLEP was based on the AR-DRG costs for TURP (</w:t>
      </w:r>
      <w:r>
        <w:t>AR-DRG M02B</w:t>
      </w:r>
      <w:r w:rsidRPr="00A37839">
        <w:t>)</w:t>
      </w:r>
      <w:r>
        <w:t xml:space="preserve">. </w:t>
      </w:r>
      <w:r w:rsidRPr="00A37839">
        <w:t>It was estimated by subtracting the direct operating room cost component of the TURP AR-DRG codes from the total cost</w:t>
      </w:r>
      <w:r>
        <w:t xml:space="preserve">. </w:t>
      </w:r>
      <w:r w:rsidRPr="00A37839">
        <w:t>A per-day cost for TURP was calculated from the average length of stay</w:t>
      </w:r>
      <w:r>
        <w:t xml:space="preserve">. </w:t>
      </w:r>
      <w:r w:rsidRPr="00A37839">
        <w:t>The cost of HoLEP treatment was then derived by adding the cost of two days in hospital to the MBS fee (75%) being sought for HoLEP</w:t>
      </w:r>
      <w:r>
        <w:t xml:space="preserve">. </w:t>
      </w:r>
      <w:r w:rsidRPr="00A37839">
        <w:t>The 75% MBS fee rate was used in-line with the assumption that HoLEP will be performed as an in-patient procedure.</w:t>
      </w:r>
    </w:p>
    <w:p w:rsidR="00786914" w:rsidRPr="00A37839" w:rsidRDefault="00786914" w:rsidP="0006743B">
      <w:r w:rsidRPr="00A37839">
        <w:t xml:space="preserve">The cost for HoLEP with </w:t>
      </w:r>
      <w:r>
        <w:t xml:space="preserve">short-term </w:t>
      </w:r>
      <w:r w:rsidRPr="00A37839">
        <w:t>complications was derived in a similar fashion to that described above, but using AR-DRG M02</w:t>
      </w:r>
      <w:r>
        <w:t>A</w:t>
      </w:r>
      <w:r w:rsidRPr="00A37839">
        <w:t xml:space="preserve"> and a length of stay of </w:t>
      </w:r>
      <w:r>
        <w:t>six</w:t>
      </w:r>
      <w:r w:rsidRPr="00A37839">
        <w:t xml:space="preserve"> days.</w:t>
      </w:r>
    </w:p>
    <w:p w:rsidR="00786914" w:rsidRPr="00A37839" w:rsidRDefault="00786914" w:rsidP="0006743B">
      <w:r w:rsidRPr="00A37839">
        <w:t>The costs for TURP treatment with and without complications were based on AR-DRG M02A and AR-DRG M02B respectively.</w:t>
      </w:r>
    </w:p>
    <w:p w:rsidR="00786914" w:rsidRPr="00A37839" w:rsidRDefault="00786914" w:rsidP="0006743B">
      <w:pPr>
        <w:rPr>
          <w:i/>
          <w:u w:val="single"/>
        </w:rPr>
      </w:pPr>
      <w:r w:rsidRPr="00A37839">
        <w:t>The cost for OP treatment was based upon the AR-DRG code for Major Male Pelvic Procedures (AR-DRG M01Z)</w:t>
      </w:r>
      <w:r>
        <w:t xml:space="preserve">. </w:t>
      </w:r>
      <w:r w:rsidRPr="00A37839">
        <w:t>The cost for OP treatment was estimated by subtracting the direct operating room cost component from the total AR-DRG cost</w:t>
      </w:r>
      <w:r>
        <w:t xml:space="preserve">. </w:t>
      </w:r>
      <w:r w:rsidRPr="00A37839">
        <w:t>The 75% MBS fee for open prostatectomy was added to this figure to derive the cost of OP treatment</w:t>
      </w:r>
      <w:r>
        <w:t xml:space="preserve">. </w:t>
      </w:r>
    </w:p>
    <w:p w:rsidR="00786914" w:rsidRPr="00A37839" w:rsidRDefault="00786914" w:rsidP="0006743B">
      <w:r w:rsidRPr="00A37839">
        <w:t xml:space="preserve">The cost of treating urethral stricture was based on the AR-DRG </w:t>
      </w:r>
      <w:r>
        <w:t>code for urethral stricture (AR-</w:t>
      </w:r>
      <w:r w:rsidRPr="00A37839">
        <w:t>DRG L66Z).</w:t>
      </w:r>
    </w:p>
    <w:p w:rsidR="00786914" w:rsidRDefault="00786914" w:rsidP="0006743B">
      <w:r w:rsidRPr="00A37839">
        <w:t>Costs for post-operative incontinence were derived on the assumptions that all patients will receive behavioural interventions funded under a referred patient treatment and management plan as the first-line treatment approach</w:t>
      </w:r>
      <w:r>
        <w:t xml:space="preserve">. </w:t>
      </w:r>
      <w:r w:rsidRPr="00A37839">
        <w:t>The rate of patients not respond</w:t>
      </w:r>
      <w:r>
        <w:t>ing</w:t>
      </w:r>
      <w:r w:rsidRPr="00A37839">
        <w:t xml:space="preserve"> to behavioural interventions was estimated as 20% </w:t>
      </w:r>
      <w:r w:rsidR="0006743B">
        <w:t>(Dunn and Lamb, 2009)</w:t>
      </w:r>
      <w:r w:rsidRPr="00A37839">
        <w:t xml:space="preserve">. All patients that fail behavioural interventions were assumed to </w:t>
      </w:r>
      <w:r>
        <w:t>r</w:t>
      </w:r>
      <w:r w:rsidRPr="00A37839">
        <w:t>eceive pharmaceutical treatment of oxybutynin hydrochloride (5</w:t>
      </w:r>
      <w:r>
        <w:t>mg twice daily for six months).</w:t>
      </w:r>
    </w:p>
    <w:p w:rsidR="00786914" w:rsidRDefault="00786914" w:rsidP="0006743B">
      <w:pPr>
        <w:spacing w:after="200" w:line="276" w:lineRule="auto"/>
        <w:ind w:left="0"/>
      </w:pPr>
      <w:r>
        <w:br w:type="page"/>
      </w:r>
    </w:p>
    <w:p w:rsidR="00786914" w:rsidRDefault="00786914" w:rsidP="0006743B">
      <w:pPr>
        <w:pStyle w:val="Caption"/>
        <w:keepNext/>
      </w:pPr>
      <w:bookmarkStart w:id="287" w:name="_Toc327803271"/>
      <w:bookmarkStart w:id="288" w:name="_Toc327881561"/>
      <w:bookmarkStart w:id="289" w:name="_Ref323640982"/>
      <w:bookmarkStart w:id="290" w:name="_Toc323642340"/>
      <w:r>
        <w:lastRenderedPageBreak/>
        <w:t xml:space="preserve">Table </w:t>
      </w:r>
      <w:fldSimple w:instr=" SEQ Table \* ARABIC ">
        <w:r w:rsidR="00F45C43">
          <w:rPr>
            <w:noProof/>
          </w:rPr>
          <w:t>24</w:t>
        </w:r>
      </w:fldSimple>
      <w:r>
        <w:t>:</w:t>
      </w:r>
      <w:r>
        <w:tab/>
        <w:t>Source costs associated with health states used in the economic evaluation</w:t>
      </w:r>
      <w:bookmarkEnd w:id="287"/>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921"/>
        <w:gridCol w:w="922"/>
        <w:gridCol w:w="1885"/>
        <w:gridCol w:w="627"/>
        <w:gridCol w:w="2002"/>
      </w:tblGrid>
      <w:tr w:rsidR="00786914" w:rsidRPr="00A37839" w:rsidTr="0006743B">
        <w:tc>
          <w:tcPr>
            <w:tcW w:w="1561" w:type="pct"/>
          </w:tcPr>
          <w:bookmarkEnd w:id="289"/>
          <w:bookmarkEnd w:id="290"/>
          <w:p w:rsidR="00786914" w:rsidRPr="00AA30BA" w:rsidRDefault="00786914" w:rsidP="0006743B">
            <w:pPr>
              <w:pStyle w:val="Tableheading"/>
            </w:pPr>
            <w:r w:rsidRPr="00AA30BA">
              <w:t>MBS Items</w:t>
            </w:r>
          </w:p>
        </w:tc>
        <w:tc>
          <w:tcPr>
            <w:tcW w:w="498" w:type="pct"/>
          </w:tcPr>
          <w:p w:rsidR="00786914" w:rsidRPr="00AA30BA" w:rsidRDefault="00786914" w:rsidP="0006743B">
            <w:pPr>
              <w:pStyle w:val="Tableheading"/>
            </w:pPr>
            <w:r w:rsidRPr="00AA30BA">
              <w:t>Item #</w:t>
            </w:r>
          </w:p>
        </w:tc>
        <w:tc>
          <w:tcPr>
            <w:tcW w:w="499" w:type="pct"/>
          </w:tcPr>
          <w:p w:rsidR="00786914" w:rsidRPr="00AA30BA" w:rsidRDefault="00786914" w:rsidP="0006743B">
            <w:pPr>
              <w:pStyle w:val="Tableheading"/>
            </w:pPr>
            <w:r w:rsidRPr="00AA30BA">
              <w:t>100%</w:t>
            </w:r>
          </w:p>
        </w:tc>
        <w:tc>
          <w:tcPr>
            <w:tcW w:w="1020" w:type="pct"/>
          </w:tcPr>
          <w:p w:rsidR="00786914" w:rsidRPr="00AA30BA" w:rsidRDefault="00786914" w:rsidP="0006743B">
            <w:pPr>
              <w:pStyle w:val="Tableheading"/>
            </w:pPr>
            <w:r w:rsidRPr="00AA30BA">
              <w:t>75%</w:t>
            </w:r>
          </w:p>
        </w:tc>
        <w:tc>
          <w:tcPr>
            <w:tcW w:w="1422" w:type="pct"/>
            <w:gridSpan w:val="2"/>
          </w:tcPr>
          <w:p w:rsidR="00786914" w:rsidRPr="00AA30BA" w:rsidRDefault="00786914" w:rsidP="0006743B">
            <w:pPr>
              <w:pStyle w:val="Tableheading"/>
            </w:pPr>
            <w:r w:rsidRPr="00AA30BA">
              <w:t>Comments/notes</w:t>
            </w:r>
          </w:p>
        </w:tc>
      </w:tr>
      <w:tr w:rsidR="00786914" w:rsidRPr="00A37839" w:rsidTr="0006743B">
        <w:tc>
          <w:tcPr>
            <w:tcW w:w="1561" w:type="pct"/>
          </w:tcPr>
          <w:p w:rsidR="00786914" w:rsidRPr="00AA30BA" w:rsidRDefault="00786914" w:rsidP="0006743B">
            <w:pPr>
              <w:pStyle w:val="TableText"/>
            </w:pPr>
            <w:r w:rsidRPr="00AA30BA">
              <w:t>HoLEP (with morcellation)</w:t>
            </w:r>
          </w:p>
        </w:tc>
        <w:tc>
          <w:tcPr>
            <w:tcW w:w="498" w:type="pct"/>
          </w:tcPr>
          <w:p w:rsidR="00786914" w:rsidRPr="00AA30BA" w:rsidRDefault="00786914" w:rsidP="0006743B">
            <w:pPr>
              <w:pStyle w:val="TableText"/>
            </w:pPr>
            <w:r w:rsidRPr="00AA30BA">
              <w:t>N/A</w:t>
            </w:r>
          </w:p>
        </w:tc>
        <w:tc>
          <w:tcPr>
            <w:tcW w:w="499" w:type="pct"/>
          </w:tcPr>
          <w:p w:rsidR="00786914" w:rsidRPr="00AA30BA" w:rsidRDefault="00786914" w:rsidP="0006743B">
            <w:pPr>
              <w:pStyle w:val="TableText"/>
            </w:pPr>
            <w:r w:rsidRPr="00AA30BA">
              <w:t>$1,423.18</w:t>
            </w:r>
          </w:p>
        </w:tc>
        <w:tc>
          <w:tcPr>
            <w:tcW w:w="1020" w:type="pct"/>
          </w:tcPr>
          <w:p w:rsidR="00786914" w:rsidRPr="00AA30BA" w:rsidRDefault="00786914" w:rsidP="0006743B">
            <w:pPr>
              <w:pStyle w:val="TableText"/>
            </w:pPr>
            <w:r w:rsidRPr="00AA30BA">
              <w:t>$1,067.39</w:t>
            </w:r>
          </w:p>
        </w:tc>
        <w:tc>
          <w:tcPr>
            <w:tcW w:w="1422" w:type="pct"/>
            <w:gridSpan w:val="2"/>
          </w:tcPr>
          <w:p w:rsidR="00786914" w:rsidRPr="00AA30BA" w:rsidRDefault="00786914" w:rsidP="0006743B">
            <w:pPr>
              <w:pStyle w:val="TableText"/>
            </w:pPr>
            <w:r w:rsidRPr="00AA30BA">
              <w:t>Applicants suggested fee</w:t>
            </w:r>
          </w:p>
        </w:tc>
      </w:tr>
      <w:tr w:rsidR="00786914" w:rsidRPr="00A37839" w:rsidTr="0006743B">
        <w:tc>
          <w:tcPr>
            <w:tcW w:w="1561" w:type="pct"/>
          </w:tcPr>
          <w:p w:rsidR="00786914" w:rsidRPr="00AA30BA" w:rsidRDefault="00786914" w:rsidP="009B190E">
            <w:pPr>
              <w:pStyle w:val="TableText"/>
            </w:pPr>
            <w:r w:rsidRPr="00AA30BA">
              <w:t xml:space="preserve">HoLEP (with morcellation) </w:t>
            </w:r>
            <w:r>
              <w:t>without</w:t>
            </w:r>
            <w:r w:rsidRPr="00AA30BA">
              <w:t xml:space="preserve"> 20% </w:t>
            </w:r>
            <w:r w:rsidR="009B190E">
              <w:t>premium</w:t>
            </w:r>
          </w:p>
        </w:tc>
        <w:tc>
          <w:tcPr>
            <w:tcW w:w="498" w:type="pct"/>
          </w:tcPr>
          <w:p w:rsidR="00786914" w:rsidRPr="00AA30BA" w:rsidRDefault="00786914" w:rsidP="0006743B">
            <w:pPr>
              <w:pStyle w:val="TableText"/>
            </w:pPr>
            <w:r w:rsidRPr="00AA30BA">
              <w:t>N/A</w:t>
            </w:r>
          </w:p>
        </w:tc>
        <w:tc>
          <w:tcPr>
            <w:tcW w:w="499" w:type="pct"/>
          </w:tcPr>
          <w:p w:rsidR="00786914" w:rsidRPr="002B7311" w:rsidRDefault="00786914" w:rsidP="0006743B">
            <w:pPr>
              <w:pStyle w:val="TableText"/>
            </w:pPr>
            <w:r w:rsidRPr="002B7311">
              <w:t>$1,</w:t>
            </w:r>
            <w:r>
              <w:t>222.70</w:t>
            </w:r>
          </w:p>
        </w:tc>
        <w:tc>
          <w:tcPr>
            <w:tcW w:w="1020" w:type="pct"/>
          </w:tcPr>
          <w:p w:rsidR="00786914" w:rsidRPr="002B7311" w:rsidRDefault="00786914" w:rsidP="0006743B">
            <w:pPr>
              <w:pStyle w:val="TableText"/>
            </w:pPr>
            <w:r w:rsidRPr="002B7311">
              <w:t>$</w:t>
            </w:r>
            <w:r>
              <w:t>917.03</w:t>
            </w:r>
          </w:p>
        </w:tc>
        <w:tc>
          <w:tcPr>
            <w:tcW w:w="1422" w:type="pct"/>
            <w:gridSpan w:val="2"/>
          </w:tcPr>
          <w:p w:rsidR="00786914" w:rsidRPr="00AA30BA" w:rsidRDefault="00786914" w:rsidP="0006743B">
            <w:pPr>
              <w:pStyle w:val="TableText"/>
            </w:pPr>
            <w:r w:rsidRPr="00AA30BA">
              <w:t>Derived from applicants suggested fee</w:t>
            </w:r>
          </w:p>
        </w:tc>
      </w:tr>
      <w:tr w:rsidR="00786914" w:rsidRPr="00A37839" w:rsidTr="0006743B">
        <w:tc>
          <w:tcPr>
            <w:tcW w:w="1561" w:type="pct"/>
          </w:tcPr>
          <w:p w:rsidR="00786914" w:rsidRPr="00AA30BA" w:rsidRDefault="00786914" w:rsidP="0006743B">
            <w:pPr>
              <w:pStyle w:val="TableText"/>
            </w:pPr>
            <w:r w:rsidRPr="00AA30BA">
              <w:t>HoLEP (excluding morcellation)</w:t>
            </w:r>
          </w:p>
        </w:tc>
        <w:tc>
          <w:tcPr>
            <w:tcW w:w="498" w:type="pct"/>
          </w:tcPr>
          <w:p w:rsidR="00786914" w:rsidRPr="00AA30BA" w:rsidRDefault="00786914" w:rsidP="0006743B">
            <w:pPr>
              <w:pStyle w:val="TableText"/>
            </w:pPr>
            <w:r w:rsidRPr="00AA30BA">
              <w:t>N/A</w:t>
            </w:r>
          </w:p>
        </w:tc>
        <w:tc>
          <w:tcPr>
            <w:tcW w:w="499" w:type="pct"/>
          </w:tcPr>
          <w:p w:rsidR="00786914" w:rsidRPr="00AA30BA" w:rsidRDefault="00786914" w:rsidP="0006743B">
            <w:pPr>
              <w:pStyle w:val="TableText"/>
            </w:pPr>
            <w:r w:rsidRPr="00AA30BA">
              <w:t>$1,203.18</w:t>
            </w:r>
          </w:p>
        </w:tc>
        <w:tc>
          <w:tcPr>
            <w:tcW w:w="1020" w:type="pct"/>
          </w:tcPr>
          <w:p w:rsidR="00786914" w:rsidRPr="00AA30BA" w:rsidRDefault="00786914" w:rsidP="0006743B">
            <w:pPr>
              <w:pStyle w:val="TableText"/>
            </w:pPr>
            <w:r w:rsidRPr="00AA30BA">
              <w:t>$902.39</w:t>
            </w:r>
          </w:p>
        </w:tc>
        <w:tc>
          <w:tcPr>
            <w:tcW w:w="1422" w:type="pct"/>
            <w:gridSpan w:val="2"/>
          </w:tcPr>
          <w:p w:rsidR="00786914" w:rsidRPr="00AA30BA" w:rsidRDefault="00786914" w:rsidP="0006743B">
            <w:pPr>
              <w:pStyle w:val="TableText"/>
            </w:pPr>
            <w:r w:rsidRPr="00AA30BA">
              <w:t>Derived from applicants suggested fee</w:t>
            </w:r>
          </w:p>
        </w:tc>
      </w:tr>
      <w:tr w:rsidR="00786914" w:rsidRPr="00A37839" w:rsidTr="0006743B">
        <w:tc>
          <w:tcPr>
            <w:tcW w:w="1561" w:type="pct"/>
          </w:tcPr>
          <w:p w:rsidR="00786914" w:rsidRPr="00AA30BA" w:rsidRDefault="00786914" w:rsidP="009B190E">
            <w:pPr>
              <w:pStyle w:val="TableText"/>
            </w:pPr>
            <w:r w:rsidRPr="00AA30BA">
              <w:t xml:space="preserve">HoLEP (excluding morcellation) </w:t>
            </w:r>
            <w:r>
              <w:t>without</w:t>
            </w:r>
            <w:r w:rsidRPr="00AA30BA">
              <w:t xml:space="preserve"> 20% </w:t>
            </w:r>
            <w:r w:rsidR="009B190E">
              <w:t>premium</w:t>
            </w:r>
          </w:p>
        </w:tc>
        <w:tc>
          <w:tcPr>
            <w:tcW w:w="498" w:type="pct"/>
          </w:tcPr>
          <w:p w:rsidR="00786914" w:rsidRPr="00AA30BA" w:rsidRDefault="00786914" w:rsidP="0006743B">
            <w:pPr>
              <w:pStyle w:val="TableText"/>
            </w:pPr>
            <w:r w:rsidRPr="00AA30BA">
              <w:t>N/A</w:t>
            </w:r>
          </w:p>
        </w:tc>
        <w:tc>
          <w:tcPr>
            <w:tcW w:w="499" w:type="pct"/>
          </w:tcPr>
          <w:p w:rsidR="00786914" w:rsidRPr="002B7311" w:rsidRDefault="00786914" w:rsidP="0006743B">
            <w:pPr>
              <w:pStyle w:val="TableText"/>
            </w:pPr>
            <w:r w:rsidRPr="002B7311">
              <w:t>$1,002.70</w:t>
            </w:r>
          </w:p>
        </w:tc>
        <w:tc>
          <w:tcPr>
            <w:tcW w:w="1020" w:type="pct"/>
          </w:tcPr>
          <w:p w:rsidR="00786914" w:rsidRPr="002B7311" w:rsidRDefault="00786914" w:rsidP="0006743B">
            <w:pPr>
              <w:pStyle w:val="TableText"/>
            </w:pPr>
            <w:r w:rsidRPr="002B7311">
              <w:t>$767.05</w:t>
            </w:r>
          </w:p>
        </w:tc>
        <w:tc>
          <w:tcPr>
            <w:tcW w:w="1422" w:type="pct"/>
            <w:gridSpan w:val="2"/>
          </w:tcPr>
          <w:p w:rsidR="00786914" w:rsidRPr="00AA30BA" w:rsidRDefault="00786914" w:rsidP="0006743B">
            <w:pPr>
              <w:pStyle w:val="TableText"/>
            </w:pPr>
            <w:r w:rsidRPr="00AA30BA">
              <w:t>Taken to be the same as MBS fee for TURP</w:t>
            </w:r>
          </w:p>
        </w:tc>
      </w:tr>
      <w:tr w:rsidR="00786914" w:rsidRPr="00A37839" w:rsidTr="0006743B">
        <w:tc>
          <w:tcPr>
            <w:tcW w:w="1561" w:type="pct"/>
          </w:tcPr>
          <w:p w:rsidR="00786914" w:rsidRPr="00AA30BA" w:rsidRDefault="00786914" w:rsidP="0006743B">
            <w:pPr>
              <w:pStyle w:val="TableText"/>
            </w:pPr>
            <w:r w:rsidRPr="00AA30BA">
              <w:t>TURP</w:t>
            </w:r>
          </w:p>
        </w:tc>
        <w:tc>
          <w:tcPr>
            <w:tcW w:w="498" w:type="pct"/>
          </w:tcPr>
          <w:p w:rsidR="00786914" w:rsidRPr="00AA30BA" w:rsidRDefault="00786914" w:rsidP="0006743B">
            <w:pPr>
              <w:pStyle w:val="TableText"/>
            </w:pPr>
            <w:r w:rsidRPr="00AA30BA">
              <w:t>37203</w:t>
            </w:r>
          </w:p>
        </w:tc>
        <w:tc>
          <w:tcPr>
            <w:tcW w:w="499" w:type="pct"/>
          </w:tcPr>
          <w:p w:rsidR="00786914" w:rsidRPr="00AA30BA" w:rsidRDefault="00786914" w:rsidP="0006743B">
            <w:pPr>
              <w:pStyle w:val="TableText"/>
            </w:pPr>
            <w:r w:rsidRPr="00AA30BA">
              <w:t>$1,002.70</w:t>
            </w:r>
          </w:p>
        </w:tc>
        <w:tc>
          <w:tcPr>
            <w:tcW w:w="1020" w:type="pct"/>
          </w:tcPr>
          <w:p w:rsidR="00786914" w:rsidRPr="00AA30BA" w:rsidRDefault="00786914" w:rsidP="0006743B">
            <w:pPr>
              <w:pStyle w:val="TableText"/>
            </w:pPr>
            <w:r w:rsidRPr="00AA30BA">
              <w:t>$767.05</w:t>
            </w:r>
          </w:p>
        </w:tc>
        <w:tc>
          <w:tcPr>
            <w:tcW w:w="1422" w:type="pct"/>
            <w:gridSpan w:val="2"/>
          </w:tcPr>
          <w:p w:rsidR="00786914" w:rsidRPr="00AA30BA" w:rsidRDefault="00786914" w:rsidP="0006743B">
            <w:pPr>
              <w:pStyle w:val="TableText"/>
            </w:pPr>
          </w:p>
        </w:tc>
      </w:tr>
      <w:tr w:rsidR="00786914" w:rsidRPr="00A37839" w:rsidTr="0006743B">
        <w:tc>
          <w:tcPr>
            <w:tcW w:w="1561" w:type="pct"/>
          </w:tcPr>
          <w:p w:rsidR="00786914" w:rsidRPr="00AA30BA" w:rsidRDefault="00786914" w:rsidP="0006743B">
            <w:pPr>
              <w:pStyle w:val="TableText"/>
            </w:pPr>
            <w:r w:rsidRPr="00AA30BA">
              <w:t>Open Prostatectomy</w:t>
            </w:r>
          </w:p>
        </w:tc>
        <w:tc>
          <w:tcPr>
            <w:tcW w:w="498" w:type="pct"/>
          </w:tcPr>
          <w:p w:rsidR="00786914" w:rsidRPr="00AA30BA" w:rsidRDefault="00786914" w:rsidP="0006743B">
            <w:pPr>
              <w:pStyle w:val="TableText"/>
            </w:pPr>
            <w:r w:rsidRPr="00AA30BA">
              <w:t>37200</w:t>
            </w:r>
          </w:p>
        </w:tc>
        <w:tc>
          <w:tcPr>
            <w:tcW w:w="499" w:type="pct"/>
          </w:tcPr>
          <w:p w:rsidR="00786914" w:rsidRPr="00AA30BA" w:rsidRDefault="00786914" w:rsidP="0006743B">
            <w:pPr>
              <w:pStyle w:val="TableText"/>
            </w:pPr>
            <w:r w:rsidRPr="00AA30BA">
              <w:t>$997.35</w:t>
            </w:r>
          </w:p>
        </w:tc>
        <w:tc>
          <w:tcPr>
            <w:tcW w:w="1020" w:type="pct"/>
          </w:tcPr>
          <w:p w:rsidR="00786914" w:rsidRPr="00AA30BA" w:rsidRDefault="00786914" w:rsidP="0006743B">
            <w:pPr>
              <w:pStyle w:val="TableText"/>
            </w:pPr>
            <w:r w:rsidRPr="00AA30BA">
              <w:t>$748.05</w:t>
            </w:r>
          </w:p>
        </w:tc>
        <w:tc>
          <w:tcPr>
            <w:tcW w:w="1422" w:type="pct"/>
            <w:gridSpan w:val="2"/>
          </w:tcPr>
          <w:p w:rsidR="00786914" w:rsidRPr="00AA30BA" w:rsidRDefault="00786914" w:rsidP="0006743B">
            <w:pPr>
              <w:pStyle w:val="TableText"/>
            </w:pPr>
          </w:p>
        </w:tc>
      </w:tr>
      <w:tr w:rsidR="00786914" w:rsidRPr="00A37839" w:rsidTr="0006743B">
        <w:tc>
          <w:tcPr>
            <w:tcW w:w="1561" w:type="pct"/>
          </w:tcPr>
          <w:p w:rsidR="00786914" w:rsidRPr="00AA30BA" w:rsidRDefault="00786914" w:rsidP="0006743B">
            <w:pPr>
              <w:pStyle w:val="TableText"/>
            </w:pPr>
            <w:r w:rsidRPr="00AA30BA">
              <w:t>Referred patient treatment and management plan - surgery or hospital</w:t>
            </w:r>
          </w:p>
        </w:tc>
        <w:tc>
          <w:tcPr>
            <w:tcW w:w="498" w:type="pct"/>
          </w:tcPr>
          <w:p w:rsidR="00786914" w:rsidRPr="00AA30BA" w:rsidRDefault="00786914" w:rsidP="0006743B">
            <w:pPr>
              <w:pStyle w:val="TableText"/>
            </w:pPr>
            <w:r w:rsidRPr="00AA30BA">
              <w:t>132</w:t>
            </w:r>
          </w:p>
        </w:tc>
        <w:tc>
          <w:tcPr>
            <w:tcW w:w="499" w:type="pct"/>
          </w:tcPr>
          <w:p w:rsidR="00786914" w:rsidRPr="00AA30BA" w:rsidRDefault="00786914" w:rsidP="0006743B">
            <w:pPr>
              <w:pStyle w:val="TableText"/>
            </w:pPr>
            <w:r w:rsidRPr="00AA30BA">
              <w:t>$259.00</w:t>
            </w:r>
          </w:p>
        </w:tc>
        <w:tc>
          <w:tcPr>
            <w:tcW w:w="1020" w:type="pct"/>
          </w:tcPr>
          <w:p w:rsidR="00786914" w:rsidRPr="00AA30BA" w:rsidRDefault="00786914" w:rsidP="0006743B">
            <w:pPr>
              <w:pStyle w:val="TableText"/>
            </w:pPr>
            <w:r w:rsidRPr="00AA30BA">
              <w:t>$194.25</w:t>
            </w:r>
          </w:p>
        </w:tc>
        <w:tc>
          <w:tcPr>
            <w:tcW w:w="1422" w:type="pct"/>
            <w:gridSpan w:val="2"/>
          </w:tcPr>
          <w:p w:rsidR="00786914" w:rsidRPr="00AA30BA" w:rsidRDefault="00786914" w:rsidP="0006743B">
            <w:pPr>
              <w:pStyle w:val="TableText"/>
            </w:pPr>
          </w:p>
        </w:tc>
      </w:tr>
      <w:tr w:rsidR="00786914" w:rsidRPr="00A37839" w:rsidTr="0006743B">
        <w:tc>
          <w:tcPr>
            <w:tcW w:w="1561" w:type="pct"/>
          </w:tcPr>
          <w:p w:rsidR="00786914" w:rsidRPr="00AA30BA" w:rsidRDefault="00786914" w:rsidP="0006743B">
            <w:pPr>
              <w:pStyle w:val="TableText"/>
            </w:pPr>
            <w:r w:rsidRPr="00AA30BA">
              <w:t>Referred patient treatment and management plan - surgery or hospital (follow up</w:t>
            </w:r>
          </w:p>
        </w:tc>
        <w:tc>
          <w:tcPr>
            <w:tcW w:w="498" w:type="pct"/>
          </w:tcPr>
          <w:p w:rsidR="00786914" w:rsidRPr="00AA30BA" w:rsidRDefault="00786914" w:rsidP="0006743B">
            <w:pPr>
              <w:pStyle w:val="TableText"/>
            </w:pPr>
            <w:r w:rsidRPr="00AA30BA">
              <w:t>133</w:t>
            </w:r>
          </w:p>
        </w:tc>
        <w:tc>
          <w:tcPr>
            <w:tcW w:w="499" w:type="pct"/>
          </w:tcPr>
          <w:p w:rsidR="00786914" w:rsidRPr="00AA30BA" w:rsidRDefault="00786914" w:rsidP="0006743B">
            <w:pPr>
              <w:pStyle w:val="TableText"/>
            </w:pPr>
            <w:r w:rsidRPr="00AA30BA">
              <w:t>$129.85</w:t>
            </w:r>
          </w:p>
        </w:tc>
        <w:tc>
          <w:tcPr>
            <w:tcW w:w="1020" w:type="pct"/>
          </w:tcPr>
          <w:p w:rsidR="00786914" w:rsidRPr="00AA30BA" w:rsidRDefault="00786914" w:rsidP="0006743B">
            <w:pPr>
              <w:pStyle w:val="TableText"/>
            </w:pPr>
            <w:r w:rsidRPr="00AA30BA">
              <w:t>$97.25</w:t>
            </w:r>
          </w:p>
        </w:tc>
        <w:tc>
          <w:tcPr>
            <w:tcW w:w="1422" w:type="pct"/>
            <w:gridSpan w:val="2"/>
          </w:tcPr>
          <w:p w:rsidR="00786914" w:rsidRPr="00AA30BA" w:rsidRDefault="00786914" w:rsidP="0006743B">
            <w:pPr>
              <w:pStyle w:val="TableText"/>
            </w:pPr>
          </w:p>
        </w:tc>
      </w:tr>
      <w:tr w:rsidR="00786914" w:rsidRPr="00A37839" w:rsidTr="0006743B">
        <w:tc>
          <w:tcPr>
            <w:tcW w:w="5000" w:type="pct"/>
            <w:gridSpan w:val="6"/>
          </w:tcPr>
          <w:p w:rsidR="00786914" w:rsidRPr="00AA30BA" w:rsidRDefault="00786914" w:rsidP="0006743B"/>
        </w:tc>
      </w:tr>
      <w:tr w:rsidR="00786914" w:rsidRPr="00A37839" w:rsidTr="0006743B">
        <w:tc>
          <w:tcPr>
            <w:tcW w:w="1561" w:type="pct"/>
          </w:tcPr>
          <w:p w:rsidR="00786914" w:rsidRPr="00AA30BA" w:rsidRDefault="00786914" w:rsidP="0006743B">
            <w:pPr>
              <w:pStyle w:val="Tableheading"/>
              <w:rPr>
                <w:vertAlign w:val="superscript"/>
              </w:rPr>
            </w:pPr>
            <w:r w:rsidRPr="00AA30BA">
              <w:t>AR-DRG codes</w:t>
            </w:r>
            <w:r w:rsidRPr="00AA30BA">
              <w:rPr>
                <w:vertAlign w:val="superscript"/>
              </w:rPr>
              <w:t>a</w:t>
            </w:r>
          </w:p>
        </w:tc>
        <w:tc>
          <w:tcPr>
            <w:tcW w:w="498" w:type="pct"/>
          </w:tcPr>
          <w:p w:rsidR="00786914" w:rsidRPr="00AA30BA" w:rsidRDefault="00786914" w:rsidP="0006743B">
            <w:pPr>
              <w:pStyle w:val="Tableheading"/>
            </w:pPr>
            <w:r w:rsidRPr="00AA30BA">
              <w:t>Source</w:t>
            </w:r>
          </w:p>
        </w:tc>
        <w:tc>
          <w:tcPr>
            <w:tcW w:w="499" w:type="pct"/>
          </w:tcPr>
          <w:p w:rsidR="00786914" w:rsidRPr="00AA30BA" w:rsidRDefault="00786914" w:rsidP="0006743B">
            <w:pPr>
              <w:pStyle w:val="Tableheading"/>
            </w:pPr>
            <w:r w:rsidRPr="00AA30BA">
              <w:t>Cost (total)</w:t>
            </w:r>
          </w:p>
        </w:tc>
        <w:tc>
          <w:tcPr>
            <w:tcW w:w="1020" w:type="pct"/>
          </w:tcPr>
          <w:p w:rsidR="00786914" w:rsidRPr="00AA30BA" w:rsidRDefault="00786914" w:rsidP="0006743B">
            <w:pPr>
              <w:pStyle w:val="Tableheading"/>
            </w:pPr>
            <w:r w:rsidRPr="00AA30BA">
              <w:t>Cost ( minus operating room component)</w:t>
            </w:r>
          </w:p>
        </w:tc>
        <w:tc>
          <w:tcPr>
            <w:tcW w:w="339" w:type="pct"/>
          </w:tcPr>
          <w:p w:rsidR="00786914" w:rsidRPr="00AA30BA" w:rsidRDefault="00786914" w:rsidP="0006743B">
            <w:pPr>
              <w:pStyle w:val="Tableheading"/>
            </w:pPr>
            <w:r w:rsidRPr="00AA30BA">
              <w:t>ALOS</w:t>
            </w:r>
          </w:p>
        </w:tc>
        <w:tc>
          <w:tcPr>
            <w:tcW w:w="1083" w:type="pct"/>
          </w:tcPr>
          <w:p w:rsidR="00786914" w:rsidRPr="00AA30BA" w:rsidRDefault="00786914" w:rsidP="0006743B">
            <w:pPr>
              <w:pStyle w:val="Tableheading"/>
            </w:pPr>
            <w:r w:rsidRPr="00AA30BA">
              <w:t>Day cost ( minus operating room component)</w:t>
            </w:r>
          </w:p>
        </w:tc>
      </w:tr>
      <w:tr w:rsidR="00786914" w:rsidRPr="00A37839" w:rsidTr="0006743B">
        <w:tc>
          <w:tcPr>
            <w:tcW w:w="1561" w:type="pct"/>
          </w:tcPr>
          <w:p w:rsidR="00786914" w:rsidRPr="00AA30BA" w:rsidRDefault="00786914" w:rsidP="0006743B">
            <w:pPr>
              <w:pStyle w:val="TableText"/>
            </w:pPr>
            <w:r w:rsidRPr="00AA30BA">
              <w:t>TURP with complications</w:t>
            </w:r>
          </w:p>
        </w:tc>
        <w:tc>
          <w:tcPr>
            <w:tcW w:w="498" w:type="pct"/>
          </w:tcPr>
          <w:p w:rsidR="00786914" w:rsidRPr="00AA30BA" w:rsidRDefault="00786914" w:rsidP="0006743B">
            <w:pPr>
              <w:pStyle w:val="TableText"/>
            </w:pPr>
            <w:r w:rsidRPr="00AA30BA">
              <w:t>AR-DRG M02A</w:t>
            </w:r>
          </w:p>
        </w:tc>
        <w:tc>
          <w:tcPr>
            <w:tcW w:w="499" w:type="pct"/>
          </w:tcPr>
          <w:p w:rsidR="00786914" w:rsidRPr="00AA30BA" w:rsidRDefault="00786914" w:rsidP="0006743B">
            <w:pPr>
              <w:pStyle w:val="TableText"/>
            </w:pPr>
            <w:r w:rsidRPr="00AA30BA">
              <w:t>$6,761.00</w:t>
            </w:r>
          </w:p>
        </w:tc>
        <w:tc>
          <w:tcPr>
            <w:tcW w:w="1020" w:type="pct"/>
          </w:tcPr>
          <w:p w:rsidR="00786914" w:rsidRPr="00AA30BA" w:rsidRDefault="00786914" w:rsidP="0006743B">
            <w:pPr>
              <w:pStyle w:val="TableText"/>
            </w:pPr>
            <w:r w:rsidRPr="00AA30BA">
              <w:t>$5,725.00</w:t>
            </w:r>
          </w:p>
        </w:tc>
        <w:tc>
          <w:tcPr>
            <w:tcW w:w="339" w:type="pct"/>
          </w:tcPr>
          <w:p w:rsidR="00786914" w:rsidRPr="00AA30BA" w:rsidRDefault="00786914" w:rsidP="0006743B">
            <w:pPr>
              <w:pStyle w:val="TableText"/>
            </w:pPr>
            <w:r w:rsidRPr="00AA30BA">
              <w:t>7.63</w:t>
            </w:r>
          </w:p>
        </w:tc>
        <w:tc>
          <w:tcPr>
            <w:tcW w:w="1083" w:type="pct"/>
          </w:tcPr>
          <w:p w:rsidR="00786914" w:rsidRPr="00AA30BA" w:rsidRDefault="00786914" w:rsidP="0006743B">
            <w:pPr>
              <w:pStyle w:val="TableText"/>
            </w:pPr>
            <w:r w:rsidRPr="00AA30BA">
              <w:t>$750.33</w:t>
            </w:r>
          </w:p>
        </w:tc>
      </w:tr>
      <w:tr w:rsidR="00786914" w:rsidRPr="00A37839" w:rsidTr="0006743B">
        <w:tc>
          <w:tcPr>
            <w:tcW w:w="1561" w:type="pct"/>
          </w:tcPr>
          <w:p w:rsidR="00786914" w:rsidRPr="00AA30BA" w:rsidRDefault="00786914" w:rsidP="0006743B">
            <w:pPr>
              <w:pStyle w:val="TableText"/>
            </w:pPr>
            <w:r w:rsidRPr="00AA30BA">
              <w:t>TURP without complications</w:t>
            </w:r>
          </w:p>
        </w:tc>
        <w:tc>
          <w:tcPr>
            <w:tcW w:w="498" w:type="pct"/>
          </w:tcPr>
          <w:p w:rsidR="00786914" w:rsidRPr="00AA30BA" w:rsidRDefault="00786914" w:rsidP="0006743B">
            <w:pPr>
              <w:pStyle w:val="TableText"/>
            </w:pPr>
            <w:r w:rsidRPr="00AA30BA">
              <w:t>AR-DRG M02B</w:t>
            </w:r>
          </w:p>
        </w:tc>
        <w:tc>
          <w:tcPr>
            <w:tcW w:w="499" w:type="pct"/>
          </w:tcPr>
          <w:p w:rsidR="00786914" w:rsidRPr="00AA30BA" w:rsidRDefault="00786914" w:rsidP="0006743B">
            <w:pPr>
              <w:pStyle w:val="TableText"/>
            </w:pPr>
            <w:r w:rsidRPr="00AA30BA">
              <w:t>$3,178.00</w:t>
            </w:r>
          </w:p>
        </w:tc>
        <w:tc>
          <w:tcPr>
            <w:tcW w:w="1020" w:type="pct"/>
          </w:tcPr>
          <w:p w:rsidR="00786914" w:rsidRPr="00AA30BA" w:rsidRDefault="00786914" w:rsidP="0006743B">
            <w:pPr>
              <w:pStyle w:val="TableText"/>
            </w:pPr>
            <w:r w:rsidRPr="00AA30BA">
              <w:t>$2,332.00</w:t>
            </w:r>
          </w:p>
        </w:tc>
        <w:tc>
          <w:tcPr>
            <w:tcW w:w="339" w:type="pct"/>
          </w:tcPr>
          <w:p w:rsidR="00786914" w:rsidRPr="00AA30BA" w:rsidRDefault="00786914" w:rsidP="0006743B">
            <w:pPr>
              <w:pStyle w:val="TableText"/>
            </w:pPr>
            <w:r w:rsidRPr="00AA30BA">
              <w:t>3.01</w:t>
            </w:r>
          </w:p>
        </w:tc>
        <w:tc>
          <w:tcPr>
            <w:tcW w:w="1083" w:type="pct"/>
          </w:tcPr>
          <w:p w:rsidR="00786914" w:rsidRPr="00AA30BA" w:rsidRDefault="00786914" w:rsidP="0006743B">
            <w:pPr>
              <w:pStyle w:val="TableText"/>
            </w:pPr>
            <w:r w:rsidRPr="00AA30BA">
              <w:t>$774.75</w:t>
            </w:r>
          </w:p>
        </w:tc>
      </w:tr>
      <w:tr w:rsidR="00786914" w:rsidRPr="00A37839" w:rsidTr="0006743B">
        <w:tc>
          <w:tcPr>
            <w:tcW w:w="1561" w:type="pct"/>
          </w:tcPr>
          <w:p w:rsidR="00786914" w:rsidRPr="00AA30BA" w:rsidRDefault="00786914" w:rsidP="0006743B">
            <w:pPr>
              <w:pStyle w:val="TableText"/>
            </w:pPr>
            <w:r w:rsidRPr="00AA30BA">
              <w:t>Urethral Stricture</w:t>
            </w:r>
          </w:p>
        </w:tc>
        <w:tc>
          <w:tcPr>
            <w:tcW w:w="498" w:type="pct"/>
          </w:tcPr>
          <w:p w:rsidR="00786914" w:rsidRPr="00AA30BA" w:rsidRDefault="00786914" w:rsidP="0006743B">
            <w:pPr>
              <w:pStyle w:val="TableText"/>
            </w:pPr>
            <w:r w:rsidRPr="00AA30BA">
              <w:t>AR-DRG L66Z</w:t>
            </w:r>
          </w:p>
        </w:tc>
        <w:tc>
          <w:tcPr>
            <w:tcW w:w="499" w:type="pct"/>
          </w:tcPr>
          <w:p w:rsidR="00786914" w:rsidRPr="00AA30BA" w:rsidRDefault="00786914" w:rsidP="0006743B">
            <w:pPr>
              <w:pStyle w:val="TableText"/>
            </w:pPr>
            <w:r w:rsidRPr="00AA30BA">
              <w:t>$1,275.00</w:t>
            </w:r>
          </w:p>
        </w:tc>
        <w:tc>
          <w:tcPr>
            <w:tcW w:w="1020" w:type="pct"/>
          </w:tcPr>
          <w:p w:rsidR="00786914" w:rsidRPr="00AA30BA" w:rsidRDefault="00786914" w:rsidP="0006743B">
            <w:pPr>
              <w:pStyle w:val="TableText"/>
            </w:pPr>
            <w:r w:rsidRPr="00AA30BA">
              <w:t>N/A</w:t>
            </w:r>
          </w:p>
        </w:tc>
        <w:tc>
          <w:tcPr>
            <w:tcW w:w="339" w:type="pct"/>
          </w:tcPr>
          <w:p w:rsidR="00786914" w:rsidRPr="00AA30BA" w:rsidRDefault="00786914" w:rsidP="0006743B">
            <w:pPr>
              <w:pStyle w:val="TableText"/>
            </w:pPr>
            <w:r w:rsidRPr="00AA30BA">
              <w:t>N/A</w:t>
            </w:r>
          </w:p>
        </w:tc>
        <w:tc>
          <w:tcPr>
            <w:tcW w:w="1083" w:type="pct"/>
          </w:tcPr>
          <w:p w:rsidR="00786914" w:rsidRPr="00AA30BA" w:rsidRDefault="00786914" w:rsidP="0006743B">
            <w:pPr>
              <w:pStyle w:val="TableText"/>
            </w:pPr>
            <w:r w:rsidRPr="00AA30BA">
              <w:t>N/A</w:t>
            </w:r>
          </w:p>
        </w:tc>
      </w:tr>
      <w:tr w:rsidR="00786914" w:rsidRPr="00A37839" w:rsidTr="0006743B">
        <w:tc>
          <w:tcPr>
            <w:tcW w:w="1561" w:type="pct"/>
          </w:tcPr>
          <w:p w:rsidR="00786914" w:rsidRPr="00AA30BA" w:rsidRDefault="00786914" w:rsidP="0006743B">
            <w:pPr>
              <w:pStyle w:val="TableText"/>
            </w:pPr>
            <w:r w:rsidRPr="00AA30BA">
              <w:t>Open prostatectomy</w:t>
            </w:r>
          </w:p>
        </w:tc>
        <w:tc>
          <w:tcPr>
            <w:tcW w:w="498" w:type="pct"/>
          </w:tcPr>
          <w:p w:rsidR="00786914" w:rsidRPr="00AA30BA" w:rsidRDefault="00786914" w:rsidP="0006743B">
            <w:pPr>
              <w:pStyle w:val="TableText"/>
            </w:pPr>
            <w:r w:rsidRPr="00AA30BA">
              <w:t>AR-DRG M01Z</w:t>
            </w:r>
          </w:p>
        </w:tc>
        <w:tc>
          <w:tcPr>
            <w:tcW w:w="499" w:type="pct"/>
          </w:tcPr>
          <w:p w:rsidR="00786914" w:rsidRPr="00AA30BA" w:rsidRDefault="00786914" w:rsidP="0006743B">
            <w:pPr>
              <w:pStyle w:val="TableText"/>
            </w:pPr>
            <w:r w:rsidRPr="00AA30BA">
              <w:t>$8,685.00</w:t>
            </w:r>
          </w:p>
        </w:tc>
        <w:tc>
          <w:tcPr>
            <w:tcW w:w="1020" w:type="pct"/>
          </w:tcPr>
          <w:p w:rsidR="00786914" w:rsidRPr="00AA30BA" w:rsidRDefault="00786914" w:rsidP="0006743B">
            <w:pPr>
              <w:pStyle w:val="TableText"/>
            </w:pPr>
            <w:r w:rsidRPr="00AA30BA">
              <w:t>$5,818.00</w:t>
            </w:r>
          </w:p>
        </w:tc>
        <w:tc>
          <w:tcPr>
            <w:tcW w:w="339" w:type="pct"/>
          </w:tcPr>
          <w:p w:rsidR="00786914" w:rsidRPr="00AA30BA" w:rsidRDefault="00786914" w:rsidP="0006743B">
            <w:pPr>
              <w:pStyle w:val="TableText"/>
            </w:pPr>
            <w:r w:rsidRPr="00AA30BA">
              <w:t>4.87</w:t>
            </w:r>
          </w:p>
        </w:tc>
        <w:tc>
          <w:tcPr>
            <w:tcW w:w="1083" w:type="pct"/>
          </w:tcPr>
          <w:p w:rsidR="00786914" w:rsidRPr="00AA30BA" w:rsidRDefault="00786914" w:rsidP="0006743B">
            <w:pPr>
              <w:pStyle w:val="TableText"/>
            </w:pPr>
            <w:r w:rsidRPr="00AA30BA">
              <w:t>$1,194.66</w:t>
            </w:r>
          </w:p>
        </w:tc>
      </w:tr>
      <w:tr w:rsidR="00786914" w:rsidRPr="00A37839" w:rsidTr="0006743B">
        <w:tc>
          <w:tcPr>
            <w:tcW w:w="5000" w:type="pct"/>
            <w:gridSpan w:val="6"/>
          </w:tcPr>
          <w:p w:rsidR="00786914" w:rsidRPr="00AA30BA" w:rsidRDefault="00786914" w:rsidP="0006743B">
            <w:pPr>
              <w:keepNext/>
              <w:spacing w:before="40" w:after="40"/>
              <w:ind w:left="0"/>
              <w:rPr>
                <w:rFonts w:ascii="Arial Narrow" w:hAnsi="Arial Narrow"/>
                <w:sz w:val="18"/>
              </w:rPr>
            </w:pPr>
          </w:p>
        </w:tc>
      </w:tr>
      <w:tr w:rsidR="00786914" w:rsidRPr="00A37839" w:rsidTr="0006743B">
        <w:tc>
          <w:tcPr>
            <w:tcW w:w="1561" w:type="pct"/>
          </w:tcPr>
          <w:p w:rsidR="00786914" w:rsidRPr="00AA30BA" w:rsidRDefault="00786914" w:rsidP="0006743B">
            <w:pPr>
              <w:pStyle w:val="Tableheading"/>
            </w:pPr>
            <w:r w:rsidRPr="00AA30BA">
              <w:t>PBS Items</w:t>
            </w:r>
          </w:p>
        </w:tc>
        <w:tc>
          <w:tcPr>
            <w:tcW w:w="498" w:type="pct"/>
          </w:tcPr>
          <w:p w:rsidR="00786914" w:rsidRPr="00AA30BA" w:rsidRDefault="00786914" w:rsidP="0006743B">
            <w:pPr>
              <w:pStyle w:val="Tableheading"/>
            </w:pPr>
            <w:r w:rsidRPr="00AA30BA">
              <w:t>PBS #</w:t>
            </w:r>
          </w:p>
        </w:tc>
        <w:tc>
          <w:tcPr>
            <w:tcW w:w="2941" w:type="pct"/>
            <w:gridSpan w:val="4"/>
          </w:tcPr>
          <w:p w:rsidR="00786914" w:rsidRPr="00AA30BA" w:rsidRDefault="00786914" w:rsidP="0006743B">
            <w:pPr>
              <w:pStyle w:val="Tableheading"/>
            </w:pPr>
            <w:r w:rsidRPr="00AA30BA">
              <w:t>Dispensed price for max qty (100 tablets).</w:t>
            </w:r>
          </w:p>
        </w:tc>
      </w:tr>
      <w:tr w:rsidR="00786914" w:rsidRPr="00A37839" w:rsidTr="0006743B">
        <w:tc>
          <w:tcPr>
            <w:tcW w:w="1561" w:type="pct"/>
          </w:tcPr>
          <w:p w:rsidR="00786914" w:rsidRPr="00AA30BA" w:rsidRDefault="00786914" w:rsidP="0006743B">
            <w:pPr>
              <w:pStyle w:val="TableText"/>
            </w:pPr>
            <w:r w:rsidRPr="00AA30BA">
              <w:t>Oxybutynin hydrochloride tablet 5 mg</w:t>
            </w:r>
          </w:p>
        </w:tc>
        <w:tc>
          <w:tcPr>
            <w:tcW w:w="498" w:type="pct"/>
          </w:tcPr>
          <w:p w:rsidR="00786914" w:rsidRPr="00AA30BA" w:rsidRDefault="00786914" w:rsidP="0006743B">
            <w:pPr>
              <w:pStyle w:val="TableText"/>
            </w:pPr>
            <w:r w:rsidRPr="00AA30BA">
              <w:t>8039D</w:t>
            </w:r>
          </w:p>
        </w:tc>
        <w:tc>
          <w:tcPr>
            <w:tcW w:w="2941" w:type="pct"/>
            <w:gridSpan w:val="4"/>
          </w:tcPr>
          <w:p w:rsidR="00786914" w:rsidRPr="00AA30BA" w:rsidRDefault="00786914" w:rsidP="0006743B">
            <w:pPr>
              <w:pStyle w:val="TableText"/>
            </w:pPr>
            <w:r w:rsidRPr="00AA30BA">
              <w:t>$15.40</w:t>
            </w:r>
          </w:p>
        </w:tc>
      </w:tr>
    </w:tbl>
    <w:p w:rsidR="00786914" w:rsidRPr="009E2C21" w:rsidRDefault="00786914" w:rsidP="0006743B">
      <w:pPr>
        <w:pStyle w:val="TableNotes"/>
      </w:pPr>
      <w:r w:rsidRPr="009E2C21">
        <w:t>a</w:t>
      </w:r>
      <w:r>
        <w:t>:</w:t>
      </w:r>
      <w:r w:rsidRPr="009E2C21">
        <w:t xml:space="preserve"> AR-DRG v5.1 Private Hospital Cost Weight used.</w:t>
      </w:r>
    </w:p>
    <w:p w:rsidR="00786914" w:rsidRDefault="00786914" w:rsidP="0006743B">
      <w:pPr>
        <w:pStyle w:val="Caption"/>
        <w:keepNext/>
      </w:pPr>
      <w:bookmarkStart w:id="291" w:name="_Toc327803272"/>
      <w:bookmarkStart w:id="292" w:name="_Toc327881562"/>
      <w:bookmarkStart w:id="293" w:name="_Toc323642341"/>
      <w:r>
        <w:t xml:space="preserve">Table </w:t>
      </w:r>
      <w:fldSimple w:instr=" SEQ Table \* ARABIC ">
        <w:r w:rsidR="00F45C43">
          <w:rPr>
            <w:noProof/>
          </w:rPr>
          <w:t>25</w:t>
        </w:r>
      </w:fldSimple>
      <w:r>
        <w:t>:</w:t>
      </w:r>
      <w:r>
        <w:tab/>
        <w:t>Costs associated with health states used in the economic model</w:t>
      </w:r>
      <w:bookmarkEnd w:id="291"/>
      <w:bookmarkEnd w:id="29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46"/>
        <w:gridCol w:w="1839"/>
        <w:gridCol w:w="2357"/>
      </w:tblGrid>
      <w:tr w:rsidR="00786914" w:rsidRPr="00A37839" w:rsidTr="0006743B">
        <w:tc>
          <w:tcPr>
            <w:tcW w:w="2730" w:type="pct"/>
          </w:tcPr>
          <w:bookmarkEnd w:id="293"/>
          <w:p w:rsidR="00786914" w:rsidRPr="00AA30BA" w:rsidRDefault="00786914" w:rsidP="0006743B">
            <w:pPr>
              <w:pStyle w:val="Tableheading"/>
            </w:pPr>
            <w:r w:rsidRPr="00AA30BA">
              <w:t>Health State Costs (Model)</w:t>
            </w:r>
          </w:p>
        </w:tc>
        <w:tc>
          <w:tcPr>
            <w:tcW w:w="995" w:type="pct"/>
          </w:tcPr>
          <w:p w:rsidR="00786914" w:rsidRPr="00AA30BA" w:rsidRDefault="00786914" w:rsidP="0006743B">
            <w:pPr>
              <w:pStyle w:val="Tableheading"/>
            </w:pPr>
            <w:r w:rsidRPr="00AA30BA">
              <w:t>Cost</w:t>
            </w:r>
          </w:p>
        </w:tc>
        <w:tc>
          <w:tcPr>
            <w:tcW w:w="1275" w:type="pct"/>
          </w:tcPr>
          <w:p w:rsidR="00786914" w:rsidRPr="00AA30BA" w:rsidRDefault="00786914" w:rsidP="0006743B">
            <w:pPr>
              <w:pStyle w:val="Tableheading"/>
            </w:pPr>
            <w:r w:rsidRPr="00AA30BA">
              <w:t>Source</w:t>
            </w:r>
          </w:p>
        </w:tc>
      </w:tr>
      <w:tr w:rsidR="00786914" w:rsidRPr="00A37839" w:rsidTr="0006743B">
        <w:tc>
          <w:tcPr>
            <w:tcW w:w="2730" w:type="pct"/>
          </w:tcPr>
          <w:p w:rsidR="00786914" w:rsidRPr="00AA30BA" w:rsidRDefault="00786914" w:rsidP="0006743B">
            <w:pPr>
              <w:pStyle w:val="TableText"/>
            </w:pPr>
            <w:r w:rsidRPr="00AA30BA">
              <w:t>HoLEP treatment</w:t>
            </w:r>
          </w:p>
        </w:tc>
        <w:tc>
          <w:tcPr>
            <w:tcW w:w="995" w:type="pct"/>
          </w:tcPr>
          <w:p w:rsidR="00786914" w:rsidRPr="00AA30BA" w:rsidRDefault="00786914" w:rsidP="0006743B">
            <w:pPr>
              <w:pStyle w:val="TableText"/>
            </w:pPr>
            <w:r w:rsidRPr="00AA30BA">
              <w:t>$2,616.89</w:t>
            </w:r>
          </w:p>
        </w:tc>
        <w:tc>
          <w:tcPr>
            <w:tcW w:w="1275" w:type="pct"/>
          </w:tcPr>
          <w:p w:rsidR="00786914" w:rsidRPr="00AA30BA" w:rsidRDefault="00786914" w:rsidP="0006743B">
            <w:pPr>
              <w:pStyle w:val="TableText"/>
            </w:pPr>
            <w:r w:rsidRPr="00AA30BA">
              <w:t>Derived</w:t>
            </w:r>
          </w:p>
        </w:tc>
      </w:tr>
      <w:tr w:rsidR="00786914" w:rsidRPr="00A37839" w:rsidTr="0006743B">
        <w:tc>
          <w:tcPr>
            <w:tcW w:w="2730" w:type="pct"/>
          </w:tcPr>
          <w:p w:rsidR="00786914" w:rsidRPr="00AA30BA" w:rsidRDefault="00786914" w:rsidP="0006743B">
            <w:pPr>
              <w:pStyle w:val="TableText"/>
            </w:pPr>
            <w:r w:rsidRPr="00AA30BA">
              <w:t>HoLEP with treatment adverse event</w:t>
            </w:r>
          </w:p>
        </w:tc>
        <w:tc>
          <w:tcPr>
            <w:tcW w:w="995" w:type="pct"/>
          </w:tcPr>
          <w:p w:rsidR="00786914" w:rsidRPr="00AA30BA" w:rsidRDefault="00786914" w:rsidP="0006743B">
            <w:pPr>
              <w:pStyle w:val="TableText"/>
            </w:pPr>
            <w:r w:rsidRPr="00AA30BA">
              <w:t>$</w:t>
            </w:r>
            <w:r w:rsidRPr="00E16A87">
              <w:t>5,569.36</w:t>
            </w:r>
          </w:p>
        </w:tc>
        <w:tc>
          <w:tcPr>
            <w:tcW w:w="1275" w:type="pct"/>
          </w:tcPr>
          <w:p w:rsidR="00786914" w:rsidRPr="00AA30BA" w:rsidRDefault="00786914" w:rsidP="0006743B">
            <w:pPr>
              <w:pStyle w:val="TableText"/>
            </w:pPr>
            <w:r w:rsidRPr="00AA30BA">
              <w:t>Derived</w:t>
            </w:r>
          </w:p>
        </w:tc>
      </w:tr>
      <w:tr w:rsidR="00786914" w:rsidRPr="00A37839" w:rsidTr="0006743B">
        <w:tc>
          <w:tcPr>
            <w:tcW w:w="2730" w:type="pct"/>
          </w:tcPr>
          <w:p w:rsidR="00786914" w:rsidRPr="00AA30BA" w:rsidRDefault="00786914" w:rsidP="0006743B">
            <w:pPr>
              <w:pStyle w:val="TableText"/>
            </w:pPr>
            <w:r w:rsidRPr="00AA30BA">
              <w:t>TURP treatment</w:t>
            </w:r>
          </w:p>
        </w:tc>
        <w:tc>
          <w:tcPr>
            <w:tcW w:w="995" w:type="pct"/>
          </w:tcPr>
          <w:p w:rsidR="00786914" w:rsidRPr="00AA30BA" w:rsidRDefault="00786914" w:rsidP="0006743B">
            <w:pPr>
              <w:pStyle w:val="TableText"/>
            </w:pPr>
            <w:r w:rsidRPr="00AA30BA">
              <w:t>$3,178.00</w:t>
            </w:r>
          </w:p>
        </w:tc>
        <w:tc>
          <w:tcPr>
            <w:tcW w:w="1275" w:type="pct"/>
          </w:tcPr>
          <w:p w:rsidR="00786914" w:rsidRPr="00AA30BA" w:rsidRDefault="00786914" w:rsidP="0006743B">
            <w:pPr>
              <w:pStyle w:val="TableText"/>
            </w:pPr>
            <w:r w:rsidRPr="00AA30BA">
              <w:t>AR-DRG M02B</w:t>
            </w:r>
          </w:p>
        </w:tc>
      </w:tr>
      <w:tr w:rsidR="00786914" w:rsidRPr="00A37839" w:rsidTr="0006743B">
        <w:tc>
          <w:tcPr>
            <w:tcW w:w="2730" w:type="pct"/>
          </w:tcPr>
          <w:p w:rsidR="00786914" w:rsidRPr="00AA30BA" w:rsidRDefault="00786914" w:rsidP="0006743B">
            <w:pPr>
              <w:pStyle w:val="TableText"/>
            </w:pPr>
            <w:r w:rsidRPr="00AA30BA">
              <w:t>TURP treatment with adverse event</w:t>
            </w:r>
          </w:p>
        </w:tc>
        <w:tc>
          <w:tcPr>
            <w:tcW w:w="995" w:type="pct"/>
          </w:tcPr>
          <w:p w:rsidR="00786914" w:rsidRPr="00AA30BA" w:rsidRDefault="00786914" w:rsidP="0006743B">
            <w:pPr>
              <w:pStyle w:val="TableText"/>
            </w:pPr>
            <w:r w:rsidRPr="00AA30BA">
              <w:t>$6,761.00</w:t>
            </w:r>
          </w:p>
        </w:tc>
        <w:tc>
          <w:tcPr>
            <w:tcW w:w="1275" w:type="pct"/>
          </w:tcPr>
          <w:p w:rsidR="00786914" w:rsidRPr="00AA30BA" w:rsidRDefault="00786914" w:rsidP="0006743B">
            <w:pPr>
              <w:pStyle w:val="TableText"/>
            </w:pPr>
            <w:r w:rsidRPr="00AA30BA">
              <w:t>AR-DRG M02A</w:t>
            </w:r>
          </w:p>
        </w:tc>
      </w:tr>
      <w:tr w:rsidR="00786914" w:rsidRPr="00A37839" w:rsidTr="0006743B">
        <w:tc>
          <w:tcPr>
            <w:tcW w:w="2730" w:type="pct"/>
          </w:tcPr>
          <w:p w:rsidR="00786914" w:rsidRPr="00AA30BA" w:rsidRDefault="00786914" w:rsidP="0006743B">
            <w:pPr>
              <w:pStyle w:val="TableText"/>
            </w:pPr>
            <w:r w:rsidRPr="00AA30BA">
              <w:t>OP treatment</w:t>
            </w:r>
          </w:p>
        </w:tc>
        <w:tc>
          <w:tcPr>
            <w:tcW w:w="995" w:type="pct"/>
          </w:tcPr>
          <w:p w:rsidR="00786914" w:rsidRPr="00AA30BA" w:rsidRDefault="00786914" w:rsidP="0006743B">
            <w:pPr>
              <w:pStyle w:val="TableText"/>
            </w:pPr>
            <w:r w:rsidRPr="00AA30BA">
              <w:t>$6,721.35</w:t>
            </w:r>
          </w:p>
        </w:tc>
        <w:tc>
          <w:tcPr>
            <w:tcW w:w="1275" w:type="pct"/>
          </w:tcPr>
          <w:p w:rsidR="00786914" w:rsidRPr="00AA30BA" w:rsidRDefault="00786914" w:rsidP="0006743B">
            <w:pPr>
              <w:pStyle w:val="TableText"/>
            </w:pPr>
            <w:r w:rsidRPr="00AA30BA">
              <w:t>Derived</w:t>
            </w:r>
          </w:p>
        </w:tc>
      </w:tr>
      <w:tr w:rsidR="00786914" w:rsidRPr="00A37839" w:rsidTr="0006743B">
        <w:tc>
          <w:tcPr>
            <w:tcW w:w="2730" w:type="pct"/>
          </w:tcPr>
          <w:p w:rsidR="00786914" w:rsidRPr="00AA30BA" w:rsidRDefault="00786914" w:rsidP="0006743B">
            <w:pPr>
              <w:pStyle w:val="TableText"/>
            </w:pPr>
            <w:r w:rsidRPr="00AA30BA">
              <w:t>Urethral stricture</w:t>
            </w:r>
          </w:p>
        </w:tc>
        <w:tc>
          <w:tcPr>
            <w:tcW w:w="995" w:type="pct"/>
          </w:tcPr>
          <w:p w:rsidR="00786914" w:rsidRPr="00AA30BA" w:rsidRDefault="00786914" w:rsidP="0006743B">
            <w:pPr>
              <w:pStyle w:val="TableText"/>
            </w:pPr>
            <w:r w:rsidRPr="00AA30BA">
              <w:t>$1,275.00</w:t>
            </w:r>
          </w:p>
        </w:tc>
        <w:tc>
          <w:tcPr>
            <w:tcW w:w="1275" w:type="pct"/>
          </w:tcPr>
          <w:p w:rsidR="00786914" w:rsidRPr="00AA30BA" w:rsidRDefault="00786914" w:rsidP="0006743B">
            <w:pPr>
              <w:pStyle w:val="TableText"/>
            </w:pPr>
            <w:r w:rsidRPr="00AA30BA">
              <w:t>AR-DRG L66Z</w:t>
            </w:r>
          </w:p>
        </w:tc>
      </w:tr>
      <w:tr w:rsidR="00786914" w:rsidRPr="00A37839" w:rsidTr="0006743B">
        <w:tc>
          <w:tcPr>
            <w:tcW w:w="2730" w:type="pct"/>
          </w:tcPr>
          <w:p w:rsidR="00786914" w:rsidRPr="00AA30BA" w:rsidRDefault="00786914" w:rsidP="0006743B">
            <w:pPr>
              <w:pStyle w:val="TableText"/>
            </w:pPr>
            <w:r w:rsidRPr="00AA30BA">
              <w:t>Incontinence</w:t>
            </w:r>
          </w:p>
        </w:tc>
        <w:tc>
          <w:tcPr>
            <w:tcW w:w="995" w:type="pct"/>
          </w:tcPr>
          <w:p w:rsidR="00786914" w:rsidRPr="00AA30BA" w:rsidRDefault="00786914" w:rsidP="0006743B">
            <w:pPr>
              <w:pStyle w:val="TableText"/>
            </w:pPr>
            <w:r w:rsidRPr="00AA30BA">
              <w:t>$410.21</w:t>
            </w:r>
          </w:p>
        </w:tc>
        <w:tc>
          <w:tcPr>
            <w:tcW w:w="1275" w:type="pct"/>
          </w:tcPr>
          <w:p w:rsidR="00786914" w:rsidRPr="00AA30BA" w:rsidRDefault="00786914" w:rsidP="0006743B">
            <w:pPr>
              <w:pStyle w:val="TableText"/>
            </w:pPr>
            <w:r w:rsidRPr="00AA30BA">
              <w:t>Derived</w:t>
            </w:r>
          </w:p>
        </w:tc>
      </w:tr>
    </w:tbl>
    <w:p w:rsidR="00786914" w:rsidRDefault="00786914" w:rsidP="0006743B"/>
    <w:p w:rsidR="00786914" w:rsidRPr="00A37839" w:rsidRDefault="00786914" w:rsidP="0006743B">
      <w:r>
        <w:t>The health states of well and death do not have any associated costs.</w:t>
      </w:r>
    </w:p>
    <w:p w:rsidR="00786914" w:rsidRPr="00A37839" w:rsidRDefault="00786914" w:rsidP="0006743B">
      <w:pPr>
        <w:pStyle w:val="Normalbold"/>
      </w:pPr>
      <w:bookmarkStart w:id="294" w:name="_Toc327877901"/>
      <w:r w:rsidRPr="00A37839">
        <w:t>Utility values</w:t>
      </w:r>
      <w:bookmarkEnd w:id="294"/>
    </w:p>
    <w:p w:rsidR="00786914" w:rsidRPr="00A37839" w:rsidRDefault="00786914" w:rsidP="0006743B">
      <w:r>
        <w:t xml:space="preserve">Utility values associated with the treatment of BPH were previously estimated by </w:t>
      </w:r>
      <w:r w:rsidRPr="000A20EE">
        <w:rPr>
          <w:noProof/>
        </w:rPr>
        <w:t>(Kok et al 2002)</w:t>
      </w:r>
      <w:r w:rsidRPr="00A37839">
        <w:t xml:space="preserve"> using a standard gamble technique</w:t>
      </w:r>
      <w:r>
        <w:t xml:space="preserve">. </w:t>
      </w:r>
      <w:r w:rsidRPr="00A37839">
        <w:t xml:space="preserve">These were used in the analysis wherever </w:t>
      </w:r>
      <w:r w:rsidRPr="00A37839">
        <w:lastRenderedPageBreak/>
        <w:t>possible</w:t>
      </w:r>
      <w:r>
        <w:t xml:space="preserve">. </w:t>
      </w:r>
      <w:r w:rsidRPr="00A37839">
        <w:t>The only instance where previously estimated values could not be used was for the health state of ‘Treatment adverse event’</w:t>
      </w:r>
      <w:r>
        <w:t xml:space="preserve">. </w:t>
      </w:r>
      <w:r w:rsidRPr="00A37839">
        <w:t>Utility for this health state was calculated as being p</w:t>
      </w:r>
      <w:r>
        <w:t>re-treatment</w:t>
      </w:r>
      <w:r w:rsidRPr="00A37839">
        <w:t xml:space="preserve"> utility minus the disutility value of 0.</w:t>
      </w:r>
      <w:r>
        <w:t>005</w:t>
      </w:r>
      <w:r w:rsidRPr="00A37839">
        <w:t xml:space="preserve"> of experiencing TUR syndrome reported</w:t>
      </w:r>
      <w:r>
        <w:t xml:space="preserve"> </w:t>
      </w:r>
      <w:r w:rsidRPr="000A20EE">
        <w:rPr>
          <w:noProof/>
        </w:rPr>
        <w:t>(Ackerman et al 2000)</w:t>
      </w:r>
      <w:r w:rsidRPr="00A37839">
        <w:t xml:space="preserve"> for two days.</w:t>
      </w:r>
    </w:p>
    <w:p w:rsidR="00786914" w:rsidRPr="00A37839" w:rsidRDefault="00786914" w:rsidP="0006743B">
      <w:r w:rsidRPr="00A37839">
        <w:t>P</w:t>
      </w:r>
      <w:r>
        <w:t>re-treatment</w:t>
      </w:r>
      <w:r w:rsidRPr="00A37839">
        <w:t xml:space="preserve"> utility was assumed to be the same as for treatment failure.</w:t>
      </w:r>
    </w:p>
    <w:p w:rsidR="00786914" w:rsidRDefault="00786914" w:rsidP="0006743B">
      <w:pPr>
        <w:pStyle w:val="Caption"/>
        <w:keepNext/>
      </w:pPr>
      <w:bookmarkStart w:id="295" w:name="_Toc327803273"/>
      <w:bookmarkStart w:id="296" w:name="_Toc327881563"/>
      <w:bookmarkStart w:id="297" w:name="_Toc323642342"/>
      <w:r>
        <w:t xml:space="preserve">Table </w:t>
      </w:r>
      <w:fldSimple w:instr=" SEQ Table \* ARABIC ">
        <w:r w:rsidR="00F45C43">
          <w:rPr>
            <w:noProof/>
          </w:rPr>
          <w:t>26</w:t>
        </w:r>
      </w:fldSimple>
      <w:r>
        <w:t>:</w:t>
      </w:r>
      <w:r>
        <w:tab/>
        <w:t>Utility values associated with health care states used in the economic evaluation</w:t>
      </w:r>
      <w:bookmarkEnd w:id="295"/>
      <w:bookmarkEnd w:id="296"/>
    </w:p>
    <w:tbl>
      <w:tblPr>
        <w:tblW w:w="4546"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598"/>
        <w:gridCol w:w="1939"/>
        <w:gridCol w:w="2494"/>
      </w:tblGrid>
      <w:tr w:rsidR="00786914" w:rsidRPr="00A37839" w:rsidTr="0006743B">
        <w:tc>
          <w:tcPr>
            <w:tcW w:w="1411" w:type="pct"/>
          </w:tcPr>
          <w:bookmarkEnd w:id="297"/>
          <w:p w:rsidR="00786914" w:rsidRPr="00A37839" w:rsidRDefault="00786914" w:rsidP="0006743B">
            <w:pPr>
              <w:pStyle w:val="Tableheading"/>
            </w:pPr>
            <w:r w:rsidRPr="00A37839">
              <w:t>Health State</w:t>
            </w:r>
          </w:p>
        </w:tc>
        <w:tc>
          <w:tcPr>
            <w:tcW w:w="950" w:type="pct"/>
          </w:tcPr>
          <w:p w:rsidR="00786914" w:rsidRPr="00A37839" w:rsidRDefault="00786914" w:rsidP="0006743B">
            <w:pPr>
              <w:pStyle w:val="Tableheading"/>
            </w:pPr>
            <w:r w:rsidRPr="00A37839">
              <w:t>Utility (QALYs)</w:t>
            </w:r>
          </w:p>
        </w:tc>
        <w:tc>
          <w:tcPr>
            <w:tcW w:w="1154" w:type="pct"/>
          </w:tcPr>
          <w:p w:rsidR="00786914" w:rsidRPr="00A37839" w:rsidRDefault="00786914" w:rsidP="0006743B">
            <w:pPr>
              <w:pStyle w:val="Tableheading"/>
            </w:pPr>
            <w:r w:rsidRPr="00A37839">
              <w:t>Source</w:t>
            </w:r>
          </w:p>
        </w:tc>
        <w:tc>
          <w:tcPr>
            <w:tcW w:w="1484" w:type="pct"/>
          </w:tcPr>
          <w:p w:rsidR="00786914" w:rsidRPr="00A37839" w:rsidRDefault="00786914" w:rsidP="0006743B">
            <w:pPr>
              <w:pStyle w:val="Tableheading"/>
            </w:pPr>
            <w:r w:rsidRPr="00A37839">
              <w:t>Notes</w:t>
            </w:r>
          </w:p>
        </w:tc>
      </w:tr>
      <w:tr w:rsidR="00786914" w:rsidRPr="00A37839" w:rsidTr="0006743B">
        <w:tc>
          <w:tcPr>
            <w:tcW w:w="1411" w:type="pct"/>
          </w:tcPr>
          <w:p w:rsidR="00786914" w:rsidRPr="00A37839" w:rsidRDefault="00786914" w:rsidP="0006743B">
            <w:pPr>
              <w:pStyle w:val="TableText"/>
            </w:pPr>
            <w:r w:rsidRPr="00A37839">
              <w:t>Well: Treatment Successful</w:t>
            </w:r>
          </w:p>
        </w:tc>
        <w:tc>
          <w:tcPr>
            <w:tcW w:w="950" w:type="pct"/>
          </w:tcPr>
          <w:p w:rsidR="00786914" w:rsidRPr="00A37839" w:rsidRDefault="00786914" w:rsidP="0006743B">
            <w:pPr>
              <w:pStyle w:val="TableText"/>
            </w:pPr>
            <w:r w:rsidRPr="00A37839">
              <w:t>1</w:t>
            </w:r>
          </w:p>
        </w:tc>
        <w:tc>
          <w:tcPr>
            <w:tcW w:w="1154" w:type="pct"/>
          </w:tcPr>
          <w:p w:rsidR="00786914" w:rsidRPr="00A37839" w:rsidRDefault="00786914" w:rsidP="0006743B">
            <w:pPr>
              <w:pStyle w:val="TableText"/>
            </w:pPr>
            <w:r w:rsidRPr="00A37839">
              <w:t>Kok et al., 2002</w:t>
            </w:r>
          </w:p>
        </w:tc>
        <w:tc>
          <w:tcPr>
            <w:tcW w:w="1484" w:type="pct"/>
          </w:tcPr>
          <w:p w:rsidR="00786914" w:rsidRPr="00A37839" w:rsidRDefault="00786914" w:rsidP="0006743B">
            <w:pPr>
              <w:pStyle w:val="TableText"/>
            </w:pPr>
          </w:p>
        </w:tc>
      </w:tr>
      <w:tr w:rsidR="00786914" w:rsidRPr="00A37839" w:rsidTr="0006743B">
        <w:tc>
          <w:tcPr>
            <w:tcW w:w="1411" w:type="pct"/>
          </w:tcPr>
          <w:p w:rsidR="00786914" w:rsidRPr="00A37839" w:rsidRDefault="00786914" w:rsidP="0006743B">
            <w:pPr>
              <w:pStyle w:val="TableText"/>
            </w:pPr>
            <w:r w:rsidRPr="00A37839">
              <w:t>Treatment adverse event</w:t>
            </w:r>
          </w:p>
        </w:tc>
        <w:tc>
          <w:tcPr>
            <w:tcW w:w="950" w:type="pct"/>
          </w:tcPr>
          <w:p w:rsidR="00786914" w:rsidRPr="00A37839" w:rsidRDefault="00786914" w:rsidP="0006743B">
            <w:pPr>
              <w:pStyle w:val="TableText"/>
            </w:pPr>
            <w:r w:rsidRPr="00A37839">
              <w:t>0.93</w:t>
            </w:r>
            <w:r>
              <w:t>5</w:t>
            </w:r>
          </w:p>
        </w:tc>
        <w:tc>
          <w:tcPr>
            <w:tcW w:w="1154" w:type="pct"/>
          </w:tcPr>
          <w:p w:rsidR="00786914" w:rsidRPr="00A37839" w:rsidRDefault="00786914" w:rsidP="0006743B">
            <w:pPr>
              <w:pStyle w:val="TableText"/>
            </w:pPr>
            <w:r w:rsidRPr="00A37839">
              <w:t>Derived</w:t>
            </w:r>
          </w:p>
        </w:tc>
        <w:tc>
          <w:tcPr>
            <w:tcW w:w="1484" w:type="pct"/>
          </w:tcPr>
          <w:p w:rsidR="00786914" w:rsidRPr="00A37839" w:rsidRDefault="00786914" w:rsidP="0006743B">
            <w:pPr>
              <w:pStyle w:val="TableText"/>
            </w:pPr>
            <w:r w:rsidRPr="00A37839">
              <w:t>Calculated by utility of treatment failure - disutility of TUR (0.</w:t>
            </w:r>
            <w:r>
              <w:t>005</w:t>
            </w:r>
            <w:r w:rsidRPr="00A37839">
              <w:t>) for 2 days</w:t>
            </w:r>
          </w:p>
        </w:tc>
      </w:tr>
      <w:tr w:rsidR="00786914" w:rsidRPr="00A37839" w:rsidTr="0006743B">
        <w:tc>
          <w:tcPr>
            <w:tcW w:w="1411" w:type="pct"/>
          </w:tcPr>
          <w:p w:rsidR="00786914" w:rsidRPr="00A37839" w:rsidRDefault="00786914" w:rsidP="0006743B">
            <w:pPr>
              <w:pStyle w:val="TableText"/>
            </w:pPr>
            <w:r w:rsidRPr="00A37839">
              <w:t>Persistent side effects</w:t>
            </w:r>
          </w:p>
        </w:tc>
        <w:tc>
          <w:tcPr>
            <w:tcW w:w="950" w:type="pct"/>
          </w:tcPr>
          <w:p w:rsidR="00786914" w:rsidRPr="00A37839" w:rsidRDefault="00786914" w:rsidP="0006743B">
            <w:pPr>
              <w:pStyle w:val="TableText"/>
            </w:pPr>
            <w:r w:rsidRPr="00A37839">
              <w:t>0.970</w:t>
            </w:r>
          </w:p>
        </w:tc>
        <w:tc>
          <w:tcPr>
            <w:tcW w:w="1154" w:type="pct"/>
          </w:tcPr>
          <w:p w:rsidR="00786914" w:rsidRPr="00A37839" w:rsidRDefault="00786914" w:rsidP="0006743B">
            <w:pPr>
              <w:pStyle w:val="TableText"/>
            </w:pPr>
            <w:r w:rsidRPr="00A37839">
              <w:t>Kok et al., 2002</w:t>
            </w:r>
          </w:p>
        </w:tc>
        <w:tc>
          <w:tcPr>
            <w:tcW w:w="1484" w:type="pct"/>
          </w:tcPr>
          <w:p w:rsidR="00786914" w:rsidRPr="00A37839" w:rsidRDefault="00786914" w:rsidP="0006743B">
            <w:pPr>
              <w:pStyle w:val="TableText"/>
            </w:pPr>
            <w:r>
              <w:t>States of urethral stricture and long-term incontinence.</w:t>
            </w:r>
          </w:p>
        </w:tc>
      </w:tr>
      <w:tr w:rsidR="00786914" w:rsidRPr="00A37839" w:rsidTr="0006743B">
        <w:tc>
          <w:tcPr>
            <w:tcW w:w="1411" w:type="pct"/>
          </w:tcPr>
          <w:p w:rsidR="00786914" w:rsidRPr="00A37839" w:rsidRDefault="00786914" w:rsidP="0006743B">
            <w:pPr>
              <w:pStyle w:val="TableText"/>
            </w:pPr>
            <w:r w:rsidRPr="00A37839">
              <w:t>Treatment Failure</w:t>
            </w:r>
          </w:p>
        </w:tc>
        <w:tc>
          <w:tcPr>
            <w:tcW w:w="950" w:type="pct"/>
          </w:tcPr>
          <w:p w:rsidR="00786914" w:rsidRPr="00A37839" w:rsidRDefault="00786914" w:rsidP="0006743B">
            <w:pPr>
              <w:pStyle w:val="TableText"/>
            </w:pPr>
            <w:r w:rsidRPr="00A37839">
              <w:t>0.940</w:t>
            </w:r>
          </w:p>
        </w:tc>
        <w:tc>
          <w:tcPr>
            <w:tcW w:w="1154" w:type="pct"/>
          </w:tcPr>
          <w:p w:rsidR="00786914" w:rsidRPr="00A37839" w:rsidRDefault="00786914" w:rsidP="0006743B">
            <w:pPr>
              <w:pStyle w:val="TableText"/>
            </w:pPr>
            <w:r w:rsidRPr="00A37839">
              <w:t>Kok et al., 2002</w:t>
            </w:r>
          </w:p>
        </w:tc>
        <w:tc>
          <w:tcPr>
            <w:tcW w:w="1484" w:type="pct"/>
          </w:tcPr>
          <w:p w:rsidR="00786914" w:rsidRPr="00A37839" w:rsidRDefault="00786914" w:rsidP="0006743B">
            <w:pPr>
              <w:pStyle w:val="TableText"/>
            </w:pPr>
          </w:p>
        </w:tc>
      </w:tr>
    </w:tbl>
    <w:p w:rsidR="00786914" w:rsidRDefault="00786914" w:rsidP="0006743B"/>
    <w:p w:rsidR="00786914" w:rsidRDefault="00786914" w:rsidP="0006743B">
      <w:pPr>
        <w:pStyle w:val="Heading2"/>
      </w:pPr>
      <w:bookmarkStart w:id="298" w:name="_Toc327877902"/>
      <w:bookmarkStart w:id="299" w:name="_Toc365900582"/>
      <w:r w:rsidRPr="003009E1">
        <w:t>Results</w:t>
      </w:r>
      <w:bookmarkEnd w:id="298"/>
      <w:bookmarkEnd w:id="299"/>
    </w:p>
    <w:p w:rsidR="00786914" w:rsidRDefault="00786914" w:rsidP="0006743B">
      <w:pPr>
        <w:pStyle w:val="Heading3"/>
      </w:pPr>
      <w:bookmarkStart w:id="300" w:name="_Toc327877903"/>
      <w:bookmarkStart w:id="301" w:name="_Toc365900583"/>
      <w:r>
        <w:t>HoLEP in comparison with TURP – base case</w:t>
      </w:r>
      <w:bookmarkEnd w:id="300"/>
      <w:bookmarkEnd w:id="301"/>
    </w:p>
    <w:p w:rsidR="00786914" w:rsidRDefault="00786914" w:rsidP="0006743B">
      <w:r w:rsidRPr="00A32869">
        <w:t xml:space="preserve">The </w:t>
      </w:r>
      <w:r>
        <w:t>tables below summarise the base case results of the five year cost-effectiveness of various treatment pathways for BPH. Results are shown for the treatment pathways of:</w:t>
      </w:r>
    </w:p>
    <w:p w:rsidR="00786914" w:rsidRPr="00B92949" w:rsidRDefault="00786914" w:rsidP="0006743B">
      <w:pPr>
        <w:pStyle w:val="Bullet"/>
        <w:numPr>
          <w:ilvl w:val="0"/>
          <w:numId w:val="20"/>
        </w:numPr>
      </w:pPr>
      <w:r w:rsidRPr="00B92949">
        <w:t>TURP as initial treatment, followed by TURP in the event of treatment failure (comparator).</w:t>
      </w:r>
    </w:p>
    <w:p w:rsidR="00786914" w:rsidRPr="00B92949" w:rsidRDefault="00786914" w:rsidP="0006743B">
      <w:pPr>
        <w:pStyle w:val="Bullet"/>
        <w:numPr>
          <w:ilvl w:val="0"/>
          <w:numId w:val="20"/>
        </w:numPr>
      </w:pPr>
      <w:r w:rsidRPr="00B92949">
        <w:t>HoLEP as initial treatment, followed by TURP in the event of treatment failure</w:t>
      </w:r>
    </w:p>
    <w:p w:rsidR="00786914" w:rsidRPr="00B92949" w:rsidRDefault="00786914" w:rsidP="0006743B">
      <w:pPr>
        <w:pStyle w:val="Bullet"/>
        <w:numPr>
          <w:ilvl w:val="0"/>
          <w:numId w:val="20"/>
        </w:numPr>
      </w:pPr>
      <w:r w:rsidRPr="00B92949">
        <w:t>HoLEP as initial treatment, followed by a second HoLEP in the event of treatment failure.</w:t>
      </w:r>
    </w:p>
    <w:p w:rsidR="00786914" w:rsidRDefault="00786914" w:rsidP="0006743B">
      <w:r>
        <w:t>All costs and effects are discounted at five percent per annum.</w:t>
      </w:r>
    </w:p>
    <w:p w:rsidR="00786914" w:rsidRDefault="00786914" w:rsidP="0006743B">
      <w:pPr>
        <w:tabs>
          <w:tab w:val="left" w:pos="2977"/>
        </w:tabs>
      </w:pPr>
      <w:r>
        <w:t>Table 27 shows the average cost per patient for each of the three strategies above. HoLEP (with HoLEP re-treatment in the event of failure) has the lowest average cost per patient of $3,095.50. Compared with the base-case treatment of TURP (with TURP re-treatment), the incremental costs associated with HoLEP (with TURP re-treatment) and HoLEP (with HoLEP re-treatment) are modelled to be $-1,395.30 and $-1,437.80 respectively.</w:t>
      </w:r>
    </w:p>
    <w:p w:rsidR="00786914" w:rsidRDefault="00786914" w:rsidP="0006743B">
      <w:pPr>
        <w:pStyle w:val="Caption"/>
        <w:keepNext/>
      </w:pPr>
      <w:bookmarkStart w:id="302" w:name="_Toc327803274"/>
      <w:bookmarkStart w:id="303" w:name="_Toc327881564"/>
      <w:r>
        <w:t xml:space="preserve">Table </w:t>
      </w:r>
      <w:fldSimple w:instr=" SEQ Table \* ARABIC ">
        <w:r w:rsidR="00F45C43">
          <w:rPr>
            <w:noProof/>
          </w:rPr>
          <w:t>27</w:t>
        </w:r>
      </w:fldSimple>
      <w:r>
        <w:t>:</w:t>
      </w:r>
      <w:r>
        <w:tab/>
        <w:t>Modelled average cost per patient over five years of alternate treatment pathways for BPH</w:t>
      </w:r>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786914" w:rsidTr="0006743B">
        <w:tc>
          <w:tcPr>
            <w:tcW w:w="1667" w:type="pct"/>
          </w:tcPr>
          <w:p w:rsidR="00786914" w:rsidRPr="00634808" w:rsidRDefault="00786914" w:rsidP="0006743B">
            <w:pPr>
              <w:pStyle w:val="Tableheading"/>
            </w:pPr>
            <w:r w:rsidRPr="00634808">
              <w:t>Strategy</w:t>
            </w:r>
          </w:p>
        </w:tc>
        <w:tc>
          <w:tcPr>
            <w:tcW w:w="1667" w:type="pct"/>
          </w:tcPr>
          <w:p w:rsidR="00786914" w:rsidRPr="00634808" w:rsidRDefault="00786914" w:rsidP="0006743B">
            <w:pPr>
              <w:pStyle w:val="Tableheading"/>
            </w:pPr>
            <w:r>
              <w:t>Average cost per patient</w:t>
            </w:r>
          </w:p>
        </w:tc>
        <w:tc>
          <w:tcPr>
            <w:tcW w:w="1666" w:type="pct"/>
          </w:tcPr>
          <w:p w:rsidR="00786914" w:rsidRPr="00634808" w:rsidRDefault="00786914" w:rsidP="0006743B">
            <w:pPr>
              <w:pStyle w:val="Tableheading"/>
            </w:pPr>
            <w:r w:rsidRPr="00634808">
              <w:t>Incremental Cost</w:t>
            </w:r>
          </w:p>
        </w:tc>
      </w:tr>
      <w:tr w:rsidR="00786914" w:rsidTr="0006743B">
        <w:tc>
          <w:tcPr>
            <w:tcW w:w="1667" w:type="pct"/>
            <w:vAlign w:val="bottom"/>
          </w:tcPr>
          <w:p w:rsidR="00786914" w:rsidRPr="008A57CF" w:rsidRDefault="00786914" w:rsidP="0006743B">
            <w:pPr>
              <w:pStyle w:val="TableText"/>
            </w:pPr>
            <w:r w:rsidRPr="008A57CF">
              <w:t>TURP then TURP</w:t>
            </w:r>
          </w:p>
        </w:tc>
        <w:tc>
          <w:tcPr>
            <w:tcW w:w="1667" w:type="pct"/>
            <w:vAlign w:val="bottom"/>
          </w:tcPr>
          <w:p w:rsidR="00786914" w:rsidRPr="008A57CF" w:rsidRDefault="00786914" w:rsidP="0006743B">
            <w:pPr>
              <w:pStyle w:val="TableText"/>
            </w:pPr>
            <w:r w:rsidRPr="008A57CF">
              <w:t>$4,533.30</w:t>
            </w:r>
          </w:p>
        </w:tc>
        <w:tc>
          <w:tcPr>
            <w:tcW w:w="1666" w:type="pct"/>
          </w:tcPr>
          <w:p w:rsidR="00786914" w:rsidRPr="00634808" w:rsidRDefault="00786914" w:rsidP="0006743B">
            <w:pPr>
              <w:pStyle w:val="TableText"/>
            </w:pPr>
            <w:r>
              <w:t>-</w:t>
            </w:r>
          </w:p>
        </w:tc>
      </w:tr>
      <w:tr w:rsidR="00786914" w:rsidTr="0006743B">
        <w:tc>
          <w:tcPr>
            <w:tcW w:w="1667" w:type="pct"/>
            <w:vAlign w:val="bottom"/>
          </w:tcPr>
          <w:p w:rsidR="00786914" w:rsidRPr="008A57CF" w:rsidRDefault="00786914" w:rsidP="0006743B">
            <w:pPr>
              <w:pStyle w:val="TableText"/>
            </w:pPr>
            <w:r w:rsidRPr="008A57CF">
              <w:t>HoLEP then TURP</w:t>
            </w:r>
          </w:p>
        </w:tc>
        <w:tc>
          <w:tcPr>
            <w:tcW w:w="1667" w:type="pct"/>
            <w:vAlign w:val="bottom"/>
          </w:tcPr>
          <w:p w:rsidR="00786914" w:rsidRPr="008A57CF" w:rsidRDefault="00786914" w:rsidP="0006743B">
            <w:pPr>
              <w:pStyle w:val="TableText"/>
            </w:pPr>
            <w:r w:rsidRPr="008A57CF">
              <w:t>$3,138.00</w:t>
            </w:r>
          </w:p>
        </w:tc>
        <w:tc>
          <w:tcPr>
            <w:tcW w:w="1666" w:type="pct"/>
            <w:vAlign w:val="bottom"/>
          </w:tcPr>
          <w:p w:rsidR="00786914" w:rsidRPr="008A57CF" w:rsidRDefault="00786914" w:rsidP="0006743B">
            <w:pPr>
              <w:pStyle w:val="TableText"/>
            </w:pPr>
            <w:r w:rsidRPr="008A57CF">
              <w:t>-$1,395.30</w:t>
            </w:r>
          </w:p>
        </w:tc>
      </w:tr>
      <w:tr w:rsidR="00786914" w:rsidTr="0006743B">
        <w:tc>
          <w:tcPr>
            <w:tcW w:w="1667" w:type="pct"/>
            <w:vAlign w:val="bottom"/>
          </w:tcPr>
          <w:p w:rsidR="00786914" w:rsidRPr="008A57CF" w:rsidRDefault="00786914" w:rsidP="0006743B">
            <w:pPr>
              <w:pStyle w:val="TableText"/>
            </w:pPr>
            <w:r w:rsidRPr="008A57CF">
              <w:t>HoLEP then HoLEP</w:t>
            </w:r>
          </w:p>
        </w:tc>
        <w:tc>
          <w:tcPr>
            <w:tcW w:w="1667" w:type="pct"/>
            <w:vAlign w:val="bottom"/>
          </w:tcPr>
          <w:p w:rsidR="00786914" w:rsidRPr="008A57CF" w:rsidRDefault="00786914" w:rsidP="0006743B">
            <w:pPr>
              <w:pStyle w:val="TableText"/>
            </w:pPr>
            <w:r w:rsidRPr="008A57CF">
              <w:t>$3,095.50</w:t>
            </w:r>
          </w:p>
        </w:tc>
        <w:tc>
          <w:tcPr>
            <w:tcW w:w="1666" w:type="pct"/>
            <w:vAlign w:val="bottom"/>
          </w:tcPr>
          <w:p w:rsidR="00786914" w:rsidRPr="008A57CF" w:rsidRDefault="00786914" w:rsidP="0006743B">
            <w:pPr>
              <w:pStyle w:val="TableText"/>
            </w:pPr>
            <w:r w:rsidRPr="008A57CF">
              <w:t>-$1,437.80</w:t>
            </w:r>
          </w:p>
        </w:tc>
      </w:tr>
    </w:tbl>
    <w:p w:rsidR="00786914" w:rsidRDefault="00786914" w:rsidP="0006743B"/>
    <w:p w:rsidR="00786914" w:rsidRDefault="00786914" w:rsidP="0006743B">
      <w:r>
        <w:lastRenderedPageBreak/>
        <w:t>The effectiveness of each treatment pathway in terms of QALYs gained was also modelled and is shown in Table 28. The difference in QALYs between the HoLEP and TURP treatment pathways (-0.008) is minor and represents only a reduction of 2.9 days over the five year time frame of the model.</w:t>
      </w:r>
    </w:p>
    <w:p w:rsidR="00786914" w:rsidRDefault="00786914" w:rsidP="0006743B">
      <w:pPr>
        <w:pStyle w:val="Caption"/>
        <w:keepNext/>
      </w:pPr>
      <w:bookmarkStart w:id="304" w:name="_Toc327803275"/>
      <w:bookmarkStart w:id="305" w:name="_Toc327881565"/>
      <w:r>
        <w:t xml:space="preserve">Table </w:t>
      </w:r>
      <w:fldSimple w:instr=" SEQ Table \* ARABIC ">
        <w:r w:rsidR="00F45C43">
          <w:rPr>
            <w:noProof/>
          </w:rPr>
          <w:t>28</w:t>
        </w:r>
      </w:fldSimple>
      <w:r>
        <w:t>:</w:t>
      </w:r>
      <w:r>
        <w:tab/>
        <w:t>Modelled average QALYs experienced per patient over five years of alternate treatment pathways for BPH</w:t>
      </w:r>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786914" w:rsidRPr="00E20582" w:rsidTr="0006743B">
        <w:tc>
          <w:tcPr>
            <w:tcW w:w="1666" w:type="pct"/>
          </w:tcPr>
          <w:p w:rsidR="00786914" w:rsidRPr="00A25EDD" w:rsidRDefault="00786914" w:rsidP="0006743B">
            <w:pPr>
              <w:pStyle w:val="TableText"/>
            </w:pPr>
            <w:r w:rsidRPr="00E20582">
              <w:t>Strategy</w:t>
            </w:r>
          </w:p>
        </w:tc>
        <w:tc>
          <w:tcPr>
            <w:tcW w:w="1666" w:type="pct"/>
          </w:tcPr>
          <w:p w:rsidR="00786914" w:rsidRPr="00A25EDD" w:rsidRDefault="00786914" w:rsidP="0006743B">
            <w:pPr>
              <w:pStyle w:val="TableText"/>
            </w:pPr>
            <w:r w:rsidRPr="00A25EDD">
              <w:t>QALYs</w:t>
            </w:r>
          </w:p>
        </w:tc>
        <w:tc>
          <w:tcPr>
            <w:tcW w:w="1667" w:type="pct"/>
          </w:tcPr>
          <w:p w:rsidR="00786914" w:rsidRPr="00A25EDD" w:rsidRDefault="00786914" w:rsidP="0006743B">
            <w:pPr>
              <w:pStyle w:val="TableText"/>
            </w:pPr>
            <w:r w:rsidRPr="00E20582">
              <w:t>Incr</w:t>
            </w:r>
            <w:r w:rsidRPr="00A25EDD">
              <w:t>emental QALYs</w:t>
            </w:r>
          </w:p>
        </w:tc>
      </w:tr>
      <w:tr w:rsidR="00786914" w:rsidRPr="00E20582" w:rsidTr="0006743B">
        <w:tc>
          <w:tcPr>
            <w:tcW w:w="1666" w:type="pct"/>
            <w:vAlign w:val="bottom"/>
          </w:tcPr>
          <w:p w:rsidR="00786914" w:rsidRPr="008A57CF" w:rsidRDefault="00786914" w:rsidP="0006743B">
            <w:pPr>
              <w:pStyle w:val="TableText"/>
            </w:pPr>
            <w:r w:rsidRPr="008A57CF">
              <w:t>TURP then TURP</w:t>
            </w:r>
          </w:p>
        </w:tc>
        <w:tc>
          <w:tcPr>
            <w:tcW w:w="1666" w:type="pct"/>
            <w:vAlign w:val="bottom"/>
          </w:tcPr>
          <w:p w:rsidR="00786914" w:rsidRPr="008A57CF" w:rsidRDefault="00786914" w:rsidP="0006743B">
            <w:pPr>
              <w:pStyle w:val="TableText"/>
            </w:pPr>
            <w:r w:rsidRPr="008A57CF">
              <w:t>4.499</w:t>
            </w:r>
          </w:p>
        </w:tc>
        <w:tc>
          <w:tcPr>
            <w:tcW w:w="1667" w:type="pct"/>
            <w:vAlign w:val="bottom"/>
          </w:tcPr>
          <w:p w:rsidR="00786914" w:rsidRPr="008A57CF" w:rsidRDefault="00786914" w:rsidP="0006743B">
            <w:pPr>
              <w:pStyle w:val="TableText"/>
            </w:pPr>
            <w:r w:rsidRPr="00061F7B">
              <w:t>-</w:t>
            </w:r>
          </w:p>
        </w:tc>
      </w:tr>
      <w:tr w:rsidR="00786914" w:rsidRPr="00E20582" w:rsidTr="0006743B">
        <w:tc>
          <w:tcPr>
            <w:tcW w:w="1666" w:type="pct"/>
            <w:vAlign w:val="bottom"/>
          </w:tcPr>
          <w:p w:rsidR="00786914" w:rsidRPr="008A57CF" w:rsidRDefault="00786914" w:rsidP="0006743B">
            <w:pPr>
              <w:pStyle w:val="TableText"/>
            </w:pPr>
            <w:r w:rsidRPr="008A57CF">
              <w:t>HoLEP then TURP</w:t>
            </w:r>
          </w:p>
        </w:tc>
        <w:tc>
          <w:tcPr>
            <w:tcW w:w="1666" w:type="pct"/>
            <w:vAlign w:val="bottom"/>
          </w:tcPr>
          <w:p w:rsidR="00786914" w:rsidRPr="008A57CF" w:rsidRDefault="00786914" w:rsidP="0006743B">
            <w:pPr>
              <w:pStyle w:val="TableText"/>
            </w:pPr>
            <w:r w:rsidRPr="008A57CF">
              <w:t>4.491</w:t>
            </w:r>
          </w:p>
        </w:tc>
        <w:tc>
          <w:tcPr>
            <w:tcW w:w="1667" w:type="pct"/>
            <w:vAlign w:val="bottom"/>
          </w:tcPr>
          <w:p w:rsidR="00786914" w:rsidRPr="008A57CF" w:rsidRDefault="00786914" w:rsidP="0006743B">
            <w:pPr>
              <w:pStyle w:val="TableText"/>
            </w:pPr>
            <w:r w:rsidRPr="008A57CF">
              <w:t>-0.008</w:t>
            </w:r>
          </w:p>
        </w:tc>
      </w:tr>
      <w:tr w:rsidR="00786914" w:rsidRPr="00E20582" w:rsidTr="0006743B">
        <w:tc>
          <w:tcPr>
            <w:tcW w:w="1666" w:type="pct"/>
            <w:vAlign w:val="bottom"/>
          </w:tcPr>
          <w:p w:rsidR="00786914" w:rsidRPr="008A57CF" w:rsidRDefault="00786914" w:rsidP="0006743B">
            <w:pPr>
              <w:pStyle w:val="TableText"/>
            </w:pPr>
            <w:r w:rsidRPr="008A57CF">
              <w:t>HoLEP then HoLEP</w:t>
            </w:r>
          </w:p>
        </w:tc>
        <w:tc>
          <w:tcPr>
            <w:tcW w:w="1666" w:type="pct"/>
            <w:vAlign w:val="bottom"/>
          </w:tcPr>
          <w:p w:rsidR="00786914" w:rsidRPr="008A57CF" w:rsidRDefault="00786914" w:rsidP="0006743B">
            <w:pPr>
              <w:pStyle w:val="TableText"/>
            </w:pPr>
            <w:r w:rsidRPr="008A57CF">
              <w:t>4.491</w:t>
            </w:r>
          </w:p>
        </w:tc>
        <w:tc>
          <w:tcPr>
            <w:tcW w:w="1667" w:type="pct"/>
            <w:vAlign w:val="bottom"/>
          </w:tcPr>
          <w:p w:rsidR="00786914" w:rsidRPr="008A57CF" w:rsidRDefault="00786914" w:rsidP="0006743B">
            <w:pPr>
              <w:pStyle w:val="TableText"/>
            </w:pPr>
            <w:r w:rsidRPr="008A57CF">
              <w:t>-0.008</w:t>
            </w:r>
          </w:p>
        </w:tc>
      </w:tr>
    </w:tbl>
    <w:p w:rsidR="00786914" w:rsidRDefault="00786914" w:rsidP="0006743B"/>
    <w:p w:rsidR="00786914" w:rsidRDefault="00786914" w:rsidP="0006743B">
      <w:r>
        <w:t>Combining both the costs and effectiveness measures presented in Tables 27 and 28 allows the relative cost-effectiveness of the various treatment pathways to be evaluated. This is shown in Table 29.</w:t>
      </w:r>
    </w:p>
    <w:p w:rsidR="00786914" w:rsidRDefault="00786914" w:rsidP="0006743B">
      <w:pPr>
        <w:pStyle w:val="Caption"/>
        <w:keepNext/>
      </w:pPr>
      <w:bookmarkStart w:id="306" w:name="_Toc327803276"/>
      <w:bookmarkStart w:id="307" w:name="_Toc327881566"/>
      <w:r>
        <w:t xml:space="preserve">Table </w:t>
      </w:r>
      <w:fldSimple w:instr=" SEQ Table \* ARABIC ">
        <w:r w:rsidR="00F45C43">
          <w:rPr>
            <w:noProof/>
          </w:rPr>
          <w:t>29</w:t>
        </w:r>
      </w:fldSimple>
      <w:r>
        <w:t>:</w:t>
      </w:r>
      <w:r>
        <w:tab/>
        <w:t>Incremental cost-effectiveness ratio of alternative treatment pathways for BPH</w:t>
      </w:r>
      <w:bookmarkEnd w:id="306"/>
      <w:bookmarkEnd w:id="3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631"/>
        <w:gridCol w:w="1200"/>
        <w:gridCol w:w="1517"/>
        <w:gridCol w:w="1517"/>
        <w:gridCol w:w="2089"/>
      </w:tblGrid>
      <w:tr w:rsidR="00786914" w:rsidRPr="00A34C81" w:rsidTr="0006743B">
        <w:trPr>
          <w:trHeight w:val="300"/>
        </w:trPr>
        <w:tc>
          <w:tcPr>
            <w:tcW w:w="833" w:type="pct"/>
            <w:shd w:val="clear" w:color="auto" w:fill="auto"/>
            <w:noWrap/>
            <w:hideMark/>
          </w:tcPr>
          <w:p w:rsidR="00786914" w:rsidRPr="00A34C81" w:rsidRDefault="00786914" w:rsidP="0006743B">
            <w:pPr>
              <w:pStyle w:val="Tableheading"/>
            </w:pPr>
            <w:r w:rsidRPr="00A34C81">
              <w:t>Strategy</w:t>
            </w:r>
          </w:p>
        </w:tc>
        <w:tc>
          <w:tcPr>
            <w:tcW w:w="833" w:type="pct"/>
            <w:shd w:val="clear" w:color="auto" w:fill="auto"/>
            <w:noWrap/>
            <w:hideMark/>
          </w:tcPr>
          <w:p w:rsidR="00786914" w:rsidRPr="00A34C81" w:rsidRDefault="00786914" w:rsidP="0006743B">
            <w:pPr>
              <w:pStyle w:val="Tableheading"/>
            </w:pPr>
            <w:r>
              <w:t>Average cost per patient</w:t>
            </w:r>
          </w:p>
        </w:tc>
        <w:tc>
          <w:tcPr>
            <w:tcW w:w="833"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Cost</w:t>
            </w:r>
          </w:p>
        </w:tc>
        <w:tc>
          <w:tcPr>
            <w:tcW w:w="833" w:type="pct"/>
            <w:shd w:val="clear" w:color="auto" w:fill="auto"/>
            <w:noWrap/>
            <w:hideMark/>
          </w:tcPr>
          <w:p w:rsidR="00786914" w:rsidRPr="00A34C81" w:rsidRDefault="00786914" w:rsidP="0006743B">
            <w:pPr>
              <w:pStyle w:val="Tableheading"/>
            </w:pPr>
            <w:r w:rsidRPr="00A34C81">
              <w:t>Eff</w:t>
            </w:r>
            <w:r w:rsidRPr="000F1D80">
              <w:t>ectiveness (QALYs)</w:t>
            </w:r>
          </w:p>
        </w:tc>
        <w:tc>
          <w:tcPr>
            <w:tcW w:w="833" w:type="pct"/>
            <w:shd w:val="clear" w:color="auto" w:fill="auto"/>
            <w:noWrap/>
            <w:hideMark/>
          </w:tcPr>
          <w:p w:rsidR="00786914" w:rsidRDefault="00786914" w:rsidP="0006743B">
            <w:pPr>
              <w:pStyle w:val="Tableheading"/>
            </w:pPr>
            <w:r w:rsidRPr="00A34C81">
              <w:t>Incr</w:t>
            </w:r>
            <w:r w:rsidRPr="000F1D80">
              <w:t>emental</w:t>
            </w:r>
          </w:p>
          <w:p w:rsidR="00786914" w:rsidRPr="00A34C81" w:rsidRDefault="00786914" w:rsidP="0006743B">
            <w:pPr>
              <w:pStyle w:val="Tableheading"/>
            </w:pPr>
            <w:r w:rsidRPr="00A34C81">
              <w:t>Eff</w:t>
            </w:r>
            <w:r w:rsidRPr="000F1D80">
              <w:t>ectiveness (QALYs)</w:t>
            </w:r>
          </w:p>
        </w:tc>
        <w:tc>
          <w:tcPr>
            <w:tcW w:w="834"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C/E (ICER)</w:t>
            </w:r>
            <w:r w:rsidRPr="000F1D80">
              <w:t xml:space="preserve"> ($/QALY)</w:t>
            </w:r>
          </w:p>
        </w:tc>
      </w:tr>
      <w:tr w:rsidR="00786914" w:rsidRPr="00A34C81" w:rsidTr="0006743B">
        <w:trPr>
          <w:trHeight w:val="300"/>
        </w:trPr>
        <w:tc>
          <w:tcPr>
            <w:tcW w:w="833" w:type="pct"/>
            <w:shd w:val="clear" w:color="auto" w:fill="auto"/>
            <w:noWrap/>
            <w:vAlign w:val="bottom"/>
            <w:hideMark/>
          </w:tcPr>
          <w:p w:rsidR="00786914" w:rsidRPr="008A57CF" w:rsidRDefault="00786914" w:rsidP="0006743B">
            <w:pPr>
              <w:pStyle w:val="TableText"/>
            </w:pPr>
            <w:r w:rsidRPr="008A57CF">
              <w:t>TURP then TURP</w:t>
            </w:r>
          </w:p>
        </w:tc>
        <w:tc>
          <w:tcPr>
            <w:tcW w:w="833" w:type="pct"/>
            <w:shd w:val="clear" w:color="auto" w:fill="auto"/>
            <w:noWrap/>
            <w:vAlign w:val="bottom"/>
            <w:hideMark/>
          </w:tcPr>
          <w:p w:rsidR="00786914" w:rsidRPr="008A57CF" w:rsidRDefault="00786914" w:rsidP="0006743B">
            <w:pPr>
              <w:pStyle w:val="TableText"/>
            </w:pPr>
            <w:r w:rsidRPr="008A57CF">
              <w:t>$4,533.30</w:t>
            </w:r>
          </w:p>
        </w:tc>
        <w:tc>
          <w:tcPr>
            <w:tcW w:w="833" w:type="pct"/>
            <w:shd w:val="clear" w:color="auto" w:fill="auto"/>
            <w:noWrap/>
            <w:vAlign w:val="bottom"/>
            <w:hideMark/>
          </w:tcPr>
          <w:p w:rsidR="00786914" w:rsidRPr="00634808" w:rsidRDefault="00786914" w:rsidP="0006743B">
            <w:pPr>
              <w:pStyle w:val="TableText"/>
            </w:pPr>
            <w:r>
              <w:t>-</w:t>
            </w:r>
          </w:p>
        </w:tc>
        <w:tc>
          <w:tcPr>
            <w:tcW w:w="833" w:type="pct"/>
            <w:shd w:val="clear" w:color="auto" w:fill="auto"/>
            <w:noWrap/>
            <w:vAlign w:val="bottom"/>
            <w:hideMark/>
          </w:tcPr>
          <w:p w:rsidR="00786914" w:rsidRPr="008A57CF" w:rsidRDefault="00786914" w:rsidP="0006743B">
            <w:pPr>
              <w:pStyle w:val="TableText"/>
            </w:pPr>
            <w:r w:rsidRPr="008A57CF">
              <w:t>4.499</w:t>
            </w:r>
          </w:p>
        </w:tc>
        <w:tc>
          <w:tcPr>
            <w:tcW w:w="833" w:type="pct"/>
            <w:shd w:val="clear" w:color="auto" w:fill="auto"/>
            <w:noWrap/>
            <w:vAlign w:val="bottom"/>
            <w:hideMark/>
          </w:tcPr>
          <w:p w:rsidR="00786914" w:rsidRPr="008A57CF" w:rsidRDefault="00786914" w:rsidP="0006743B">
            <w:pPr>
              <w:pStyle w:val="TableText"/>
            </w:pPr>
            <w:r w:rsidRPr="00061F7B">
              <w:t>-</w:t>
            </w:r>
          </w:p>
        </w:tc>
        <w:tc>
          <w:tcPr>
            <w:tcW w:w="834" w:type="pct"/>
            <w:shd w:val="clear" w:color="auto" w:fill="auto"/>
            <w:noWrap/>
            <w:vAlign w:val="bottom"/>
            <w:hideMark/>
          </w:tcPr>
          <w:p w:rsidR="00786914" w:rsidRPr="008A57CF" w:rsidRDefault="00786914" w:rsidP="0006743B">
            <w:pPr>
              <w:pStyle w:val="TableText"/>
            </w:pPr>
            <w:r w:rsidRPr="008A57CF">
              <w:t>-</w:t>
            </w:r>
          </w:p>
        </w:tc>
      </w:tr>
      <w:tr w:rsidR="00786914" w:rsidRPr="00A34C81" w:rsidTr="0006743B">
        <w:trPr>
          <w:trHeight w:val="300"/>
        </w:trPr>
        <w:tc>
          <w:tcPr>
            <w:tcW w:w="833" w:type="pct"/>
            <w:shd w:val="clear" w:color="auto" w:fill="auto"/>
            <w:noWrap/>
            <w:vAlign w:val="bottom"/>
            <w:hideMark/>
          </w:tcPr>
          <w:p w:rsidR="00786914" w:rsidRPr="008A57CF" w:rsidRDefault="00786914" w:rsidP="0006743B">
            <w:pPr>
              <w:pStyle w:val="TableText"/>
            </w:pPr>
            <w:r w:rsidRPr="008A57CF">
              <w:t>HoLEP then TURP</w:t>
            </w:r>
          </w:p>
        </w:tc>
        <w:tc>
          <w:tcPr>
            <w:tcW w:w="833" w:type="pct"/>
            <w:shd w:val="clear" w:color="auto" w:fill="auto"/>
            <w:noWrap/>
            <w:vAlign w:val="bottom"/>
            <w:hideMark/>
          </w:tcPr>
          <w:p w:rsidR="00786914" w:rsidRPr="008A57CF" w:rsidRDefault="00786914" w:rsidP="0006743B">
            <w:pPr>
              <w:pStyle w:val="TableText"/>
            </w:pPr>
            <w:r w:rsidRPr="008A57CF">
              <w:t>$3,138.00</w:t>
            </w:r>
          </w:p>
        </w:tc>
        <w:tc>
          <w:tcPr>
            <w:tcW w:w="833" w:type="pct"/>
            <w:shd w:val="clear" w:color="auto" w:fill="auto"/>
            <w:noWrap/>
            <w:vAlign w:val="bottom"/>
            <w:hideMark/>
          </w:tcPr>
          <w:p w:rsidR="00786914" w:rsidRPr="008A57CF" w:rsidRDefault="00786914" w:rsidP="0006743B">
            <w:pPr>
              <w:pStyle w:val="TableText"/>
            </w:pPr>
            <w:r w:rsidRPr="008A57CF">
              <w:t>-$1,395.30</w:t>
            </w:r>
          </w:p>
        </w:tc>
        <w:tc>
          <w:tcPr>
            <w:tcW w:w="833" w:type="pct"/>
            <w:shd w:val="clear" w:color="auto" w:fill="auto"/>
            <w:noWrap/>
            <w:vAlign w:val="bottom"/>
            <w:hideMark/>
          </w:tcPr>
          <w:p w:rsidR="00786914" w:rsidRPr="008A57CF" w:rsidRDefault="00786914" w:rsidP="0006743B">
            <w:pPr>
              <w:pStyle w:val="TableText"/>
            </w:pPr>
            <w:r w:rsidRPr="008A57CF">
              <w:t>4.491</w:t>
            </w:r>
          </w:p>
        </w:tc>
        <w:tc>
          <w:tcPr>
            <w:tcW w:w="833" w:type="pct"/>
            <w:shd w:val="clear" w:color="auto" w:fill="auto"/>
            <w:noWrap/>
            <w:vAlign w:val="bottom"/>
            <w:hideMark/>
          </w:tcPr>
          <w:p w:rsidR="00786914" w:rsidRPr="008A57CF" w:rsidRDefault="00786914" w:rsidP="0006743B">
            <w:pPr>
              <w:pStyle w:val="TableText"/>
            </w:pPr>
            <w:r w:rsidRPr="008A57CF">
              <w:t>-0.008</w:t>
            </w:r>
          </w:p>
        </w:tc>
        <w:tc>
          <w:tcPr>
            <w:tcW w:w="834" w:type="pct"/>
            <w:shd w:val="clear" w:color="auto" w:fill="auto"/>
            <w:noWrap/>
            <w:vAlign w:val="bottom"/>
            <w:hideMark/>
          </w:tcPr>
          <w:p w:rsidR="00786914" w:rsidRPr="008A57CF" w:rsidRDefault="00786914" w:rsidP="0006743B">
            <w:pPr>
              <w:pStyle w:val="TableText"/>
            </w:pPr>
            <w:r w:rsidRPr="008A57CF">
              <w:t>174,412.50</w:t>
            </w:r>
          </w:p>
        </w:tc>
      </w:tr>
      <w:tr w:rsidR="00786914" w:rsidRPr="00A34C81" w:rsidTr="0006743B">
        <w:trPr>
          <w:trHeight w:val="300"/>
        </w:trPr>
        <w:tc>
          <w:tcPr>
            <w:tcW w:w="833" w:type="pct"/>
            <w:shd w:val="clear" w:color="auto" w:fill="auto"/>
            <w:noWrap/>
            <w:vAlign w:val="bottom"/>
            <w:hideMark/>
          </w:tcPr>
          <w:p w:rsidR="00786914" w:rsidRPr="008A57CF" w:rsidRDefault="00786914" w:rsidP="0006743B">
            <w:pPr>
              <w:pStyle w:val="TableText"/>
            </w:pPr>
            <w:r w:rsidRPr="008A57CF">
              <w:t>HoLEP then HoLEP</w:t>
            </w:r>
          </w:p>
        </w:tc>
        <w:tc>
          <w:tcPr>
            <w:tcW w:w="833" w:type="pct"/>
            <w:shd w:val="clear" w:color="auto" w:fill="auto"/>
            <w:noWrap/>
            <w:vAlign w:val="bottom"/>
            <w:hideMark/>
          </w:tcPr>
          <w:p w:rsidR="00786914" w:rsidRPr="008A57CF" w:rsidRDefault="00786914" w:rsidP="0006743B">
            <w:pPr>
              <w:pStyle w:val="TableText"/>
            </w:pPr>
            <w:r w:rsidRPr="008A57CF">
              <w:t>$3,095.50</w:t>
            </w:r>
          </w:p>
        </w:tc>
        <w:tc>
          <w:tcPr>
            <w:tcW w:w="833" w:type="pct"/>
            <w:shd w:val="clear" w:color="auto" w:fill="auto"/>
            <w:noWrap/>
            <w:vAlign w:val="bottom"/>
            <w:hideMark/>
          </w:tcPr>
          <w:p w:rsidR="00786914" w:rsidRPr="008A57CF" w:rsidRDefault="00786914" w:rsidP="0006743B">
            <w:pPr>
              <w:pStyle w:val="TableText"/>
            </w:pPr>
            <w:r w:rsidRPr="008A57CF">
              <w:t>-$1,437.80</w:t>
            </w:r>
          </w:p>
        </w:tc>
        <w:tc>
          <w:tcPr>
            <w:tcW w:w="833" w:type="pct"/>
            <w:shd w:val="clear" w:color="auto" w:fill="auto"/>
            <w:noWrap/>
            <w:vAlign w:val="bottom"/>
            <w:hideMark/>
          </w:tcPr>
          <w:p w:rsidR="00786914" w:rsidRPr="008A57CF" w:rsidRDefault="00786914" w:rsidP="0006743B">
            <w:pPr>
              <w:pStyle w:val="TableText"/>
            </w:pPr>
            <w:r w:rsidRPr="008A57CF">
              <w:t>4.491</w:t>
            </w:r>
          </w:p>
        </w:tc>
        <w:tc>
          <w:tcPr>
            <w:tcW w:w="833" w:type="pct"/>
            <w:shd w:val="clear" w:color="auto" w:fill="auto"/>
            <w:noWrap/>
            <w:vAlign w:val="bottom"/>
            <w:hideMark/>
          </w:tcPr>
          <w:p w:rsidR="00786914" w:rsidRPr="008A57CF" w:rsidRDefault="00786914" w:rsidP="0006743B">
            <w:pPr>
              <w:pStyle w:val="TableText"/>
            </w:pPr>
            <w:r w:rsidRPr="008A57CF">
              <w:t>-0.008</w:t>
            </w:r>
          </w:p>
        </w:tc>
        <w:tc>
          <w:tcPr>
            <w:tcW w:w="834" w:type="pct"/>
            <w:shd w:val="clear" w:color="auto" w:fill="auto"/>
            <w:noWrap/>
            <w:vAlign w:val="bottom"/>
            <w:hideMark/>
          </w:tcPr>
          <w:p w:rsidR="00786914" w:rsidRPr="008A57CF" w:rsidRDefault="00786914" w:rsidP="0006743B">
            <w:pPr>
              <w:pStyle w:val="TableText"/>
            </w:pPr>
            <w:r w:rsidRPr="008A57CF">
              <w:t>179,725.00</w:t>
            </w:r>
          </w:p>
        </w:tc>
      </w:tr>
    </w:tbl>
    <w:p w:rsidR="00786914" w:rsidRDefault="00786914" w:rsidP="0006743B"/>
    <w:p w:rsidR="00786914" w:rsidRDefault="00786914" w:rsidP="0006743B">
      <w:r>
        <w:t xml:space="preserve">Moving treatment away from the base-case scenario of TURP (followed by TURP re-treatment) to the use of HoLEP was associated with lower treatment costs and only a marginal decrease in health outcomes. </w:t>
      </w:r>
      <w:r w:rsidRPr="007E5419">
        <w:t xml:space="preserve">The incremental cost-effectiveness ratio (ICER) of HoLEP (followed by HoLEP) </w:t>
      </w:r>
      <w:r>
        <w:t>re-treatment</w:t>
      </w:r>
      <w:r w:rsidRPr="007E5419">
        <w:t>) was $174,412.50/QALY over the HoLEP then TURP pathway and $179,725.00/QALY over the TURP then TURP pathway.</w:t>
      </w:r>
    </w:p>
    <w:p w:rsidR="00786914" w:rsidRDefault="00786914" w:rsidP="0006743B">
      <w:r>
        <w:t>The increase in effectiveness for TURP followed by TURP pathway is counter intuitive given that it is associated with higher rates of both short and long-term adverse events as well as treatment failures. The reduction in the differences in the number of deaths in the TURP then TURP treatment pathway was found to be the cause of the minor increase in effectiveness between this treatment pathway and treatment pathways using HoLEP. They may be reasonably explained through the accumulation of rounding errors in the model as the differences in overall deaths and effectiveness is less than 1% (0.8% and 0.16% respectively). Treatment pathways using HoLEP could be considered to be at least as effective as the TURP pathway.</w:t>
      </w:r>
    </w:p>
    <w:p w:rsidR="00786914" w:rsidRDefault="00786914" w:rsidP="0006743B">
      <w:r>
        <w:t xml:space="preserve">The figures presented above represent the average costs and QALYs associated with the various treatment pathways for BPH modelled. In order to provide a practical context on the impact that the use of different patient treatment pathways has on patient outcomes, a summary of the patient numbers experiencing key health states incorporated in the model is provided below. These numbers were derived using a hypothetical cohort of 25,000 patients with BPH with a starting age of 70 years. A starting population of 25,000 </w:t>
      </w:r>
      <w:r>
        <w:lastRenderedPageBreak/>
        <w:t xml:space="preserve">patients was selected on the basis of data from the </w:t>
      </w:r>
      <w:r w:rsidRPr="000A20EE">
        <w:t>AIHW National Hospital Morbidity Data that reports</w:t>
      </w:r>
      <w:r>
        <w:t xml:space="preserve"> 25,252 separations for the principle diagnosis of BPH in 2007-08 (Table 30).</w:t>
      </w:r>
    </w:p>
    <w:p w:rsidR="00786914" w:rsidRDefault="00786914" w:rsidP="0006743B">
      <w:pPr>
        <w:pStyle w:val="Caption"/>
        <w:keepNext/>
      </w:pPr>
      <w:bookmarkStart w:id="308" w:name="_Toc327803277"/>
      <w:bookmarkStart w:id="309" w:name="_Toc327881567"/>
      <w:r>
        <w:t xml:space="preserve">Table </w:t>
      </w:r>
      <w:fldSimple w:instr=" SEQ Table \* ARABIC ">
        <w:r w:rsidR="00F45C43">
          <w:rPr>
            <w:noProof/>
          </w:rPr>
          <w:t>30</w:t>
        </w:r>
      </w:fldSimple>
      <w:r>
        <w:t>:</w:t>
      </w:r>
      <w:r>
        <w:tab/>
        <w:t>Number of patients from a cohort of 25,000 that experience key modelled health states comparing the HoLEP then HoLEP and TURP then TURP treatment pathway options</w:t>
      </w:r>
      <w:bookmarkEnd w:id="308"/>
      <w:bookmarkEnd w:id="309"/>
    </w:p>
    <w:tbl>
      <w:tblPr>
        <w:tblW w:w="5000" w:type="pct"/>
        <w:tblLook w:val="04A0" w:firstRow="1" w:lastRow="0" w:firstColumn="1" w:lastColumn="0" w:noHBand="0" w:noVBand="1"/>
      </w:tblPr>
      <w:tblGrid>
        <w:gridCol w:w="2605"/>
        <w:gridCol w:w="2667"/>
        <w:gridCol w:w="2386"/>
        <w:gridCol w:w="1584"/>
      </w:tblGrid>
      <w:tr w:rsidR="00786914" w:rsidRPr="0008539B" w:rsidTr="0006743B">
        <w:trPr>
          <w:trHeight w:val="300"/>
        </w:trPr>
        <w:tc>
          <w:tcPr>
            <w:tcW w:w="14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t>Health state</w:t>
            </w:r>
          </w:p>
        </w:tc>
        <w:tc>
          <w:tcPr>
            <w:tcW w:w="144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rsidRPr="0008539B">
              <w:t>HoLEP the</w:t>
            </w:r>
            <w:r>
              <w:t>n</w:t>
            </w:r>
            <w:r w:rsidRPr="0008539B">
              <w:t xml:space="preserve"> HoLEP</w:t>
            </w:r>
          </w:p>
        </w:tc>
        <w:tc>
          <w:tcPr>
            <w:tcW w:w="1291" w:type="pct"/>
            <w:tcBorders>
              <w:top w:val="single" w:sz="4" w:space="0" w:color="auto"/>
              <w:left w:val="nil"/>
              <w:bottom w:val="single" w:sz="4" w:space="0" w:color="auto"/>
              <w:right w:val="single" w:sz="4" w:space="0" w:color="auto"/>
            </w:tcBorders>
            <w:shd w:val="clear" w:color="auto" w:fill="FFFFFF" w:themeFill="background1"/>
            <w:vAlign w:val="bottom"/>
          </w:tcPr>
          <w:p w:rsidR="00786914" w:rsidRPr="0008539B" w:rsidRDefault="00786914" w:rsidP="0006743B">
            <w:pPr>
              <w:pStyle w:val="Tableheading"/>
            </w:pPr>
            <w:r w:rsidRPr="0008539B">
              <w:t>TURP then TURP</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t>Difference</w:t>
            </w:r>
          </w:p>
        </w:tc>
      </w:tr>
      <w:tr w:rsidR="00786914" w:rsidRPr="0008539B" w:rsidTr="0006743B">
        <w:trPr>
          <w:trHeight w:val="300"/>
        </w:trPr>
        <w:tc>
          <w:tcPr>
            <w:tcW w:w="1409"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Adverse events</w:t>
            </w:r>
          </w:p>
        </w:tc>
        <w:tc>
          <w:tcPr>
            <w:tcW w:w="1443"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2,400</w:t>
            </w:r>
          </w:p>
        </w:tc>
        <w:tc>
          <w:tcPr>
            <w:tcW w:w="1291" w:type="pct"/>
            <w:tcBorders>
              <w:top w:val="nil"/>
              <w:left w:val="nil"/>
              <w:bottom w:val="single" w:sz="4" w:space="0" w:color="auto"/>
              <w:right w:val="single" w:sz="4" w:space="0" w:color="auto"/>
            </w:tcBorders>
            <w:vAlign w:val="bottom"/>
          </w:tcPr>
          <w:p w:rsidR="00786914" w:rsidRPr="0008539B" w:rsidRDefault="00786914" w:rsidP="0006743B">
            <w:pPr>
              <w:pStyle w:val="TableText"/>
            </w:pPr>
            <w:r w:rsidRPr="0008539B">
              <w:t>5,221</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-2,821</w:t>
            </w:r>
          </w:p>
        </w:tc>
      </w:tr>
      <w:tr w:rsidR="00786914" w:rsidRPr="0008539B" w:rsidTr="0006743B">
        <w:trPr>
          <w:trHeight w:val="300"/>
        </w:trPr>
        <w:tc>
          <w:tcPr>
            <w:tcW w:w="1409"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Urethral stricture</w:t>
            </w:r>
          </w:p>
        </w:tc>
        <w:tc>
          <w:tcPr>
            <w:tcW w:w="1443"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1,5</w:t>
            </w:r>
            <w:r>
              <w:t>50</w:t>
            </w:r>
          </w:p>
        </w:tc>
        <w:tc>
          <w:tcPr>
            <w:tcW w:w="1291" w:type="pct"/>
            <w:tcBorders>
              <w:top w:val="nil"/>
              <w:left w:val="nil"/>
              <w:bottom w:val="single" w:sz="4" w:space="0" w:color="auto"/>
              <w:right w:val="single" w:sz="4" w:space="0" w:color="auto"/>
            </w:tcBorders>
            <w:vAlign w:val="bottom"/>
          </w:tcPr>
          <w:p w:rsidR="00786914" w:rsidRPr="0008539B" w:rsidRDefault="00786914" w:rsidP="0006743B">
            <w:pPr>
              <w:pStyle w:val="TableText"/>
            </w:pPr>
            <w:r w:rsidRPr="0008539B">
              <w:t>2,</w:t>
            </w:r>
            <w:r>
              <w:t>762</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-1,212</w:t>
            </w:r>
          </w:p>
        </w:tc>
      </w:tr>
      <w:tr w:rsidR="00786914" w:rsidRPr="0008539B" w:rsidTr="0006743B">
        <w:trPr>
          <w:trHeight w:val="300"/>
        </w:trPr>
        <w:tc>
          <w:tcPr>
            <w:tcW w:w="1409"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Long-term incontinence</w:t>
            </w:r>
          </w:p>
        </w:tc>
        <w:tc>
          <w:tcPr>
            <w:tcW w:w="1443"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566</w:t>
            </w:r>
          </w:p>
        </w:tc>
        <w:tc>
          <w:tcPr>
            <w:tcW w:w="1291" w:type="pct"/>
            <w:tcBorders>
              <w:top w:val="nil"/>
              <w:left w:val="nil"/>
              <w:bottom w:val="single" w:sz="4" w:space="0" w:color="auto"/>
              <w:right w:val="single" w:sz="4" w:space="0" w:color="auto"/>
            </w:tcBorders>
            <w:vAlign w:val="bottom"/>
          </w:tcPr>
          <w:p w:rsidR="00786914" w:rsidRPr="0008539B" w:rsidRDefault="00786914" w:rsidP="0006743B">
            <w:pPr>
              <w:pStyle w:val="TableText"/>
            </w:pPr>
            <w:r>
              <w:t>636</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-70</w:t>
            </w:r>
          </w:p>
        </w:tc>
      </w:tr>
      <w:tr w:rsidR="00786914" w:rsidRPr="0008539B" w:rsidTr="0006743B">
        <w:trPr>
          <w:trHeight w:val="300"/>
        </w:trPr>
        <w:tc>
          <w:tcPr>
            <w:tcW w:w="1409"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Repeat procedures</w:t>
            </w:r>
          </w:p>
        </w:tc>
        <w:tc>
          <w:tcPr>
            <w:tcW w:w="1443"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1,263</w:t>
            </w:r>
          </w:p>
        </w:tc>
        <w:tc>
          <w:tcPr>
            <w:tcW w:w="1291" w:type="pct"/>
            <w:tcBorders>
              <w:top w:val="nil"/>
              <w:left w:val="nil"/>
              <w:bottom w:val="single" w:sz="4" w:space="0" w:color="auto"/>
              <w:right w:val="single" w:sz="4" w:space="0" w:color="auto"/>
            </w:tcBorders>
            <w:vAlign w:val="bottom"/>
          </w:tcPr>
          <w:p w:rsidR="00786914" w:rsidRPr="0008539B" w:rsidRDefault="00786914" w:rsidP="0006743B">
            <w:pPr>
              <w:pStyle w:val="TableText"/>
            </w:pPr>
            <w:r w:rsidRPr="0008539B">
              <w:t>4,</w:t>
            </w:r>
            <w:r>
              <w:t>338</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-3,075</w:t>
            </w:r>
          </w:p>
        </w:tc>
      </w:tr>
      <w:tr w:rsidR="00786914" w:rsidRPr="0008539B" w:rsidTr="0006743B">
        <w:trPr>
          <w:trHeight w:val="300"/>
        </w:trPr>
        <w:tc>
          <w:tcPr>
            <w:tcW w:w="1409"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Patients successfully treated</w:t>
            </w:r>
          </w:p>
        </w:tc>
        <w:tc>
          <w:tcPr>
            <w:tcW w:w="1443"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22,325</w:t>
            </w:r>
          </w:p>
        </w:tc>
        <w:tc>
          <w:tcPr>
            <w:tcW w:w="1291" w:type="pct"/>
            <w:tcBorders>
              <w:top w:val="nil"/>
              <w:left w:val="nil"/>
              <w:bottom w:val="single" w:sz="4" w:space="0" w:color="auto"/>
              <w:right w:val="single" w:sz="4" w:space="0" w:color="auto"/>
            </w:tcBorders>
            <w:vAlign w:val="bottom"/>
          </w:tcPr>
          <w:p w:rsidR="00786914" w:rsidRPr="0008539B" w:rsidRDefault="00786914" w:rsidP="0006743B">
            <w:pPr>
              <w:pStyle w:val="TableText"/>
            </w:pPr>
            <w:r w:rsidRPr="0008539B">
              <w:t>21,583</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742</w:t>
            </w:r>
          </w:p>
        </w:tc>
      </w:tr>
    </w:tbl>
    <w:p w:rsidR="00786914" w:rsidRDefault="00786914" w:rsidP="0006743B"/>
    <w:p w:rsidR="00786914" w:rsidRDefault="00786914" w:rsidP="0006743B">
      <w:r>
        <w:t>It should be noted that as a single patient may experience more than one of the health states listed in the tables above throughout the five year time frame of the model (e.g. experience an adverse event but end up being successfully treated) the sum of the numbers of health states listed above can exceed 25,000.</w:t>
      </w:r>
    </w:p>
    <w:p w:rsidR="00786914" w:rsidRDefault="00786914" w:rsidP="0006743B">
      <w:pPr>
        <w:pStyle w:val="Normalbold"/>
      </w:pPr>
      <w:bookmarkStart w:id="310" w:name="_Toc327877904"/>
      <w:r>
        <w:t>HoLEP in comparison with TURP – sensitivity analysis</w:t>
      </w:r>
      <w:bookmarkEnd w:id="310"/>
    </w:p>
    <w:p w:rsidR="00786914" w:rsidRDefault="00786914" w:rsidP="0006743B">
      <w:r>
        <w:t>As both the accuracy and transferability of the results presented above are dependent on the accuracy of the data inputs and assumptions used in the model, a series of uni-variate and multi-variate sensitivity analyses were performed to assess the confidence that can be placed in the base case findings presented above.</w:t>
      </w:r>
    </w:p>
    <w:p w:rsidR="00786914" w:rsidRDefault="00786914" w:rsidP="0006743B">
      <w:pPr>
        <w:pStyle w:val="Normalbold"/>
      </w:pPr>
      <w:bookmarkStart w:id="311" w:name="_Toc327877905"/>
      <w:r w:rsidRPr="0033170A">
        <w:t>Testing a range of MBS fees for HoLEP</w:t>
      </w:r>
      <w:bookmarkEnd w:id="311"/>
    </w:p>
    <w:p w:rsidR="00786914" w:rsidRDefault="00786914" w:rsidP="0006743B">
      <w:r>
        <w:t>A key assumption of the model was that the average length of stay (LOS) in hospital for HoLEP and TURP was two and three days respectively. A cost for HoLEP treatment with a three day LOS was also derived in order to assess the effect of this parameter. This cost for HoLEP was $3,391.64 compared with a corresponding cost for TURP of $3,178.00. Table 31 shows the ICERs for each treatment pathway calculated with this increased cost for HoLEP.</w:t>
      </w:r>
    </w:p>
    <w:p w:rsidR="00786914" w:rsidRDefault="00786914" w:rsidP="0006743B">
      <w:pPr>
        <w:pStyle w:val="Caption"/>
        <w:keepNext/>
      </w:pPr>
      <w:bookmarkStart w:id="312" w:name="_Toc327803278"/>
      <w:bookmarkStart w:id="313" w:name="_Toc327881568"/>
      <w:r>
        <w:t xml:space="preserve">Table </w:t>
      </w:r>
      <w:fldSimple w:instr=" SEQ Table \* ARABIC ">
        <w:r w:rsidR="00F45C43">
          <w:rPr>
            <w:noProof/>
          </w:rPr>
          <w:t>31</w:t>
        </w:r>
      </w:fldSimple>
      <w:r>
        <w:t>:</w:t>
      </w:r>
      <w:r>
        <w:tab/>
        <w:t>Incremental cost-effectiveness ratio of alternate treatment pathways for BPH modelled with an increased cost of HoLEP associated with a three day length of hospital stay</w:t>
      </w:r>
      <w:bookmarkEnd w:id="312"/>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631"/>
        <w:gridCol w:w="1200"/>
        <w:gridCol w:w="1517"/>
        <w:gridCol w:w="1517"/>
        <w:gridCol w:w="2089"/>
      </w:tblGrid>
      <w:tr w:rsidR="00786914" w:rsidRPr="00A34C81" w:rsidTr="0006743B">
        <w:trPr>
          <w:trHeight w:val="300"/>
        </w:trPr>
        <w:tc>
          <w:tcPr>
            <w:tcW w:w="697" w:type="pct"/>
            <w:shd w:val="clear" w:color="auto" w:fill="auto"/>
            <w:noWrap/>
            <w:hideMark/>
          </w:tcPr>
          <w:p w:rsidR="00786914" w:rsidRPr="00A34C81" w:rsidRDefault="00786914" w:rsidP="0006743B">
            <w:pPr>
              <w:pStyle w:val="Tableheading"/>
            </w:pPr>
            <w:r w:rsidRPr="00A34C81">
              <w:t>Strategy</w:t>
            </w:r>
          </w:p>
        </w:tc>
        <w:tc>
          <w:tcPr>
            <w:tcW w:w="882" w:type="pct"/>
            <w:shd w:val="clear" w:color="auto" w:fill="auto"/>
            <w:noWrap/>
            <w:hideMark/>
          </w:tcPr>
          <w:p w:rsidR="00786914" w:rsidRPr="00A34C81" w:rsidRDefault="00786914" w:rsidP="0006743B">
            <w:pPr>
              <w:pStyle w:val="Tableheading"/>
            </w:pPr>
            <w:r>
              <w:t>Average cost per patient</w:t>
            </w:r>
          </w:p>
        </w:tc>
        <w:tc>
          <w:tcPr>
            <w:tcW w:w="649"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Cost</w:t>
            </w:r>
          </w:p>
        </w:tc>
        <w:tc>
          <w:tcPr>
            <w:tcW w:w="821" w:type="pct"/>
            <w:shd w:val="clear" w:color="auto" w:fill="auto"/>
            <w:noWrap/>
            <w:hideMark/>
          </w:tcPr>
          <w:p w:rsidR="00786914" w:rsidRPr="00A34C81" w:rsidRDefault="00786914" w:rsidP="0006743B">
            <w:pPr>
              <w:pStyle w:val="Tableheading"/>
            </w:pPr>
            <w:r w:rsidRPr="00A34C81">
              <w:t>Eff</w:t>
            </w:r>
            <w:r w:rsidRPr="000F1D80">
              <w:t>ectiveness (QALYs)</w:t>
            </w:r>
          </w:p>
        </w:tc>
        <w:tc>
          <w:tcPr>
            <w:tcW w:w="821" w:type="pct"/>
            <w:shd w:val="clear" w:color="auto" w:fill="auto"/>
            <w:noWrap/>
            <w:hideMark/>
          </w:tcPr>
          <w:p w:rsidR="00786914" w:rsidRDefault="00786914" w:rsidP="0006743B">
            <w:pPr>
              <w:pStyle w:val="Tableheading"/>
            </w:pPr>
            <w:r w:rsidRPr="00A34C81">
              <w:t>Incr</w:t>
            </w:r>
            <w:r w:rsidRPr="000F1D80">
              <w:t>emental</w:t>
            </w:r>
          </w:p>
          <w:p w:rsidR="00786914" w:rsidRPr="00A34C81" w:rsidRDefault="00786914" w:rsidP="0006743B">
            <w:pPr>
              <w:pStyle w:val="Tableheading"/>
            </w:pPr>
            <w:r w:rsidRPr="00A34C81">
              <w:t>Eff</w:t>
            </w:r>
            <w:r w:rsidRPr="000F1D80">
              <w:t>ectiveness (QALYs)</w:t>
            </w:r>
          </w:p>
        </w:tc>
        <w:tc>
          <w:tcPr>
            <w:tcW w:w="1130"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C/E (ICER)</w:t>
            </w:r>
            <w:r w:rsidRPr="000F1D80">
              <w:t xml:space="preserve"> ($/QALY)</w:t>
            </w:r>
          </w:p>
        </w:tc>
      </w:tr>
      <w:tr w:rsidR="00786914" w:rsidRPr="00A34C81" w:rsidTr="0006743B">
        <w:trPr>
          <w:trHeight w:val="300"/>
        </w:trPr>
        <w:tc>
          <w:tcPr>
            <w:tcW w:w="697" w:type="pct"/>
            <w:shd w:val="clear" w:color="auto" w:fill="auto"/>
            <w:noWrap/>
            <w:vAlign w:val="bottom"/>
            <w:hideMark/>
          </w:tcPr>
          <w:p w:rsidR="00786914" w:rsidRPr="00037347" w:rsidRDefault="00786914" w:rsidP="0006743B">
            <w:pPr>
              <w:pStyle w:val="TableText"/>
            </w:pPr>
            <w:r w:rsidRPr="00037347">
              <w:t>TURP then TURP</w:t>
            </w:r>
          </w:p>
        </w:tc>
        <w:tc>
          <w:tcPr>
            <w:tcW w:w="882" w:type="pct"/>
            <w:shd w:val="clear" w:color="auto" w:fill="auto"/>
            <w:noWrap/>
            <w:vAlign w:val="bottom"/>
            <w:hideMark/>
          </w:tcPr>
          <w:p w:rsidR="00786914" w:rsidRPr="00037347" w:rsidRDefault="00786914" w:rsidP="0006743B">
            <w:pPr>
              <w:pStyle w:val="TableText"/>
            </w:pPr>
            <w:r w:rsidRPr="00037347">
              <w:t>$4,533.30</w:t>
            </w:r>
          </w:p>
        </w:tc>
        <w:tc>
          <w:tcPr>
            <w:tcW w:w="649" w:type="pct"/>
            <w:shd w:val="clear" w:color="auto" w:fill="auto"/>
            <w:noWrap/>
            <w:vAlign w:val="bottom"/>
            <w:hideMark/>
          </w:tcPr>
          <w:p w:rsidR="00786914" w:rsidRPr="00037347" w:rsidRDefault="00786914" w:rsidP="0006743B">
            <w:pPr>
              <w:pStyle w:val="TableText"/>
            </w:pPr>
          </w:p>
        </w:tc>
        <w:tc>
          <w:tcPr>
            <w:tcW w:w="821" w:type="pct"/>
            <w:shd w:val="clear" w:color="auto" w:fill="auto"/>
            <w:noWrap/>
            <w:vAlign w:val="bottom"/>
            <w:hideMark/>
          </w:tcPr>
          <w:p w:rsidR="00786914" w:rsidRPr="00037347" w:rsidRDefault="00786914" w:rsidP="0006743B">
            <w:pPr>
              <w:pStyle w:val="TableText"/>
            </w:pPr>
            <w:r w:rsidRPr="00037347">
              <w:t>4.499</w:t>
            </w:r>
          </w:p>
        </w:tc>
        <w:tc>
          <w:tcPr>
            <w:tcW w:w="821" w:type="pct"/>
            <w:shd w:val="clear" w:color="auto" w:fill="auto"/>
            <w:noWrap/>
            <w:vAlign w:val="bottom"/>
            <w:hideMark/>
          </w:tcPr>
          <w:p w:rsidR="00786914" w:rsidRPr="00037347" w:rsidRDefault="00786914" w:rsidP="0006743B">
            <w:pPr>
              <w:pStyle w:val="TableText"/>
            </w:pPr>
          </w:p>
        </w:tc>
        <w:tc>
          <w:tcPr>
            <w:tcW w:w="1130" w:type="pct"/>
            <w:shd w:val="clear" w:color="auto" w:fill="auto"/>
            <w:noWrap/>
            <w:vAlign w:val="bottom"/>
            <w:hideMark/>
          </w:tcPr>
          <w:p w:rsidR="00786914" w:rsidRPr="00037347" w:rsidRDefault="00786914" w:rsidP="0006743B">
            <w:pPr>
              <w:pStyle w:val="TableText"/>
            </w:pPr>
            <w:r w:rsidRPr="00037347">
              <w:t>-</w:t>
            </w:r>
          </w:p>
        </w:tc>
      </w:tr>
      <w:tr w:rsidR="00786914" w:rsidRPr="00A34C81" w:rsidTr="0006743B">
        <w:trPr>
          <w:trHeight w:val="300"/>
        </w:trPr>
        <w:tc>
          <w:tcPr>
            <w:tcW w:w="697" w:type="pct"/>
            <w:shd w:val="clear" w:color="auto" w:fill="auto"/>
            <w:noWrap/>
            <w:vAlign w:val="bottom"/>
            <w:hideMark/>
          </w:tcPr>
          <w:p w:rsidR="00786914" w:rsidRPr="00037347" w:rsidRDefault="00786914" w:rsidP="0006743B">
            <w:pPr>
              <w:pStyle w:val="TableText"/>
            </w:pPr>
            <w:r w:rsidRPr="00037347">
              <w:t>HoLEP then TURP</w:t>
            </w:r>
          </w:p>
        </w:tc>
        <w:tc>
          <w:tcPr>
            <w:tcW w:w="882" w:type="pct"/>
            <w:shd w:val="clear" w:color="auto" w:fill="auto"/>
            <w:noWrap/>
            <w:vAlign w:val="bottom"/>
            <w:hideMark/>
          </w:tcPr>
          <w:p w:rsidR="00786914" w:rsidRPr="00037347" w:rsidRDefault="00786914" w:rsidP="0006743B">
            <w:pPr>
              <w:pStyle w:val="TableText"/>
            </w:pPr>
            <w:r w:rsidRPr="00037347">
              <w:t>$3,912.70</w:t>
            </w:r>
          </w:p>
        </w:tc>
        <w:tc>
          <w:tcPr>
            <w:tcW w:w="649" w:type="pct"/>
            <w:shd w:val="clear" w:color="auto" w:fill="auto"/>
            <w:noWrap/>
            <w:vAlign w:val="bottom"/>
            <w:hideMark/>
          </w:tcPr>
          <w:p w:rsidR="00786914" w:rsidRPr="00E6163A" w:rsidRDefault="00786914" w:rsidP="0006743B">
            <w:pPr>
              <w:pStyle w:val="TableText"/>
            </w:pPr>
            <w:r w:rsidRPr="00E6163A">
              <w:t>-$620.50</w:t>
            </w:r>
          </w:p>
        </w:tc>
        <w:tc>
          <w:tcPr>
            <w:tcW w:w="821" w:type="pct"/>
            <w:shd w:val="clear" w:color="auto" w:fill="auto"/>
            <w:noWrap/>
            <w:vAlign w:val="bottom"/>
            <w:hideMark/>
          </w:tcPr>
          <w:p w:rsidR="00786914" w:rsidRPr="00037347" w:rsidRDefault="00786914" w:rsidP="0006743B">
            <w:pPr>
              <w:pStyle w:val="TableText"/>
            </w:pPr>
            <w:r w:rsidRPr="00037347">
              <w:t>4.491</w:t>
            </w:r>
          </w:p>
        </w:tc>
        <w:tc>
          <w:tcPr>
            <w:tcW w:w="821" w:type="pct"/>
            <w:shd w:val="clear" w:color="auto" w:fill="auto"/>
            <w:noWrap/>
            <w:vAlign w:val="bottom"/>
            <w:hideMark/>
          </w:tcPr>
          <w:p w:rsidR="00786914" w:rsidRPr="00037347" w:rsidRDefault="00786914" w:rsidP="0006743B">
            <w:pPr>
              <w:pStyle w:val="TableText"/>
            </w:pPr>
            <w:r w:rsidRPr="00037347">
              <w:t>-0.008</w:t>
            </w:r>
          </w:p>
        </w:tc>
        <w:tc>
          <w:tcPr>
            <w:tcW w:w="1130" w:type="pct"/>
            <w:shd w:val="clear" w:color="auto" w:fill="auto"/>
            <w:noWrap/>
            <w:vAlign w:val="bottom"/>
            <w:hideMark/>
          </w:tcPr>
          <w:p w:rsidR="00786914" w:rsidRPr="00037347" w:rsidRDefault="00786914" w:rsidP="0006743B">
            <w:pPr>
              <w:pStyle w:val="TableText"/>
            </w:pPr>
            <w:r w:rsidRPr="00037347">
              <w:t>77,575.00</w:t>
            </w:r>
          </w:p>
        </w:tc>
      </w:tr>
      <w:tr w:rsidR="00786914" w:rsidRPr="00A34C81" w:rsidTr="0006743B">
        <w:trPr>
          <w:trHeight w:val="300"/>
        </w:trPr>
        <w:tc>
          <w:tcPr>
            <w:tcW w:w="697" w:type="pct"/>
            <w:shd w:val="clear" w:color="auto" w:fill="auto"/>
            <w:noWrap/>
            <w:vAlign w:val="bottom"/>
            <w:hideMark/>
          </w:tcPr>
          <w:p w:rsidR="00786914" w:rsidRPr="00037347" w:rsidRDefault="00786914" w:rsidP="0006743B">
            <w:pPr>
              <w:pStyle w:val="TableText"/>
            </w:pPr>
            <w:r w:rsidRPr="00037347">
              <w:t>HoLEP then HoLEP</w:t>
            </w:r>
          </w:p>
        </w:tc>
        <w:tc>
          <w:tcPr>
            <w:tcW w:w="882" w:type="pct"/>
            <w:shd w:val="clear" w:color="auto" w:fill="auto"/>
            <w:noWrap/>
            <w:vAlign w:val="bottom"/>
            <w:hideMark/>
          </w:tcPr>
          <w:p w:rsidR="00786914" w:rsidRPr="00037347" w:rsidRDefault="00786914" w:rsidP="0006743B">
            <w:pPr>
              <w:pStyle w:val="TableText"/>
            </w:pPr>
            <w:r w:rsidRPr="00037347">
              <w:t>$3,903.20</w:t>
            </w:r>
          </w:p>
        </w:tc>
        <w:tc>
          <w:tcPr>
            <w:tcW w:w="649" w:type="pct"/>
            <w:shd w:val="clear" w:color="auto" w:fill="auto"/>
            <w:noWrap/>
            <w:vAlign w:val="bottom"/>
            <w:hideMark/>
          </w:tcPr>
          <w:p w:rsidR="00786914" w:rsidRPr="00E6163A" w:rsidRDefault="00786914" w:rsidP="0006743B">
            <w:pPr>
              <w:pStyle w:val="TableText"/>
            </w:pPr>
            <w:r w:rsidRPr="00E6163A">
              <w:t>-$630.10</w:t>
            </w:r>
          </w:p>
        </w:tc>
        <w:tc>
          <w:tcPr>
            <w:tcW w:w="821" w:type="pct"/>
            <w:shd w:val="clear" w:color="auto" w:fill="auto"/>
            <w:noWrap/>
            <w:vAlign w:val="bottom"/>
            <w:hideMark/>
          </w:tcPr>
          <w:p w:rsidR="00786914" w:rsidRPr="00037347" w:rsidRDefault="00786914" w:rsidP="0006743B">
            <w:pPr>
              <w:pStyle w:val="TableText"/>
            </w:pPr>
            <w:r w:rsidRPr="00037347">
              <w:t>4.491</w:t>
            </w:r>
          </w:p>
        </w:tc>
        <w:tc>
          <w:tcPr>
            <w:tcW w:w="821" w:type="pct"/>
            <w:shd w:val="clear" w:color="auto" w:fill="auto"/>
            <w:noWrap/>
            <w:vAlign w:val="bottom"/>
            <w:hideMark/>
          </w:tcPr>
          <w:p w:rsidR="00786914" w:rsidRPr="00037347" w:rsidRDefault="00786914" w:rsidP="0006743B">
            <w:pPr>
              <w:pStyle w:val="TableText"/>
            </w:pPr>
            <w:r w:rsidRPr="00037347">
              <w:t>-0.008</w:t>
            </w:r>
          </w:p>
        </w:tc>
        <w:tc>
          <w:tcPr>
            <w:tcW w:w="1130" w:type="pct"/>
            <w:shd w:val="clear" w:color="auto" w:fill="auto"/>
            <w:noWrap/>
            <w:vAlign w:val="bottom"/>
            <w:hideMark/>
          </w:tcPr>
          <w:p w:rsidR="00786914" w:rsidRPr="00037347" w:rsidRDefault="00786914" w:rsidP="0006743B">
            <w:pPr>
              <w:pStyle w:val="TableText"/>
            </w:pPr>
            <w:r w:rsidRPr="00037347">
              <w:t>78,762.50</w:t>
            </w:r>
          </w:p>
        </w:tc>
      </w:tr>
    </w:tbl>
    <w:p w:rsidR="00786914" w:rsidRDefault="00786914" w:rsidP="0006743B"/>
    <w:p w:rsidR="00786914" w:rsidRDefault="00786914" w:rsidP="0006743B">
      <w:r>
        <w:t>These results show that even with an increased cost of HoLEP to account for an equal length of stay as TURP, the average per-patient treatment costs of the procedure are less.</w:t>
      </w:r>
    </w:p>
    <w:p w:rsidR="00786914" w:rsidRDefault="00786914" w:rsidP="0006743B">
      <w:r w:rsidRPr="0097779C">
        <w:lastRenderedPageBreak/>
        <w:t xml:space="preserve">The proposed MBS fee for HoLEP of $1,423.18 includes costs associated with tissue morcellation as well as an additional 20% over the fee for TURP to cover physician time required to learn the technique. </w:t>
      </w:r>
      <w:r>
        <w:t>A</w:t>
      </w:r>
      <w:r w:rsidRPr="0097779C">
        <w:t xml:space="preserve"> range of alternate fee</w:t>
      </w:r>
      <w:r>
        <w:t xml:space="preserve">s, referred to in the DAP and shown in Table 24 above, were tested. </w:t>
      </w:r>
      <w:r w:rsidRPr="0097779C">
        <w:t>Results of this assessment are presented in Table 3</w:t>
      </w:r>
      <w:r>
        <w:t>2</w:t>
      </w:r>
      <w:r w:rsidRPr="0097779C">
        <w:t>.</w:t>
      </w:r>
    </w:p>
    <w:p w:rsidR="00786914" w:rsidRDefault="00786914" w:rsidP="0006743B">
      <w:pPr>
        <w:pStyle w:val="Caption"/>
        <w:keepNext/>
      </w:pPr>
      <w:bookmarkStart w:id="314" w:name="_Toc327803279"/>
      <w:bookmarkStart w:id="315" w:name="_Toc327881569"/>
      <w:r>
        <w:t xml:space="preserve">Table </w:t>
      </w:r>
      <w:fldSimple w:instr=" SEQ Table \* ARABIC ">
        <w:r w:rsidR="00F45C43">
          <w:rPr>
            <w:noProof/>
          </w:rPr>
          <w:t>32</w:t>
        </w:r>
      </w:fldSimple>
      <w:r>
        <w:t>:</w:t>
      </w:r>
      <w:r>
        <w:tab/>
        <w:t>Impact of differential MBS fees on the average treatment cost and cost-effectiveness of HoLEP treatment</w:t>
      </w:r>
      <w:bookmarkEnd w:id="314"/>
      <w:bookmarkEnd w:id="315"/>
    </w:p>
    <w:tbl>
      <w:tblPr>
        <w:tblW w:w="5000" w:type="pct"/>
        <w:tblLook w:val="04A0" w:firstRow="1" w:lastRow="0" w:firstColumn="1" w:lastColumn="0" w:noHBand="0" w:noVBand="1"/>
      </w:tblPr>
      <w:tblGrid>
        <w:gridCol w:w="3679"/>
        <w:gridCol w:w="1387"/>
        <w:gridCol w:w="1394"/>
        <w:gridCol w:w="1394"/>
        <w:gridCol w:w="1388"/>
      </w:tblGrid>
      <w:tr w:rsidR="00786914" w:rsidRPr="0097779C" w:rsidTr="0006743B">
        <w:trPr>
          <w:trHeight w:val="300"/>
        </w:trPr>
        <w:tc>
          <w:tcPr>
            <w:tcW w:w="19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97779C">
              <w:t>Procedural costs</w:t>
            </w:r>
          </w:p>
        </w:tc>
        <w:tc>
          <w:tcPr>
            <w:tcW w:w="75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2D1D76">
              <w:t>MBS f</w:t>
            </w:r>
            <w:r w:rsidRPr="0097779C">
              <w:t>ee (100%)</w:t>
            </w:r>
          </w:p>
        </w:tc>
        <w:tc>
          <w:tcPr>
            <w:tcW w:w="75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2D1D76">
              <w:t>MBS f</w:t>
            </w:r>
            <w:r w:rsidRPr="0097779C">
              <w:t>ee (75%)</w:t>
            </w:r>
          </w:p>
        </w:tc>
        <w:tc>
          <w:tcPr>
            <w:tcW w:w="754" w:type="pct"/>
            <w:tcBorders>
              <w:top w:val="single" w:sz="4" w:space="0" w:color="auto"/>
              <w:left w:val="nil"/>
              <w:bottom w:val="single" w:sz="4" w:space="0" w:color="auto"/>
              <w:right w:val="single" w:sz="4" w:space="0" w:color="auto"/>
            </w:tcBorders>
            <w:shd w:val="clear" w:color="auto" w:fill="FFFFFF" w:themeFill="background1"/>
            <w:vAlign w:val="bottom"/>
          </w:tcPr>
          <w:p w:rsidR="00786914" w:rsidRPr="002D1D76" w:rsidRDefault="00786914" w:rsidP="0006743B">
            <w:pPr>
              <w:pStyle w:val="Tableheading"/>
            </w:pPr>
            <w:r>
              <w:t>Average cost per patient</w:t>
            </w:r>
          </w:p>
        </w:tc>
        <w:tc>
          <w:tcPr>
            <w:tcW w:w="751" w:type="pct"/>
            <w:tcBorders>
              <w:top w:val="single" w:sz="4" w:space="0" w:color="auto"/>
              <w:left w:val="nil"/>
              <w:bottom w:val="single" w:sz="4" w:space="0" w:color="auto"/>
              <w:right w:val="single" w:sz="4" w:space="0" w:color="auto"/>
            </w:tcBorders>
            <w:shd w:val="clear" w:color="auto" w:fill="FFFFFF" w:themeFill="background1"/>
          </w:tcPr>
          <w:p w:rsidR="00786914" w:rsidRPr="00A34C81" w:rsidRDefault="00786914" w:rsidP="0006743B">
            <w:pPr>
              <w:keepNext/>
              <w:spacing w:before="40" w:after="40"/>
              <w:ind w:left="0"/>
              <w:rPr>
                <w:rFonts w:ascii="Arial Narrow" w:hAnsi="Arial Narrow"/>
                <w:b/>
                <w:sz w:val="18"/>
              </w:rPr>
            </w:pPr>
            <w:r>
              <w:rPr>
                <w:rFonts w:ascii="Arial Narrow" w:hAnsi="Arial Narrow"/>
                <w:b/>
                <w:sz w:val="18"/>
              </w:rPr>
              <w:t>ICER ($/QALY) compared to TURP then TURP</w:t>
            </w:r>
          </w:p>
        </w:tc>
      </w:tr>
      <w:tr w:rsidR="00786914" w:rsidRPr="0097779C"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(with morcellation</w:t>
            </w:r>
            <w:r>
              <w:t xml:space="preserve"> and 20% </w:t>
            </w:r>
            <w:r w:rsidR="009B190E">
              <w:t>premium</w:t>
            </w:r>
            <w:r w:rsidRPr="0097779C">
              <w:t>)</w:t>
            </w:r>
          </w:p>
        </w:tc>
        <w:tc>
          <w:tcPr>
            <w:tcW w:w="750"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$1,423.18</w:t>
            </w:r>
          </w:p>
        </w:tc>
        <w:tc>
          <w:tcPr>
            <w:tcW w:w="754"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$1,067.39</w:t>
            </w:r>
          </w:p>
        </w:tc>
        <w:tc>
          <w:tcPr>
            <w:tcW w:w="754" w:type="pct"/>
            <w:tcBorders>
              <w:top w:val="nil"/>
              <w:left w:val="nil"/>
              <w:bottom w:val="single" w:sz="4" w:space="0" w:color="auto"/>
              <w:right w:val="single" w:sz="4" w:space="0" w:color="auto"/>
            </w:tcBorders>
            <w:vAlign w:val="bottom"/>
          </w:tcPr>
          <w:p w:rsidR="00786914" w:rsidRPr="0097779C" w:rsidRDefault="00786914" w:rsidP="0006743B">
            <w:pPr>
              <w:pStyle w:val="TableText"/>
            </w:pPr>
            <w:r>
              <w:t>$</w:t>
            </w:r>
            <w:r w:rsidRPr="002D1D76">
              <w:t>3</w:t>
            </w:r>
            <w:r>
              <w:t>,095.50</w:t>
            </w:r>
          </w:p>
        </w:tc>
        <w:tc>
          <w:tcPr>
            <w:tcW w:w="751" w:type="pct"/>
            <w:tcBorders>
              <w:top w:val="single" w:sz="4" w:space="0" w:color="auto"/>
              <w:left w:val="nil"/>
              <w:bottom w:val="single" w:sz="4" w:space="0" w:color="auto"/>
              <w:right w:val="single" w:sz="4" w:space="0" w:color="auto"/>
            </w:tcBorders>
            <w:vAlign w:val="bottom"/>
          </w:tcPr>
          <w:p w:rsidR="00786914" w:rsidRDefault="00786914" w:rsidP="0006743B">
            <w:pPr>
              <w:pStyle w:val="TableText"/>
            </w:pPr>
            <w:r w:rsidRPr="00F04CFA">
              <w:t>179</w:t>
            </w:r>
            <w:r>
              <w:t>,725.00</w:t>
            </w:r>
          </w:p>
        </w:tc>
      </w:tr>
      <w:tr w:rsidR="00786914" w:rsidRPr="0097779C"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(with morcellation</w:t>
            </w:r>
            <w:r>
              <w:t xml:space="preserve"> </w:t>
            </w:r>
            <w:r w:rsidRPr="0097779C">
              <w:t xml:space="preserve">less 20% </w:t>
            </w:r>
            <w:r w:rsidR="009B190E">
              <w:t>premium</w:t>
            </w:r>
            <w:r>
              <w:t>)</w:t>
            </w:r>
          </w:p>
        </w:tc>
        <w:tc>
          <w:tcPr>
            <w:tcW w:w="750"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w:t>
            </w:r>
            <w:r>
              <w:t>222.70</w:t>
            </w:r>
          </w:p>
        </w:tc>
        <w:tc>
          <w:tcPr>
            <w:tcW w:w="754"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t>$917.03</w:t>
            </w:r>
          </w:p>
        </w:tc>
        <w:tc>
          <w:tcPr>
            <w:tcW w:w="754" w:type="pct"/>
            <w:tcBorders>
              <w:top w:val="nil"/>
              <w:left w:val="nil"/>
              <w:bottom w:val="single" w:sz="4" w:space="0" w:color="auto"/>
              <w:right w:val="single" w:sz="4" w:space="0" w:color="auto"/>
            </w:tcBorders>
            <w:vAlign w:val="bottom"/>
          </w:tcPr>
          <w:p w:rsidR="00786914" w:rsidRPr="0097779C" w:rsidRDefault="00786914" w:rsidP="0006743B">
            <w:pPr>
              <w:pStyle w:val="TableText"/>
            </w:pPr>
            <w:r>
              <w:t>$2,938.70</w:t>
            </w:r>
          </w:p>
        </w:tc>
        <w:tc>
          <w:tcPr>
            <w:tcW w:w="751" w:type="pct"/>
            <w:tcBorders>
              <w:top w:val="single" w:sz="4" w:space="0" w:color="auto"/>
              <w:left w:val="nil"/>
              <w:bottom w:val="single" w:sz="4" w:space="0" w:color="auto"/>
              <w:right w:val="single" w:sz="4" w:space="0" w:color="auto"/>
            </w:tcBorders>
            <w:vAlign w:val="bottom"/>
          </w:tcPr>
          <w:p w:rsidR="00786914" w:rsidRDefault="00786914" w:rsidP="0006743B">
            <w:pPr>
              <w:pStyle w:val="TableText"/>
            </w:pPr>
            <w:r>
              <w:t>199,325.00</w:t>
            </w:r>
          </w:p>
        </w:tc>
      </w:tr>
      <w:tr w:rsidR="00786914" w:rsidRPr="0097779C"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HoLEP (excluding morcellation)</w:t>
            </w:r>
          </w:p>
        </w:tc>
        <w:tc>
          <w:tcPr>
            <w:tcW w:w="750"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$1,203.18</w:t>
            </w:r>
          </w:p>
        </w:tc>
        <w:tc>
          <w:tcPr>
            <w:tcW w:w="754"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$902.39</w:t>
            </w:r>
          </w:p>
        </w:tc>
        <w:tc>
          <w:tcPr>
            <w:tcW w:w="754" w:type="pct"/>
            <w:tcBorders>
              <w:top w:val="nil"/>
              <w:left w:val="nil"/>
              <w:bottom w:val="single" w:sz="4" w:space="0" w:color="auto"/>
              <w:right w:val="single" w:sz="4" w:space="0" w:color="auto"/>
            </w:tcBorders>
            <w:vAlign w:val="bottom"/>
          </w:tcPr>
          <w:p w:rsidR="00786914" w:rsidRPr="0097779C" w:rsidRDefault="00786914" w:rsidP="0006743B">
            <w:pPr>
              <w:pStyle w:val="TableText"/>
            </w:pPr>
            <w:r>
              <w:t>$2,923.40</w:t>
            </w:r>
          </w:p>
        </w:tc>
        <w:tc>
          <w:tcPr>
            <w:tcW w:w="751" w:type="pct"/>
            <w:tcBorders>
              <w:top w:val="single" w:sz="4" w:space="0" w:color="auto"/>
              <w:left w:val="nil"/>
              <w:bottom w:val="single" w:sz="4" w:space="0" w:color="auto"/>
              <w:right w:val="single" w:sz="4" w:space="0" w:color="auto"/>
            </w:tcBorders>
            <w:vAlign w:val="bottom"/>
          </w:tcPr>
          <w:p w:rsidR="00786914" w:rsidRDefault="00786914" w:rsidP="0006743B">
            <w:pPr>
              <w:pStyle w:val="TableText"/>
            </w:pPr>
            <w:r>
              <w:t>201,237.50</w:t>
            </w:r>
          </w:p>
        </w:tc>
      </w:tr>
      <w:tr w:rsidR="00786914" w:rsidRPr="0097779C"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(excluding morcellation</w:t>
            </w:r>
            <w:r>
              <w:t xml:space="preserve"> and </w:t>
            </w:r>
            <w:r w:rsidR="009B190E">
              <w:t>20% premium</w:t>
            </w:r>
            <w:r>
              <w:t>)</w:t>
            </w:r>
          </w:p>
        </w:tc>
        <w:tc>
          <w:tcPr>
            <w:tcW w:w="750"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w:t>
            </w:r>
            <w:r>
              <w:t>1,002.70</w:t>
            </w:r>
          </w:p>
        </w:tc>
        <w:tc>
          <w:tcPr>
            <w:tcW w:w="754"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$7</w:t>
            </w:r>
            <w:r>
              <w:t>67.05</w:t>
            </w:r>
          </w:p>
        </w:tc>
        <w:tc>
          <w:tcPr>
            <w:tcW w:w="754" w:type="pct"/>
            <w:tcBorders>
              <w:top w:val="nil"/>
              <w:left w:val="nil"/>
              <w:bottom w:val="single" w:sz="4" w:space="0" w:color="auto"/>
              <w:right w:val="single" w:sz="4" w:space="0" w:color="auto"/>
            </w:tcBorders>
            <w:vAlign w:val="bottom"/>
          </w:tcPr>
          <w:p w:rsidR="00786914" w:rsidRPr="0097779C" w:rsidRDefault="00786914" w:rsidP="0006743B">
            <w:pPr>
              <w:pStyle w:val="TableText"/>
            </w:pPr>
            <w:r>
              <w:t>$2,782.30</w:t>
            </w:r>
          </w:p>
        </w:tc>
        <w:tc>
          <w:tcPr>
            <w:tcW w:w="751" w:type="pct"/>
            <w:tcBorders>
              <w:top w:val="single" w:sz="4" w:space="0" w:color="auto"/>
              <w:left w:val="nil"/>
              <w:bottom w:val="single" w:sz="4" w:space="0" w:color="auto"/>
              <w:right w:val="single" w:sz="4" w:space="0" w:color="auto"/>
            </w:tcBorders>
            <w:vAlign w:val="bottom"/>
          </w:tcPr>
          <w:p w:rsidR="00786914" w:rsidRDefault="00786914" w:rsidP="0006743B">
            <w:pPr>
              <w:pStyle w:val="TableText"/>
            </w:pPr>
            <w:r>
              <w:t>218,875.00</w:t>
            </w:r>
          </w:p>
        </w:tc>
      </w:tr>
    </w:tbl>
    <w:p w:rsidR="00786914" w:rsidRDefault="00786914" w:rsidP="0006743B"/>
    <w:p w:rsidR="00786914" w:rsidRDefault="00786914" w:rsidP="0006743B">
      <w:pPr>
        <w:rPr>
          <w:b/>
          <w:bCs/>
          <w:sz w:val="20"/>
        </w:rPr>
      </w:pPr>
      <w:r>
        <w:t xml:space="preserve">As the fee used in the base case represented the upper limit of the range of the fee tested through sensitivity analysis, the reduction in fee associated with the removal of the tissue morcellation and/or </w:t>
      </w:r>
      <w:r w:rsidR="009B190E">
        <w:t>premium</w:t>
      </w:r>
      <w:r>
        <w:t xml:space="preserve"> fee component decreased the average cost per patient in all scenarios tested.</w:t>
      </w:r>
    </w:p>
    <w:p w:rsidR="00786914" w:rsidRDefault="00786914" w:rsidP="0006743B">
      <w:pPr>
        <w:pStyle w:val="Normalbold"/>
      </w:pPr>
      <w:bookmarkStart w:id="316" w:name="_Toc327877906"/>
      <w:r w:rsidRPr="00D12538">
        <w:t>Testing uncertainty of transition probabilities</w:t>
      </w:r>
      <w:bookmarkEnd w:id="316"/>
    </w:p>
    <w:p w:rsidR="00786914" w:rsidRDefault="00786914" w:rsidP="0006743B">
      <w:r>
        <w:t>The transition probabilities used in the economic evaluation were derived from a meta-analysis of clinical trial evidence. The probabilities of experiencing health states associated with BPH treatment using HoLEP that were used in the economic evaluation were calculated by multiplying the probability of the event occurring with TURP treatment by the relative risk associated with HoLEP treatment.</w:t>
      </w:r>
    </w:p>
    <w:p w:rsidR="00786914" w:rsidRDefault="00786914" w:rsidP="0006743B">
      <w:r>
        <w:t>In order to test the robustness of the conclusions derived from this evaluation, sensitivity analysis was performed by multiplying the probability of an event occurring with TURP by a range of four values bound by the lower and upper limits of the 95% confidence intervals of the relative risk calculations of each event occurring with HoLEP compared with TURP. Results of this analysis comparing HoLEP and TURP treatment pathways are presented in Figure 3.</w:t>
      </w:r>
    </w:p>
    <w:p w:rsidR="00786914" w:rsidRDefault="00786914" w:rsidP="0006743B">
      <w:pPr>
        <w:spacing w:after="200" w:line="276" w:lineRule="auto"/>
        <w:ind w:left="0"/>
        <w:rPr>
          <w:rFonts w:ascii="Arial" w:hAnsi="Arial"/>
          <w:b/>
          <w:bCs/>
          <w:sz w:val="18"/>
        </w:rPr>
      </w:pPr>
      <w:r>
        <w:br w:type="page"/>
      </w:r>
    </w:p>
    <w:p w:rsidR="00786914" w:rsidRDefault="00786914" w:rsidP="0006743B">
      <w:pPr>
        <w:pStyle w:val="Caption"/>
      </w:pPr>
      <w:bookmarkStart w:id="317" w:name="_Toc327882512"/>
      <w:r>
        <w:lastRenderedPageBreak/>
        <w:t xml:space="preserve">Figure </w:t>
      </w:r>
      <w:fldSimple w:instr=" SEQ Figure \* ARABIC ">
        <w:r w:rsidR="00F45C43">
          <w:rPr>
            <w:noProof/>
          </w:rPr>
          <w:t>28</w:t>
        </w:r>
      </w:fldSimple>
      <w:r>
        <w:t>:</w:t>
      </w:r>
      <w:r>
        <w:tab/>
        <w:t>Sensitivity analysis comparing the HoLEP then HoLEP and TURP then TURP pathways</w:t>
      </w:r>
      <w:bookmarkEnd w:id="317"/>
    </w:p>
    <w:p w:rsidR="00786914" w:rsidRPr="00947096" w:rsidRDefault="00786914" w:rsidP="0006743B">
      <w:pPr>
        <w:ind w:left="0"/>
      </w:pPr>
      <w:r w:rsidRPr="00F04CFA">
        <w:rPr>
          <w:noProof/>
        </w:rPr>
        <w:drawing>
          <wp:inline distT="0" distB="0" distL="0" distR="0" wp14:anchorId="0D3DE2C8" wp14:editId="1A31D7BE">
            <wp:extent cx="5731510" cy="3747171"/>
            <wp:effectExtent l="0" t="0" r="21590" b="24765"/>
            <wp:docPr id="8" name="Chart 1" title="Figure 28: Sensitivity analysis comparing the HoLEP then HoLEP and TURP then TURP pathway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86914" w:rsidRDefault="00786914" w:rsidP="0006743B">
      <w:r>
        <w:t>The base case ICER of $179,725/QALY for the HoLEP then HoLEP treatment pathway compared to TURP then TURP is represented by the dashed vertical line. This ICER varied widely when tested with through sensitivity analysis with a range of $-213,000/QALY through $259,000/QALY being obtained. The wide range of ICER values obtained is driven by the minor difference in effectiveness</w:t>
      </w:r>
      <w:r w:rsidRPr="00E6095D">
        <w:t xml:space="preserve"> between the two treatment options, thus the ICER is </w:t>
      </w:r>
      <w:r>
        <w:t xml:space="preserve">highly </w:t>
      </w:r>
      <w:r w:rsidRPr="00E6095D">
        <w:t xml:space="preserve">sensitive to minor changes in </w:t>
      </w:r>
      <w:r>
        <w:t xml:space="preserve">any given </w:t>
      </w:r>
      <w:r w:rsidRPr="00E6095D">
        <w:t>parameter.</w:t>
      </w:r>
    </w:p>
    <w:p w:rsidR="00786914" w:rsidRDefault="00786914" w:rsidP="0006743B">
      <w:r>
        <w:t>The ICER was most sensitive to changes in the relative risk of experiencing urethral stricture. Looking at this event in isolation, the ICER of HoLEP over TURP treatment from $73,724.50/QALY through to the scenario whereby HoLEP treatment was dominant over TURP due to the fact that it was both less costly and more effective than TURP treatment. HoLEP was associated with lower average per-patient treatment costs all relative risk value ranges tested (0.33 – 1.27) and only a marginal difference QALYs (4.48 – 4.52) over the five year time frame of the model.</w:t>
      </w:r>
    </w:p>
    <w:p w:rsidR="00786914" w:rsidRDefault="00786914" w:rsidP="0006743B">
      <w:r>
        <w:t>To further test the robustness of the results of the economic evaluation a series of two-way sensitivity analyses were performed. Each parameter was tested across the 95% confidence intervals of the relative risk calculations of HoLEP compared with TURP. A range of HoLEP treatment costs associated with the different MBS fees was also tested.</w:t>
      </w:r>
    </w:p>
    <w:p w:rsidR="00786914" w:rsidRDefault="00786914" w:rsidP="0006743B">
      <w:r>
        <w:t xml:space="preserve">Results of these sensitivity analyses showed that the treatment pathway of HoLEP then HoLEP was associated with lower average per-patient treatment costs and near equivalent effectiveness than each of the alternative treatment pathways across a wide range of conditions. The only case in which HoLEP then HoLEP treatment may not be as cost-effective as alternative treatment pathways was when both the upper limits of the </w:t>
      </w:r>
      <w:r>
        <w:lastRenderedPageBreak/>
        <w:t>cost of HoLEP treatment and treatment failure rates for HoLEP were tested. In this instance the treatment pathway of TURP then TURP was more favourable. As there is very wide range of the 95% confidence intervals around the relative risk of the HoLEP treatment failure compared to TURP, and that TURP followed by TURP is only cost-effective when the upper bounds of the risk of HoLEP treatment failure are experienced, treatment pathways employing HoLEP remain acceptable across all but the most extreme scenarios.</w:t>
      </w:r>
    </w:p>
    <w:p w:rsidR="00786914" w:rsidRDefault="00786914" w:rsidP="0006743B">
      <w:pPr>
        <w:pStyle w:val="Heading3"/>
      </w:pPr>
      <w:bookmarkStart w:id="318" w:name="_Toc327877907"/>
      <w:bookmarkStart w:id="319" w:name="_Toc365900584"/>
      <w:r>
        <w:t>HoLEP in comparison with OP – base case</w:t>
      </w:r>
      <w:bookmarkEnd w:id="318"/>
      <w:bookmarkEnd w:id="319"/>
    </w:p>
    <w:p w:rsidR="00786914" w:rsidRDefault="00786914" w:rsidP="0006743B">
      <w:r w:rsidRPr="00A32869">
        <w:t xml:space="preserve">The </w:t>
      </w:r>
      <w:r>
        <w:t>tables below summarise the base case results of the five year cost-effectiveness of various treatment pathways for BPH in men with expected prostate sizes &gt;80-100g. Results are shown for the treatment pathways of:</w:t>
      </w:r>
    </w:p>
    <w:p w:rsidR="00786914" w:rsidRPr="00A32869" w:rsidRDefault="00786914" w:rsidP="0006743B">
      <w:pPr>
        <w:pStyle w:val="Bullet"/>
        <w:numPr>
          <w:ilvl w:val="0"/>
          <w:numId w:val="21"/>
        </w:numPr>
      </w:pPr>
      <w:r>
        <w:t>O</w:t>
      </w:r>
      <w:r w:rsidRPr="00A32869">
        <w:t xml:space="preserve">P as initial treatment, </w:t>
      </w:r>
      <w:r>
        <w:t>no second treatment available (comparator)</w:t>
      </w:r>
    </w:p>
    <w:p w:rsidR="00786914" w:rsidRPr="00E477C3" w:rsidRDefault="00786914" w:rsidP="0006743B">
      <w:pPr>
        <w:pStyle w:val="Bullet"/>
        <w:numPr>
          <w:ilvl w:val="0"/>
          <w:numId w:val="21"/>
        </w:numPr>
      </w:pPr>
      <w:r w:rsidRPr="00E477C3">
        <w:t>HoLEP as initial treatment, followed by OP upon treatment failure</w:t>
      </w:r>
    </w:p>
    <w:p w:rsidR="00786914" w:rsidRDefault="00786914" w:rsidP="0006743B">
      <w:pPr>
        <w:pStyle w:val="Bullet"/>
        <w:numPr>
          <w:ilvl w:val="0"/>
          <w:numId w:val="21"/>
        </w:numPr>
      </w:pPr>
      <w:r w:rsidRPr="00E477C3">
        <w:t>HoLEP as initial treatment, followed by a second HoLEP upon treatment failure</w:t>
      </w:r>
      <w:r>
        <w:t>.</w:t>
      </w:r>
    </w:p>
    <w:p w:rsidR="00786914" w:rsidRDefault="00786914" w:rsidP="0006743B">
      <w:r>
        <w:t>All costs and effects are discounted at five percent per annum.</w:t>
      </w:r>
    </w:p>
    <w:p w:rsidR="00786914" w:rsidRDefault="00786914" w:rsidP="0006743B">
      <w:pPr>
        <w:tabs>
          <w:tab w:val="left" w:pos="2977"/>
        </w:tabs>
      </w:pPr>
      <w:r>
        <w:t>Table 33 shows the average cost per patient for each of three strategies above. HoLEP (with HoLEP re-treatment in the event of failure) has the lowest average cost per patient of $2,905.40. Compared with the base-case treatment of OP, the incremental costs associated with HoLEP (with OP re-treatment) and HoLEP (with HoLEP re-treatment) are modelled to be $-3,814.50 and $-3,854.60 respectively.</w:t>
      </w:r>
    </w:p>
    <w:p w:rsidR="00786914" w:rsidRDefault="00786914" w:rsidP="0006743B">
      <w:pPr>
        <w:pStyle w:val="Caption"/>
        <w:keepNext/>
      </w:pPr>
      <w:bookmarkStart w:id="320" w:name="_Toc327803280"/>
      <w:bookmarkStart w:id="321" w:name="_Toc327881570"/>
      <w:r>
        <w:t xml:space="preserve">Table </w:t>
      </w:r>
      <w:fldSimple w:instr=" SEQ Table \* ARABIC ">
        <w:r w:rsidR="00F45C43">
          <w:rPr>
            <w:noProof/>
          </w:rPr>
          <w:t>33</w:t>
        </w:r>
      </w:fldSimple>
      <w:r>
        <w:t>:</w:t>
      </w:r>
      <w:r>
        <w:tab/>
        <w:t>Modelled average cost per patient over five years of alternative treatment pathways</w:t>
      </w:r>
      <w:bookmarkEnd w:id="320"/>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786914" w:rsidTr="0006743B">
        <w:tc>
          <w:tcPr>
            <w:tcW w:w="1666" w:type="pct"/>
          </w:tcPr>
          <w:p w:rsidR="00786914" w:rsidRPr="00634808" w:rsidRDefault="00786914" w:rsidP="0006743B">
            <w:pPr>
              <w:pStyle w:val="Tableheading"/>
            </w:pPr>
            <w:r w:rsidRPr="00634808">
              <w:t>Strategy</w:t>
            </w:r>
          </w:p>
        </w:tc>
        <w:tc>
          <w:tcPr>
            <w:tcW w:w="1666" w:type="pct"/>
          </w:tcPr>
          <w:p w:rsidR="00786914" w:rsidRPr="00634808" w:rsidRDefault="00786914" w:rsidP="0006743B">
            <w:pPr>
              <w:pStyle w:val="Tableheading"/>
            </w:pPr>
            <w:r>
              <w:t>Average cost per patient</w:t>
            </w:r>
          </w:p>
        </w:tc>
        <w:tc>
          <w:tcPr>
            <w:tcW w:w="1667" w:type="pct"/>
          </w:tcPr>
          <w:p w:rsidR="00786914" w:rsidRPr="00634808" w:rsidRDefault="00786914" w:rsidP="0006743B">
            <w:pPr>
              <w:pStyle w:val="Tableheading"/>
            </w:pPr>
            <w:r w:rsidRPr="00634808">
              <w:t>Incremental Cost</w:t>
            </w:r>
          </w:p>
        </w:tc>
      </w:tr>
      <w:tr w:rsidR="00786914" w:rsidTr="0006743B">
        <w:tc>
          <w:tcPr>
            <w:tcW w:w="1666" w:type="pct"/>
            <w:vAlign w:val="bottom"/>
          </w:tcPr>
          <w:p w:rsidR="00786914" w:rsidRPr="00D5219B" w:rsidRDefault="00786914" w:rsidP="0006743B">
            <w:pPr>
              <w:pStyle w:val="TableText"/>
            </w:pPr>
            <w:r w:rsidRPr="00D5219B">
              <w:t>OP</w:t>
            </w:r>
          </w:p>
        </w:tc>
        <w:tc>
          <w:tcPr>
            <w:tcW w:w="1666" w:type="pct"/>
            <w:vAlign w:val="bottom"/>
          </w:tcPr>
          <w:p w:rsidR="00786914" w:rsidRPr="00D5219B" w:rsidRDefault="00786914" w:rsidP="0006743B">
            <w:pPr>
              <w:pStyle w:val="TableText"/>
            </w:pPr>
            <w:r w:rsidRPr="00D5219B">
              <w:t>$6,760.00</w:t>
            </w:r>
          </w:p>
        </w:tc>
        <w:tc>
          <w:tcPr>
            <w:tcW w:w="1667" w:type="pct"/>
            <w:vAlign w:val="bottom"/>
          </w:tcPr>
          <w:p w:rsidR="00786914" w:rsidRPr="00D5219B" w:rsidRDefault="00786914" w:rsidP="0006743B">
            <w:pPr>
              <w:pStyle w:val="TableText"/>
            </w:pPr>
            <w:r>
              <w:t>-</w:t>
            </w:r>
          </w:p>
        </w:tc>
      </w:tr>
      <w:tr w:rsidR="00786914" w:rsidTr="0006743B">
        <w:tc>
          <w:tcPr>
            <w:tcW w:w="1666" w:type="pct"/>
            <w:vAlign w:val="bottom"/>
          </w:tcPr>
          <w:p w:rsidR="00786914" w:rsidRPr="00D5219B" w:rsidRDefault="00786914" w:rsidP="0006743B">
            <w:pPr>
              <w:pStyle w:val="TableText"/>
            </w:pPr>
            <w:r w:rsidRPr="00D5219B">
              <w:t>HoLEP then OP</w:t>
            </w:r>
          </w:p>
        </w:tc>
        <w:tc>
          <w:tcPr>
            <w:tcW w:w="1666" w:type="pct"/>
            <w:vAlign w:val="bottom"/>
          </w:tcPr>
          <w:p w:rsidR="00786914" w:rsidRPr="00D5219B" w:rsidRDefault="00786914" w:rsidP="0006743B">
            <w:pPr>
              <w:pStyle w:val="TableText"/>
            </w:pPr>
            <w:r w:rsidRPr="00D5219B">
              <w:t>$2,945.50</w:t>
            </w:r>
          </w:p>
        </w:tc>
        <w:tc>
          <w:tcPr>
            <w:tcW w:w="1667" w:type="pct"/>
            <w:vAlign w:val="bottom"/>
          </w:tcPr>
          <w:p w:rsidR="00786914" w:rsidRPr="00D5219B" w:rsidRDefault="00786914" w:rsidP="0006743B">
            <w:pPr>
              <w:pStyle w:val="TableText"/>
            </w:pPr>
            <w:r w:rsidRPr="00D5219B">
              <w:t>-$3,814.50</w:t>
            </w:r>
          </w:p>
        </w:tc>
      </w:tr>
      <w:tr w:rsidR="00786914" w:rsidTr="0006743B">
        <w:tc>
          <w:tcPr>
            <w:tcW w:w="1666" w:type="pct"/>
            <w:vAlign w:val="bottom"/>
          </w:tcPr>
          <w:p w:rsidR="00786914" w:rsidRPr="00D5219B" w:rsidRDefault="00786914" w:rsidP="0006743B">
            <w:pPr>
              <w:pStyle w:val="TableText"/>
            </w:pPr>
            <w:r w:rsidRPr="00D5219B">
              <w:t>HoLEP then HoLEP</w:t>
            </w:r>
          </w:p>
        </w:tc>
        <w:tc>
          <w:tcPr>
            <w:tcW w:w="1666" w:type="pct"/>
            <w:vAlign w:val="bottom"/>
          </w:tcPr>
          <w:p w:rsidR="00786914" w:rsidRPr="00D5219B" w:rsidRDefault="00786914" w:rsidP="0006743B">
            <w:pPr>
              <w:pStyle w:val="TableText"/>
            </w:pPr>
            <w:r w:rsidRPr="00D5219B">
              <w:t>$2,905.40</w:t>
            </w:r>
          </w:p>
        </w:tc>
        <w:tc>
          <w:tcPr>
            <w:tcW w:w="1667" w:type="pct"/>
            <w:vAlign w:val="bottom"/>
          </w:tcPr>
          <w:p w:rsidR="00786914" w:rsidRPr="00D5219B" w:rsidRDefault="00786914" w:rsidP="0006743B">
            <w:pPr>
              <w:pStyle w:val="TableText"/>
            </w:pPr>
            <w:r w:rsidRPr="00D5219B">
              <w:t>-$3,854.60</w:t>
            </w:r>
          </w:p>
        </w:tc>
      </w:tr>
    </w:tbl>
    <w:p w:rsidR="00786914" w:rsidRDefault="00786914" w:rsidP="0006743B"/>
    <w:p w:rsidR="00786914" w:rsidRDefault="00786914" w:rsidP="0006743B">
      <w:r>
        <w:t>The effectiveness of each treatment pathway in terms QALYs gained was also modelled and this is shown in Table 34. It should be noted that the difference in QALYs between treatment pathways (~0.006) is very minor and represents only an additional 2.2 days of full health over the five year time frame of the model.</w:t>
      </w:r>
    </w:p>
    <w:p w:rsidR="00786914" w:rsidRDefault="00786914" w:rsidP="0006743B">
      <w:pPr>
        <w:pStyle w:val="Caption"/>
        <w:keepNext/>
      </w:pPr>
      <w:bookmarkStart w:id="322" w:name="_Toc327803281"/>
      <w:bookmarkStart w:id="323" w:name="_Toc327881571"/>
      <w:r>
        <w:t xml:space="preserve">Table </w:t>
      </w:r>
      <w:fldSimple w:instr=" SEQ Table \* ARABIC ">
        <w:r w:rsidR="00F45C43">
          <w:rPr>
            <w:noProof/>
          </w:rPr>
          <w:t>34</w:t>
        </w:r>
      </w:fldSimple>
      <w:r>
        <w:t>:</w:t>
      </w:r>
      <w:r>
        <w:tab/>
        <w:t>Modelled average QALYs experienced per patient over five years of alternate treatment pathways</w:t>
      </w:r>
      <w:bookmarkEnd w:id="322"/>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3082"/>
      </w:tblGrid>
      <w:tr w:rsidR="00786914" w:rsidRPr="00E20582" w:rsidTr="0006743B">
        <w:tc>
          <w:tcPr>
            <w:tcW w:w="1666" w:type="pct"/>
          </w:tcPr>
          <w:p w:rsidR="00786914" w:rsidRPr="00A25EDD" w:rsidRDefault="00786914" w:rsidP="0006743B">
            <w:pPr>
              <w:pStyle w:val="Tableheading"/>
            </w:pPr>
            <w:r w:rsidRPr="00E20582">
              <w:t>Strategy</w:t>
            </w:r>
          </w:p>
        </w:tc>
        <w:tc>
          <w:tcPr>
            <w:tcW w:w="1666" w:type="pct"/>
          </w:tcPr>
          <w:p w:rsidR="00786914" w:rsidRPr="00A25EDD" w:rsidRDefault="00786914" w:rsidP="0006743B">
            <w:pPr>
              <w:pStyle w:val="Tableheading"/>
            </w:pPr>
            <w:r w:rsidRPr="00A25EDD">
              <w:t>QALYs</w:t>
            </w:r>
          </w:p>
        </w:tc>
        <w:tc>
          <w:tcPr>
            <w:tcW w:w="1667" w:type="pct"/>
          </w:tcPr>
          <w:p w:rsidR="00786914" w:rsidRPr="00A25EDD" w:rsidRDefault="00786914" w:rsidP="0006743B">
            <w:pPr>
              <w:pStyle w:val="Tableheading"/>
            </w:pPr>
            <w:r w:rsidRPr="00E20582">
              <w:t>Incr</w:t>
            </w:r>
            <w:r w:rsidRPr="00A25EDD">
              <w:t>emental QALYs</w:t>
            </w:r>
          </w:p>
        </w:tc>
      </w:tr>
      <w:tr w:rsidR="00786914" w:rsidRPr="00E20582" w:rsidTr="0006743B">
        <w:tc>
          <w:tcPr>
            <w:tcW w:w="1666" w:type="pct"/>
            <w:vAlign w:val="bottom"/>
          </w:tcPr>
          <w:p w:rsidR="00786914" w:rsidRPr="00D5219B" w:rsidRDefault="00786914" w:rsidP="0006743B">
            <w:pPr>
              <w:pStyle w:val="TableText"/>
            </w:pPr>
            <w:r w:rsidRPr="00D5219B">
              <w:t>OP</w:t>
            </w:r>
          </w:p>
        </w:tc>
        <w:tc>
          <w:tcPr>
            <w:tcW w:w="1666" w:type="pct"/>
            <w:vAlign w:val="bottom"/>
          </w:tcPr>
          <w:p w:rsidR="00786914" w:rsidRPr="00D5219B" w:rsidRDefault="00786914" w:rsidP="0006743B">
            <w:pPr>
              <w:pStyle w:val="TableText"/>
            </w:pPr>
            <w:r w:rsidRPr="00D5219B">
              <w:t>4.46018</w:t>
            </w:r>
          </w:p>
        </w:tc>
        <w:tc>
          <w:tcPr>
            <w:tcW w:w="1667" w:type="pct"/>
            <w:vAlign w:val="bottom"/>
          </w:tcPr>
          <w:p w:rsidR="00786914" w:rsidRPr="00D5219B" w:rsidRDefault="00786914" w:rsidP="0006743B">
            <w:pPr>
              <w:pStyle w:val="TableText"/>
            </w:pPr>
          </w:p>
        </w:tc>
      </w:tr>
      <w:tr w:rsidR="00786914" w:rsidRPr="00E20582" w:rsidTr="0006743B">
        <w:tc>
          <w:tcPr>
            <w:tcW w:w="1666" w:type="pct"/>
            <w:vAlign w:val="bottom"/>
          </w:tcPr>
          <w:p w:rsidR="00786914" w:rsidRPr="00D5219B" w:rsidRDefault="00786914" w:rsidP="0006743B">
            <w:pPr>
              <w:pStyle w:val="TableText"/>
            </w:pPr>
            <w:r w:rsidRPr="00D5219B">
              <w:t>HoLEP then OP</w:t>
            </w:r>
          </w:p>
        </w:tc>
        <w:tc>
          <w:tcPr>
            <w:tcW w:w="1666" w:type="pct"/>
            <w:vAlign w:val="bottom"/>
          </w:tcPr>
          <w:p w:rsidR="00786914" w:rsidRPr="00D5219B" w:rsidRDefault="00786914" w:rsidP="0006743B">
            <w:pPr>
              <w:pStyle w:val="TableText"/>
            </w:pPr>
            <w:r w:rsidRPr="00D5219B">
              <w:t>4.46655</w:t>
            </w:r>
          </w:p>
        </w:tc>
        <w:tc>
          <w:tcPr>
            <w:tcW w:w="1667" w:type="pct"/>
            <w:vAlign w:val="bottom"/>
          </w:tcPr>
          <w:p w:rsidR="00786914" w:rsidRPr="00D5219B" w:rsidRDefault="00786914" w:rsidP="0006743B">
            <w:pPr>
              <w:pStyle w:val="TableText"/>
            </w:pPr>
            <w:r w:rsidRPr="00D5219B">
              <w:t>0.00637</w:t>
            </w:r>
          </w:p>
        </w:tc>
      </w:tr>
      <w:tr w:rsidR="00786914" w:rsidRPr="00E20582" w:rsidTr="0006743B">
        <w:tc>
          <w:tcPr>
            <w:tcW w:w="1666" w:type="pct"/>
            <w:vAlign w:val="bottom"/>
          </w:tcPr>
          <w:p w:rsidR="00786914" w:rsidRPr="00D5219B" w:rsidRDefault="00786914" w:rsidP="0006743B">
            <w:pPr>
              <w:pStyle w:val="TableText"/>
            </w:pPr>
            <w:r w:rsidRPr="00D5219B">
              <w:t>HoLEP then HoLEP</w:t>
            </w:r>
          </w:p>
        </w:tc>
        <w:tc>
          <w:tcPr>
            <w:tcW w:w="1666" w:type="pct"/>
            <w:vAlign w:val="bottom"/>
          </w:tcPr>
          <w:p w:rsidR="00786914" w:rsidRPr="00D5219B" w:rsidRDefault="00786914" w:rsidP="0006743B">
            <w:pPr>
              <w:pStyle w:val="TableText"/>
            </w:pPr>
            <w:r w:rsidRPr="00D5219B">
              <w:t>4.46655</w:t>
            </w:r>
          </w:p>
        </w:tc>
        <w:tc>
          <w:tcPr>
            <w:tcW w:w="1667" w:type="pct"/>
            <w:vAlign w:val="bottom"/>
          </w:tcPr>
          <w:p w:rsidR="00786914" w:rsidRPr="00D5219B" w:rsidRDefault="00786914" w:rsidP="0006743B">
            <w:pPr>
              <w:pStyle w:val="TableText"/>
            </w:pPr>
            <w:r w:rsidRPr="00D5219B">
              <w:t>0.00636</w:t>
            </w:r>
          </w:p>
        </w:tc>
      </w:tr>
    </w:tbl>
    <w:p w:rsidR="00786914" w:rsidRDefault="00786914" w:rsidP="0006743B"/>
    <w:p w:rsidR="00786914" w:rsidRDefault="00786914" w:rsidP="0006743B">
      <w:r>
        <w:lastRenderedPageBreak/>
        <w:t>Combining both the costs and effectiveness measures presented in Tables 33 and 34 allows the relative cost-effectiveness of the various treatment pathways to be evaluated. This is shown in Table 35.</w:t>
      </w:r>
    </w:p>
    <w:p w:rsidR="00786914" w:rsidRDefault="00786914" w:rsidP="0006743B">
      <w:pPr>
        <w:pStyle w:val="Caption"/>
        <w:keepNext/>
      </w:pPr>
      <w:bookmarkStart w:id="324" w:name="_Toc327803282"/>
      <w:bookmarkStart w:id="325" w:name="_Toc327881572"/>
      <w:r>
        <w:t xml:space="preserve">Table </w:t>
      </w:r>
      <w:fldSimple w:instr=" SEQ Table \* ARABIC ">
        <w:r w:rsidR="00F45C43">
          <w:rPr>
            <w:noProof/>
          </w:rPr>
          <w:t>35</w:t>
        </w:r>
      </w:fldSimple>
      <w:r>
        <w:t>:</w:t>
      </w:r>
      <w:r>
        <w:tab/>
        <w:t>Incremental cost-effectiveness ratio of alternate treatment pathways</w:t>
      </w:r>
      <w:bookmarkEnd w:id="324"/>
      <w:bookmarkEnd w:id="3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515"/>
        <w:gridCol w:w="1119"/>
        <w:gridCol w:w="1410"/>
        <w:gridCol w:w="2065"/>
        <w:gridCol w:w="1934"/>
      </w:tblGrid>
      <w:tr w:rsidR="00786914" w:rsidRPr="00A34C81" w:rsidTr="0006743B">
        <w:trPr>
          <w:trHeight w:val="300"/>
        </w:trPr>
        <w:tc>
          <w:tcPr>
            <w:tcW w:w="649" w:type="pct"/>
            <w:shd w:val="clear" w:color="auto" w:fill="auto"/>
            <w:noWrap/>
            <w:vAlign w:val="bottom"/>
            <w:hideMark/>
          </w:tcPr>
          <w:p w:rsidR="00786914" w:rsidRPr="00A34C81" w:rsidRDefault="00786914" w:rsidP="0006743B">
            <w:pPr>
              <w:pStyle w:val="Tableheading"/>
            </w:pPr>
            <w:r w:rsidRPr="00A34C81">
              <w:t>Strategy</w:t>
            </w:r>
          </w:p>
        </w:tc>
        <w:tc>
          <w:tcPr>
            <w:tcW w:w="820" w:type="pct"/>
            <w:shd w:val="clear" w:color="auto" w:fill="auto"/>
            <w:noWrap/>
            <w:vAlign w:val="bottom"/>
            <w:hideMark/>
          </w:tcPr>
          <w:p w:rsidR="00786914" w:rsidRPr="00A34C81" w:rsidRDefault="00786914" w:rsidP="0006743B">
            <w:pPr>
              <w:pStyle w:val="Tableheading"/>
            </w:pPr>
            <w:r>
              <w:t>Average cost per patient</w:t>
            </w:r>
          </w:p>
        </w:tc>
        <w:tc>
          <w:tcPr>
            <w:tcW w:w="605" w:type="pct"/>
            <w:shd w:val="clear" w:color="auto" w:fill="auto"/>
            <w:noWrap/>
            <w:vAlign w:val="bottom"/>
            <w:hideMark/>
          </w:tcPr>
          <w:p w:rsidR="00786914" w:rsidRPr="00A34C81" w:rsidRDefault="00786914" w:rsidP="0006743B">
            <w:pPr>
              <w:pStyle w:val="Tableheading"/>
            </w:pPr>
            <w:r w:rsidRPr="00A34C81">
              <w:t>Incr</w:t>
            </w:r>
            <w:r w:rsidRPr="000F1D80">
              <w:t>emental</w:t>
            </w:r>
            <w:r w:rsidRPr="00A34C81">
              <w:t xml:space="preserve"> Cost</w:t>
            </w:r>
          </w:p>
        </w:tc>
        <w:tc>
          <w:tcPr>
            <w:tcW w:w="763" w:type="pct"/>
            <w:shd w:val="clear" w:color="auto" w:fill="auto"/>
            <w:noWrap/>
            <w:vAlign w:val="bottom"/>
            <w:hideMark/>
          </w:tcPr>
          <w:p w:rsidR="00786914" w:rsidRPr="00A34C81" w:rsidRDefault="00786914" w:rsidP="0006743B">
            <w:pPr>
              <w:pStyle w:val="Tableheading"/>
            </w:pPr>
            <w:r w:rsidRPr="00A34C81">
              <w:t>Eff</w:t>
            </w:r>
            <w:r w:rsidRPr="000F1D80">
              <w:t>ectiveness (QALYs)</w:t>
            </w:r>
          </w:p>
        </w:tc>
        <w:tc>
          <w:tcPr>
            <w:tcW w:w="1117" w:type="pct"/>
            <w:shd w:val="clear" w:color="auto" w:fill="auto"/>
            <w:noWrap/>
            <w:vAlign w:val="bottom"/>
            <w:hideMark/>
          </w:tcPr>
          <w:p w:rsidR="00786914" w:rsidRPr="00A34C81" w:rsidRDefault="00786914" w:rsidP="0006743B">
            <w:pPr>
              <w:pStyle w:val="Tableheading"/>
            </w:pPr>
            <w:r w:rsidRPr="00A34C81">
              <w:t>Incr</w:t>
            </w:r>
            <w:r w:rsidRPr="000F1D80">
              <w:t>emental</w:t>
            </w:r>
            <w:r>
              <w:t xml:space="preserve"> </w:t>
            </w:r>
            <w:r w:rsidRPr="00A34C81">
              <w:t>Eff</w:t>
            </w:r>
            <w:r w:rsidRPr="000F1D80">
              <w:t>ectiveness (QALYs)</w:t>
            </w:r>
          </w:p>
        </w:tc>
        <w:tc>
          <w:tcPr>
            <w:tcW w:w="1046" w:type="pct"/>
            <w:shd w:val="clear" w:color="auto" w:fill="auto"/>
            <w:noWrap/>
            <w:vAlign w:val="bottom"/>
            <w:hideMark/>
          </w:tcPr>
          <w:p w:rsidR="00786914" w:rsidRPr="00A34C81" w:rsidRDefault="00786914" w:rsidP="0006743B">
            <w:pPr>
              <w:pStyle w:val="Tableheading"/>
            </w:pPr>
            <w:r w:rsidRPr="00A34C81">
              <w:t>Incr</w:t>
            </w:r>
            <w:r w:rsidRPr="000F1D80">
              <w:t>emental</w:t>
            </w:r>
            <w:r w:rsidRPr="00A34C81">
              <w:t xml:space="preserve"> C/E (ICER)</w:t>
            </w:r>
            <w:r w:rsidRPr="000F1D80">
              <w:t xml:space="preserve"> ($/QALY)</w:t>
            </w:r>
          </w:p>
        </w:tc>
      </w:tr>
      <w:tr w:rsidR="00786914" w:rsidRPr="00A34C81" w:rsidTr="0006743B">
        <w:trPr>
          <w:trHeight w:val="300"/>
        </w:trPr>
        <w:tc>
          <w:tcPr>
            <w:tcW w:w="649" w:type="pct"/>
            <w:shd w:val="clear" w:color="auto" w:fill="auto"/>
            <w:noWrap/>
            <w:vAlign w:val="bottom"/>
            <w:hideMark/>
          </w:tcPr>
          <w:p w:rsidR="00786914" w:rsidRPr="00D5219B" w:rsidRDefault="00786914" w:rsidP="0006743B">
            <w:pPr>
              <w:pStyle w:val="TableText"/>
            </w:pPr>
            <w:r w:rsidRPr="00D5219B">
              <w:t>OP</w:t>
            </w:r>
          </w:p>
        </w:tc>
        <w:tc>
          <w:tcPr>
            <w:tcW w:w="820" w:type="pct"/>
            <w:shd w:val="clear" w:color="auto" w:fill="auto"/>
            <w:noWrap/>
            <w:vAlign w:val="bottom"/>
            <w:hideMark/>
          </w:tcPr>
          <w:p w:rsidR="00786914" w:rsidRPr="00D5219B" w:rsidRDefault="00786914" w:rsidP="0006743B">
            <w:pPr>
              <w:pStyle w:val="TableText"/>
            </w:pPr>
            <w:r w:rsidRPr="00D5219B">
              <w:t>$6,760.00</w:t>
            </w:r>
          </w:p>
        </w:tc>
        <w:tc>
          <w:tcPr>
            <w:tcW w:w="605" w:type="pct"/>
            <w:shd w:val="clear" w:color="auto" w:fill="auto"/>
            <w:noWrap/>
            <w:vAlign w:val="bottom"/>
            <w:hideMark/>
          </w:tcPr>
          <w:p w:rsidR="00786914" w:rsidRPr="00D5219B" w:rsidRDefault="00786914" w:rsidP="0006743B">
            <w:pPr>
              <w:pStyle w:val="TableText"/>
            </w:pPr>
            <w:r>
              <w:t>-</w:t>
            </w:r>
          </w:p>
        </w:tc>
        <w:tc>
          <w:tcPr>
            <w:tcW w:w="763" w:type="pct"/>
            <w:shd w:val="clear" w:color="auto" w:fill="auto"/>
            <w:noWrap/>
            <w:vAlign w:val="bottom"/>
            <w:hideMark/>
          </w:tcPr>
          <w:p w:rsidR="00786914" w:rsidRPr="00D5219B" w:rsidRDefault="00786914" w:rsidP="0006743B">
            <w:pPr>
              <w:pStyle w:val="TableText"/>
            </w:pPr>
            <w:r w:rsidRPr="00D5219B">
              <w:t>4.46018</w:t>
            </w:r>
          </w:p>
        </w:tc>
        <w:tc>
          <w:tcPr>
            <w:tcW w:w="1117" w:type="pct"/>
            <w:shd w:val="clear" w:color="auto" w:fill="auto"/>
            <w:noWrap/>
            <w:vAlign w:val="bottom"/>
            <w:hideMark/>
          </w:tcPr>
          <w:p w:rsidR="00786914" w:rsidRPr="00D5219B" w:rsidRDefault="00786914" w:rsidP="0006743B">
            <w:pPr>
              <w:pStyle w:val="TableText"/>
            </w:pPr>
            <w:r>
              <w:t>-</w:t>
            </w:r>
          </w:p>
        </w:tc>
        <w:tc>
          <w:tcPr>
            <w:tcW w:w="1046" w:type="pct"/>
            <w:shd w:val="clear" w:color="auto" w:fill="auto"/>
            <w:noWrap/>
            <w:vAlign w:val="bottom"/>
            <w:hideMark/>
          </w:tcPr>
          <w:p w:rsidR="00786914" w:rsidRPr="00D5219B" w:rsidRDefault="00786914" w:rsidP="0006743B">
            <w:pPr>
              <w:pStyle w:val="TableText"/>
            </w:pPr>
            <w:r w:rsidRPr="00D5219B">
              <w:t>-</w:t>
            </w:r>
          </w:p>
        </w:tc>
      </w:tr>
      <w:tr w:rsidR="00786914" w:rsidRPr="00A34C81" w:rsidTr="0006743B">
        <w:trPr>
          <w:trHeight w:val="300"/>
        </w:trPr>
        <w:tc>
          <w:tcPr>
            <w:tcW w:w="649" w:type="pct"/>
            <w:shd w:val="clear" w:color="auto" w:fill="auto"/>
            <w:noWrap/>
            <w:vAlign w:val="bottom"/>
            <w:hideMark/>
          </w:tcPr>
          <w:p w:rsidR="00786914" w:rsidRPr="00D5219B" w:rsidRDefault="00786914" w:rsidP="0006743B">
            <w:pPr>
              <w:pStyle w:val="TableText"/>
            </w:pPr>
            <w:r w:rsidRPr="00D5219B">
              <w:t>HoLEP then OP</w:t>
            </w:r>
          </w:p>
        </w:tc>
        <w:tc>
          <w:tcPr>
            <w:tcW w:w="820" w:type="pct"/>
            <w:shd w:val="clear" w:color="auto" w:fill="auto"/>
            <w:noWrap/>
            <w:vAlign w:val="bottom"/>
            <w:hideMark/>
          </w:tcPr>
          <w:p w:rsidR="00786914" w:rsidRPr="00D5219B" w:rsidRDefault="00786914" w:rsidP="0006743B">
            <w:pPr>
              <w:pStyle w:val="TableText"/>
            </w:pPr>
            <w:r w:rsidRPr="00D5219B">
              <w:t>$2,945.50</w:t>
            </w:r>
          </w:p>
        </w:tc>
        <w:tc>
          <w:tcPr>
            <w:tcW w:w="605" w:type="pct"/>
            <w:shd w:val="clear" w:color="auto" w:fill="auto"/>
            <w:noWrap/>
            <w:vAlign w:val="bottom"/>
            <w:hideMark/>
          </w:tcPr>
          <w:p w:rsidR="00786914" w:rsidRPr="00D5219B" w:rsidRDefault="00786914" w:rsidP="0006743B">
            <w:pPr>
              <w:pStyle w:val="TableText"/>
            </w:pPr>
            <w:r w:rsidRPr="00D5219B">
              <w:t>-$3,814.50</w:t>
            </w:r>
          </w:p>
        </w:tc>
        <w:tc>
          <w:tcPr>
            <w:tcW w:w="763" w:type="pct"/>
            <w:shd w:val="clear" w:color="auto" w:fill="auto"/>
            <w:noWrap/>
            <w:vAlign w:val="bottom"/>
            <w:hideMark/>
          </w:tcPr>
          <w:p w:rsidR="00786914" w:rsidRPr="00D5219B" w:rsidRDefault="00786914" w:rsidP="0006743B">
            <w:pPr>
              <w:pStyle w:val="TableText"/>
            </w:pPr>
            <w:r w:rsidRPr="00D5219B">
              <w:t>4.46655</w:t>
            </w:r>
          </w:p>
        </w:tc>
        <w:tc>
          <w:tcPr>
            <w:tcW w:w="1117" w:type="pct"/>
            <w:shd w:val="clear" w:color="auto" w:fill="auto"/>
            <w:noWrap/>
            <w:vAlign w:val="bottom"/>
            <w:hideMark/>
          </w:tcPr>
          <w:p w:rsidR="00786914" w:rsidRPr="00D5219B" w:rsidRDefault="00786914" w:rsidP="0006743B">
            <w:pPr>
              <w:pStyle w:val="TableText"/>
            </w:pPr>
            <w:r w:rsidRPr="00D5219B">
              <w:t>0.00637</w:t>
            </w:r>
          </w:p>
        </w:tc>
        <w:tc>
          <w:tcPr>
            <w:tcW w:w="1046" w:type="pct"/>
            <w:shd w:val="clear" w:color="auto" w:fill="auto"/>
            <w:noWrap/>
            <w:vAlign w:val="bottom"/>
            <w:hideMark/>
          </w:tcPr>
          <w:p w:rsidR="00786914" w:rsidRPr="00D5219B" w:rsidRDefault="00786914" w:rsidP="0006743B">
            <w:pPr>
              <w:pStyle w:val="TableText"/>
            </w:pPr>
            <w:r w:rsidRPr="00D5219B">
              <w:t>-598,822.61</w:t>
            </w:r>
          </w:p>
        </w:tc>
      </w:tr>
      <w:tr w:rsidR="00786914" w:rsidRPr="00A34C81" w:rsidTr="0006743B">
        <w:trPr>
          <w:trHeight w:val="300"/>
        </w:trPr>
        <w:tc>
          <w:tcPr>
            <w:tcW w:w="649" w:type="pct"/>
            <w:shd w:val="clear" w:color="auto" w:fill="auto"/>
            <w:noWrap/>
            <w:vAlign w:val="bottom"/>
            <w:hideMark/>
          </w:tcPr>
          <w:p w:rsidR="00786914" w:rsidRPr="00D5219B" w:rsidRDefault="00786914" w:rsidP="0006743B">
            <w:pPr>
              <w:pStyle w:val="TableText"/>
            </w:pPr>
            <w:r w:rsidRPr="00D5219B">
              <w:t>HoLEP then HoLEP</w:t>
            </w:r>
          </w:p>
        </w:tc>
        <w:tc>
          <w:tcPr>
            <w:tcW w:w="820" w:type="pct"/>
            <w:shd w:val="clear" w:color="auto" w:fill="auto"/>
            <w:noWrap/>
            <w:vAlign w:val="bottom"/>
            <w:hideMark/>
          </w:tcPr>
          <w:p w:rsidR="00786914" w:rsidRPr="00D5219B" w:rsidRDefault="00786914" w:rsidP="0006743B">
            <w:pPr>
              <w:pStyle w:val="TableText"/>
            </w:pPr>
            <w:r w:rsidRPr="00D5219B">
              <w:t>$2,905.40</w:t>
            </w:r>
          </w:p>
        </w:tc>
        <w:tc>
          <w:tcPr>
            <w:tcW w:w="605" w:type="pct"/>
            <w:shd w:val="clear" w:color="auto" w:fill="auto"/>
            <w:noWrap/>
            <w:vAlign w:val="bottom"/>
            <w:hideMark/>
          </w:tcPr>
          <w:p w:rsidR="00786914" w:rsidRPr="00D5219B" w:rsidRDefault="00786914" w:rsidP="0006743B">
            <w:pPr>
              <w:pStyle w:val="TableText"/>
            </w:pPr>
            <w:r w:rsidRPr="00D5219B">
              <w:t>-$3,854.60</w:t>
            </w:r>
          </w:p>
        </w:tc>
        <w:tc>
          <w:tcPr>
            <w:tcW w:w="763" w:type="pct"/>
            <w:shd w:val="clear" w:color="auto" w:fill="auto"/>
            <w:noWrap/>
            <w:vAlign w:val="bottom"/>
            <w:hideMark/>
          </w:tcPr>
          <w:p w:rsidR="00786914" w:rsidRPr="00D5219B" w:rsidRDefault="00786914" w:rsidP="0006743B">
            <w:pPr>
              <w:pStyle w:val="TableText"/>
            </w:pPr>
            <w:r w:rsidRPr="00D5219B">
              <w:t>4.46655</w:t>
            </w:r>
          </w:p>
        </w:tc>
        <w:tc>
          <w:tcPr>
            <w:tcW w:w="1117" w:type="pct"/>
            <w:shd w:val="clear" w:color="auto" w:fill="auto"/>
            <w:noWrap/>
            <w:vAlign w:val="bottom"/>
            <w:hideMark/>
          </w:tcPr>
          <w:p w:rsidR="00786914" w:rsidRPr="00D5219B" w:rsidRDefault="00786914" w:rsidP="0006743B">
            <w:pPr>
              <w:pStyle w:val="TableText"/>
            </w:pPr>
            <w:r w:rsidRPr="00D5219B">
              <w:t>0.00636</w:t>
            </w:r>
          </w:p>
        </w:tc>
        <w:tc>
          <w:tcPr>
            <w:tcW w:w="1046" w:type="pct"/>
            <w:shd w:val="clear" w:color="auto" w:fill="auto"/>
            <w:noWrap/>
            <w:vAlign w:val="bottom"/>
            <w:hideMark/>
          </w:tcPr>
          <w:p w:rsidR="00786914" w:rsidRPr="00D5219B" w:rsidRDefault="00786914" w:rsidP="0006743B">
            <w:pPr>
              <w:pStyle w:val="TableText"/>
            </w:pPr>
            <w:r w:rsidRPr="00D5219B">
              <w:t>-605,117.74</w:t>
            </w:r>
          </w:p>
        </w:tc>
      </w:tr>
    </w:tbl>
    <w:p w:rsidR="00786914" w:rsidRDefault="00786914" w:rsidP="0006743B"/>
    <w:p w:rsidR="00786914" w:rsidRDefault="00786914" w:rsidP="0006743B">
      <w:r>
        <w:t>The treatment pathways of HoLEP then HoLEP and HoLEP then OP were both found to dominate that of OP in that they were less costly and more effective. The primary driver of the high ICER figures obtained is that there is only a modest increase in effectiveness in the treatment pathways using HoLEP. From a practical standpoint, these two treatment options may be considered equivalent.</w:t>
      </w:r>
    </w:p>
    <w:p w:rsidR="00786914" w:rsidRDefault="00786914" w:rsidP="0006743B">
      <w:r>
        <w:t>The figures presented above represent the average costs and QALYs associated with the various treatment pathways for BPH modelled. In order to provide a practical context on the impact that the use of different patient treatment pathways has on patient outcomes, Table 36 presents a summary of the patient numbers experiencing key health states in either the HoLEP or OP pathways is provided below. As with the economic evaluation of HoLEP in comparison with TURP above, these numbers were derived using a hypothetical cohort of 25,000 patients with BPH with a starting age of 70 years.</w:t>
      </w:r>
    </w:p>
    <w:p w:rsidR="00786914" w:rsidRDefault="00786914" w:rsidP="0006743B">
      <w:pPr>
        <w:pStyle w:val="Caption"/>
        <w:keepNext/>
      </w:pPr>
      <w:bookmarkStart w:id="326" w:name="_Toc327803283"/>
      <w:bookmarkStart w:id="327" w:name="_Toc327881573"/>
      <w:r>
        <w:t xml:space="preserve">Table </w:t>
      </w:r>
      <w:fldSimple w:instr=" SEQ Table \* ARABIC ">
        <w:r w:rsidR="00F45C43">
          <w:rPr>
            <w:noProof/>
          </w:rPr>
          <w:t>36</w:t>
        </w:r>
      </w:fldSimple>
      <w:r>
        <w:t>:</w:t>
      </w:r>
      <w:r>
        <w:tab/>
        <w:t>Number of patients from a cohort of 25,000 that experience modelled health states comparing the HoLEP then HoLEP and OP treatment pathway options</w:t>
      </w:r>
      <w:bookmarkEnd w:id="326"/>
      <w:bookmarkEnd w:id="327"/>
    </w:p>
    <w:tbl>
      <w:tblPr>
        <w:tblW w:w="5000" w:type="pct"/>
        <w:tblLook w:val="04A0" w:firstRow="1" w:lastRow="0" w:firstColumn="1" w:lastColumn="0" w:noHBand="0" w:noVBand="1"/>
      </w:tblPr>
      <w:tblGrid>
        <w:gridCol w:w="2310"/>
        <w:gridCol w:w="2310"/>
        <w:gridCol w:w="2311"/>
        <w:gridCol w:w="2311"/>
      </w:tblGrid>
      <w:tr w:rsidR="00786914" w:rsidRPr="0008539B" w:rsidTr="0006743B">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t>Health state</w:t>
            </w:r>
          </w:p>
        </w:tc>
        <w:tc>
          <w:tcPr>
            <w:tcW w:w="125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rsidRPr="0008539B">
              <w:t xml:space="preserve">HoLEP </w:t>
            </w:r>
            <w:r>
              <w:t xml:space="preserve">(followed by </w:t>
            </w:r>
            <w:r w:rsidRPr="0008539B">
              <w:t>HoLEP</w:t>
            </w:r>
            <w:r>
              <w:t>)</w:t>
            </w:r>
          </w:p>
        </w:tc>
        <w:tc>
          <w:tcPr>
            <w:tcW w:w="1250" w:type="pct"/>
            <w:tcBorders>
              <w:top w:val="single" w:sz="4" w:space="0" w:color="auto"/>
              <w:left w:val="nil"/>
              <w:bottom w:val="single" w:sz="4" w:space="0" w:color="auto"/>
              <w:right w:val="single" w:sz="4" w:space="0" w:color="auto"/>
            </w:tcBorders>
            <w:shd w:val="clear" w:color="auto" w:fill="FFFFFF" w:themeFill="background1"/>
            <w:vAlign w:val="bottom"/>
          </w:tcPr>
          <w:p w:rsidR="00786914" w:rsidRPr="0008539B" w:rsidRDefault="00786914" w:rsidP="0006743B">
            <w:pPr>
              <w:pStyle w:val="Tableheading"/>
            </w:pPr>
            <w:r>
              <w:t>O</w:t>
            </w:r>
            <w:r w:rsidRPr="0008539B">
              <w:t>P</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08539B" w:rsidRDefault="00786914" w:rsidP="0006743B">
            <w:pPr>
              <w:pStyle w:val="Tableheading"/>
            </w:pPr>
            <w:r>
              <w:t xml:space="preserve">Difference </w:t>
            </w:r>
          </w:p>
        </w:tc>
      </w:tr>
      <w:tr w:rsidR="00786914" w:rsidRPr="0008539B" w:rsidTr="0006743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Adverse events</w:t>
            </w:r>
          </w:p>
        </w:tc>
        <w:tc>
          <w:tcPr>
            <w:tcW w:w="1250"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1,918</w:t>
            </w:r>
          </w:p>
        </w:tc>
        <w:tc>
          <w:tcPr>
            <w:tcW w:w="1250" w:type="pct"/>
            <w:tcBorders>
              <w:top w:val="nil"/>
              <w:left w:val="nil"/>
              <w:bottom w:val="single" w:sz="4" w:space="0" w:color="auto"/>
              <w:right w:val="single" w:sz="4" w:space="0" w:color="auto"/>
            </w:tcBorders>
            <w:vAlign w:val="bottom"/>
          </w:tcPr>
          <w:p w:rsidR="00786914" w:rsidRPr="0008539B" w:rsidRDefault="00786914" w:rsidP="0006743B">
            <w:pPr>
              <w:pStyle w:val="TableText"/>
            </w:pPr>
            <w:r>
              <w:t>4,750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-2,832</w:t>
            </w:r>
          </w:p>
        </w:tc>
      </w:tr>
      <w:tr w:rsidR="00786914" w:rsidRPr="0008539B" w:rsidTr="0006743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Urethral stricture</w:t>
            </w:r>
          </w:p>
        </w:tc>
        <w:tc>
          <w:tcPr>
            <w:tcW w:w="1250"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265</w:t>
            </w:r>
          </w:p>
        </w:tc>
        <w:tc>
          <w:tcPr>
            <w:tcW w:w="1250" w:type="pct"/>
            <w:tcBorders>
              <w:top w:val="nil"/>
              <w:left w:val="nil"/>
              <w:bottom w:val="single" w:sz="4" w:space="0" w:color="auto"/>
              <w:right w:val="single" w:sz="4" w:space="0" w:color="auto"/>
            </w:tcBorders>
            <w:vAlign w:val="bottom"/>
          </w:tcPr>
          <w:p w:rsidR="00786914" w:rsidRPr="0008539B" w:rsidRDefault="00786914" w:rsidP="0006743B">
            <w:pPr>
              <w:pStyle w:val="TableText"/>
            </w:pPr>
            <w:r>
              <w:t>250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15</w:t>
            </w:r>
          </w:p>
        </w:tc>
      </w:tr>
      <w:tr w:rsidR="00786914" w:rsidRPr="0008539B" w:rsidTr="0006743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Long-term incontinence</w:t>
            </w:r>
          </w:p>
        </w:tc>
        <w:tc>
          <w:tcPr>
            <w:tcW w:w="1250"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1,005</w:t>
            </w:r>
          </w:p>
        </w:tc>
        <w:tc>
          <w:tcPr>
            <w:tcW w:w="1250" w:type="pct"/>
            <w:tcBorders>
              <w:top w:val="nil"/>
              <w:left w:val="nil"/>
              <w:bottom w:val="single" w:sz="4" w:space="0" w:color="auto"/>
              <w:right w:val="single" w:sz="4" w:space="0" w:color="auto"/>
            </w:tcBorders>
            <w:vAlign w:val="bottom"/>
          </w:tcPr>
          <w:p w:rsidR="00786914" w:rsidRPr="0008539B" w:rsidRDefault="00786914" w:rsidP="0006743B">
            <w:pPr>
              <w:pStyle w:val="TableText"/>
            </w:pPr>
            <w:r>
              <w:t>1,251</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-246</w:t>
            </w:r>
          </w:p>
        </w:tc>
      </w:tr>
      <w:tr w:rsidR="00786914" w:rsidRPr="0008539B" w:rsidTr="0006743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Repeat procedures</w:t>
            </w:r>
          </w:p>
        </w:tc>
        <w:tc>
          <w:tcPr>
            <w:tcW w:w="1250"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309</w:t>
            </w:r>
          </w:p>
        </w:tc>
        <w:tc>
          <w:tcPr>
            <w:tcW w:w="1250" w:type="pct"/>
            <w:tcBorders>
              <w:top w:val="nil"/>
              <w:left w:val="nil"/>
              <w:bottom w:val="single" w:sz="4" w:space="0" w:color="auto"/>
              <w:right w:val="single" w:sz="4" w:space="0" w:color="auto"/>
            </w:tcBorders>
            <w:vAlign w:val="bottom"/>
          </w:tcPr>
          <w:p w:rsidR="00786914" w:rsidRPr="0008539B" w:rsidRDefault="00786914" w:rsidP="0006743B">
            <w:pPr>
              <w:pStyle w:val="TableText"/>
            </w:pPr>
            <w:r>
              <w:t>0</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309</w:t>
            </w:r>
          </w:p>
        </w:tc>
      </w:tr>
      <w:tr w:rsidR="00786914" w:rsidRPr="0008539B" w:rsidTr="0006743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rsidRPr="0008539B">
              <w:t>Patients successfully treated</w:t>
            </w:r>
          </w:p>
        </w:tc>
        <w:tc>
          <w:tcPr>
            <w:tcW w:w="1250" w:type="pct"/>
            <w:tcBorders>
              <w:top w:val="nil"/>
              <w:left w:val="nil"/>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22,630</w:t>
            </w:r>
          </w:p>
        </w:tc>
        <w:tc>
          <w:tcPr>
            <w:tcW w:w="1250" w:type="pct"/>
            <w:tcBorders>
              <w:top w:val="nil"/>
              <w:left w:val="nil"/>
              <w:bottom w:val="single" w:sz="4" w:space="0" w:color="auto"/>
              <w:right w:val="single" w:sz="4" w:space="0" w:color="auto"/>
            </w:tcBorders>
            <w:vAlign w:val="bottom"/>
          </w:tcPr>
          <w:p w:rsidR="00786914" w:rsidRPr="0008539B" w:rsidRDefault="00786914" w:rsidP="0006743B">
            <w:pPr>
              <w:pStyle w:val="TableText"/>
            </w:pPr>
            <w:r>
              <w:t>22,666</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914" w:rsidRPr="0008539B" w:rsidRDefault="00786914" w:rsidP="0006743B">
            <w:pPr>
              <w:pStyle w:val="TableText"/>
            </w:pPr>
            <w:r>
              <w:t>-36</w:t>
            </w:r>
          </w:p>
        </w:tc>
      </w:tr>
    </w:tbl>
    <w:p w:rsidR="00786914" w:rsidRDefault="00786914" w:rsidP="0006743B"/>
    <w:p w:rsidR="00786914" w:rsidRDefault="00786914" w:rsidP="0006743B">
      <w:r>
        <w:t>A single patient may experience more than one of the health states listed in Table 36 above throughout the five year time frame of the model (e.g. experience an adverse event but end up being successfully treated), thus the sum of the numbers of health states listed above can exceed 25,000.</w:t>
      </w:r>
    </w:p>
    <w:p w:rsidR="00786914" w:rsidRDefault="00786914" w:rsidP="0006743B">
      <w:r>
        <w:t>The figures presented in Tables 36 show that treatment with HoLEP (then HoLEP) is associated with fewer patients experiencing an adverse event associated with treatment, or suffering from long-term incontinence. As treatment failure was not an option following OP, both treatment pathways with this option resulted in more patients being successfully treated.</w:t>
      </w:r>
    </w:p>
    <w:p w:rsidR="00FF41C8" w:rsidRDefault="00FF41C8" w:rsidP="0006743B">
      <w:pPr>
        <w:pStyle w:val="Normalbold"/>
      </w:pPr>
      <w:bookmarkStart w:id="328" w:name="_Toc327877908"/>
    </w:p>
    <w:p w:rsidR="00786914" w:rsidRDefault="00786914" w:rsidP="0006743B">
      <w:pPr>
        <w:pStyle w:val="Normalbold"/>
      </w:pPr>
      <w:r>
        <w:lastRenderedPageBreak/>
        <w:t>HoLEP in comparison with OP – sensitivity analysis</w:t>
      </w:r>
      <w:bookmarkEnd w:id="328"/>
    </w:p>
    <w:p w:rsidR="00786914" w:rsidRDefault="00786914" w:rsidP="0006743B">
      <w:r>
        <w:t>As both the accuracy and transferability of the results presented above are dependent on the accuracy of the data inputs and assumptions used in the model, a series of uni-variate and multi-variate sensitivity analyses were performed to assess the confidence that can be placed in the base case findings presented above.</w:t>
      </w:r>
    </w:p>
    <w:p w:rsidR="00786914" w:rsidRDefault="00786914" w:rsidP="0006743B">
      <w:pPr>
        <w:pStyle w:val="Normalbold"/>
      </w:pPr>
      <w:bookmarkStart w:id="329" w:name="_Toc327877909"/>
      <w:r w:rsidRPr="0033170A">
        <w:t>Testing a range of MBS fees for HoLEP</w:t>
      </w:r>
      <w:bookmarkEnd w:id="329"/>
    </w:p>
    <w:p w:rsidR="00786914" w:rsidRDefault="00786914" w:rsidP="0006743B">
      <w:r>
        <w:t>A key assumption of the model was that the average LOS for HoLEP and OP was two and five days respectively. A cost for HoLEP treatment with a three day LOS was derived. This cost was $3,391.64 compared with a corresponding cost for OP of $6,761.00. Table 37 shows the ICERs for each treatment pathway calculated with this increased cost for HoLEP.</w:t>
      </w:r>
    </w:p>
    <w:p w:rsidR="00786914" w:rsidRDefault="00786914" w:rsidP="0006743B">
      <w:pPr>
        <w:pStyle w:val="Caption"/>
        <w:keepNext/>
      </w:pPr>
      <w:bookmarkStart w:id="330" w:name="_Toc327803284"/>
      <w:bookmarkStart w:id="331" w:name="_Toc327881574"/>
      <w:r>
        <w:t xml:space="preserve">Table </w:t>
      </w:r>
      <w:fldSimple w:instr=" SEQ Table \* ARABIC ">
        <w:r w:rsidR="00F45C43">
          <w:rPr>
            <w:noProof/>
          </w:rPr>
          <w:t>37</w:t>
        </w:r>
      </w:fldSimple>
      <w:r>
        <w:t>:</w:t>
      </w:r>
      <w:r>
        <w:tab/>
        <w:t>ICER of three day HoLEP length of stay in comparison to OP</w:t>
      </w:r>
      <w:bookmarkEnd w:id="330"/>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02"/>
        <w:gridCol w:w="2327"/>
        <w:gridCol w:w="1306"/>
        <w:gridCol w:w="1306"/>
        <w:gridCol w:w="1786"/>
      </w:tblGrid>
      <w:tr w:rsidR="00786914" w:rsidRPr="00A34C81" w:rsidTr="0006743B">
        <w:trPr>
          <w:trHeight w:val="300"/>
        </w:trPr>
        <w:tc>
          <w:tcPr>
            <w:tcW w:w="603" w:type="pct"/>
            <w:shd w:val="clear" w:color="auto" w:fill="auto"/>
            <w:noWrap/>
            <w:hideMark/>
          </w:tcPr>
          <w:p w:rsidR="00786914" w:rsidRPr="00A34C81" w:rsidRDefault="00786914" w:rsidP="0006743B">
            <w:pPr>
              <w:pStyle w:val="Tableheading"/>
            </w:pPr>
            <w:r w:rsidRPr="00A34C81">
              <w:t>Strategy</w:t>
            </w:r>
          </w:p>
        </w:tc>
        <w:tc>
          <w:tcPr>
            <w:tcW w:w="758" w:type="pct"/>
            <w:shd w:val="clear" w:color="auto" w:fill="auto"/>
            <w:noWrap/>
            <w:hideMark/>
          </w:tcPr>
          <w:p w:rsidR="00786914" w:rsidRPr="00A34C81" w:rsidRDefault="00786914" w:rsidP="0006743B">
            <w:pPr>
              <w:pStyle w:val="Tableheading"/>
            </w:pPr>
            <w:r>
              <w:t>Average cost per patient</w:t>
            </w:r>
          </w:p>
        </w:tc>
        <w:tc>
          <w:tcPr>
            <w:tcW w:w="1259"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Cost</w:t>
            </w:r>
            <w:r>
              <w:t xml:space="preserve"> (from HoLEP then HoLEP)</w:t>
            </w:r>
          </w:p>
        </w:tc>
        <w:tc>
          <w:tcPr>
            <w:tcW w:w="707" w:type="pct"/>
            <w:shd w:val="clear" w:color="auto" w:fill="auto"/>
            <w:noWrap/>
            <w:hideMark/>
          </w:tcPr>
          <w:p w:rsidR="00786914" w:rsidRPr="00A34C81" w:rsidRDefault="00786914" w:rsidP="0006743B">
            <w:pPr>
              <w:pStyle w:val="Tableheading"/>
            </w:pPr>
            <w:r w:rsidRPr="00A34C81">
              <w:t>Eff</w:t>
            </w:r>
            <w:r w:rsidRPr="000F1D80">
              <w:t>ectiveness (QALYs)</w:t>
            </w:r>
          </w:p>
        </w:tc>
        <w:tc>
          <w:tcPr>
            <w:tcW w:w="707" w:type="pct"/>
            <w:shd w:val="clear" w:color="auto" w:fill="auto"/>
            <w:noWrap/>
            <w:hideMark/>
          </w:tcPr>
          <w:p w:rsidR="00786914" w:rsidRDefault="00786914" w:rsidP="0006743B">
            <w:pPr>
              <w:pStyle w:val="Tableheading"/>
            </w:pPr>
            <w:r w:rsidRPr="00A34C81">
              <w:t>Incr</w:t>
            </w:r>
            <w:r w:rsidRPr="000F1D80">
              <w:t>emental</w:t>
            </w:r>
          </w:p>
          <w:p w:rsidR="00786914" w:rsidRPr="00A34C81" w:rsidRDefault="00786914" w:rsidP="0006743B">
            <w:pPr>
              <w:pStyle w:val="Tableheading"/>
            </w:pPr>
            <w:r w:rsidRPr="00A34C81">
              <w:t>Eff</w:t>
            </w:r>
            <w:r w:rsidRPr="000F1D80">
              <w:t>ectiveness (QALYs)</w:t>
            </w:r>
          </w:p>
        </w:tc>
        <w:tc>
          <w:tcPr>
            <w:tcW w:w="966" w:type="pct"/>
            <w:shd w:val="clear" w:color="auto" w:fill="auto"/>
            <w:noWrap/>
            <w:hideMark/>
          </w:tcPr>
          <w:p w:rsidR="00786914" w:rsidRPr="00A34C81" w:rsidRDefault="00786914" w:rsidP="0006743B">
            <w:pPr>
              <w:pStyle w:val="Tableheading"/>
            </w:pPr>
            <w:r w:rsidRPr="00A34C81">
              <w:t>Incr</w:t>
            </w:r>
            <w:r w:rsidRPr="000F1D80">
              <w:t>emental</w:t>
            </w:r>
            <w:r w:rsidRPr="00A34C81">
              <w:t xml:space="preserve"> C/E (ICER)</w:t>
            </w:r>
            <w:r w:rsidRPr="000F1D80">
              <w:t xml:space="preserve"> ($/QALY)</w:t>
            </w:r>
          </w:p>
        </w:tc>
      </w:tr>
      <w:tr w:rsidR="00786914" w:rsidRPr="00A34C81" w:rsidTr="0006743B">
        <w:trPr>
          <w:trHeight w:val="300"/>
        </w:trPr>
        <w:tc>
          <w:tcPr>
            <w:tcW w:w="603" w:type="pct"/>
            <w:shd w:val="clear" w:color="auto" w:fill="auto"/>
            <w:noWrap/>
            <w:vAlign w:val="bottom"/>
            <w:hideMark/>
          </w:tcPr>
          <w:p w:rsidR="00786914" w:rsidRPr="00995E3C" w:rsidRDefault="00786914" w:rsidP="0006743B">
            <w:pPr>
              <w:pStyle w:val="TableText"/>
            </w:pPr>
            <w:r w:rsidRPr="00995E3C">
              <w:t>OP</w:t>
            </w:r>
          </w:p>
        </w:tc>
        <w:tc>
          <w:tcPr>
            <w:tcW w:w="758" w:type="pct"/>
            <w:shd w:val="clear" w:color="auto" w:fill="auto"/>
            <w:noWrap/>
            <w:vAlign w:val="bottom"/>
            <w:hideMark/>
          </w:tcPr>
          <w:p w:rsidR="00786914" w:rsidRPr="00995E3C" w:rsidRDefault="00786914" w:rsidP="0006743B">
            <w:pPr>
              <w:pStyle w:val="TableText"/>
            </w:pPr>
            <w:r w:rsidRPr="00995E3C">
              <w:t>$6,760.00</w:t>
            </w:r>
          </w:p>
        </w:tc>
        <w:tc>
          <w:tcPr>
            <w:tcW w:w="1259" w:type="pct"/>
            <w:shd w:val="clear" w:color="auto" w:fill="auto"/>
            <w:noWrap/>
            <w:vAlign w:val="bottom"/>
            <w:hideMark/>
          </w:tcPr>
          <w:p w:rsidR="00786914" w:rsidRPr="00995E3C" w:rsidRDefault="00786914" w:rsidP="0006743B">
            <w:pPr>
              <w:pStyle w:val="TableText"/>
            </w:pPr>
            <w:r>
              <w:t>-</w:t>
            </w:r>
          </w:p>
        </w:tc>
        <w:tc>
          <w:tcPr>
            <w:tcW w:w="707" w:type="pct"/>
            <w:shd w:val="clear" w:color="auto" w:fill="auto"/>
            <w:noWrap/>
            <w:vAlign w:val="bottom"/>
            <w:hideMark/>
          </w:tcPr>
          <w:p w:rsidR="00786914" w:rsidRPr="00995E3C" w:rsidRDefault="00786914" w:rsidP="0006743B">
            <w:pPr>
              <w:pStyle w:val="TableText"/>
            </w:pPr>
            <w:r w:rsidRPr="00995E3C">
              <w:t>4.46018</w:t>
            </w:r>
          </w:p>
        </w:tc>
        <w:tc>
          <w:tcPr>
            <w:tcW w:w="707" w:type="pct"/>
            <w:shd w:val="clear" w:color="auto" w:fill="auto"/>
            <w:noWrap/>
            <w:vAlign w:val="bottom"/>
            <w:hideMark/>
          </w:tcPr>
          <w:p w:rsidR="00786914" w:rsidRPr="00995E3C" w:rsidRDefault="00786914" w:rsidP="0006743B">
            <w:pPr>
              <w:pStyle w:val="TableText"/>
            </w:pPr>
            <w:r>
              <w:t>-</w:t>
            </w:r>
          </w:p>
        </w:tc>
        <w:tc>
          <w:tcPr>
            <w:tcW w:w="966" w:type="pct"/>
            <w:shd w:val="clear" w:color="auto" w:fill="auto"/>
            <w:noWrap/>
            <w:vAlign w:val="bottom"/>
            <w:hideMark/>
          </w:tcPr>
          <w:p w:rsidR="00786914" w:rsidRPr="00995E3C" w:rsidRDefault="00786914" w:rsidP="0006743B">
            <w:pPr>
              <w:pStyle w:val="TableText"/>
            </w:pPr>
            <w:r w:rsidRPr="00995E3C">
              <w:t>-</w:t>
            </w:r>
          </w:p>
        </w:tc>
      </w:tr>
      <w:tr w:rsidR="00786914" w:rsidRPr="00A34C81" w:rsidTr="0006743B">
        <w:trPr>
          <w:trHeight w:val="300"/>
        </w:trPr>
        <w:tc>
          <w:tcPr>
            <w:tcW w:w="603" w:type="pct"/>
            <w:shd w:val="clear" w:color="auto" w:fill="auto"/>
            <w:noWrap/>
            <w:vAlign w:val="bottom"/>
            <w:hideMark/>
          </w:tcPr>
          <w:p w:rsidR="00786914" w:rsidRPr="00995E3C" w:rsidRDefault="00786914" w:rsidP="0006743B">
            <w:pPr>
              <w:pStyle w:val="TableText"/>
            </w:pPr>
            <w:r w:rsidRPr="00995E3C">
              <w:t>HoLEP then OP</w:t>
            </w:r>
          </w:p>
        </w:tc>
        <w:tc>
          <w:tcPr>
            <w:tcW w:w="758" w:type="pct"/>
            <w:shd w:val="clear" w:color="auto" w:fill="auto"/>
            <w:noWrap/>
            <w:vAlign w:val="bottom"/>
            <w:hideMark/>
          </w:tcPr>
          <w:p w:rsidR="00786914" w:rsidRPr="00995E3C" w:rsidRDefault="00786914" w:rsidP="0006743B">
            <w:pPr>
              <w:pStyle w:val="TableText"/>
            </w:pPr>
            <w:r w:rsidRPr="00995E3C">
              <w:t>$3,720.20</w:t>
            </w:r>
          </w:p>
        </w:tc>
        <w:tc>
          <w:tcPr>
            <w:tcW w:w="1259" w:type="pct"/>
            <w:shd w:val="clear" w:color="auto" w:fill="auto"/>
            <w:noWrap/>
            <w:vAlign w:val="bottom"/>
            <w:hideMark/>
          </w:tcPr>
          <w:p w:rsidR="00786914" w:rsidRPr="00995E3C" w:rsidRDefault="00786914" w:rsidP="0006743B">
            <w:pPr>
              <w:pStyle w:val="TableText"/>
            </w:pPr>
            <w:r w:rsidRPr="00995E3C">
              <w:t>-$3,039.70</w:t>
            </w:r>
          </w:p>
        </w:tc>
        <w:tc>
          <w:tcPr>
            <w:tcW w:w="707" w:type="pct"/>
            <w:shd w:val="clear" w:color="auto" w:fill="auto"/>
            <w:noWrap/>
            <w:vAlign w:val="bottom"/>
            <w:hideMark/>
          </w:tcPr>
          <w:p w:rsidR="00786914" w:rsidRPr="00995E3C" w:rsidRDefault="00786914" w:rsidP="0006743B">
            <w:pPr>
              <w:pStyle w:val="TableText"/>
            </w:pPr>
            <w:r w:rsidRPr="00995E3C">
              <w:t>4.46655</w:t>
            </w:r>
          </w:p>
        </w:tc>
        <w:tc>
          <w:tcPr>
            <w:tcW w:w="707" w:type="pct"/>
            <w:shd w:val="clear" w:color="auto" w:fill="auto"/>
            <w:noWrap/>
            <w:vAlign w:val="bottom"/>
            <w:hideMark/>
          </w:tcPr>
          <w:p w:rsidR="00786914" w:rsidRPr="00995E3C" w:rsidRDefault="00786914" w:rsidP="0006743B">
            <w:pPr>
              <w:pStyle w:val="TableText"/>
            </w:pPr>
            <w:r w:rsidRPr="00995E3C">
              <w:t>0.00637</w:t>
            </w:r>
          </w:p>
        </w:tc>
        <w:tc>
          <w:tcPr>
            <w:tcW w:w="966" w:type="pct"/>
            <w:shd w:val="clear" w:color="auto" w:fill="auto"/>
            <w:noWrap/>
            <w:vAlign w:val="bottom"/>
            <w:hideMark/>
          </w:tcPr>
          <w:p w:rsidR="00786914" w:rsidRPr="00995E3C" w:rsidRDefault="00786914" w:rsidP="0006743B">
            <w:pPr>
              <w:pStyle w:val="TableText"/>
            </w:pPr>
            <w:r w:rsidRPr="00995E3C">
              <w:t>-477,205.65</w:t>
            </w:r>
          </w:p>
        </w:tc>
      </w:tr>
      <w:tr w:rsidR="00786914" w:rsidRPr="00A34C81" w:rsidTr="0006743B">
        <w:trPr>
          <w:trHeight w:val="300"/>
        </w:trPr>
        <w:tc>
          <w:tcPr>
            <w:tcW w:w="603" w:type="pct"/>
            <w:shd w:val="clear" w:color="auto" w:fill="auto"/>
            <w:noWrap/>
            <w:vAlign w:val="bottom"/>
            <w:hideMark/>
          </w:tcPr>
          <w:p w:rsidR="00786914" w:rsidRPr="00995E3C" w:rsidRDefault="00786914" w:rsidP="0006743B">
            <w:pPr>
              <w:pStyle w:val="TableText"/>
            </w:pPr>
            <w:r w:rsidRPr="00995E3C">
              <w:t>HoLEP then HoLEP</w:t>
            </w:r>
          </w:p>
        </w:tc>
        <w:tc>
          <w:tcPr>
            <w:tcW w:w="758" w:type="pct"/>
            <w:shd w:val="clear" w:color="auto" w:fill="auto"/>
            <w:noWrap/>
            <w:vAlign w:val="bottom"/>
            <w:hideMark/>
          </w:tcPr>
          <w:p w:rsidR="00786914" w:rsidRPr="00995E3C" w:rsidRDefault="00786914" w:rsidP="0006743B">
            <w:pPr>
              <w:pStyle w:val="TableText"/>
            </w:pPr>
            <w:r w:rsidRPr="00995E3C">
              <w:t>$3,688.20</w:t>
            </w:r>
          </w:p>
        </w:tc>
        <w:tc>
          <w:tcPr>
            <w:tcW w:w="1259" w:type="pct"/>
            <w:shd w:val="clear" w:color="auto" w:fill="auto"/>
            <w:noWrap/>
            <w:vAlign w:val="bottom"/>
            <w:hideMark/>
          </w:tcPr>
          <w:p w:rsidR="00786914" w:rsidRPr="00995E3C" w:rsidRDefault="00786914" w:rsidP="0006743B">
            <w:pPr>
              <w:pStyle w:val="TableText"/>
            </w:pPr>
            <w:r w:rsidRPr="00995E3C">
              <w:t>-$3,071.70</w:t>
            </w:r>
          </w:p>
        </w:tc>
        <w:tc>
          <w:tcPr>
            <w:tcW w:w="707" w:type="pct"/>
            <w:shd w:val="clear" w:color="auto" w:fill="auto"/>
            <w:noWrap/>
            <w:vAlign w:val="bottom"/>
            <w:hideMark/>
          </w:tcPr>
          <w:p w:rsidR="00786914" w:rsidRPr="00995E3C" w:rsidRDefault="00786914" w:rsidP="0006743B">
            <w:pPr>
              <w:pStyle w:val="TableText"/>
            </w:pPr>
            <w:r w:rsidRPr="00995E3C">
              <w:t>4.46655</w:t>
            </w:r>
          </w:p>
        </w:tc>
        <w:tc>
          <w:tcPr>
            <w:tcW w:w="707" w:type="pct"/>
            <w:shd w:val="clear" w:color="auto" w:fill="auto"/>
            <w:noWrap/>
            <w:vAlign w:val="bottom"/>
            <w:hideMark/>
          </w:tcPr>
          <w:p w:rsidR="00786914" w:rsidRPr="00995E3C" w:rsidRDefault="00786914" w:rsidP="0006743B">
            <w:pPr>
              <w:pStyle w:val="TableText"/>
            </w:pPr>
            <w:r w:rsidRPr="00995E3C">
              <w:t>0.00636</w:t>
            </w:r>
          </w:p>
        </w:tc>
        <w:tc>
          <w:tcPr>
            <w:tcW w:w="966" w:type="pct"/>
            <w:shd w:val="clear" w:color="auto" w:fill="auto"/>
            <w:noWrap/>
            <w:vAlign w:val="bottom"/>
            <w:hideMark/>
          </w:tcPr>
          <w:p w:rsidR="00786914" w:rsidRPr="00995E3C" w:rsidRDefault="00786914" w:rsidP="0006743B">
            <w:pPr>
              <w:pStyle w:val="TableText"/>
            </w:pPr>
            <w:r w:rsidRPr="00995E3C">
              <w:t>-482,229.20</w:t>
            </w:r>
          </w:p>
        </w:tc>
      </w:tr>
    </w:tbl>
    <w:p w:rsidR="00786914" w:rsidRDefault="00786914" w:rsidP="0006743B"/>
    <w:p w:rsidR="00786914" w:rsidRDefault="00786914" w:rsidP="0006743B">
      <w:r>
        <w:t>Results presented in Table 37 show that even with an increased cost of HoLEP to account for an additional length of stay in hospital of one day that the average per-patient treatment cost of the treatment option of HoLEP remained less than either pathway with OP and that strategies employing HoLEP were dominant over OP.</w:t>
      </w:r>
    </w:p>
    <w:p w:rsidR="00786914" w:rsidRDefault="00786914" w:rsidP="0006743B">
      <w:r>
        <w:t xml:space="preserve">A sensitivity analysis testing a range of MBS fees for HoLEP excluding the tissue morcellation and/or </w:t>
      </w:r>
      <w:r w:rsidR="009B190E">
        <w:t>premium</w:t>
      </w:r>
      <w:r>
        <w:t xml:space="preserve"> component was performed for OP in the same fashion as TURP (Table 38).</w:t>
      </w:r>
    </w:p>
    <w:p w:rsidR="00786914" w:rsidRDefault="00786914" w:rsidP="0006743B">
      <w:pPr>
        <w:pStyle w:val="Caption"/>
        <w:keepNext/>
      </w:pPr>
      <w:bookmarkStart w:id="332" w:name="_Toc327803285"/>
      <w:bookmarkStart w:id="333" w:name="_Toc327881575"/>
      <w:r>
        <w:t xml:space="preserve">Table </w:t>
      </w:r>
      <w:fldSimple w:instr=" SEQ Table \* ARABIC ">
        <w:r w:rsidR="00F45C43">
          <w:rPr>
            <w:noProof/>
          </w:rPr>
          <w:t>38</w:t>
        </w:r>
      </w:fldSimple>
      <w:r>
        <w:t>:</w:t>
      </w:r>
      <w:r>
        <w:tab/>
        <w:t>Impact of different MBS fees on the average treatment cost and cost-effectiveness of HoLEP treatment</w:t>
      </w:r>
      <w:bookmarkEnd w:id="332"/>
      <w:bookmarkEnd w:id="333"/>
    </w:p>
    <w:tbl>
      <w:tblPr>
        <w:tblW w:w="5000" w:type="pct"/>
        <w:tblLook w:val="04A0" w:firstRow="1" w:lastRow="0" w:firstColumn="1" w:lastColumn="0" w:noHBand="0" w:noVBand="1"/>
      </w:tblPr>
      <w:tblGrid>
        <w:gridCol w:w="3678"/>
        <w:gridCol w:w="1392"/>
        <w:gridCol w:w="1392"/>
        <w:gridCol w:w="1392"/>
        <w:gridCol w:w="1388"/>
      </w:tblGrid>
      <w:tr w:rsidR="00786914" w:rsidRPr="00A34C81" w:rsidTr="0006743B">
        <w:trPr>
          <w:trHeight w:val="300"/>
        </w:trPr>
        <w:tc>
          <w:tcPr>
            <w:tcW w:w="19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97779C">
              <w:t>Procedural costs</w:t>
            </w:r>
          </w:p>
        </w:tc>
        <w:tc>
          <w:tcPr>
            <w:tcW w:w="75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2D1D76">
              <w:t>MBS f</w:t>
            </w:r>
            <w:r w:rsidRPr="0097779C">
              <w:t>ee (100%)</w:t>
            </w:r>
          </w:p>
        </w:tc>
        <w:tc>
          <w:tcPr>
            <w:tcW w:w="75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86914" w:rsidRPr="0097779C" w:rsidRDefault="00786914" w:rsidP="0006743B">
            <w:pPr>
              <w:pStyle w:val="Tableheading"/>
            </w:pPr>
            <w:r w:rsidRPr="002D1D76">
              <w:t>MBS f</w:t>
            </w:r>
            <w:r w:rsidRPr="0097779C">
              <w:t>ee (75%)</w:t>
            </w:r>
          </w:p>
        </w:tc>
        <w:tc>
          <w:tcPr>
            <w:tcW w:w="753" w:type="pct"/>
            <w:tcBorders>
              <w:top w:val="single" w:sz="4" w:space="0" w:color="auto"/>
              <w:left w:val="nil"/>
              <w:bottom w:val="single" w:sz="4" w:space="0" w:color="auto"/>
              <w:right w:val="single" w:sz="4" w:space="0" w:color="auto"/>
            </w:tcBorders>
            <w:shd w:val="clear" w:color="auto" w:fill="FFFFFF" w:themeFill="background1"/>
            <w:vAlign w:val="bottom"/>
          </w:tcPr>
          <w:p w:rsidR="00786914" w:rsidRPr="002D1D76" w:rsidRDefault="00786914" w:rsidP="0006743B">
            <w:pPr>
              <w:pStyle w:val="Tableheading"/>
            </w:pPr>
            <w:r>
              <w:t>Average cost per patient</w:t>
            </w:r>
          </w:p>
        </w:tc>
        <w:tc>
          <w:tcPr>
            <w:tcW w:w="751" w:type="pct"/>
            <w:tcBorders>
              <w:top w:val="single" w:sz="4" w:space="0" w:color="auto"/>
              <w:left w:val="nil"/>
              <w:bottom w:val="single" w:sz="4" w:space="0" w:color="auto"/>
              <w:right w:val="single" w:sz="4" w:space="0" w:color="auto"/>
            </w:tcBorders>
            <w:shd w:val="clear" w:color="auto" w:fill="FFFFFF" w:themeFill="background1"/>
            <w:vAlign w:val="bottom"/>
          </w:tcPr>
          <w:p w:rsidR="00786914" w:rsidRPr="002D1D76" w:rsidRDefault="00786914" w:rsidP="0006743B">
            <w:pPr>
              <w:pStyle w:val="Tableheading"/>
            </w:pPr>
            <w:r w:rsidRPr="00995E3C">
              <w:t>ICER ($/QALY) compared to OP</w:t>
            </w:r>
          </w:p>
        </w:tc>
      </w:tr>
      <w:tr w:rsidR="00786914"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(with morcellation</w:t>
            </w:r>
            <w:r>
              <w:t xml:space="preserve"> and 20% </w:t>
            </w:r>
            <w:r w:rsidR="009B190E">
              <w:t>premium</w:t>
            </w:r>
            <w:r w:rsidRPr="0097779C">
              <w:t>)</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$1,423.18</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$1,067.39</w:t>
            </w:r>
          </w:p>
        </w:tc>
        <w:tc>
          <w:tcPr>
            <w:tcW w:w="753" w:type="pct"/>
            <w:tcBorders>
              <w:top w:val="nil"/>
              <w:left w:val="nil"/>
              <w:bottom w:val="single" w:sz="4" w:space="0" w:color="auto"/>
              <w:right w:val="single" w:sz="4" w:space="0" w:color="auto"/>
            </w:tcBorders>
            <w:vAlign w:val="bottom"/>
          </w:tcPr>
          <w:p w:rsidR="00786914" w:rsidRPr="0097779C" w:rsidRDefault="00786914" w:rsidP="0006743B">
            <w:pPr>
              <w:pStyle w:val="TableText"/>
            </w:pPr>
            <w:r>
              <w:t>$2,905.40</w:t>
            </w:r>
          </w:p>
        </w:tc>
        <w:tc>
          <w:tcPr>
            <w:tcW w:w="751" w:type="pct"/>
            <w:tcBorders>
              <w:top w:val="nil"/>
              <w:left w:val="nil"/>
              <w:bottom w:val="single" w:sz="4" w:space="0" w:color="auto"/>
              <w:right w:val="single" w:sz="4" w:space="0" w:color="auto"/>
            </w:tcBorders>
            <w:vAlign w:val="bottom"/>
          </w:tcPr>
          <w:p w:rsidR="00786914" w:rsidRPr="0097779C" w:rsidRDefault="00786914" w:rsidP="0006743B">
            <w:pPr>
              <w:pStyle w:val="TableText"/>
            </w:pPr>
            <w:r>
              <w:t>-605,117.74</w:t>
            </w:r>
          </w:p>
        </w:tc>
      </w:tr>
      <w:tr w:rsidR="00786914"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(with morcellation</w:t>
            </w:r>
            <w:r>
              <w:t xml:space="preserve"> </w:t>
            </w:r>
            <w:r w:rsidRPr="0097779C">
              <w:t xml:space="preserve">less 20% </w:t>
            </w:r>
            <w:r w:rsidR="009B190E">
              <w:t>premium</w:t>
            </w:r>
            <w:r>
              <w:t>)</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w:t>
            </w:r>
            <w:r>
              <w:t>222.70</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t>$917.03</w:t>
            </w:r>
          </w:p>
        </w:tc>
        <w:tc>
          <w:tcPr>
            <w:tcW w:w="753" w:type="pct"/>
            <w:tcBorders>
              <w:top w:val="nil"/>
              <w:left w:val="nil"/>
              <w:bottom w:val="single" w:sz="4" w:space="0" w:color="auto"/>
              <w:right w:val="single" w:sz="4" w:space="0" w:color="auto"/>
            </w:tcBorders>
            <w:vAlign w:val="bottom"/>
          </w:tcPr>
          <w:p w:rsidR="00786914" w:rsidRPr="0097779C" w:rsidRDefault="00786914" w:rsidP="0006743B">
            <w:pPr>
              <w:pStyle w:val="TableText"/>
            </w:pPr>
            <w:r>
              <w:t>$2,753.50</w:t>
            </w:r>
          </w:p>
        </w:tc>
        <w:tc>
          <w:tcPr>
            <w:tcW w:w="751" w:type="pct"/>
            <w:tcBorders>
              <w:top w:val="nil"/>
              <w:left w:val="nil"/>
              <w:bottom w:val="single" w:sz="4" w:space="0" w:color="auto"/>
              <w:right w:val="single" w:sz="4" w:space="0" w:color="auto"/>
            </w:tcBorders>
            <w:vAlign w:val="bottom"/>
          </w:tcPr>
          <w:p w:rsidR="00786914" w:rsidRPr="0097779C" w:rsidRDefault="00786914" w:rsidP="0006743B">
            <w:pPr>
              <w:pStyle w:val="TableText"/>
            </w:pPr>
            <w:r>
              <w:t>-629,434.85</w:t>
            </w:r>
          </w:p>
        </w:tc>
      </w:tr>
      <w:tr w:rsidR="00786914"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HoLEP (excluding morcellation)</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$1,203.18</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$902.39</w:t>
            </w:r>
          </w:p>
        </w:tc>
        <w:tc>
          <w:tcPr>
            <w:tcW w:w="753" w:type="pct"/>
            <w:tcBorders>
              <w:top w:val="nil"/>
              <w:left w:val="nil"/>
              <w:bottom w:val="single" w:sz="4" w:space="0" w:color="auto"/>
              <w:right w:val="single" w:sz="4" w:space="0" w:color="auto"/>
            </w:tcBorders>
            <w:vAlign w:val="bottom"/>
          </w:tcPr>
          <w:p w:rsidR="00786914" w:rsidRPr="0097779C" w:rsidRDefault="00786914" w:rsidP="0006743B">
            <w:pPr>
              <w:pStyle w:val="TableText"/>
            </w:pPr>
            <w:r>
              <w:t>$2,738.70</w:t>
            </w:r>
          </w:p>
        </w:tc>
        <w:tc>
          <w:tcPr>
            <w:tcW w:w="751" w:type="pct"/>
            <w:tcBorders>
              <w:top w:val="nil"/>
              <w:left w:val="nil"/>
              <w:bottom w:val="single" w:sz="4" w:space="0" w:color="auto"/>
              <w:right w:val="single" w:sz="4" w:space="0" w:color="auto"/>
            </w:tcBorders>
            <w:vAlign w:val="bottom"/>
          </w:tcPr>
          <w:p w:rsidR="00786914" w:rsidRPr="0097779C" w:rsidRDefault="00786914" w:rsidP="0006743B">
            <w:pPr>
              <w:pStyle w:val="TableText"/>
            </w:pPr>
            <w:r>
              <w:t>-631,287.28</w:t>
            </w:r>
          </w:p>
        </w:tc>
      </w:tr>
      <w:tr w:rsidR="00786914" w:rsidTr="0006743B">
        <w:trPr>
          <w:trHeight w:val="300"/>
        </w:trPr>
        <w:tc>
          <w:tcPr>
            <w:tcW w:w="1990" w:type="pct"/>
            <w:tcBorders>
              <w:top w:val="nil"/>
              <w:left w:val="single" w:sz="4" w:space="0" w:color="auto"/>
              <w:bottom w:val="single" w:sz="4" w:space="0" w:color="auto"/>
              <w:right w:val="single" w:sz="4" w:space="0" w:color="auto"/>
            </w:tcBorders>
            <w:shd w:val="clear" w:color="auto" w:fill="auto"/>
            <w:noWrap/>
            <w:vAlign w:val="bottom"/>
            <w:hideMark/>
          </w:tcPr>
          <w:p w:rsidR="00786914" w:rsidRPr="0097779C" w:rsidRDefault="00786914" w:rsidP="009B190E">
            <w:pPr>
              <w:pStyle w:val="TableText"/>
            </w:pPr>
            <w:r w:rsidRPr="0097779C">
              <w:t>HoLEP (excluding morcellation</w:t>
            </w:r>
            <w:r>
              <w:t xml:space="preserve"> and </w:t>
            </w:r>
            <w:r w:rsidRPr="0097779C">
              <w:t xml:space="preserve">20% </w:t>
            </w:r>
            <w:r w:rsidR="009B190E">
              <w:t>premium</w:t>
            </w:r>
            <w:r>
              <w:t>)</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w:t>
            </w:r>
            <w:r>
              <w:t>1,002.70</w:t>
            </w:r>
          </w:p>
        </w:tc>
        <w:tc>
          <w:tcPr>
            <w:tcW w:w="753" w:type="pct"/>
            <w:tcBorders>
              <w:top w:val="nil"/>
              <w:left w:val="nil"/>
              <w:bottom w:val="single" w:sz="4" w:space="0" w:color="auto"/>
              <w:right w:val="single" w:sz="4" w:space="0" w:color="auto"/>
            </w:tcBorders>
            <w:shd w:val="clear" w:color="auto" w:fill="auto"/>
            <w:noWrap/>
            <w:vAlign w:val="bottom"/>
            <w:hideMark/>
          </w:tcPr>
          <w:p w:rsidR="00786914" w:rsidRPr="0097779C" w:rsidRDefault="00786914" w:rsidP="0006743B">
            <w:pPr>
              <w:pStyle w:val="TableText"/>
            </w:pPr>
            <w:r w:rsidRPr="0097779C">
              <w:t>$7</w:t>
            </w:r>
            <w:r>
              <w:t>67.05</w:t>
            </w:r>
          </w:p>
        </w:tc>
        <w:tc>
          <w:tcPr>
            <w:tcW w:w="753" w:type="pct"/>
            <w:tcBorders>
              <w:top w:val="nil"/>
              <w:left w:val="nil"/>
              <w:bottom w:val="single" w:sz="4" w:space="0" w:color="auto"/>
              <w:right w:val="single" w:sz="4" w:space="0" w:color="auto"/>
            </w:tcBorders>
            <w:vAlign w:val="bottom"/>
          </w:tcPr>
          <w:p w:rsidR="00786914" w:rsidRPr="0097779C" w:rsidRDefault="00786914" w:rsidP="0006743B">
            <w:pPr>
              <w:pStyle w:val="TableText"/>
            </w:pPr>
            <w:r>
              <w:t>$2,601.90</w:t>
            </w:r>
          </w:p>
        </w:tc>
        <w:tc>
          <w:tcPr>
            <w:tcW w:w="751" w:type="pct"/>
            <w:tcBorders>
              <w:top w:val="nil"/>
              <w:left w:val="nil"/>
              <w:bottom w:val="single" w:sz="4" w:space="0" w:color="auto"/>
              <w:right w:val="single" w:sz="4" w:space="0" w:color="auto"/>
            </w:tcBorders>
            <w:vAlign w:val="bottom"/>
          </w:tcPr>
          <w:p w:rsidR="00786914" w:rsidRPr="0097779C" w:rsidRDefault="00786914" w:rsidP="0006743B">
            <w:pPr>
              <w:pStyle w:val="TableText"/>
            </w:pPr>
            <w:r>
              <w:t>-652,762.95</w:t>
            </w:r>
          </w:p>
        </w:tc>
      </w:tr>
    </w:tbl>
    <w:p w:rsidR="00786914" w:rsidRDefault="00786914" w:rsidP="0006743B"/>
    <w:p w:rsidR="00786914" w:rsidRDefault="00786914" w:rsidP="0006743B">
      <w:pPr>
        <w:pStyle w:val="Normalbold"/>
      </w:pPr>
      <w:bookmarkStart w:id="334" w:name="_Toc327877910"/>
      <w:r w:rsidRPr="00D12538">
        <w:t>Testing uncertainty of transition probabilities</w:t>
      </w:r>
      <w:bookmarkEnd w:id="334"/>
    </w:p>
    <w:p w:rsidR="00786914" w:rsidRDefault="00786914" w:rsidP="0006743B">
      <w:r>
        <w:t xml:space="preserve">The transition probabilities used in the economic evaluation were derived from a meta-analysis of clinical trial evidence. The probabilities of experiencing health states associated with BPH treatment using HoLEP that were used in the economic evaluation </w:t>
      </w:r>
      <w:r>
        <w:lastRenderedPageBreak/>
        <w:t>were calculated by multiplying the probability of the event occurring with OP treatment by the relative risk associated with HoLEP treatment.</w:t>
      </w:r>
    </w:p>
    <w:p w:rsidR="00786914" w:rsidRDefault="00786914" w:rsidP="0006743B">
      <w:r>
        <w:t>In order to test the robustness of the conclusions derived from this evaluation, sensitivity analysis was performed by multiplying the probability of an event occurring with OP by a range of four values bound by the lower and upper limits of the 95% confidence intervals of the relative risk calculations of each event occurring with HoLEP compared with OP (refer to Table 23). Results of this analysis comparing HoLEP and TURP treatment pathways are presented in Figure 6.</w:t>
      </w:r>
    </w:p>
    <w:p w:rsidR="00786914" w:rsidRDefault="00786914" w:rsidP="0006743B">
      <w:pPr>
        <w:pStyle w:val="Caption"/>
      </w:pPr>
      <w:bookmarkStart w:id="335" w:name="_Toc327882513"/>
      <w:r>
        <w:t xml:space="preserve">Figure </w:t>
      </w:r>
      <w:fldSimple w:instr=" SEQ Figure \* ARABIC ">
        <w:r w:rsidR="00F45C43">
          <w:rPr>
            <w:noProof/>
          </w:rPr>
          <w:t>29</w:t>
        </w:r>
      </w:fldSimple>
      <w:r>
        <w:t>:</w:t>
      </w:r>
      <w:r>
        <w:tab/>
        <w:t>Sensitivity analysis comparing the HoLEP then HoLEP and OP treatment pathways</w:t>
      </w:r>
      <w:bookmarkEnd w:id="335"/>
    </w:p>
    <w:p w:rsidR="00786914" w:rsidRDefault="00786914" w:rsidP="0006743B">
      <w:pPr>
        <w:ind w:left="0"/>
      </w:pPr>
      <w:r w:rsidRPr="00E02650">
        <w:rPr>
          <w:noProof/>
        </w:rPr>
        <w:drawing>
          <wp:inline distT="0" distB="0" distL="0" distR="0" wp14:anchorId="052E59A3" wp14:editId="5E316BE0">
            <wp:extent cx="5731510" cy="3614648"/>
            <wp:effectExtent l="0" t="0" r="21590" b="24130"/>
            <wp:docPr id="21" name="Chart 1" title="Figure 28: Sensitivity analysis comparing the HoLEP then HoLEP and TURP then TURP pathways"/>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86914" w:rsidRDefault="00786914" w:rsidP="0006743B">
      <w:r w:rsidRPr="00161F81">
        <w:t>The vertical dashed line represents the base case ICER (-$605,</w:t>
      </w:r>
      <w:r>
        <w:t xml:space="preserve">117/QALY). For the treatment pathway of HoLEP then HoLEP compared to OP, the strategy employing HoLEP as the primary treatment option remained dominant across all variables tested in that HoLEP treatment was both less and more effective than OP. </w:t>
      </w:r>
    </w:p>
    <w:p w:rsidR="00786914" w:rsidRDefault="00786914" w:rsidP="0006743B">
      <w:r>
        <w:t>To further test the robustness of the results of the economic evaluation a series of two-way sensitivity analyses was performed. In regards to rates of key parameters used in the model, each parameter was tested across the 95% confidence intervals of the relative risk calculations of HoLEP compared with OP. A range of HoLEP treatment costs incorporating the MBS fees presented in Table 24 as part of the overall treatment costs was also tested.</w:t>
      </w:r>
    </w:p>
    <w:p w:rsidR="00786914" w:rsidRDefault="00786914" w:rsidP="0006743B">
      <w:pPr>
        <w:rPr>
          <w:rFonts w:ascii="Tahoma" w:hAnsi="Tahoma"/>
          <w:b/>
          <w:sz w:val="22"/>
        </w:rPr>
      </w:pPr>
      <w:r>
        <w:t>Results of these sensitivity analyses showed that the treatment pathway of HoLEP then HoLEP was more cost-effective than both the HoLEP then OP and OP treatment pathways across all variables tested (data not shown).</w:t>
      </w:r>
    </w:p>
    <w:p w:rsidR="00786914" w:rsidRDefault="00E144D1" w:rsidP="0006743B">
      <w:pPr>
        <w:pStyle w:val="Heading2"/>
      </w:pPr>
      <w:bookmarkStart w:id="336" w:name="_Toc327877911"/>
      <w:bookmarkStart w:id="337" w:name="_Toc365900585"/>
      <w:r>
        <w:lastRenderedPageBreak/>
        <w:t>C</w:t>
      </w:r>
      <w:r w:rsidR="00786914" w:rsidRPr="00071A03">
        <w:t>omments</w:t>
      </w:r>
      <w:bookmarkEnd w:id="336"/>
      <w:r>
        <w:t xml:space="preserve"> in relation to economic evaluation</w:t>
      </w:r>
      <w:bookmarkEnd w:id="337"/>
    </w:p>
    <w:p w:rsidR="00786914" w:rsidRDefault="00786914" w:rsidP="0006743B">
      <w:pPr>
        <w:pStyle w:val="Normalbold"/>
      </w:pPr>
      <w:bookmarkStart w:id="338" w:name="_Toc327877912"/>
      <w:r w:rsidRPr="003009E1">
        <w:t>Prostate size &lt;80–100g</w:t>
      </w:r>
      <w:bookmarkEnd w:id="338"/>
    </w:p>
    <w:p w:rsidR="00786914" w:rsidRDefault="00786914" w:rsidP="0006743B">
      <w:r>
        <w:t>In both economic evaluations HoLEP treatment was demonstrated to be associated lower average per-patient treatment costs then treatment options including either TURP or OP, with very similar health utility values. This lower cost is driven by the reduced length of stay required for HoLEP treatment, as well as reduced rates of adverse events, long-term incontinence and treatment failure.</w:t>
      </w:r>
    </w:p>
    <w:p w:rsidR="00786914" w:rsidRDefault="00786914" w:rsidP="0006743B">
      <w:r>
        <w:t>In regards to the treatment of BPH in men with expected prostate sizes &lt;80-100g, the treatment pathway of HoLEP followed by a second HoLEP upon initial treatment failure was found to be less costly with only a marginal difference in effectiveness across a wide range of variables tested through sensitivity analysis. A treatment approach that used TURP as a second procedure was found to be favourable when the treatment failure rates for HoLEP approach the upper bounds of the 95% confidence interval for the relative risk of treatment failure of HoLEP compared to TURP. There here is a wide 95% confidence interval (0.04 – 1.60) around the relative risk of HoLEP treatment stemming from a paucity of literature that explicitly reported on this outcome in comparison to other parameters explored in the economic evaluation. Thus, there is increased uncertainty surrounding this parameter than others tested in this evaluation.</w:t>
      </w:r>
    </w:p>
    <w:p w:rsidR="00786914" w:rsidRDefault="00786914" w:rsidP="0006743B">
      <w:r>
        <w:t>When treatment pathways of HoLEP then HoLEP and TURP then TURP were compared, HoLEP treatment was associated with lower average per-patient costs that TURP treatment with only a negligible difference in effectiveness (-0.008 QALYs). As described previously, the origin of this difference in effectiveness is an artefact of the calculation of patient progression through the model and the two treatment pathways may be considered equally effective but with lower treatment cost being associated with HoLEP. If the difference in effectiveness is taken into account the use of HoLEP over TURP results in an ICER of $179,293/QALY with the higher ICER being driven by the marginal difference in effectiveness between treatment approaches.</w:t>
      </w:r>
    </w:p>
    <w:p w:rsidR="00786914" w:rsidRDefault="00786914" w:rsidP="0006743B">
      <w:pPr>
        <w:pStyle w:val="Normalbold"/>
      </w:pPr>
      <w:bookmarkStart w:id="339" w:name="_Toc327877913"/>
      <w:r>
        <w:t>Prostate size &gt;</w:t>
      </w:r>
      <w:r w:rsidRPr="003009E1">
        <w:t>80–100g</w:t>
      </w:r>
      <w:bookmarkEnd w:id="339"/>
    </w:p>
    <w:p w:rsidR="00786914" w:rsidRDefault="00786914" w:rsidP="0006743B">
      <w:r>
        <w:t xml:space="preserve">The treatment pathway employing </w:t>
      </w:r>
      <w:r w:rsidRPr="00C94D50">
        <w:t>HoLEP</w:t>
      </w:r>
      <w:r>
        <w:rPr>
          <w:b/>
        </w:rPr>
        <w:t xml:space="preserve"> </w:t>
      </w:r>
      <w:r>
        <w:t>followed by a second HoLEP upon initial treatment failure was found to have a lower average per-patient cost with superior effectiveness to treatment pathways employing OP. The reduction of cost was primarily driven by a reduced cost of treatment as a result of HoLEP requiring a reduced LOS than OP. When the costs associated with a LOS for HoLEP were adjusted upwards from two to three days HoLEP treatment remained a more cost-effective strategy.</w:t>
      </w:r>
    </w:p>
    <w:p w:rsidR="00786914" w:rsidRDefault="00786914" w:rsidP="0006743B">
      <w:r>
        <w:t>The treatment pathway of HoLEP then HoLEP remained preferable to that of HoLEP then OP or OP alone across all conditions tested through sensitivity analysis.</w:t>
      </w:r>
    </w:p>
    <w:p w:rsidR="00786914" w:rsidRDefault="00786914" w:rsidP="0006743B">
      <w:r>
        <w:t>Whilst associated with few instances of repeat procedures (assumed to be zero), the avoidance of costs associated with the need to repeat a number of HoLEP procedures was not offset by the initially higher treatment costs (additional $4,104.46) associated with OP, as well as costs associated with increased rates of adverse events and long-term incontinence.</w:t>
      </w:r>
    </w:p>
    <w:p w:rsidR="00786914" w:rsidRDefault="00786914" w:rsidP="0006743B">
      <w:r>
        <w:lastRenderedPageBreak/>
        <w:t xml:space="preserve">It should be noted that the inputs used in the economic evaluation assessing the treatment of BPH in men with an expected prostate size &gt;80-100g were only based upon data published in two clinical trials </w:t>
      </w:r>
      <w:r w:rsidRPr="000A20EE">
        <w:t>(Kuntz 2008, Naspro 2006)</w:t>
      </w:r>
      <w:r>
        <w:t xml:space="preserve"> that enrolled 120 and 80 patients respectively. This differs from the evaluation assessing the comparative effectiveness of HoLEP and TURP treatment in men with an expected prostate size of &lt;80-100g that was based on evidence derived from seven studies. As a result of this difference in the body of evidence informing the comparative effectiveness of HoLEP, whilst the evidence at hand suggests that HoLEP is a cost-effective treatment option for BPH compared to OP, some caution should be exercised in drawing firm conclusions from the assessment provided in this report. This uncertainty regarding the comparative cost-effectiveness of HoLEP treatment compared with OP was reflected in the wide range of values obtained from the conduct of sensitivity analysis. However given that HoLEP treatment was consistently found to be associated with a lower average per-patient treatment cost, and superior effectiveness, the availability of more data could be anticipated to reduce this uncertainty rather than alter the outcome of the assessment.</w:t>
      </w:r>
    </w:p>
    <w:p w:rsidR="00786914" w:rsidRDefault="00786914" w:rsidP="0006743B">
      <w:pPr>
        <w:pStyle w:val="Heading2"/>
      </w:pPr>
      <w:bookmarkStart w:id="340" w:name="_Toc327877914"/>
      <w:bookmarkStart w:id="341" w:name="_Toc365900586"/>
      <w:r>
        <w:t>Financial implications</w:t>
      </w:r>
      <w:bookmarkEnd w:id="340"/>
      <w:bookmarkEnd w:id="341"/>
    </w:p>
    <w:p w:rsidR="00786914" w:rsidRPr="00360894" w:rsidRDefault="00786914" w:rsidP="0006743B">
      <w:r w:rsidRPr="00360894">
        <w:t xml:space="preserve">The number of men who undergo surgical treatment for BPH annually in Australia was shown in Table 6, page </w:t>
      </w:r>
      <w:r>
        <w:t>4</w:t>
      </w:r>
      <w:r w:rsidRPr="00360894">
        <w:t>. It indicates that the number of separations for a principal diagnosis of BPH rose slightly from approximately 21,000 in 1998-1999 to approximately 25,000 in 2005-2006. There have been approximately 25,000 separations for this diagnosis each year since then, and the last years of available figures are 2009-2010.</w:t>
      </w:r>
    </w:p>
    <w:p w:rsidR="00786914" w:rsidRPr="00360894" w:rsidRDefault="00786914" w:rsidP="0006743B">
      <w:r w:rsidRPr="00360894">
        <w:t xml:space="preserve">The number of occurrences of the principal procedures used to treat BPH in the year 2007-2008 was obtained from the AHIW National Hospital morbidity data using the Australian Classification of Health Interventions (ACHI) codes for procedures. These are shown in Table </w:t>
      </w:r>
      <w:r>
        <w:t>39</w:t>
      </w:r>
      <w:r w:rsidRPr="00360894">
        <w:t xml:space="preserve"> below.</w:t>
      </w:r>
    </w:p>
    <w:p w:rsidR="00786914" w:rsidRDefault="00786914" w:rsidP="0006743B">
      <w:pPr>
        <w:pStyle w:val="Caption"/>
        <w:keepNext/>
      </w:pPr>
      <w:bookmarkStart w:id="342" w:name="_Toc327803286"/>
      <w:bookmarkStart w:id="343" w:name="_Toc327881576"/>
      <w:r>
        <w:t xml:space="preserve">Table </w:t>
      </w:r>
      <w:fldSimple w:instr=" SEQ Table \* ARABIC ">
        <w:r w:rsidR="00F45C43">
          <w:rPr>
            <w:noProof/>
          </w:rPr>
          <w:t>39</w:t>
        </w:r>
      </w:fldSimple>
      <w:r>
        <w:t>:</w:t>
      </w:r>
      <w:r>
        <w:tab/>
        <w:t>Occurrences for principal procedures to treat BPH 2007-2008</w:t>
      </w:r>
      <w:bookmarkEnd w:id="342"/>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8"/>
        <w:gridCol w:w="1270"/>
        <w:gridCol w:w="4841"/>
        <w:gridCol w:w="1373"/>
      </w:tblGrid>
      <w:tr w:rsidR="00786914" w:rsidRPr="00DE1723" w:rsidTr="0006743B">
        <w:tc>
          <w:tcPr>
            <w:tcW w:w="1638" w:type="pct"/>
            <w:gridSpan w:val="2"/>
            <w:vAlign w:val="center"/>
          </w:tcPr>
          <w:p w:rsidR="00786914" w:rsidRPr="00DE2873" w:rsidRDefault="00786914" w:rsidP="0006743B">
            <w:pPr>
              <w:pStyle w:val="Tableheading"/>
            </w:pPr>
            <w:r w:rsidRPr="00DE2873">
              <w:t>ACHI (5</w:t>
            </w:r>
            <w:r w:rsidRPr="006C2192">
              <w:rPr>
                <w:vertAlign w:val="superscript"/>
              </w:rPr>
              <w:t>th</w:t>
            </w:r>
            <w:r>
              <w:t xml:space="preserve"> </w:t>
            </w:r>
            <w:r w:rsidRPr="00DE2873">
              <w:t>edn)</w:t>
            </w:r>
          </w:p>
        </w:tc>
        <w:tc>
          <w:tcPr>
            <w:tcW w:w="2619" w:type="pct"/>
            <w:vAlign w:val="center"/>
          </w:tcPr>
          <w:p w:rsidR="00786914" w:rsidRPr="00DE2873" w:rsidRDefault="00786914" w:rsidP="0006743B">
            <w:pPr>
              <w:pStyle w:val="Tableheading"/>
            </w:pPr>
            <w:r w:rsidRPr="00DE2873">
              <w:t>Procedure</w:t>
            </w:r>
          </w:p>
        </w:tc>
        <w:tc>
          <w:tcPr>
            <w:tcW w:w="743" w:type="pct"/>
          </w:tcPr>
          <w:p w:rsidR="00786914" w:rsidRPr="00DE2873" w:rsidRDefault="00786914" w:rsidP="0006743B">
            <w:pPr>
              <w:pStyle w:val="Tableheading"/>
            </w:pPr>
            <w:r w:rsidRPr="00DE2873">
              <w:t xml:space="preserve">Occurrences </w:t>
            </w:r>
          </w:p>
          <w:p w:rsidR="00786914" w:rsidRPr="00DE2873" w:rsidRDefault="00786914" w:rsidP="0006743B">
            <w:pPr>
              <w:pStyle w:val="Tableheading"/>
            </w:pPr>
            <w:r w:rsidRPr="00DE2873">
              <w:t>(2007-08)</w:t>
            </w:r>
          </w:p>
        </w:tc>
      </w:tr>
      <w:tr w:rsidR="00786914" w:rsidRPr="00DE1723" w:rsidTr="0006743B">
        <w:tc>
          <w:tcPr>
            <w:tcW w:w="951" w:type="pct"/>
            <w:vMerge w:val="restart"/>
            <w:vAlign w:val="center"/>
          </w:tcPr>
          <w:p w:rsidR="00786914" w:rsidRPr="00DE2873" w:rsidRDefault="00786914" w:rsidP="0006743B">
            <w:pPr>
              <w:pStyle w:val="TableText"/>
            </w:pPr>
            <w:r w:rsidRPr="00DE2873">
              <w:t>1165</w:t>
            </w:r>
          </w:p>
          <w:p w:rsidR="00786914" w:rsidRPr="00DE2873" w:rsidRDefault="00786914" w:rsidP="0006743B">
            <w:pPr>
              <w:pStyle w:val="TableText"/>
            </w:pPr>
            <w:r w:rsidRPr="00DE2873">
              <w:t>Transuretheral prostatectomy</w:t>
            </w:r>
          </w:p>
        </w:tc>
        <w:tc>
          <w:tcPr>
            <w:tcW w:w="687" w:type="pct"/>
            <w:vAlign w:val="center"/>
          </w:tcPr>
          <w:p w:rsidR="00786914" w:rsidRPr="00DE2873" w:rsidRDefault="00786914" w:rsidP="0006743B">
            <w:pPr>
              <w:pStyle w:val="TableText"/>
            </w:pPr>
            <w:r w:rsidRPr="00DE2873">
              <w:t>37201-00</w:t>
            </w:r>
          </w:p>
        </w:tc>
        <w:tc>
          <w:tcPr>
            <w:tcW w:w="2619" w:type="pct"/>
            <w:vAlign w:val="center"/>
          </w:tcPr>
          <w:p w:rsidR="00786914" w:rsidRPr="00DE2873" w:rsidRDefault="00786914" w:rsidP="0006743B">
            <w:pPr>
              <w:pStyle w:val="TableText"/>
            </w:pPr>
            <w:r w:rsidRPr="00DE2873">
              <w:t>Transurethral needle ablation of prostate [TUNA]</w:t>
            </w:r>
          </w:p>
        </w:tc>
        <w:tc>
          <w:tcPr>
            <w:tcW w:w="743" w:type="pct"/>
            <w:vAlign w:val="center"/>
          </w:tcPr>
          <w:p w:rsidR="00786914" w:rsidRPr="00DE2873" w:rsidRDefault="00786914" w:rsidP="0006743B">
            <w:pPr>
              <w:pStyle w:val="TableText"/>
            </w:pPr>
            <w:r w:rsidRPr="00DE2873">
              <w:t>64</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37203-00</w:t>
            </w:r>
          </w:p>
        </w:tc>
        <w:tc>
          <w:tcPr>
            <w:tcW w:w="2619" w:type="pct"/>
            <w:vAlign w:val="center"/>
          </w:tcPr>
          <w:p w:rsidR="00786914" w:rsidRPr="00DE2873" w:rsidRDefault="00786914" w:rsidP="0006743B">
            <w:pPr>
              <w:pStyle w:val="TableText"/>
            </w:pPr>
            <w:r w:rsidRPr="00DE2873">
              <w:t>Transurethral resection of prostate [TURP]</w:t>
            </w:r>
          </w:p>
        </w:tc>
        <w:tc>
          <w:tcPr>
            <w:tcW w:w="743" w:type="pct"/>
            <w:vAlign w:val="center"/>
          </w:tcPr>
          <w:p w:rsidR="00786914" w:rsidRPr="00DE2873" w:rsidRDefault="00786914" w:rsidP="0006743B">
            <w:pPr>
              <w:pStyle w:val="TableText"/>
            </w:pPr>
            <w:r w:rsidRPr="00DE2873">
              <w:t>21963</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37203-02</w:t>
            </w:r>
          </w:p>
        </w:tc>
        <w:tc>
          <w:tcPr>
            <w:tcW w:w="2619" w:type="pct"/>
            <w:vAlign w:val="center"/>
          </w:tcPr>
          <w:p w:rsidR="00786914" w:rsidRPr="00DE2873" w:rsidRDefault="00786914" w:rsidP="0006743B">
            <w:pPr>
              <w:pStyle w:val="TableText"/>
            </w:pPr>
            <w:r w:rsidRPr="00DE2873">
              <w:t>Transurethral electrical vaporisation of prostate</w:t>
            </w:r>
          </w:p>
        </w:tc>
        <w:tc>
          <w:tcPr>
            <w:tcW w:w="743" w:type="pct"/>
            <w:vAlign w:val="center"/>
          </w:tcPr>
          <w:p w:rsidR="00786914" w:rsidRPr="00DE2873" w:rsidRDefault="00786914" w:rsidP="0006743B">
            <w:pPr>
              <w:pStyle w:val="TableText"/>
            </w:pPr>
            <w:r w:rsidRPr="00DE2873">
              <w:t>36</w:t>
            </w:r>
          </w:p>
        </w:tc>
      </w:tr>
      <w:tr w:rsidR="00786914" w:rsidRPr="00DE1723" w:rsidTr="0006743B">
        <w:tc>
          <w:tcPr>
            <w:tcW w:w="951" w:type="pct"/>
            <w:vMerge w:val="restart"/>
            <w:vAlign w:val="center"/>
          </w:tcPr>
          <w:p w:rsidR="00786914" w:rsidRPr="00DE2873" w:rsidRDefault="00786914" w:rsidP="0006743B">
            <w:pPr>
              <w:pStyle w:val="TableText"/>
            </w:pPr>
            <w:r w:rsidRPr="00DE2873">
              <w:t>1166 Other closed prostatectomy</w:t>
            </w:r>
          </w:p>
        </w:tc>
        <w:tc>
          <w:tcPr>
            <w:tcW w:w="687" w:type="pct"/>
            <w:vAlign w:val="center"/>
          </w:tcPr>
          <w:p w:rsidR="00786914" w:rsidRPr="00DE2873" w:rsidRDefault="00786914" w:rsidP="0006743B">
            <w:pPr>
              <w:pStyle w:val="TableText"/>
            </w:pPr>
            <w:r w:rsidRPr="00DE2873">
              <w:t>37203-03</w:t>
            </w:r>
          </w:p>
        </w:tc>
        <w:tc>
          <w:tcPr>
            <w:tcW w:w="2619" w:type="pct"/>
            <w:vAlign w:val="center"/>
          </w:tcPr>
          <w:p w:rsidR="00786914" w:rsidRPr="00DE2873" w:rsidRDefault="00786914" w:rsidP="0006743B">
            <w:pPr>
              <w:pStyle w:val="TableText"/>
            </w:pPr>
            <w:r w:rsidRPr="00DE2873">
              <w:t>Cryoablation of prostate</w:t>
            </w:r>
          </w:p>
        </w:tc>
        <w:tc>
          <w:tcPr>
            <w:tcW w:w="743" w:type="pct"/>
            <w:vAlign w:val="center"/>
          </w:tcPr>
          <w:p w:rsidR="00786914" w:rsidRPr="00DE2873" w:rsidRDefault="00786914" w:rsidP="0006743B">
            <w:pPr>
              <w:pStyle w:val="TableText"/>
            </w:pPr>
            <w:r w:rsidRPr="00DE2873">
              <w:t>25</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37203-05</w:t>
            </w:r>
          </w:p>
        </w:tc>
        <w:tc>
          <w:tcPr>
            <w:tcW w:w="2619" w:type="pct"/>
            <w:vAlign w:val="center"/>
          </w:tcPr>
          <w:p w:rsidR="00786914" w:rsidRPr="00DE2873" w:rsidRDefault="00786914" w:rsidP="0006743B">
            <w:pPr>
              <w:pStyle w:val="TableText"/>
            </w:pPr>
            <w:r w:rsidRPr="00DE2873">
              <w:t>High intensity focused ultrasound [HIFUS] (transrectal) of prostate</w:t>
            </w:r>
          </w:p>
        </w:tc>
        <w:tc>
          <w:tcPr>
            <w:tcW w:w="743" w:type="pct"/>
            <w:vAlign w:val="center"/>
          </w:tcPr>
          <w:p w:rsidR="00786914" w:rsidRPr="00DE2873" w:rsidRDefault="00786914" w:rsidP="0006743B">
            <w:pPr>
              <w:pStyle w:val="TableText"/>
            </w:pPr>
            <w:r w:rsidRPr="00DE2873">
              <w:t>68</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37203-06</w:t>
            </w:r>
          </w:p>
        </w:tc>
        <w:tc>
          <w:tcPr>
            <w:tcW w:w="2619" w:type="pct"/>
            <w:vAlign w:val="center"/>
          </w:tcPr>
          <w:p w:rsidR="00786914" w:rsidRPr="00DE2873" w:rsidRDefault="00786914" w:rsidP="0006743B">
            <w:pPr>
              <w:pStyle w:val="TableText"/>
            </w:pPr>
            <w:r w:rsidRPr="00DE2873">
              <w:t>Other closed prostatectomy</w:t>
            </w:r>
          </w:p>
        </w:tc>
        <w:tc>
          <w:tcPr>
            <w:tcW w:w="743" w:type="pct"/>
            <w:vAlign w:val="center"/>
          </w:tcPr>
          <w:p w:rsidR="00786914" w:rsidRPr="00DE2873" w:rsidRDefault="00786914" w:rsidP="0006743B">
            <w:pPr>
              <w:pStyle w:val="TableText"/>
            </w:pPr>
            <w:r w:rsidRPr="00DE2873">
              <w:t>491</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37207-00</w:t>
            </w:r>
          </w:p>
        </w:tc>
        <w:tc>
          <w:tcPr>
            <w:tcW w:w="2619" w:type="pct"/>
            <w:vAlign w:val="center"/>
          </w:tcPr>
          <w:p w:rsidR="00786914" w:rsidRPr="00DE2873" w:rsidRDefault="00786914" w:rsidP="0006743B">
            <w:pPr>
              <w:pStyle w:val="TableText"/>
            </w:pPr>
            <w:r w:rsidRPr="00DE2873">
              <w:t>Endoscopic laser ablation of prostate</w:t>
            </w:r>
          </w:p>
        </w:tc>
        <w:tc>
          <w:tcPr>
            <w:tcW w:w="743" w:type="pct"/>
            <w:vAlign w:val="center"/>
          </w:tcPr>
          <w:p w:rsidR="00786914" w:rsidRPr="00DE2873" w:rsidRDefault="00786914" w:rsidP="0006743B">
            <w:pPr>
              <w:pStyle w:val="TableText"/>
            </w:pPr>
            <w:r w:rsidRPr="00DE2873">
              <w:t>317</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37207-01</w:t>
            </w:r>
          </w:p>
        </w:tc>
        <w:tc>
          <w:tcPr>
            <w:tcW w:w="2619" w:type="pct"/>
            <w:vAlign w:val="center"/>
          </w:tcPr>
          <w:p w:rsidR="00786914" w:rsidRPr="00DE2873" w:rsidRDefault="00786914" w:rsidP="0006743B">
            <w:pPr>
              <w:pStyle w:val="TableText"/>
            </w:pPr>
            <w:r w:rsidRPr="00DE2873">
              <w:t>Endoscopic laser excision of prostate</w:t>
            </w:r>
          </w:p>
        </w:tc>
        <w:tc>
          <w:tcPr>
            <w:tcW w:w="743" w:type="pct"/>
            <w:vAlign w:val="center"/>
          </w:tcPr>
          <w:p w:rsidR="00786914" w:rsidRPr="00DE2873" w:rsidRDefault="00786914" w:rsidP="0006743B">
            <w:pPr>
              <w:pStyle w:val="TableText"/>
            </w:pPr>
            <w:r w:rsidRPr="00DE2873">
              <w:t>323</w:t>
            </w:r>
          </w:p>
        </w:tc>
      </w:tr>
      <w:tr w:rsidR="00786914" w:rsidRPr="00DE1723" w:rsidTr="0006743B">
        <w:tc>
          <w:tcPr>
            <w:tcW w:w="951" w:type="pct"/>
            <w:vMerge w:val="restart"/>
            <w:vAlign w:val="center"/>
          </w:tcPr>
          <w:p w:rsidR="00786914" w:rsidRPr="00DE2873" w:rsidRDefault="00786914" w:rsidP="0006743B">
            <w:pPr>
              <w:pStyle w:val="TableText"/>
            </w:pPr>
            <w:r w:rsidRPr="00DE2873">
              <w:t>1167 Open prostatectomy</w:t>
            </w:r>
          </w:p>
        </w:tc>
        <w:tc>
          <w:tcPr>
            <w:tcW w:w="687" w:type="pct"/>
            <w:vAlign w:val="center"/>
          </w:tcPr>
          <w:p w:rsidR="00786914" w:rsidRPr="00DE2873" w:rsidRDefault="00786914" w:rsidP="0006743B">
            <w:pPr>
              <w:pStyle w:val="TableText"/>
            </w:pPr>
            <w:r w:rsidRPr="00DE2873">
              <w:t>37200-03</w:t>
            </w:r>
          </w:p>
        </w:tc>
        <w:tc>
          <w:tcPr>
            <w:tcW w:w="2619" w:type="pct"/>
            <w:vAlign w:val="center"/>
          </w:tcPr>
          <w:p w:rsidR="00786914" w:rsidRPr="00DE2873" w:rsidRDefault="00786914" w:rsidP="0006743B">
            <w:pPr>
              <w:pStyle w:val="TableText"/>
            </w:pPr>
            <w:r w:rsidRPr="00DE2873">
              <w:t>Suprapubic prostatectomy</w:t>
            </w:r>
          </w:p>
        </w:tc>
        <w:tc>
          <w:tcPr>
            <w:tcW w:w="743" w:type="pct"/>
            <w:vAlign w:val="center"/>
          </w:tcPr>
          <w:p w:rsidR="00786914" w:rsidRPr="00DE2873" w:rsidRDefault="00786914" w:rsidP="0006743B">
            <w:pPr>
              <w:pStyle w:val="TableText"/>
            </w:pPr>
            <w:r w:rsidRPr="00DE2873">
              <w:t>59</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37200-04</w:t>
            </w:r>
          </w:p>
        </w:tc>
        <w:tc>
          <w:tcPr>
            <w:tcW w:w="2619" w:type="pct"/>
            <w:vAlign w:val="center"/>
          </w:tcPr>
          <w:p w:rsidR="00786914" w:rsidRPr="00DE2873" w:rsidRDefault="00786914" w:rsidP="0006743B">
            <w:pPr>
              <w:pStyle w:val="TableText"/>
            </w:pPr>
            <w:r w:rsidRPr="00DE2873">
              <w:t>Retropubic prostatectomy</w:t>
            </w:r>
          </w:p>
        </w:tc>
        <w:tc>
          <w:tcPr>
            <w:tcW w:w="743" w:type="pct"/>
            <w:vAlign w:val="center"/>
          </w:tcPr>
          <w:p w:rsidR="00786914" w:rsidRPr="00DE2873" w:rsidRDefault="00786914" w:rsidP="0006743B">
            <w:pPr>
              <w:pStyle w:val="TableText"/>
            </w:pPr>
            <w:r w:rsidRPr="00DE2873">
              <w:t>99</w:t>
            </w:r>
          </w:p>
        </w:tc>
      </w:tr>
      <w:tr w:rsidR="00786914" w:rsidRPr="00DE1723" w:rsidTr="0006743B">
        <w:tc>
          <w:tcPr>
            <w:tcW w:w="951" w:type="pct"/>
            <w:vMerge/>
            <w:vAlign w:val="center"/>
          </w:tcPr>
          <w:p w:rsidR="00786914" w:rsidRPr="00DE2873" w:rsidRDefault="00786914" w:rsidP="0006743B">
            <w:pPr>
              <w:pStyle w:val="TableText"/>
            </w:pPr>
          </w:p>
        </w:tc>
        <w:tc>
          <w:tcPr>
            <w:tcW w:w="687" w:type="pct"/>
            <w:vAlign w:val="center"/>
          </w:tcPr>
          <w:p w:rsidR="00786914" w:rsidRPr="00DE2873" w:rsidRDefault="00786914" w:rsidP="0006743B">
            <w:pPr>
              <w:pStyle w:val="TableText"/>
            </w:pPr>
            <w:r w:rsidRPr="00DE2873">
              <w:t>37200-05</w:t>
            </w:r>
          </w:p>
        </w:tc>
        <w:tc>
          <w:tcPr>
            <w:tcW w:w="2619" w:type="pct"/>
            <w:vAlign w:val="center"/>
          </w:tcPr>
          <w:p w:rsidR="00786914" w:rsidRPr="00DE2873" w:rsidRDefault="00786914" w:rsidP="0006743B">
            <w:pPr>
              <w:pStyle w:val="TableText"/>
            </w:pPr>
            <w:r w:rsidRPr="00DE2873">
              <w:t>Other open prostatectomy</w:t>
            </w:r>
          </w:p>
        </w:tc>
        <w:tc>
          <w:tcPr>
            <w:tcW w:w="743" w:type="pct"/>
            <w:vAlign w:val="center"/>
          </w:tcPr>
          <w:p w:rsidR="00786914" w:rsidRPr="00DE2873" w:rsidRDefault="00786914" w:rsidP="0006743B">
            <w:pPr>
              <w:pStyle w:val="TableText"/>
            </w:pPr>
            <w:r w:rsidRPr="00DE2873">
              <w:t>212</w:t>
            </w:r>
          </w:p>
        </w:tc>
      </w:tr>
    </w:tbl>
    <w:p w:rsidR="00786914" w:rsidRDefault="00786914" w:rsidP="0006743B">
      <w:pPr>
        <w:pStyle w:val="TableNotes"/>
      </w:pPr>
      <w:r w:rsidRPr="00D508C2">
        <w:t xml:space="preserve">Source: AIHW National Hospital Morbidity Database </w:t>
      </w:r>
    </w:p>
    <w:p w:rsidR="00786914" w:rsidRDefault="00786914" w:rsidP="0006743B">
      <w:r>
        <w:t xml:space="preserve">These data would indicate that approximately 22,000 TURP and 370 OP procedures were undertaken across public and private hospitals in the year 2007-2008. </w:t>
      </w:r>
    </w:p>
    <w:p w:rsidR="00075E37" w:rsidRDefault="00786914" w:rsidP="00AE6E57">
      <w:r>
        <w:lastRenderedPageBreak/>
        <w:t>The requested Medicare items processed for surgical treatments for BPH from July 2007 to June 2010 are shown in Table 40.</w:t>
      </w:r>
      <w:bookmarkStart w:id="344" w:name="_Toc327803287"/>
      <w:bookmarkStart w:id="345" w:name="_Toc327881577"/>
      <w:r w:rsidR="00AE6E57">
        <w:t xml:space="preserve"> </w:t>
      </w:r>
    </w:p>
    <w:p w:rsidR="00786914" w:rsidRDefault="00786914" w:rsidP="0006743B">
      <w:pPr>
        <w:pStyle w:val="Caption"/>
        <w:rPr>
          <w:rFonts w:cs="Tahoma"/>
          <w:szCs w:val="24"/>
        </w:rPr>
      </w:pPr>
      <w:r>
        <w:t xml:space="preserve">Table </w:t>
      </w:r>
      <w:fldSimple w:instr=" SEQ Table \* ARABIC ">
        <w:r w:rsidR="00F45C43">
          <w:rPr>
            <w:noProof/>
          </w:rPr>
          <w:t>40</w:t>
        </w:r>
      </w:fldSimple>
      <w:r>
        <w:t>:</w:t>
      </w:r>
      <w:r>
        <w:tab/>
        <w:t>Requested Medicare items processed from June 2007 to June 2010</w:t>
      </w:r>
      <w:bookmarkEnd w:id="344"/>
      <w:bookmarkEnd w:id="3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4562"/>
        <w:gridCol w:w="1011"/>
        <w:gridCol w:w="869"/>
        <w:gridCol w:w="869"/>
        <w:gridCol w:w="867"/>
      </w:tblGrid>
      <w:tr w:rsidR="00786914" w:rsidTr="0006743B">
        <w:tc>
          <w:tcPr>
            <w:tcW w:w="576" w:type="pct"/>
          </w:tcPr>
          <w:p w:rsidR="00786914" w:rsidRPr="00DE2873" w:rsidRDefault="00786914" w:rsidP="0006743B">
            <w:pPr>
              <w:pStyle w:val="Tableheading"/>
            </w:pPr>
            <w:r w:rsidRPr="00DE2873">
              <w:t>MBS Item Number</w:t>
            </w:r>
          </w:p>
        </w:tc>
        <w:tc>
          <w:tcPr>
            <w:tcW w:w="2468" w:type="pct"/>
          </w:tcPr>
          <w:p w:rsidR="00786914" w:rsidRPr="00DE2873" w:rsidRDefault="00786914" w:rsidP="0006743B">
            <w:pPr>
              <w:pStyle w:val="Tableheading"/>
            </w:pPr>
            <w:r w:rsidRPr="00DE2873">
              <w:t>Procedure</w:t>
            </w:r>
          </w:p>
        </w:tc>
        <w:tc>
          <w:tcPr>
            <w:tcW w:w="547" w:type="pct"/>
          </w:tcPr>
          <w:p w:rsidR="00786914" w:rsidRPr="00DE2873" w:rsidRDefault="00786914" w:rsidP="0006743B">
            <w:pPr>
              <w:pStyle w:val="Tableheading"/>
            </w:pPr>
            <w:r w:rsidRPr="00DE2873">
              <w:t>Fee</w:t>
            </w:r>
          </w:p>
        </w:tc>
        <w:tc>
          <w:tcPr>
            <w:tcW w:w="470" w:type="pct"/>
          </w:tcPr>
          <w:p w:rsidR="00786914" w:rsidRPr="00DE2873" w:rsidRDefault="00786914" w:rsidP="0006743B">
            <w:pPr>
              <w:pStyle w:val="Tableheading"/>
            </w:pPr>
            <w:r w:rsidRPr="00DE2873">
              <w:t>2007/08</w:t>
            </w:r>
          </w:p>
        </w:tc>
        <w:tc>
          <w:tcPr>
            <w:tcW w:w="470" w:type="pct"/>
          </w:tcPr>
          <w:p w:rsidR="00786914" w:rsidRPr="00DE2873" w:rsidRDefault="00786914" w:rsidP="0006743B">
            <w:pPr>
              <w:pStyle w:val="Tableheading"/>
            </w:pPr>
            <w:r w:rsidRPr="00DE2873">
              <w:t>2008/09</w:t>
            </w:r>
          </w:p>
        </w:tc>
        <w:tc>
          <w:tcPr>
            <w:tcW w:w="470" w:type="pct"/>
          </w:tcPr>
          <w:p w:rsidR="00786914" w:rsidRPr="00DE2873" w:rsidRDefault="00786914" w:rsidP="0006743B">
            <w:pPr>
              <w:pStyle w:val="Tableheading"/>
            </w:pPr>
            <w:r w:rsidRPr="00DE2873">
              <w:t>2009/10</w:t>
            </w:r>
          </w:p>
        </w:tc>
      </w:tr>
      <w:tr w:rsidR="00786914" w:rsidRPr="00593593" w:rsidTr="0006743B">
        <w:tc>
          <w:tcPr>
            <w:tcW w:w="576" w:type="pct"/>
          </w:tcPr>
          <w:p w:rsidR="00786914" w:rsidRPr="00352FE5" w:rsidRDefault="00786914" w:rsidP="0006743B">
            <w:pPr>
              <w:pStyle w:val="TableText"/>
            </w:pPr>
            <w:r w:rsidRPr="00352FE5">
              <w:t>37203</w:t>
            </w:r>
          </w:p>
        </w:tc>
        <w:tc>
          <w:tcPr>
            <w:tcW w:w="2468" w:type="pct"/>
          </w:tcPr>
          <w:p w:rsidR="00786914" w:rsidRPr="00352FE5" w:rsidRDefault="00786914" w:rsidP="0006743B">
            <w:pPr>
              <w:pStyle w:val="TableText"/>
            </w:pPr>
            <w:r w:rsidRPr="00352FE5">
              <w:t>Transurethral resection of prostate [TURP]</w:t>
            </w:r>
          </w:p>
        </w:tc>
        <w:tc>
          <w:tcPr>
            <w:tcW w:w="547" w:type="pct"/>
          </w:tcPr>
          <w:p w:rsidR="00786914" w:rsidRPr="00352FE5" w:rsidRDefault="00786914" w:rsidP="0006743B">
            <w:pPr>
              <w:pStyle w:val="TableText"/>
            </w:pPr>
            <w:r w:rsidRPr="00352FE5">
              <w:t>$1,002.</w:t>
            </w:r>
            <w:r w:rsidR="00F74585">
              <w:t>70</w:t>
            </w:r>
          </w:p>
        </w:tc>
        <w:tc>
          <w:tcPr>
            <w:tcW w:w="470" w:type="pct"/>
          </w:tcPr>
          <w:p w:rsidR="00786914" w:rsidRPr="00352FE5" w:rsidRDefault="00786914" w:rsidP="0006743B">
            <w:pPr>
              <w:pStyle w:val="TableText"/>
            </w:pPr>
            <w:r w:rsidRPr="00352FE5">
              <w:t>12,158</w:t>
            </w:r>
          </w:p>
        </w:tc>
        <w:tc>
          <w:tcPr>
            <w:tcW w:w="470" w:type="pct"/>
          </w:tcPr>
          <w:p w:rsidR="00786914" w:rsidRPr="00352FE5" w:rsidRDefault="00786914" w:rsidP="0006743B">
            <w:pPr>
              <w:pStyle w:val="TableText"/>
            </w:pPr>
            <w:r w:rsidRPr="00352FE5">
              <w:t>12,557</w:t>
            </w:r>
          </w:p>
        </w:tc>
        <w:tc>
          <w:tcPr>
            <w:tcW w:w="470" w:type="pct"/>
          </w:tcPr>
          <w:p w:rsidR="00786914" w:rsidRPr="00352FE5" w:rsidRDefault="00786914" w:rsidP="0006743B">
            <w:pPr>
              <w:pStyle w:val="TableText"/>
            </w:pPr>
            <w:r w:rsidRPr="00352FE5">
              <w:t>12,690</w:t>
            </w:r>
          </w:p>
        </w:tc>
      </w:tr>
      <w:tr w:rsidR="00786914" w:rsidRPr="00593593" w:rsidTr="0006743B">
        <w:tc>
          <w:tcPr>
            <w:tcW w:w="576" w:type="pct"/>
          </w:tcPr>
          <w:p w:rsidR="00786914" w:rsidRPr="00352FE5" w:rsidRDefault="00786914" w:rsidP="0006743B">
            <w:pPr>
              <w:pStyle w:val="TableText"/>
            </w:pPr>
            <w:r w:rsidRPr="00352FE5">
              <w:t>37207</w:t>
            </w:r>
          </w:p>
        </w:tc>
        <w:tc>
          <w:tcPr>
            <w:tcW w:w="2468" w:type="pct"/>
          </w:tcPr>
          <w:p w:rsidR="00786914" w:rsidRPr="00352FE5" w:rsidRDefault="00786914" w:rsidP="0006743B">
            <w:pPr>
              <w:pStyle w:val="TableText"/>
            </w:pPr>
            <w:r w:rsidRPr="00352FE5">
              <w:t>Visual laser ablation</w:t>
            </w:r>
          </w:p>
        </w:tc>
        <w:tc>
          <w:tcPr>
            <w:tcW w:w="547" w:type="pct"/>
          </w:tcPr>
          <w:p w:rsidR="00786914" w:rsidRPr="00352FE5" w:rsidRDefault="00786914" w:rsidP="0006743B">
            <w:pPr>
              <w:pStyle w:val="TableText"/>
            </w:pPr>
            <w:r w:rsidRPr="00352FE5">
              <w:t>$833.65</w:t>
            </w:r>
          </w:p>
        </w:tc>
        <w:tc>
          <w:tcPr>
            <w:tcW w:w="470" w:type="pct"/>
          </w:tcPr>
          <w:p w:rsidR="00786914" w:rsidRPr="00352FE5" w:rsidRDefault="00786914" w:rsidP="0006743B">
            <w:pPr>
              <w:pStyle w:val="TableText"/>
            </w:pPr>
            <w:r w:rsidRPr="00352FE5">
              <w:t>319</w:t>
            </w:r>
          </w:p>
        </w:tc>
        <w:tc>
          <w:tcPr>
            <w:tcW w:w="470" w:type="pct"/>
          </w:tcPr>
          <w:p w:rsidR="00786914" w:rsidRPr="00DE2873" w:rsidRDefault="00786914" w:rsidP="0006743B">
            <w:pPr>
              <w:pStyle w:val="TableText"/>
            </w:pPr>
            <w:r w:rsidRPr="00DE2873">
              <w:t>460</w:t>
            </w:r>
          </w:p>
        </w:tc>
        <w:tc>
          <w:tcPr>
            <w:tcW w:w="470" w:type="pct"/>
          </w:tcPr>
          <w:p w:rsidR="00786914" w:rsidRPr="00352FE5" w:rsidRDefault="00786914" w:rsidP="0006743B">
            <w:pPr>
              <w:pStyle w:val="TableText"/>
            </w:pPr>
            <w:r w:rsidRPr="00352FE5">
              <w:t>699</w:t>
            </w:r>
          </w:p>
        </w:tc>
      </w:tr>
      <w:tr w:rsidR="00786914" w:rsidRPr="00593593" w:rsidTr="0006743B">
        <w:tc>
          <w:tcPr>
            <w:tcW w:w="576" w:type="pct"/>
          </w:tcPr>
          <w:p w:rsidR="00786914" w:rsidRPr="00352FE5" w:rsidRDefault="00786914" w:rsidP="0006743B">
            <w:pPr>
              <w:pStyle w:val="TableText"/>
            </w:pPr>
            <w:r w:rsidRPr="00352FE5">
              <w:t>37224</w:t>
            </w:r>
          </w:p>
        </w:tc>
        <w:tc>
          <w:tcPr>
            <w:tcW w:w="2468" w:type="pct"/>
          </w:tcPr>
          <w:p w:rsidR="00786914" w:rsidRPr="00352FE5" w:rsidRDefault="00786914" w:rsidP="0006743B">
            <w:pPr>
              <w:pStyle w:val="TableText"/>
            </w:pPr>
            <w:r w:rsidRPr="00352FE5">
              <w:t>Diathermy or visual laser destruction</w:t>
            </w:r>
          </w:p>
        </w:tc>
        <w:tc>
          <w:tcPr>
            <w:tcW w:w="547" w:type="pct"/>
          </w:tcPr>
          <w:p w:rsidR="00786914" w:rsidRPr="00352FE5" w:rsidRDefault="00786914" w:rsidP="0006743B">
            <w:pPr>
              <w:pStyle w:val="TableText"/>
            </w:pPr>
            <w:r w:rsidRPr="00352FE5">
              <w:t>$310.95</w:t>
            </w:r>
          </w:p>
        </w:tc>
        <w:tc>
          <w:tcPr>
            <w:tcW w:w="470" w:type="pct"/>
          </w:tcPr>
          <w:p w:rsidR="00786914" w:rsidRPr="00352FE5" w:rsidRDefault="00786914" w:rsidP="0006743B">
            <w:pPr>
              <w:pStyle w:val="TableText"/>
            </w:pPr>
            <w:r w:rsidRPr="00352FE5">
              <w:t>240</w:t>
            </w:r>
          </w:p>
        </w:tc>
        <w:tc>
          <w:tcPr>
            <w:tcW w:w="470" w:type="pct"/>
          </w:tcPr>
          <w:p w:rsidR="00786914" w:rsidRPr="00352FE5" w:rsidRDefault="00786914" w:rsidP="0006743B">
            <w:pPr>
              <w:pStyle w:val="TableText"/>
            </w:pPr>
            <w:r w:rsidRPr="00352FE5">
              <w:t>249</w:t>
            </w:r>
          </w:p>
        </w:tc>
        <w:tc>
          <w:tcPr>
            <w:tcW w:w="470" w:type="pct"/>
          </w:tcPr>
          <w:p w:rsidR="00786914" w:rsidRPr="00352FE5" w:rsidRDefault="00786914" w:rsidP="0006743B">
            <w:pPr>
              <w:pStyle w:val="TableText"/>
            </w:pPr>
            <w:r w:rsidRPr="00352FE5">
              <w:t>232</w:t>
            </w:r>
          </w:p>
        </w:tc>
      </w:tr>
      <w:tr w:rsidR="00786914" w:rsidRPr="00593593" w:rsidTr="0006743B">
        <w:tc>
          <w:tcPr>
            <w:tcW w:w="576" w:type="pct"/>
          </w:tcPr>
          <w:p w:rsidR="00786914" w:rsidRPr="00352FE5" w:rsidRDefault="00786914" w:rsidP="0006743B">
            <w:pPr>
              <w:pStyle w:val="TableText"/>
            </w:pPr>
            <w:r w:rsidRPr="00352FE5">
              <w:t>37200</w:t>
            </w:r>
          </w:p>
        </w:tc>
        <w:tc>
          <w:tcPr>
            <w:tcW w:w="2468" w:type="pct"/>
          </w:tcPr>
          <w:p w:rsidR="00786914" w:rsidRPr="00352FE5" w:rsidRDefault="00786914" w:rsidP="0006743B">
            <w:pPr>
              <w:pStyle w:val="TableText"/>
            </w:pPr>
            <w:r w:rsidRPr="00352FE5">
              <w:t>Open Prostatectomy</w:t>
            </w:r>
          </w:p>
        </w:tc>
        <w:tc>
          <w:tcPr>
            <w:tcW w:w="547" w:type="pct"/>
          </w:tcPr>
          <w:p w:rsidR="00786914" w:rsidRPr="00352FE5" w:rsidRDefault="00786914" w:rsidP="0006743B">
            <w:pPr>
              <w:pStyle w:val="TableText"/>
            </w:pPr>
            <w:r w:rsidRPr="00352FE5">
              <w:t>$977.80</w:t>
            </w:r>
          </w:p>
        </w:tc>
        <w:tc>
          <w:tcPr>
            <w:tcW w:w="470" w:type="pct"/>
          </w:tcPr>
          <w:p w:rsidR="00786914" w:rsidRPr="00352FE5" w:rsidRDefault="00786914" w:rsidP="0006743B">
            <w:pPr>
              <w:pStyle w:val="TableText"/>
            </w:pPr>
            <w:r w:rsidRPr="00352FE5">
              <w:t>141</w:t>
            </w:r>
          </w:p>
        </w:tc>
        <w:tc>
          <w:tcPr>
            <w:tcW w:w="470" w:type="pct"/>
          </w:tcPr>
          <w:p w:rsidR="00786914" w:rsidRPr="00352FE5" w:rsidRDefault="00786914" w:rsidP="0006743B">
            <w:pPr>
              <w:pStyle w:val="TableText"/>
            </w:pPr>
            <w:r w:rsidRPr="00352FE5">
              <w:t>153</w:t>
            </w:r>
          </w:p>
        </w:tc>
        <w:tc>
          <w:tcPr>
            <w:tcW w:w="470" w:type="pct"/>
          </w:tcPr>
          <w:p w:rsidR="00786914" w:rsidRPr="00352FE5" w:rsidRDefault="00786914" w:rsidP="0006743B">
            <w:pPr>
              <w:pStyle w:val="TableText"/>
            </w:pPr>
            <w:r w:rsidRPr="00352FE5">
              <w:t>142</w:t>
            </w:r>
          </w:p>
        </w:tc>
      </w:tr>
      <w:tr w:rsidR="00786914" w:rsidRPr="00593593" w:rsidTr="0006743B">
        <w:tc>
          <w:tcPr>
            <w:tcW w:w="576" w:type="pct"/>
          </w:tcPr>
          <w:p w:rsidR="00786914" w:rsidRPr="00352FE5" w:rsidRDefault="00786914" w:rsidP="0006743B">
            <w:pPr>
              <w:pStyle w:val="TableText"/>
            </w:pPr>
            <w:r w:rsidRPr="00352FE5">
              <w:t>37206</w:t>
            </w:r>
          </w:p>
        </w:tc>
        <w:tc>
          <w:tcPr>
            <w:tcW w:w="2468" w:type="pct"/>
          </w:tcPr>
          <w:p w:rsidR="00786914" w:rsidRPr="00352FE5" w:rsidRDefault="00786914" w:rsidP="0006743B">
            <w:pPr>
              <w:pStyle w:val="TableText"/>
            </w:pPr>
            <w:r w:rsidRPr="00352FE5">
              <w:t>Transurethral resection of prostate [TURP] (continuation within 10 days)</w:t>
            </w:r>
          </w:p>
        </w:tc>
        <w:tc>
          <w:tcPr>
            <w:tcW w:w="547" w:type="pct"/>
          </w:tcPr>
          <w:p w:rsidR="00786914" w:rsidRPr="00352FE5" w:rsidRDefault="00786914" w:rsidP="0006743B">
            <w:pPr>
              <w:pStyle w:val="TableText"/>
            </w:pPr>
            <w:r w:rsidRPr="00352FE5">
              <w:t>$536.95</w:t>
            </w:r>
          </w:p>
        </w:tc>
        <w:tc>
          <w:tcPr>
            <w:tcW w:w="470" w:type="pct"/>
          </w:tcPr>
          <w:p w:rsidR="00786914" w:rsidRPr="00352FE5" w:rsidRDefault="00786914" w:rsidP="0006743B">
            <w:pPr>
              <w:pStyle w:val="TableText"/>
            </w:pPr>
            <w:r w:rsidRPr="00352FE5">
              <w:t>24</w:t>
            </w:r>
          </w:p>
        </w:tc>
        <w:tc>
          <w:tcPr>
            <w:tcW w:w="470" w:type="pct"/>
          </w:tcPr>
          <w:p w:rsidR="00786914" w:rsidRPr="00352FE5" w:rsidRDefault="00786914" w:rsidP="0006743B">
            <w:pPr>
              <w:pStyle w:val="TableText"/>
            </w:pPr>
            <w:r w:rsidRPr="00352FE5">
              <w:t>30</w:t>
            </w:r>
          </w:p>
        </w:tc>
        <w:tc>
          <w:tcPr>
            <w:tcW w:w="470" w:type="pct"/>
          </w:tcPr>
          <w:p w:rsidR="00786914" w:rsidRPr="00352FE5" w:rsidRDefault="00786914" w:rsidP="0006743B">
            <w:pPr>
              <w:pStyle w:val="TableText"/>
            </w:pPr>
            <w:r w:rsidRPr="00352FE5">
              <w:t>33</w:t>
            </w:r>
          </w:p>
        </w:tc>
      </w:tr>
      <w:tr w:rsidR="00786914" w:rsidRPr="00593593" w:rsidTr="0006743B">
        <w:trPr>
          <w:trHeight w:val="70"/>
        </w:trPr>
        <w:tc>
          <w:tcPr>
            <w:tcW w:w="576" w:type="pct"/>
          </w:tcPr>
          <w:p w:rsidR="00786914" w:rsidRPr="00352FE5" w:rsidRDefault="00786914" w:rsidP="0006743B">
            <w:pPr>
              <w:pStyle w:val="TableText"/>
            </w:pPr>
            <w:r w:rsidRPr="00352FE5">
              <w:t>37230</w:t>
            </w:r>
          </w:p>
        </w:tc>
        <w:tc>
          <w:tcPr>
            <w:tcW w:w="2468" w:type="pct"/>
          </w:tcPr>
          <w:p w:rsidR="00786914" w:rsidRPr="00352FE5" w:rsidRDefault="00786914" w:rsidP="0006743B">
            <w:pPr>
              <w:pStyle w:val="TableText"/>
            </w:pPr>
            <w:r w:rsidRPr="00352FE5">
              <w:t>Transurethral microwave thermotherapy [TUMT]</w:t>
            </w:r>
          </w:p>
        </w:tc>
        <w:tc>
          <w:tcPr>
            <w:tcW w:w="547" w:type="pct"/>
          </w:tcPr>
          <w:p w:rsidR="00786914" w:rsidRPr="00352FE5" w:rsidRDefault="00786914" w:rsidP="0006743B">
            <w:pPr>
              <w:pStyle w:val="TableText"/>
            </w:pPr>
            <w:r w:rsidRPr="00352FE5">
              <w:t>$1,002.</w:t>
            </w:r>
            <w:r w:rsidR="00F74585">
              <w:t>65</w:t>
            </w:r>
          </w:p>
        </w:tc>
        <w:tc>
          <w:tcPr>
            <w:tcW w:w="470" w:type="pct"/>
          </w:tcPr>
          <w:p w:rsidR="00786914" w:rsidRPr="00352FE5" w:rsidRDefault="00786914" w:rsidP="0006743B">
            <w:pPr>
              <w:pStyle w:val="TableText"/>
            </w:pPr>
            <w:r w:rsidRPr="00352FE5">
              <w:t>59</w:t>
            </w:r>
          </w:p>
        </w:tc>
        <w:tc>
          <w:tcPr>
            <w:tcW w:w="470" w:type="pct"/>
          </w:tcPr>
          <w:p w:rsidR="00786914" w:rsidRPr="00352FE5" w:rsidRDefault="00786914" w:rsidP="0006743B">
            <w:pPr>
              <w:pStyle w:val="TableText"/>
            </w:pPr>
            <w:r w:rsidRPr="00352FE5">
              <w:t>62</w:t>
            </w:r>
          </w:p>
        </w:tc>
        <w:tc>
          <w:tcPr>
            <w:tcW w:w="470" w:type="pct"/>
          </w:tcPr>
          <w:p w:rsidR="00786914" w:rsidRPr="00352FE5" w:rsidRDefault="00786914" w:rsidP="0006743B">
            <w:pPr>
              <w:pStyle w:val="TableText"/>
            </w:pPr>
            <w:r w:rsidRPr="00352FE5">
              <w:t>28</w:t>
            </w:r>
          </w:p>
        </w:tc>
      </w:tr>
      <w:tr w:rsidR="00786914" w:rsidRPr="00593593" w:rsidTr="0006743B">
        <w:trPr>
          <w:trHeight w:val="70"/>
        </w:trPr>
        <w:tc>
          <w:tcPr>
            <w:tcW w:w="576" w:type="pct"/>
          </w:tcPr>
          <w:p w:rsidR="00786914" w:rsidRPr="00352FE5" w:rsidRDefault="00786914" w:rsidP="0006743B">
            <w:pPr>
              <w:pStyle w:val="TableText"/>
            </w:pPr>
            <w:r w:rsidRPr="00352FE5">
              <w:t>37201</w:t>
            </w:r>
          </w:p>
        </w:tc>
        <w:tc>
          <w:tcPr>
            <w:tcW w:w="2468" w:type="pct"/>
          </w:tcPr>
          <w:p w:rsidR="00786914" w:rsidRPr="00352FE5" w:rsidRDefault="00786914" w:rsidP="0006743B">
            <w:pPr>
              <w:pStyle w:val="TableText"/>
            </w:pPr>
            <w:r w:rsidRPr="00352FE5">
              <w:t>Transurethral needle ablation [TUNA]</w:t>
            </w:r>
          </w:p>
        </w:tc>
        <w:tc>
          <w:tcPr>
            <w:tcW w:w="547" w:type="pct"/>
          </w:tcPr>
          <w:p w:rsidR="00786914" w:rsidRPr="00352FE5" w:rsidRDefault="00786914" w:rsidP="0006743B">
            <w:pPr>
              <w:pStyle w:val="TableText"/>
            </w:pPr>
            <w:r w:rsidRPr="00352FE5">
              <w:t>$797.45</w:t>
            </w:r>
          </w:p>
        </w:tc>
        <w:tc>
          <w:tcPr>
            <w:tcW w:w="470" w:type="pct"/>
          </w:tcPr>
          <w:p w:rsidR="00786914" w:rsidRPr="00352FE5" w:rsidRDefault="00786914" w:rsidP="0006743B">
            <w:pPr>
              <w:pStyle w:val="TableText"/>
            </w:pPr>
            <w:r w:rsidRPr="00352FE5">
              <w:t>37</w:t>
            </w:r>
          </w:p>
        </w:tc>
        <w:tc>
          <w:tcPr>
            <w:tcW w:w="470" w:type="pct"/>
          </w:tcPr>
          <w:p w:rsidR="00786914" w:rsidRPr="00352FE5" w:rsidRDefault="00786914" w:rsidP="0006743B">
            <w:pPr>
              <w:pStyle w:val="TableText"/>
            </w:pPr>
            <w:r w:rsidRPr="00352FE5">
              <w:t>17</w:t>
            </w:r>
          </w:p>
        </w:tc>
        <w:tc>
          <w:tcPr>
            <w:tcW w:w="470" w:type="pct"/>
          </w:tcPr>
          <w:p w:rsidR="00786914" w:rsidRPr="00352FE5" w:rsidRDefault="00786914" w:rsidP="0006743B">
            <w:pPr>
              <w:pStyle w:val="TableText"/>
            </w:pPr>
            <w:r w:rsidRPr="00352FE5">
              <w:t>13</w:t>
            </w:r>
          </w:p>
        </w:tc>
      </w:tr>
      <w:tr w:rsidR="00786914" w:rsidRPr="00593593" w:rsidTr="0006743B">
        <w:trPr>
          <w:trHeight w:val="70"/>
        </w:trPr>
        <w:tc>
          <w:tcPr>
            <w:tcW w:w="576" w:type="pct"/>
          </w:tcPr>
          <w:p w:rsidR="00786914" w:rsidRPr="00352FE5" w:rsidRDefault="00786914" w:rsidP="0006743B">
            <w:pPr>
              <w:pStyle w:val="TableText"/>
            </w:pPr>
            <w:r w:rsidRPr="00352FE5">
              <w:t>37208</w:t>
            </w:r>
          </w:p>
        </w:tc>
        <w:tc>
          <w:tcPr>
            <w:tcW w:w="2468" w:type="pct"/>
          </w:tcPr>
          <w:p w:rsidR="00786914" w:rsidRPr="00352FE5" w:rsidRDefault="00786914" w:rsidP="0006743B">
            <w:pPr>
              <w:pStyle w:val="TableText"/>
            </w:pPr>
            <w:r w:rsidRPr="00352FE5">
              <w:t>Visual laser ablation (continuation within 10 days)</w:t>
            </w:r>
          </w:p>
        </w:tc>
        <w:tc>
          <w:tcPr>
            <w:tcW w:w="547" w:type="pct"/>
          </w:tcPr>
          <w:p w:rsidR="00786914" w:rsidRPr="00352FE5" w:rsidRDefault="00786914" w:rsidP="0006743B">
            <w:pPr>
              <w:pStyle w:val="TableText"/>
            </w:pPr>
            <w:r w:rsidRPr="00352FE5">
              <w:t>$400.30</w:t>
            </w:r>
          </w:p>
        </w:tc>
        <w:tc>
          <w:tcPr>
            <w:tcW w:w="470" w:type="pct"/>
          </w:tcPr>
          <w:p w:rsidR="00786914" w:rsidRPr="00352FE5" w:rsidRDefault="00786914" w:rsidP="0006743B">
            <w:pPr>
              <w:pStyle w:val="TableText"/>
            </w:pPr>
            <w:r w:rsidRPr="00352FE5">
              <w:t>2</w:t>
            </w:r>
          </w:p>
        </w:tc>
        <w:tc>
          <w:tcPr>
            <w:tcW w:w="470" w:type="pct"/>
          </w:tcPr>
          <w:p w:rsidR="00786914" w:rsidRPr="00DE2873" w:rsidRDefault="00786914" w:rsidP="0006743B">
            <w:pPr>
              <w:pStyle w:val="TableText"/>
            </w:pPr>
            <w:r w:rsidRPr="00DE2873">
              <w:t>2</w:t>
            </w:r>
          </w:p>
        </w:tc>
        <w:tc>
          <w:tcPr>
            <w:tcW w:w="470" w:type="pct"/>
          </w:tcPr>
          <w:p w:rsidR="00786914" w:rsidRPr="00352FE5" w:rsidRDefault="00786914" w:rsidP="0006743B">
            <w:pPr>
              <w:pStyle w:val="TableText"/>
            </w:pPr>
            <w:r w:rsidRPr="00352FE5">
              <w:t>2</w:t>
            </w:r>
          </w:p>
        </w:tc>
      </w:tr>
      <w:tr w:rsidR="00786914" w:rsidRPr="00593593" w:rsidTr="0006743B">
        <w:trPr>
          <w:trHeight w:val="70"/>
        </w:trPr>
        <w:tc>
          <w:tcPr>
            <w:tcW w:w="576" w:type="pct"/>
          </w:tcPr>
          <w:p w:rsidR="00786914" w:rsidRPr="00352FE5" w:rsidRDefault="00786914" w:rsidP="0006743B">
            <w:pPr>
              <w:pStyle w:val="TableText"/>
            </w:pPr>
            <w:r w:rsidRPr="00352FE5">
              <w:t>37202</w:t>
            </w:r>
          </w:p>
        </w:tc>
        <w:tc>
          <w:tcPr>
            <w:tcW w:w="2468" w:type="pct"/>
          </w:tcPr>
          <w:p w:rsidR="00786914" w:rsidRPr="00352FE5" w:rsidRDefault="00786914" w:rsidP="0006743B">
            <w:pPr>
              <w:pStyle w:val="TableText"/>
            </w:pPr>
            <w:r w:rsidRPr="00352FE5">
              <w:t>Transurethral needle ablation [TUNA] (continuation within 10 days)</w:t>
            </w:r>
          </w:p>
        </w:tc>
        <w:tc>
          <w:tcPr>
            <w:tcW w:w="547" w:type="pct"/>
          </w:tcPr>
          <w:p w:rsidR="00786914" w:rsidRPr="00352FE5" w:rsidRDefault="00786914" w:rsidP="0006743B">
            <w:pPr>
              <w:pStyle w:val="TableText"/>
            </w:pPr>
            <w:r w:rsidRPr="00352FE5">
              <w:t>$400.30</w:t>
            </w:r>
          </w:p>
        </w:tc>
        <w:tc>
          <w:tcPr>
            <w:tcW w:w="470" w:type="pct"/>
          </w:tcPr>
          <w:p w:rsidR="00786914" w:rsidRPr="00352FE5" w:rsidRDefault="00786914" w:rsidP="0006743B">
            <w:pPr>
              <w:pStyle w:val="TableText"/>
            </w:pPr>
            <w:r w:rsidRPr="00352FE5">
              <w:t>3</w:t>
            </w:r>
          </w:p>
        </w:tc>
        <w:tc>
          <w:tcPr>
            <w:tcW w:w="470" w:type="pct"/>
          </w:tcPr>
          <w:p w:rsidR="00786914" w:rsidRPr="00352FE5" w:rsidRDefault="00786914" w:rsidP="0006743B">
            <w:pPr>
              <w:pStyle w:val="TableText"/>
            </w:pPr>
            <w:r w:rsidRPr="00352FE5">
              <w:t>1</w:t>
            </w:r>
          </w:p>
        </w:tc>
        <w:tc>
          <w:tcPr>
            <w:tcW w:w="470" w:type="pct"/>
          </w:tcPr>
          <w:p w:rsidR="00786914" w:rsidRPr="00352FE5" w:rsidRDefault="00786914" w:rsidP="0006743B">
            <w:pPr>
              <w:pStyle w:val="TableText"/>
            </w:pPr>
            <w:r w:rsidRPr="00352FE5">
              <w:t>1</w:t>
            </w:r>
          </w:p>
        </w:tc>
      </w:tr>
      <w:tr w:rsidR="00786914" w:rsidRPr="00593593" w:rsidTr="0006743B">
        <w:trPr>
          <w:trHeight w:val="70"/>
        </w:trPr>
        <w:tc>
          <w:tcPr>
            <w:tcW w:w="576" w:type="pct"/>
          </w:tcPr>
          <w:p w:rsidR="00786914" w:rsidRPr="00352FE5" w:rsidRDefault="00786914" w:rsidP="0006743B">
            <w:pPr>
              <w:pStyle w:val="TableText"/>
            </w:pPr>
            <w:r w:rsidRPr="00352FE5">
              <w:t>37233</w:t>
            </w:r>
          </w:p>
        </w:tc>
        <w:tc>
          <w:tcPr>
            <w:tcW w:w="2468" w:type="pct"/>
          </w:tcPr>
          <w:p w:rsidR="00786914" w:rsidRPr="00352FE5" w:rsidRDefault="00786914" w:rsidP="0006743B">
            <w:pPr>
              <w:pStyle w:val="TableText"/>
            </w:pPr>
            <w:r w:rsidRPr="00352FE5">
              <w:t>Transurethral microwave thermotherapy [TUMT] (continuation within 10 days)</w:t>
            </w:r>
          </w:p>
        </w:tc>
        <w:tc>
          <w:tcPr>
            <w:tcW w:w="547" w:type="pct"/>
          </w:tcPr>
          <w:p w:rsidR="00786914" w:rsidRPr="00352FE5" w:rsidRDefault="00786914" w:rsidP="0006743B">
            <w:pPr>
              <w:pStyle w:val="TableText"/>
            </w:pPr>
            <w:r w:rsidRPr="00352FE5">
              <w:t>$536.95</w:t>
            </w:r>
          </w:p>
        </w:tc>
        <w:tc>
          <w:tcPr>
            <w:tcW w:w="470" w:type="pct"/>
          </w:tcPr>
          <w:p w:rsidR="00786914" w:rsidRPr="00352FE5" w:rsidRDefault="00786914" w:rsidP="0006743B">
            <w:pPr>
              <w:pStyle w:val="TableText"/>
            </w:pPr>
            <w:r w:rsidRPr="00352FE5">
              <w:t>1</w:t>
            </w:r>
          </w:p>
        </w:tc>
        <w:tc>
          <w:tcPr>
            <w:tcW w:w="470" w:type="pct"/>
          </w:tcPr>
          <w:p w:rsidR="00786914" w:rsidRPr="00352FE5" w:rsidRDefault="00786914" w:rsidP="0006743B">
            <w:pPr>
              <w:pStyle w:val="TableText"/>
            </w:pPr>
            <w:r w:rsidRPr="00352FE5">
              <w:t>0</w:t>
            </w:r>
          </w:p>
        </w:tc>
        <w:tc>
          <w:tcPr>
            <w:tcW w:w="470" w:type="pct"/>
          </w:tcPr>
          <w:p w:rsidR="00786914" w:rsidRPr="00352FE5" w:rsidRDefault="00786914" w:rsidP="0006743B">
            <w:pPr>
              <w:pStyle w:val="TableText"/>
            </w:pPr>
            <w:r w:rsidRPr="00352FE5">
              <w:t>1</w:t>
            </w:r>
          </w:p>
        </w:tc>
      </w:tr>
    </w:tbl>
    <w:p w:rsidR="00786914" w:rsidRPr="00D508C2" w:rsidRDefault="00786914" w:rsidP="0006743B">
      <w:pPr>
        <w:pStyle w:val="TableNotes"/>
      </w:pPr>
      <w:r w:rsidRPr="00D508C2">
        <w:t xml:space="preserve">Source: </w:t>
      </w:r>
      <w:r>
        <w:t>Medicare Australia Statistics</w:t>
      </w:r>
    </w:p>
    <w:p w:rsidR="00786914" w:rsidRDefault="00786914" w:rsidP="0006743B">
      <w:r w:rsidRPr="000015E5">
        <w:rPr>
          <w:rFonts w:cs="Tahoma"/>
        </w:rPr>
        <w:t xml:space="preserve">These Medicare statistics provide a guide as to the relative casemix of these procedures. Whereas AIHW data </w:t>
      </w:r>
      <w:r w:rsidRPr="000015E5">
        <w:t>records separations in both public and</w:t>
      </w:r>
      <w:r>
        <w:t xml:space="preserve"> private hospitals in Australia,</w:t>
      </w:r>
      <w:r w:rsidRPr="000015E5">
        <w:t xml:space="preserve"> the Medicare items processed provide a guide as to the number of procedures </w:t>
      </w:r>
      <w:r>
        <w:t xml:space="preserve">that are </w:t>
      </w:r>
      <w:r w:rsidRPr="000015E5">
        <w:t xml:space="preserve">performed outside of </w:t>
      </w:r>
      <w:r>
        <w:t xml:space="preserve">inpatient </w:t>
      </w:r>
      <w:r w:rsidRPr="000015E5">
        <w:t>public hospital</w:t>
      </w:r>
      <w:r>
        <w:t xml:space="preserve"> treatment. They therefore provide a guide to the potential direct costs to the </w:t>
      </w:r>
      <w:r w:rsidRPr="000015E5">
        <w:t>government.</w:t>
      </w:r>
    </w:p>
    <w:p w:rsidR="00786914" w:rsidRDefault="00786914" w:rsidP="0006743B">
      <w:r>
        <w:t>The increased Medicare item fee proposed for HoLEP ($1</w:t>
      </w:r>
      <w:r w:rsidR="00F74585">
        <w:t>,</w:t>
      </w:r>
      <w:r>
        <w:t>423.18) compared with TURP ($1</w:t>
      </w:r>
      <w:r w:rsidR="00F74585">
        <w:t>,002.70</w:t>
      </w:r>
      <w:r>
        <w:t>) or OP ($977.80) means that, if MBS listed, there will be increased direct costs to government where the new procedure is carried out. Indirect cost savings that may accrue as a result of any shorter length of stay associated with the procedure or as a result of reduced complications would be realised by hospitals providing the procedure, by health insurers or by the patients.</w:t>
      </w:r>
    </w:p>
    <w:p w:rsidR="00786914" w:rsidRPr="006328F6" w:rsidRDefault="00786914" w:rsidP="0006743B">
      <w:r w:rsidRPr="006328F6">
        <w:t>Estimates of the likely uptake of HoLEP</w:t>
      </w:r>
      <w:r>
        <w:t xml:space="preserve"> as a replacement procedure for either TURP or HoLEP are difficult to make. It is noted in the DAP that d</w:t>
      </w:r>
      <w:r w:rsidRPr="00812DD4">
        <w:t>ue to the training requirements to develop skills in the procedure, uptake would initially be low and would increase gradually over time. It states that the procedure would be undertaken by trained urologists with the assistance of nursing staff and an anaesthetist. There is a learning curve to develop skills in the procedure which would require considerable investment from individual urologists in terms of both time and money. Therefore, HoLEP would be undertaken in specialist urology centres by specially trained urologists.</w:t>
      </w:r>
    </w:p>
    <w:p w:rsidR="00786914" w:rsidRDefault="00786914" w:rsidP="0006743B">
      <w:r>
        <w:t>In relation to HoLEP, the applicant estimated in their submission that 5-15% of the annual number of TURP cases might be considered “high-risk”. Patients would include those with cardiac conditions or those on anti-coagulant medication. HoLEP would in these patients be a suitable alternative. The procedure might also be expected to replace OP, due to the more invasive nature of the latter.</w:t>
      </w:r>
    </w:p>
    <w:p w:rsidR="00786914" w:rsidRDefault="00786914" w:rsidP="0006743B">
      <w:r>
        <w:lastRenderedPageBreak/>
        <w:t xml:space="preserve"> The projected number of HoLEP MBS item claims that may occur on an annual basis over a five year period is estimated in Table 41 below. It is based on a number of assumptions including:</w:t>
      </w:r>
    </w:p>
    <w:p w:rsidR="00786914" w:rsidRPr="00330238" w:rsidRDefault="00786914" w:rsidP="0006743B">
      <w:pPr>
        <w:pStyle w:val="Bullet"/>
      </w:pPr>
      <w:r>
        <w:t>T</w:t>
      </w:r>
      <w:r w:rsidRPr="00330238">
        <w:t>he incidence rate and total populations of men with BPH remains relatively constant, so that the total number of surgical procedures required for the condition also remain at current levels</w:t>
      </w:r>
      <w:r>
        <w:t>.</w:t>
      </w:r>
    </w:p>
    <w:p w:rsidR="00786914" w:rsidRPr="00330238" w:rsidRDefault="00786914" w:rsidP="0006743B">
      <w:pPr>
        <w:pStyle w:val="Bullet"/>
      </w:pPr>
      <w:r>
        <w:t>T</w:t>
      </w:r>
      <w:r w:rsidRPr="00330238">
        <w:t>he costs of the individual procedures are assumed to be stable over the period</w:t>
      </w:r>
      <w:r>
        <w:t>.</w:t>
      </w:r>
    </w:p>
    <w:p w:rsidR="00786914" w:rsidRPr="00330238" w:rsidRDefault="00786914" w:rsidP="0006743B">
      <w:pPr>
        <w:pStyle w:val="Bullet"/>
      </w:pPr>
      <w:r w:rsidRPr="00330238">
        <w:t xml:space="preserve">HoLEP would be an alternative to either TURP or OP only in this </w:t>
      </w:r>
      <w:r>
        <w:t>time frame</w:t>
      </w:r>
      <w:r w:rsidRPr="00330238">
        <w:t>. It is not expected, for example, that HoLEP would affect other procedures such as visual laser treatment numbers</w:t>
      </w:r>
      <w:r>
        <w:t>.</w:t>
      </w:r>
      <w:r w:rsidRPr="00330238">
        <w:t xml:space="preserve"> </w:t>
      </w:r>
    </w:p>
    <w:p w:rsidR="00786914" w:rsidRPr="00330238" w:rsidRDefault="00786914" w:rsidP="0006743B">
      <w:pPr>
        <w:pStyle w:val="Bullet"/>
      </w:pPr>
      <w:r>
        <w:t>Th</w:t>
      </w:r>
      <w:r w:rsidRPr="00330238">
        <w:t>ese estimates assume a growth rate of HoLEP that is equivalent with 5% of the total number of existing TURP procedures by year 3, and a rate of 10% by year 10. This is in line with the applicant’s estimates and is broadly equivalent to the current utilisation of visual laser ablation options. This growth rate may be conservative but takes into account the need for surgeon training, capital investment and business planning in the event of a positive MBS listing</w:t>
      </w:r>
      <w:r>
        <w:t>.</w:t>
      </w:r>
    </w:p>
    <w:p w:rsidR="00786914" w:rsidRPr="00330238" w:rsidRDefault="00786914" w:rsidP="0006743B">
      <w:pPr>
        <w:pStyle w:val="Bullet"/>
      </w:pPr>
      <w:r>
        <w:t xml:space="preserve">Five percent </w:t>
      </w:r>
      <w:r w:rsidRPr="00330238">
        <w:t>of the total number of current OPs that are performed are converted to HoLEP. It is unclear whether this is an over or an under-estimate, although the total numbers are small</w:t>
      </w:r>
      <w:r>
        <w:t>.</w:t>
      </w:r>
    </w:p>
    <w:p w:rsidR="00786914" w:rsidRDefault="00786914" w:rsidP="0006743B">
      <w:pPr>
        <w:pStyle w:val="Caption"/>
        <w:rPr>
          <w:szCs w:val="24"/>
        </w:rPr>
      </w:pPr>
      <w:bookmarkStart w:id="346" w:name="_Toc327803288"/>
      <w:bookmarkStart w:id="347" w:name="_Toc327881578"/>
      <w:r>
        <w:t xml:space="preserve">Table </w:t>
      </w:r>
      <w:fldSimple w:instr=" SEQ Table \* ARABIC ">
        <w:r w:rsidR="00F45C43">
          <w:rPr>
            <w:noProof/>
          </w:rPr>
          <w:t>41</w:t>
        </w:r>
      </w:fldSimple>
      <w:r>
        <w:t>:</w:t>
      </w:r>
      <w:r>
        <w:tab/>
        <w:t>Projected numbers of MBS item claims from 2013-2017 in event of positive HoLEP listing</w:t>
      </w:r>
      <w:bookmarkEnd w:id="346"/>
      <w:bookmarkEnd w:id="3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209"/>
        <w:gridCol w:w="1211"/>
        <w:gridCol w:w="1211"/>
        <w:gridCol w:w="1211"/>
        <w:gridCol w:w="1211"/>
        <w:gridCol w:w="1207"/>
      </w:tblGrid>
      <w:tr w:rsidR="00786914" w:rsidRPr="009464FE" w:rsidTr="00F74585">
        <w:trPr>
          <w:trHeight w:val="300"/>
        </w:trPr>
        <w:tc>
          <w:tcPr>
            <w:tcW w:w="1072" w:type="pct"/>
            <w:shd w:val="clear" w:color="auto" w:fill="auto"/>
            <w:noWrap/>
            <w:vAlign w:val="bottom"/>
            <w:hideMark/>
          </w:tcPr>
          <w:p w:rsidR="00786914" w:rsidRPr="00330238" w:rsidRDefault="00786914" w:rsidP="0006743B">
            <w:pPr>
              <w:pStyle w:val="TableText"/>
            </w:pPr>
          </w:p>
        </w:tc>
        <w:tc>
          <w:tcPr>
            <w:tcW w:w="654" w:type="pct"/>
            <w:shd w:val="clear" w:color="auto" w:fill="auto"/>
            <w:noWrap/>
            <w:vAlign w:val="bottom"/>
            <w:hideMark/>
          </w:tcPr>
          <w:p w:rsidR="00786914" w:rsidRPr="00924F9A" w:rsidRDefault="00786914" w:rsidP="0006743B">
            <w:pPr>
              <w:pStyle w:val="TableText"/>
              <w:rPr>
                <w:b/>
              </w:rPr>
            </w:pPr>
            <w:r w:rsidRPr="00924F9A">
              <w:rPr>
                <w:b/>
              </w:rPr>
              <w:t>2012</w:t>
            </w:r>
          </w:p>
        </w:tc>
        <w:tc>
          <w:tcPr>
            <w:tcW w:w="655" w:type="pct"/>
            <w:shd w:val="clear" w:color="auto" w:fill="auto"/>
            <w:noWrap/>
            <w:vAlign w:val="bottom"/>
            <w:hideMark/>
          </w:tcPr>
          <w:p w:rsidR="00786914" w:rsidRPr="00924F9A" w:rsidRDefault="00786914" w:rsidP="0006743B">
            <w:pPr>
              <w:pStyle w:val="TableText"/>
              <w:rPr>
                <w:b/>
              </w:rPr>
            </w:pPr>
            <w:r w:rsidRPr="00924F9A">
              <w:rPr>
                <w:b/>
              </w:rPr>
              <w:t>2013</w:t>
            </w:r>
          </w:p>
        </w:tc>
        <w:tc>
          <w:tcPr>
            <w:tcW w:w="655" w:type="pct"/>
            <w:shd w:val="clear" w:color="auto" w:fill="auto"/>
            <w:noWrap/>
            <w:vAlign w:val="bottom"/>
            <w:hideMark/>
          </w:tcPr>
          <w:p w:rsidR="00786914" w:rsidRPr="00924F9A" w:rsidRDefault="00786914" w:rsidP="0006743B">
            <w:pPr>
              <w:pStyle w:val="TableText"/>
              <w:rPr>
                <w:b/>
              </w:rPr>
            </w:pPr>
            <w:r w:rsidRPr="00924F9A">
              <w:rPr>
                <w:b/>
              </w:rPr>
              <w:t>2014</w:t>
            </w:r>
          </w:p>
        </w:tc>
        <w:tc>
          <w:tcPr>
            <w:tcW w:w="655" w:type="pct"/>
            <w:shd w:val="clear" w:color="auto" w:fill="auto"/>
            <w:noWrap/>
            <w:vAlign w:val="bottom"/>
            <w:hideMark/>
          </w:tcPr>
          <w:p w:rsidR="00786914" w:rsidRPr="00924F9A" w:rsidRDefault="00786914" w:rsidP="0006743B">
            <w:pPr>
              <w:pStyle w:val="TableText"/>
              <w:rPr>
                <w:b/>
              </w:rPr>
            </w:pPr>
            <w:r w:rsidRPr="00924F9A">
              <w:rPr>
                <w:b/>
              </w:rPr>
              <w:t>2015</w:t>
            </w:r>
          </w:p>
        </w:tc>
        <w:tc>
          <w:tcPr>
            <w:tcW w:w="655" w:type="pct"/>
            <w:shd w:val="clear" w:color="auto" w:fill="auto"/>
            <w:noWrap/>
            <w:vAlign w:val="bottom"/>
            <w:hideMark/>
          </w:tcPr>
          <w:p w:rsidR="00786914" w:rsidRPr="00924F9A" w:rsidRDefault="00786914" w:rsidP="0006743B">
            <w:pPr>
              <w:pStyle w:val="TableText"/>
              <w:rPr>
                <w:b/>
              </w:rPr>
            </w:pPr>
            <w:r w:rsidRPr="00924F9A">
              <w:rPr>
                <w:b/>
              </w:rPr>
              <w:t>2016</w:t>
            </w:r>
          </w:p>
        </w:tc>
        <w:tc>
          <w:tcPr>
            <w:tcW w:w="653" w:type="pct"/>
            <w:shd w:val="clear" w:color="auto" w:fill="auto"/>
            <w:noWrap/>
            <w:vAlign w:val="bottom"/>
            <w:hideMark/>
          </w:tcPr>
          <w:p w:rsidR="00786914" w:rsidRPr="00924F9A" w:rsidRDefault="00786914" w:rsidP="0006743B">
            <w:pPr>
              <w:pStyle w:val="TableText"/>
              <w:rPr>
                <w:b/>
              </w:rPr>
            </w:pPr>
            <w:r w:rsidRPr="00924F9A">
              <w:rPr>
                <w:b/>
              </w:rPr>
              <w:t>2017</w:t>
            </w:r>
          </w:p>
        </w:tc>
      </w:tr>
      <w:tr w:rsidR="00DC36DC" w:rsidRPr="009464FE" w:rsidTr="00F74585">
        <w:trPr>
          <w:trHeight w:val="300"/>
        </w:trPr>
        <w:tc>
          <w:tcPr>
            <w:tcW w:w="1072" w:type="pct"/>
            <w:shd w:val="clear" w:color="auto" w:fill="auto"/>
            <w:noWrap/>
          </w:tcPr>
          <w:p w:rsidR="00DC36DC" w:rsidRPr="00330238" w:rsidRDefault="00DC36DC" w:rsidP="0006743B">
            <w:pPr>
              <w:pStyle w:val="TableText"/>
            </w:pPr>
          </w:p>
        </w:tc>
        <w:tc>
          <w:tcPr>
            <w:tcW w:w="654" w:type="pct"/>
            <w:shd w:val="clear" w:color="auto" w:fill="auto"/>
            <w:noWrap/>
          </w:tcPr>
          <w:p w:rsidR="00DC36DC" w:rsidRPr="00DE2873" w:rsidRDefault="00DC36DC" w:rsidP="00F74585">
            <w:pPr>
              <w:pStyle w:val="TableText"/>
            </w:pPr>
          </w:p>
        </w:tc>
        <w:tc>
          <w:tcPr>
            <w:tcW w:w="655" w:type="pct"/>
            <w:shd w:val="clear" w:color="auto" w:fill="auto"/>
            <w:noWrap/>
          </w:tcPr>
          <w:p w:rsidR="00DC36DC" w:rsidRPr="00DC36DC" w:rsidRDefault="00DC36DC" w:rsidP="00386514">
            <w:pPr>
              <w:pStyle w:val="TableText"/>
            </w:pPr>
            <w:r w:rsidRPr="00DC36DC">
              <w:t>Year 1</w:t>
            </w:r>
          </w:p>
        </w:tc>
        <w:tc>
          <w:tcPr>
            <w:tcW w:w="655" w:type="pct"/>
            <w:shd w:val="clear" w:color="auto" w:fill="auto"/>
            <w:noWrap/>
          </w:tcPr>
          <w:p w:rsidR="00DC36DC" w:rsidRPr="00DC36DC" w:rsidRDefault="00DC36DC" w:rsidP="00386514">
            <w:pPr>
              <w:pStyle w:val="TableText"/>
            </w:pPr>
            <w:r w:rsidRPr="00DC36DC">
              <w:t>Year 2</w:t>
            </w:r>
          </w:p>
        </w:tc>
        <w:tc>
          <w:tcPr>
            <w:tcW w:w="655" w:type="pct"/>
            <w:shd w:val="clear" w:color="auto" w:fill="auto"/>
            <w:noWrap/>
          </w:tcPr>
          <w:p w:rsidR="00DC36DC" w:rsidRPr="00DC36DC" w:rsidRDefault="00DC36DC" w:rsidP="00386514">
            <w:pPr>
              <w:pStyle w:val="TableText"/>
            </w:pPr>
            <w:r w:rsidRPr="00DC36DC">
              <w:t>Year 3</w:t>
            </w:r>
          </w:p>
        </w:tc>
        <w:tc>
          <w:tcPr>
            <w:tcW w:w="655" w:type="pct"/>
            <w:shd w:val="clear" w:color="auto" w:fill="auto"/>
            <w:noWrap/>
          </w:tcPr>
          <w:p w:rsidR="00DC36DC" w:rsidRPr="00DC36DC" w:rsidRDefault="00DC36DC" w:rsidP="00386514">
            <w:pPr>
              <w:pStyle w:val="TableText"/>
            </w:pPr>
            <w:r w:rsidRPr="00DC36DC">
              <w:t>Year 4</w:t>
            </w:r>
          </w:p>
        </w:tc>
        <w:tc>
          <w:tcPr>
            <w:tcW w:w="653" w:type="pct"/>
            <w:shd w:val="clear" w:color="auto" w:fill="auto"/>
            <w:noWrap/>
          </w:tcPr>
          <w:p w:rsidR="00DC36DC" w:rsidRPr="00DC36DC" w:rsidRDefault="00DC36DC" w:rsidP="00386514">
            <w:pPr>
              <w:pStyle w:val="TableText"/>
            </w:pPr>
            <w:r w:rsidRPr="00DC36DC">
              <w:t>Year 5</w:t>
            </w:r>
          </w:p>
        </w:tc>
      </w:tr>
      <w:tr w:rsidR="00F74585" w:rsidRPr="009464FE" w:rsidTr="00F74585">
        <w:trPr>
          <w:trHeight w:val="300"/>
        </w:trPr>
        <w:tc>
          <w:tcPr>
            <w:tcW w:w="1072" w:type="pct"/>
            <w:shd w:val="clear" w:color="auto" w:fill="auto"/>
            <w:noWrap/>
            <w:hideMark/>
          </w:tcPr>
          <w:p w:rsidR="00F74585" w:rsidRPr="00330238" w:rsidRDefault="00F74585" w:rsidP="0006743B">
            <w:pPr>
              <w:pStyle w:val="TableText"/>
            </w:pPr>
            <w:r w:rsidRPr="00330238">
              <w:t>TURP procedures</w:t>
            </w:r>
          </w:p>
        </w:tc>
        <w:tc>
          <w:tcPr>
            <w:tcW w:w="654" w:type="pct"/>
            <w:shd w:val="clear" w:color="auto" w:fill="auto"/>
            <w:noWrap/>
            <w:hideMark/>
          </w:tcPr>
          <w:p w:rsidR="00F74585" w:rsidRPr="00F74585" w:rsidRDefault="00F74585" w:rsidP="00F74585">
            <w:pPr>
              <w:pStyle w:val="TableText"/>
            </w:pPr>
            <w:r w:rsidRPr="00F74585">
              <w:t>12,500</w:t>
            </w:r>
          </w:p>
        </w:tc>
        <w:tc>
          <w:tcPr>
            <w:tcW w:w="655" w:type="pct"/>
            <w:shd w:val="clear" w:color="auto" w:fill="auto"/>
            <w:noWrap/>
            <w:hideMark/>
          </w:tcPr>
          <w:p w:rsidR="00F74585" w:rsidRPr="00F74585" w:rsidRDefault="00F74585" w:rsidP="00F74585">
            <w:pPr>
              <w:pStyle w:val="TableText"/>
            </w:pPr>
            <w:r w:rsidRPr="00F74585">
              <w:t>12,375</w:t>
            </w:r>
          </w:p>
        </w:tc>
        <w:tc>
          <w:tcPr>
            <w:tcW w:w="655" w:type="pct"/>
            <w:shd w:val="clear" w:color="auto" w:fill="auto"/>
            <w:noWrap/>
            <w:hideMark/>
          </w:tcPr>
          <w:p w:rsidR="00F74585" w:rsidRPr="00F74585" w:rsidRDefault="00F74585" w:rsidP="00F74585">
            <w:pPr>
              <w:pStyle w:val="TableText"/>
            </w:pPr>
            <w:r w:rsidRPr="00F74585">
              <w:t>12,125</w:t>
            </w:r>
          </w:p>
        </w:tc>
        <w:tc>
          <w:tcPr>
            <w:tcW w:w="655" w:type="pct"/>
            <w:shd w:val="clear" w:color="auto" w:fill="auto"/>
            <w:noWrap/>
            <w:hideMark/>
          </w:tcPr>
          <w:p w:rsidR="00F74585" w:rsidRPr="00F74585" w:rsidRDefault="00F74585" w:rsidP="00F74585">
            <w:pPr>
              <w:pStyle w:val="TableText"/>
            </w:pPr>
            <w:r w:rsidRPr="00F74585">
              <w:t>11,875</w:t>
            </w:r>
          </w:p>
        </w:tc>
        <w:tc>
          <w:tcPr>
            <w:tcW w:w="655" w:type="pct"/>
            <w:shd w:val="clear" w:color="auto" w:fill="auto"/>
            <w:noWrap/>
            <w:hideMark/>
          </w:tcPr>
          <w:p w:rsidR="00F74585" w:rsidRPr="00F74585" w:rsidRDefault="00F74585" w:rsidP="00F74585">
            <w:pPr>
              <w:pStyle w:val="TableText"/>
            </w:pPr>
            <w:r w:rsidRPr="00F74585">
              <w:t>11,875</w:t>
            </w:r>
          </w:p>
        </w:tc>
        <w:tc>
          <w:tcPr>
            <w:tcW w:w="653" w:type="pct"/>
            <w:shd w:val="clear" w:color="auto" w:fill="auto"/>
            <w:noWrap/>
            <w:hideMark/>
          </w:tcPr>
          <w:p w:rsidR="00F74585" w:rsidRPr="00F74585" w:rsidRDefault="00F74585" w:rsidP="00F74585">
            <w:pPr>
              <w:pStyle w:val="TableText"/>
            </w:pPr>
            <w:r w:rsidRPr="00F74585">
              <w:t>11,250</w:t>
            </w:r>
          </w:p>
        </w:tc>
      </w:tr>
      <w:tr w:rsidR="00F74585" w:rsidRPr="009464FE" w:rsidTr="00F74585">
        <w:trPr>
          <w:trHeight w:val="300"/>
        </w:trPr>
        <w:tc>
          <w:tcPr>
            <w:tcW w:w="1072" w:type="pct"/>
            <w:shd w:val="clear" w:color="auto" w:fill="auto"/>
            <w:noWrap/>
            <w:hideMark/>
          </w:tcPr>
          <w:p w:rsidR="00F74585" w:rsidRPr="00330238" w:rsidRDefault="00F74585" w:rsidP="0006743B">
            <w:pPr>
              <w:pStyle w:val="TableText"/>
            </w:pPr>
            <w:r w:rsidRPr="00330238">
              <w:t>OP procedures</w:t>
            </w:r>
          </w:p>
        </w:tc>
        <w:tc>
          <w:tcPr>
            <w:tcW w:w="654" w:type="pct"/>
            <w:shd w:val="clear" w:color="auto" w:fill="auto"/>
            <w:noWrap/>
            <w:hideMark/>
          </w:tcPr>
          <w:p w:rsidR="00F74585" w:rsidRPr="00F74585" w:rsidRDefault="00F74585" w:rsidP="00F74585">
            <w:pPr>
              <w:pStyle w:val="TableText"/>
            </w:pPr>
            <w:r w:rsidRPr="00F74585">
              <w:t>150</w:t>
            </w:r>
          </w:p>
        </w:tc>
        <w:tc>
          <w:tcPr>
            <w:tcW w:w="655" w:type="pct"/>
            <w:shd w:val="clear" w:color="auto" w:fill="auto"/>
            <w:noWrap/>
            <w:hideMark/>
          </w:tcPr>
          <w:p w:rsidR="00F74585" w:rsidRPr="00F74585" w:rsidRDefault="00F74585" w:rsidP="00F74585">
            <w:pPr>
              <w:pStyle w:val="TableText"/>
            </w:pPr>
            <w:r w:rsidRPr="00F74585">
              <w:t>137</w:t>
            </w:r>
          </w:p>
        </w:tc>
        <w:tc>
          <w:tcPr>
            <w:tcW w:w="655" w:type="pct"/>
            <w:shd w:val="clear" w:color="auto" w:fill="auto"/>
            <w:noWrap/>
            <w:hideMark/>
          </w:tcPr>
          <w:p w:rsidR="00F74585" w:rsidRPr="00F74585" w:rsidRDefault="00F74585" w:rsidP="00F74585">
            <w:pPr>
              <w:pStyle w:val="TableText"/>
            </w:pPr>
            <w:r w:rsidRPr="00F74585">
              <w:t>137</w:t>
            </w:r>
          </w:p>
        </w:tc>
        <w:tc>
          <w:tcPr>
            <w:tcW w:w="655" w:type="pct"/>
            <w:shd w:val="clear" w:color="auto" w:fill="auto"/>
            <w:noWrap/>
            <w:hideMark/>
          </w:tcPr>
          <w:p w:rsidR="00F74585" w:rsidRPr="00F74585" w:rsidRDefault="00F74585" w:rsidP="00F74585">
            <w:pPr>
              <w:pStyle w:val="TableText"/>
            </w:pPr>
            <w:r w:rsidRPr="00F74585">
              <w:t>137</w:t>
            </w:r>
          </w:p>
        </w:tc>
        <w:tc>
          <w:tcPr>
            <w:tcW w:w="655" w:type="pct"/>
            <w:shd w:val="clear" w:color="auto" w:fill="auto"/>
            <w:noWrap/>
            <w:hideMark/>
          </w:tcPr>
          <w:p w:rsidR="00F74585" w:rsidRPr="00F74585" w:rsidRDefault="00F74585" w:rsidP="00F74585">
            <w:pPr>
              <w:pStyle w:val="TableText"/>
            </w:pPr>
            <w:r w:rsidRPr="00F74585">
              <w:t>137</w:t>
            </w:r>
          </w:p>
        </w:tc>
        <w:tc>
          <w:tcPr>
            <w:tcW w:w="653" w:type="pct"/>
            <w:shd w:val="clear" w:color="auto" w:fill="auto"/>
            <w:noWrap/>
            <w:hideMark/>
          </w:tcPr>
          <w:p w:rsidR="00F74585" w:rsidRPr="00F74585" w:rsidRDefault="00F74585" w:rsidP="00F74585">
            <w:pPr>
              <w:pStyle w:val="TableText"/>
            </w:pPr>
            <w:r w:rsidRPr="00F74585">
              <w:t>137</w:t>
            </w:r>
          </w:p>
        </w:tc>
      </w:tr>
      <w:tr w:rsidR="00F74585" w:rsidRPr="009464FE" w:rsidTr="00F74585">
        <w:trPr>
          <w:trHeight w:val="600"/>
        </w:trPr>
        <w:tc>
          <w:tcPr>
            <w:tcW w:w="1072" w:type="pct"/>
            <w:shd w:val="clear" w:color="auto" w:fill="auto"/>
            <w:hideMark/>
          </w:tcPr>
          <w:p w:rsidR="00F74585" w:rsidRPr="00330238" w:rsidRDefault="00F74585" w:rsidP="0006743B">
            <w:pPr>
              <w:pStyle w:val="TableText"/>
            </w:pPr>
            <w:r w:rsidRPr="00330238">
              <w:t>HoLEP procedures replacing TURP</w:t>
            </w:r>
          </w:p>
        </w:tc>
        <w:tc>
          <w:tcPr>
            <w:tcW w:w="654" w:type="pct"/>
            <w:shd w:val="clear" w:color="auto" w:fill="auto"/>
            <w:noWrap/>
            <w:hideMark/>
          </w:tcPr>
          <w:p w:rsidR="00F74585" w:rsidRPr="00F74585" w:rsidRDefault="00F74585" w:rsidP="00F74585">
            <w:pPr>
              <w:pStyle w:val="TableText"/>
            </w:pPr>
            <w:r w:rsidRPr="00F74585">
              <w:t>-</w:t>
            </w:r>
          </w:p>
        </w:tc>
        <w:tc>
          <w:tcPr>
            <w:tcW w:w="655" w:type="pct"/>
            <w:shd w:val="clear" w:color="auto" w:fill="auto"/>
            <w:noWrap/>
            <w:hideMark/>
          </w:tcPr>
          <w:p w:rsidR="00F74585" w:rsidRPr="00F74585" w:rsidRDefault="00F74585" w:rsidP="00F74585">
            <w:pPr>
              <w:pStyle w:val="TableText"/>
            </w:pPr>
            <w:r w:rsidRPr="00F74585">
              <w:t>125</w:t>
            </w:r>
          </w:p>
        </w:tc>
        <w:tc>
          <w:tcPr>
            <w:tcW w:w="655" w:type="pct"/>
            <w:shd w:val="clear" w:color="auto" w:fill="auto"/>
            <w:noWrap/>
            <w:hideMark/>
          </w:tcPr>
          <w:p w:rsidR="00F74585" w:rsidRPr="00F74585" w:rsidRDefault="00F74585" w:rsidP="00F74585">
            <w:pPr>
              <w:pStyle w:val="TableText"/>
            </w:pPr>
            <w:r w:rsidRPr="00F74585">
              <w:t>375</w:t>
            </w:r>
          </w:p>
        </w:tc>
        <w:tc>
          <w:tcPr>
            <w:tcW w:w="655" w:type="pct"/>
            <w:shd w:val="clear" w:color="auto" w:fill="auto"/>
            <w:noWrap/>
            <w:hideMark/>
          </w:tcPr>
          <w:p w:rsidR="00F74585" w:rsidRPr="00F74585" w:rsidRDefault="00F74585" w:rsidP="00F74585">
            <w:pPr>
              <w:pStyle w:val="TableText"/>
            </w:pPr>
            <w:r w:rsidRPr="00F74585">
              <w:t>625</w:t>
            </w:r>
          </w:p>
        </w:tc>
        <w:tc>
          <w:tcPr>
            <w:tcW w:w="655" w:type="pct"/>
            <w:shd w:val="clear" w:color="auto" w:fill="auto"/>
            <w:noWrap/>
            <w:hideMark/>
          </w:tcPr>
          <w:p w:rsidR="00F74585" w:rsidRPr="00F74585" w:rsidRDefault="00F74585" w:rsidP="00F74585">
            <w:pPr>
              <w:pStyle w:val="TableText"/>
            </w:pPr>
            <w:r w:rsidRPr="00F74585">
              <w:t>625</w:t>
            </w:r>
          </w:p>
        </w:tc>
        <w:tc>
          <w:tcPr>
            <w:tcW w:w="653" w:type="pct"/>
            <w:shd w:val="clear" w:color="auto" w:fill="auto"/>
            <w:noWrap/>
            <w:hideMark/>
          </w:tcPr>
          <w:p w:rsidR="00F74585" w:rsidRPr="00F74585" w:rsidRDefault="00F74585" w:rsidP="00F74585">
            <w:pPr>
              <w:pStyle w:val="TableText"/>
            </w:pPr>
            <w:r w:rsidRPr="00F74585">
              <w:t>1,250</w:t>
            </w:r>
          </w:p>
        </w:tc>
      </w:tr>
      <w:tr w:rsidR="00F74585" w:rsidRPr="009464FE" w:rsidTr="00F74585">
        <w:trPr>
          <w:trHeight w:val="600"/>
        </w:trPr>
        <w:tc>
          <w:tcPr>
            <w:tcW w:w="1072" w:type="pct"/>
            <w:shd w:val="clear" w:color="auto" w:fill="auto"/>
            <w:hideMark/>
          </w:tcPr>
          <w:p w:rsidR="00F74585" w:rsidRPr="00330238" w:rsidRDefault="00F74585" w:rsidP="0006743B">
            <w:pPr>
              <w:pStyle w:val="TableText"/>
            </w:pPr>
            <w:r w:rsidRPr="00330238">
              <w:t>HoLEP procedures replacing OP</w:t>
            </w:r>
          </w:p>
        </w:tc>
        <w:tc>
          <w:tcPr>
            <w:tcW w:w="654" w:type="pct"/>
            <w:shd w:val="clear" w:color="auto" w:fill="auto"/>
            <w:noWrap/>
            <w:hideMark/>
          </w:tcPr>
          <w:p w:rsidR="00F74585" w:rsidRPr="00F74585" w:rsidRDefault="00F74585" w:rsidP="00F74585">
            <w:pPr>
              <w:pStyle w:val="TableText"/>
            </w:pPr>
            <w:r w:rsidRPr="00F74585">
              <w:t>-</w:t>
            </w:r>
          </w:p>
        </w:tc>
        <w:tc>
          <w:tcPr>
            <w:tcW w:w="655" w:type="pct"/>
            <w:shd w:val="clear" w:color="auto" w:fill="auto"/>
            <w:noWrap/>
            <w:hideMark/>
          </w:tcPr>
          <w:p w:rsidR="00F74585" w:rsidRPr="00F74585" w:rsidRDefault="00F74585" w:rsidP="00F74585">
            <w:pPr>
              <w:pStyle w:val="TableText"/>
            </w:pPr>
            <w:r w:rsidRPr="00F74585">
              <w:t>13</w:t>
            </w:r>
          </w:p>
        </w:tc>
        <w:tc>
          <w:tcPr>
            <w:tcW w:w="655" w:type="pct"/>
            <w:shd w:val="clear" w:color="auto" w:fill="auto"/>
            <w:noWrap/>
            <w:hideMark/>
          </w:tcPr>
          <w:p w:rsidR="00F74585" w:rsidRPr="00F74585" w:rsidRDefault="00F74585" w:rsidP="00F74585">
            <w:pPr>
              <w:pStyle w:val="TableText"/>
            </w:pPr>
            <w:r w:rsidRPr="00F74585">
              <w:t>13</w:t>
            </w:r>
          </w:p>
        </w:tc>
        <w:tc>
          <w:tcPr>
            <w:tcW w:w="655" w:type="pct"/>
            <w:shd w:val="clear" w:color="auto" w:fill="auto"/>
            <w:noWrap/>
            <w:hideMark/>
          </w:tcPr>
          <w:p w:rsidR="00F74585" w:rsidRPr="00F74585" w:rsidRDefault="00F74585" w:rsidP="00F74585">
            <w:pPr>
              <w:pStyle w:val="TableText"/>
            </w:pPr>
            <w:r w:rsidRPr="00F74585">
              <w:t>13</w:t>
            </w:r>
          </w:p>
        </w:tc>
        <w:tc>
          <w:tcPr>
            <w:tcW w:w="655" w:type="pct"/>
            <w:shd w:val="clear" w:color="auto" w:fill="auto"/>
            <w:noWrap/>
            <w:hideMark/>
          </w:tcPr>
          <w:p w:rsidR="00F74585" w:rsidRPr="00F74585" w:rsidRDefault="00F74585" w:rsidP="00F74585">
            <w:pPr>
              <w:pStyle w:val="TableText"/>
            </w:pPr>
            <w:r w:rsidRPr="00F74585">
              <w:t>13</w:t>
            </w:r>
          </w:p>
        </w:tc>
        <w:tc>
          <w:tcPr>
            <w:tcW w:w="653" w:type="pct"/>
            <w:shd w:val="clear" w:color="auto" w:fill="auto"/>
            <w:noWrap/>
            <w:hideMark/>
          </w:tcPr>
          <w:p w:rsidR="00F74585" w:rsidRPr="00F74585" w:rsidRDefault="00F74585" w:rsidP="00F74585">
            <w:pPr>
              <w:pStyle w:val="TableText"/>
            </w:pPr>
            <w:r w:rsidRPr="00F74585">
              <w:t>13</w:t>
            </w:r>
          </w:p>
        </w:tc>
      </w:tr>
      <w:tr w:rsidR="00F74585" w:rsidRPr="009464FE" w:rsidTr="00F74585">
        <w:trPr>
          <w:trHeight w:val="300"/>
        </w:trPr>
        <w:tc>
          <w:tcPr>
            <w:tcW w:w="1072" w:type="pct"/>
            <w:shd w:val="clear" w:color="auto" w:fill="auto"/>
            <w:noWrap/>
            <w:hideMark/>
          </w:tcPr>
          <w:p w:rsidR="00F74585" w:rsidRPr="00330238" w:rsidRDefault="00F74585" w:rsidP="0006743B">
            <w:pPr>
              <w:pStyle w:val="TableText"/>
            </w:pPr>
            <w:r w:rsidRPr="00330238">
              <w:t>Total HoLEP procedures</w:t>
            </w:r>
          </w:p>
        </w:tc>
        <w:tc>
          <w:tcPr>
            <w:tcW w:w="654" w:type="pct"/>
            <w:shd w:val="clear" w:color="auto" w:fill="auto"/>
            <w:noWrap/>
            <w:hideMark/>
          </w:tcPr>
          <w:p w:rsidR="00F74585" w:rsidRPr="00F74585" w:rsidRDefault="00F74585" w:rsidP="00F74585">
            <w:pPr>
              <w:pStyle w:val="TableText"/>
            </w:pPr>
            <w:r w:rsidRPr="00F74585">
              <w:t>-</w:t>
            </w:r>
          </w:p>
        </w:tc>
        <w:tc>
          <w:tcPr>
            <w:tcW w:w="655" w:type="pct"/>
            <w:shd w:val="clear" w:color="auto" w:fill="auto"/>
            <w:noWrap/>
            <w:hideMark/>
          </w:tcPr>
          <w:p w:rsidR="00F74585" w:rsidRPr="00F74585" w:rsidRDefault="00F74585" w:rsidP="00F74585">
            <w:pPr>
              <w:pStyle w:val="TableText"/>
            </w:pPr>
            <w:r w:rsidRPr="00F74585">
              <w:t>138</w:t>
            </w:r>
          </w:p>
        </w:tc>
        <w:tc>
          <w:tcPr>
            <w:tcW w:w="655" w:type="pct"/>
            <w:shd w:val="clear" w:color="auto" w:fill="auto"/>
            <w:noWrap/>
            <w:hideMark/>
          </w:tcPr>
          <w:p w:rsidR="00F74585" w:rsidRPr="00F74585" w:rsidRDefault="00F74585" w:rsidP="00F74585">
            <w:pPr>
              <w:pStyle w:val="TableText"/>
            </w:pPr>
            <w:r w:rsidRPr="00F74585">
              <w:t>388</w:t>
            </w:r>
          </w:p>
        </w:tc>
        <w:tc>
          <w:tcPr>
            <w:tcW w:w="655" w:type="pct"/>
            <w:shd w:val="clear" w:color="auto" w:fill="auto"/>
            <w:noWrap/>
            <w:hideMark/>
          </w:tcPr>
          <w:p w:rsidR="00F74585" w:rsidRPr="00F74585" w:rsidRDefault="00F74585" w:rsidP="00F74585">
            <w:pPr>
              <w:pStyle w:val="TableText"/>
            </w:pPr>
            <w:r w:rsidRPr="00F74585">
              <w:t>638</w:t>
            </w:r>
          </w:p>
        </w:tc>
        <w:tc>
          <w:tcPr>
            <w:tcW w:w="655" w:type="pct"/>
            <w:shd w:val="clear" w:color="auto" w:fill="auto"/>
            <w:noWrap/>
            <w:hideMark/>
          </w:tcPr>
          <w:p w:rsidR="00F74585" w:rsidRPr="00F74585" w:rsidRDefault="00F74585" w:rsidP="00F74585">
            <w:pPr>
              <w:pStyle w:val="TableText"/>
            </w:pPr>
            <w:r w:rsidRPr="00F74585">
              <w:t>638</w:t>
            </w:r>
          </w:p>
        </w:tc>
        <w:tc>
          <w:tcPr>
            <w:tcW w:w="653" w:type="pct"/>
            <w:shd w:val="clear" w:color="auto" w:fill="auto"/>
            <w:noWrap/>
            <w:hideMark/>
          </w:tcPr>
          <w:p w:rsidR="00F74585" w:rsidRPr="00F74585" w:rsidRDefault="00F74585" w:rsidP="00F74585">
            <w:pPr>
              <w:pStyle w:val="TableText"/>
            </w:pPr>
            <w:r w:rsidRPr="00F74585">
              <w:t>1,263</w:t>
            </w:r>
          </w:p>
        </w:tc>
      </w:tr>
      <w:tr w:rsidR="00F74585" w:rsidRPr="009464FE" w:rsidTr="00F74585">
        <w:trPr>
          <w:trHeight w:val="600"/>
        </w:trPr>
        <w:tc>
          <w:tcPr>
            <w:tcW w:w="1072" w:type="pct"/>
            <w:shd w:val="clear" w:color="auto" w:fill="auto"/>
            <w:hideMark/>
          </w:tcPr>
          <w:p w:rsidR="00F74585" w:rsidRPr="00330238" w:rsidRDefault="00F74585" w:rsidP="0006743B">
            <w:pPr>
              <w:pStyle w:val="TableText"/>
            </w:pPr>
            <w:r>
              <w:t>T</w:t>
            </w:r>
            <w:r w:rsidRPr="00330238">
              <w:t>otal number of BPH procedures</w:t>
            </w:r>
          </w:p>
        </w:tc>
        <w:tc>
          <w:tcPr>
            <w:tcW w:w="654" w:type="pct"/>
            <w:shd w:val="clear" w:color="auto" w:fill="auto"/>
            <w:noWrap/>
            <w:hideMark/>
          </w:tcPr>
          <w:p w:rsidR="00F74585" w:rsidRPr="00F74585" w:rsidRDefault="00F74585" w:rsidP="00F74585">
            <w:pPr>
              <w:pStyle w:val="TableText"/>
            </w:pPr>
            <w:r w:rsidRPr="00F74585">
              <w:t>12,650</w:t>
            </w:r>
          </w:p>
        </w:tc>
        <w:tc>
          <w:tcPr>
            <w:tcW w:w="655" w:type="pct"/>
            <w:shd w:val="clear" w:color="auto" w:fill="auto"/>
            <w:noWrap/>
            <w:hideMark/>
          </w:tcPr>
          <w:p w:rsidR="00F74585" w:rsidRPr="00F74585" w:rsidRDefault="00F74585" w:rsidP="00F74585">
            <w:pPr>
              <w:pStyle w:val="TableText"/>
            </w:pPr>
            <w:r w:rsidRPr="00F74585">
              <w:t>12,650</w:t>
            </w:r>
          </w:p>
        </w:tc>
        <w:tc>
          <w:tcPr>
            <w:tcW w:w="655" w:type="pct"/>
            <w:shd w:val="clear" w:color="auto" w:fill="auto"/>
            <w:noWrap/>
            <w:hideMark/>
          </w:tcPr>
          <w:p w:rsidR="00F74585" w:rsidRPr="00F74585" w:rsidRDefault="00F74585" w:rsidP="00F74585">
            <w:pPr>
              <w:pStyle w:val="TableText"/>
            </w:pPr>
            <w:r w:rsidRPr="00F74585">
              <w:t>12,650</w:t>
            </w:r>
          </w:p>
        </w:tc>
        <w:tc>
          <w:tcPr>
            <w:tcW w:w="655" w:type="pct"/>
            <w:shd w:val="clear" w:color="auto" w:fill="auto"/>
            <w:noWrap/>
            <w:hideMark/>
          </w:tcPr>
          <w:p w:rsidR="00F74585" w:rsidRPr="00F74585" w:rsidRDefault="00F74585" w:rsidP="00F74585">
            <w:pPr>
              <w:pStyle w:val="TableText"/>
            </w:pPr>
            <w:r w:rsidRPr="00F74585">
              <w:t>12,650</w:t>
            </w:r>
          </w:p>
        </w:tc>
        <w:tc>
          <w:tcPr>
            <w:tcW w:w="655" w:type="pct"/>
            <w:shd w:val="clear" w:color="auto" w:fill="auto"/>
            <w:noWrap/>
            <w:hideMark/>
          </w:tcPr>
          <w:p w:rsidR="00F74585" w:rsidRPr="00F74585" w:rsidRDefault="00F74585" w:rsidP="00F74585">
            <w:pPr>
              <w:pStyle w:val="TableText"/>
            </w:pPr>
            <w:r w:rsidRPr="00F74585">
              <w:t>12,650</w:t>
            </w:r>
          </w:p>
        </w:tc>
        <w:tc>
          <w:tcPr>
            <w:tcW w:w="653" w:type="pct"/>
            <w:shd w:val="clear" w:color="auto" w:fill="auto"/>
            <w:noWrap/>
            <w:hideMark/>
          </w:tcPr>
          <w:p w:rsidR="00F74585" w:rsidRPr="00F74585" w:rsidRDefault="00F74585" w:rsidP="00F74585">
            <w:pPr>
              <w:pStyle w:val="TableText"/>
            </w:pPr>
            <w:r w:rsidRPr="00F74585">
              <w:t>12,650</w:t>
            </w:r>
          </w:p>
        </w:tc>
      </w:tr>
    </w:tbl>
    <w:p w:rsidR="00786914" w:rsidRDefault="00786914" w:rsidP="0006743B">
      <w:pPr>
        <w:rPr>
          <w:rFonts w:cs="Tahoma"/>
          <w:szCs w:val="24"/>
        </w:rPr>
      </w:pPr>
    </w:p>
    <w:p w:rsidR="00786914" w:rsidRDefault="00786914" w:rsidP="0006743B">
      <w:r>
        <w:t>Based on the projected numbers above, the total MBS cost over the five years is shown in Table 42 below.</w:t>
      </w:r>
    </w:p>
    <w:p w:rsidR="00786914" w:rsidRPr="002841AA" w:rsidRDefault="00786914" w:rsidP="0006743B">
      <w:r>
        <w:t>The total costs of the MBS item fees over a five year period based on the above numbers are shown in Table 42 below. They show the additional costs that would be incurred each year associated with the listing of HoLEP as well as the total cost to Government given that there would only be a 75% benefit on these items.</w:t>
      </w:r>
    </w:p>
    <w:p w:rsidR="00786914" w:rsidRDefault="00786914">
      <w:pPr>
        <w:spacing w:after="0"/>
        <w:ind w:left="0"/>
        <w:rPr>
          <w:b/>
          <w:bCs/>
          <w:sz w:val="20"/>
        </w:rPr>
      </w:pPr>
      <w:r>
        <w:br w:type="page"/>
      </w:r>
    </w:p>
    <w:p w:rsidR="00786914" w:rsidRDefault="00786914" w:rsidP="0006743B">
      <w:pPr>
        <w:pStyle w:val="Caption"/>
        <w:rPr>
          <w:rFonts w:cs="Tahoma"/>
          <w:szCs w:val="24"/>
        </w:rPr>
      </w:pPr>
      <w:bookmarkStart w:id="348" w:name="_Toc327803289"/>
      <w:bookmarkStart w:id="349" w:name="_Toc327881579"/>
      <w:r>
        <w:lastRenderedPageBreak/>
        <w:t xml:space="preserve">Table </w:t>
      </w:r>
      <w:fldSimple w:instr=" SEQ Table \* ARABIC ">
        <w:r w:rsidR="00F45C43">
          <w:rPr>
            <w:noProof/>
          </w:rPr>
          <w:t>42</w:t>
        </w:r>
      </w:fldSimple>
      <w:r>
        <w:t xml:space="preserve">: </w:t>
      </w:r>
      <w:r>
        <w:tab/>
        <w:t>Total cost over a five year period</w:t>
      </w:r>
      <w:bookmarkEnd w:id="348"/>
      <w:bookmarkEnd w:id="3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73"/>
        <w:gridCol w:w="1037"/>
        <w:gridCol w:w="1037"/>
        <w:gridCol w:w="1037"/>
        <w:gridCol w:w="1037"/>
        <w:gridCol w:w="1037"/>
        <w:gridCol w:w="1037"/>
      </w:tblGrid>
      <w:tr w:rsidR="00786914" w:rsidRPr="00A9072C" w:rsidTr="00DC36DC">
        <w:trPr>
          <w:trHeight w:val="300"/>
        </w:trPr>
        <w:tc>
          <w:tcPr>
            <w:tcW w:w="0" w:type="auto"/>
            <w:shd w:val="clear" w:color="auto" w:fill="auto"/>
            <w:noWrap/>
            <w:hideMark/>
          </w:tcPr>
          <w:p w:rsidR="00786914" w:rsidRPr="003D5A00" w:rsidRDefault="00786914" w:rsidP="0006743B">
            <w:pPr>
              <w:pStyle w:val="TableText"/>
            </w:pPr>
          </w:p>
        </w:tc>
        <w:tc>
          <w:tcPr>
            <w:tcW w:w="0" w:type="auto"/>
            <w:shd w:val="clear" w:color="auto" w:fill="auto"/>
            <w:noWrap/>
            <w:hideMark/>
          </w:tcPr>
          <w:p w:rsidR="00786914" w:rsidRPr="00DE2873" w:rsidRDefault="00786914" w:rsidP="0006743B">
            <w:pPr>
              <w:pStyle w:val="TableText"/>
              <w:rPr>
                <w:b/>
              </w:rPr>
            </w:pPr>
            <w:r w:rsidRPr="00DE2873">
              <w:rPr>
                <w:b/>
              </w:rPr>
              <w:t>Item fee</w:t>
            </w:r>
          </w:p>
        </w:tc>
        <w:tc>
          <w:tcPr>
            <w:tcW w:w="0" w:type="auto"/>
            <w:shd w:val="clear" w:color="auto" w:fill="auto"/>
            <w:noWrap/>
            <w:hideMark/>
          </w:tcPr>
          <w:p w:rsidR="00786914" w:rsidRPr="00DE2873" w:rsidRDefault="00786914" w:rsidP="0006743B">
            <w:pPr>
              <w:pStyle w:val="TableText"/>
              <w:rPr>
                <w:b/>
              </w:rPr>
            </w:pPr>
            <w:r w:rsidRPr="00DE2873">
              <w:rPr>
                <w:b/>
              </w:rPr>
              <w:t>2012</w:t>
            </w:r>
          </w:p>
        </w:tc>
        <w:tc>
          <w:tcPr>
            <w:tcW w:w="0" w:type="auto"/>
            <w:shd w:val="clear" w:color="auto" w:fill="auto"/>
            <w:noWrap/>
            <w:hideMark/>
          </w:tcPr>
          <w:p w:rsidR="00786914" w:rsidRPr="00DE2873" w:rsidRDefault="00786914" w:rsidP="0006743B">
            <w:pPr>
              <w:pStyle w:val="TableText"/>
              <w:rPr>
                <w:b/>
              </w:rPr>
            </w:pPr>
            <w:r w:rsidRPr="00DE2873">
              <w:rPr>
                <w:b/>
              </w:rPr>
              <w:t>2013</w:t>
            </w:r>
          </w:p>
        </w:tc>
        <w:tc>
          <w:tcPr>
            <w:tcW w:w="0" w:type="auto"/>
            <w:shd w:val="clear" w:color="auto" w:fill="auto"/>
            <w:noWrap/>
            <w:hideMark/>
          </w:tcPr>
          <w:p w:rsidR="00786914" w:rsidRPr="00DE2873" w:rsidRDefault="00786914" w:rsidP="0006743B">
            <w:pPr>
              <w:pStyle w:val="TableText"/>
              <w:rPr>
                <w:b/>
              </w:rPr>
            </w:pPr>
            <w:r w:rsidRPr="00DE2873">
              <w:rPr>
                <w:b/>
              </w:rPr>
              <w:t>2014</w:t>
            </w:r>
          </w:p>
        </w:tc>
        <w:tc>
          <w:tcPr>
            <w:tcW w:w="0" w:type="auto"/>
            <w:shd w:val="clear" w:color="auto" w:fill="auto"/>
            <w:noWrap/>
            <w:hideMark/>
          </w:tcPr>
          <w:p w:rsidR="00786914" w:rsidRPr="00DE2873" w:rsidRDefault="00786914" w:rsidP="0006743B">
            <w:pPr>
              <w:pStyle w:val="TableText"/>
              <w:rPr>
                <w:b/>
              </w:rPr>
            </w:pPr>
            <w:r w:rsidRPr="00DE2873">
              <w:rPr>
                <w:b/>
              </w:rPr>
              <w:t>2015</w:t>
            </w:r>
          </w:p>
        </w:tc>
        <w:tc>
          <w:tcPr>
            <w:tcW w:w="0" w:type="auto"/>
            <w:shd w:val="clear" w:color="auto" w:fill="auto"/>
            <w:noWrap/>
            <w:hideMark/>
          </w:tcPr>
          <w:p w:rsidR="00786914" w:rsidRPr="00DE2873" w:rsidRDefault="00786914" w:rsidP="0006743B">
            <w:pPr>
              <w:pStyle w:val="TableText"/>
              <w:rPr>
                <w:b/>
              </w:rPr>
            </w:pPr>
            <w:r w:rsidRPr="00DE2873">
              <w:rPr>
                <w:b/>
              </w:rPr>
              <w:t>2016</w:t>
            </w:r>
          </w:p>
        </w:tc>
        <w:tc>
          <w:tcPr>
            <w:tcW w:w="0" w:type="auto"/>
            <w:shd w:val="clear" w:color="auto" w:fill="auto"/>
            <w:noWrap/>
            <w:hideMark/>
          </w:tcPr>
          <w:p w:rsidR="00786914" w:rsidRPr="00DE2873" w:rsidRDefault="00786914" w:rsidP="0006743B">
            <w:pPr>
              <w:pStyle w:val="TableText"/>
              <w:rPr>
                <w:b/>
              </w:rPr>
            </w:pPr>
            <w:r w:rsidRPr="00DE2873">
              <w:rPr>
                <w:b/>
              </w:rPr>
              <w:t>2017</w:t>
            </w:r>
          </w:p>
        </w:tc>
      </w:tr>
      <w:tr w:rsidR="00DC36DC" w:rsidRPr="00A9072C" w:rsidTr="00DC36DC">
        <w:trPr>
          <w:trHeight w:val="300"/>
        </w:trPr>
        <w:tc>
          <w:tcPr>
            <w:tcW w:w="0" w:type="auto"/>
            <w:shd w:val="clear" w:color="auto" w:fill="auto"/>
            <w:noWrap/>
          </w:tcPr>
          <w:p w:rsidR="00DC36DC" w:rsidRPr="003D5A00" w:rsidRDefault="00DC36DC" w:rsidP="0006743B">
            <w:pPr>
              <w:pStyle w:val="TableText"/>
              <w:rPr>
                <w:b/>
              </w:rPr>
            </w:pPr>
          </w:p>
        </w:tc>
        <w:tc>
          <w:tcPr>
            <w:tcW w:w="0" w:type="auto"/>
            <w:shd w:val="clear" w:color="auto" w:fill="auto"/>
            <w:noWrap/>
          </w:tcPr>
          <w:p w:rsidR="00DC36DC" w:rsidRPr="00DC36DC" w:rsidRDefault="00DC36DC" w:rsidP="00DC36DC">
            <w:pPr>
              <w:pStyle w:val="TableText"/>
            </w:pPr>
          </w:p>
        </w:tc>
        <w:tc>
          <w:tcPr>
            <w:tcW w:w="0" w:type="auto"/>
            <w:shd w:val="clear" w:color="auto" w:fill="auto"/>
            <w:noWrap/>
          </w:tcPr>
          <w:p w:rsidR="00DC36DC" w:rsidRPr="00DC36DC" w:rsidRDefault="00DC36DC" w:rsidP="00DC36DC">
            <w:pPr>
              <w:pStyle w:val="TableText"/>
            </w:pPr>
          </w:p>
        </w:tc>
        <w:tc>
          <w:tcPr>
            <w:tcW w:w="0" w:type="auto"/>
            <w:shd w:val="clear" w:color="auto" w:fill="auto"/>
            <w:noWrap/>
          </w:tcPr>
          <w:p w:rsidR="00DC36DC" w:rsidRPr="00DC36DC" w:rsidRDefault="00DC36DC" w:rsidP="00386514">
            <w:pPr>
              <w:pStyle w:val="TableText"/>
            </w:pPr>
            <w:r w:rsidRPr="00DC36DC">
              <w:t>Year 1</w:t>
            </w:r>
          </w:p>
        </w:tc>
        <w:tc>
          <w:tcPr>
            <w:tcW w:w="0" w:type="auto"/>
            <w:shd w:val="clear" w:color="auto" w:fill="auto"/>
            <w:noWrap/>
          </w:tcPr>
          <w:p w:rsidR="00DC36DC" w:rsidRPr="00DC36DC" w:rsidRDefault="00DC36DC" w:rsidP="00386514">
            <w:pPr>
              <w:pStyle w:val="TableText"/>
            </w:pPr>
            <w:r w:rsidRPr="00DC36DC">
              <w:t>Year 2</w:t>
            </w:r>
          </w:p>
        </w:tc>
        <w:tc>
          <w:tcPr>
            <w:tcW w:w="0" w:type="auto"/>
            <w:shd w:val="clear" w:color="auto" w:fill="auto"/>
            <w:noWrap/>
          </w:tcPr>
          <w:p w:rsidR="00DC36DC" w:rsidRPr="00DC36DC" w:rsidRDefault="00DC36DC" w:rsidP="00386514">
            <w:pPr>
              <w:pStyle w:val="TableText"/>
            </w:pPr>
            <w:r w:rsidRPr="00DC36DC">
              <w:t>Year 3</w:t>
            </w:r>
          </w:p>
        </w:tc>
        <w:tc>
          <w:tcPr>
            <w:tcW w:w="0" w:type="auto"/>
            <w:shd w:val="clear" w:color="auto" w:fill="auto"/>
            <w:noWrap/>
          </w:tcPr>
          <w:p w:rsidR="00DC36DC" w:rsidRPr="00DC36DC" w:rsidRDefault="00DC36DC" w:rsidP="00386514">
            <w:pPr>
              <w:pStyle w:val="TableText"/>
            </w:pPr>
            <w:r w:rsidRPr="00DC36DC">
              <w:t>Year 4</w:t>
            </w:r>
          </w:p>
        </w:tc>
        <w:tc>
          <w:tcPr>
            <w:tcW w:w="0" w:type="auto"/>
            <w:shd w:val="clear" w:color="auto" w:fill="auto"/>
            <w:noWrap/>
          </w:tcPr>
          <w:p w:rsidR="00DC36DC" w:rsidRPr="00DC36DC" w:rsidRDefault="00DC36DC" w:rsidP="00386514">
            <w:pPr>
              <w:pStyle w:val="TableText"/>
            </w:pPr>
            <w:r w:rsidRPr="00DC36DC">
              <w:t>Year 5</w:t>
            </w:r>
          </w:p>
        </w:tc>
      </w:tr>
      <w:tr w:rsidR="00DC36DC" w:rsidRPr="00A9072C" w:rsidTr="00DC36DC">
        <w:trPr>
          <w:trHeight w:val="300"/>
        </w:trPr>
        <w:tc>
          <w:tcPr>
            <w:tcW w:w="0" w:type="auto"/>
            <w:shd w:val="clear" w:color="auto" w:fill="auto"/>
            <w:noWrap/>
            <w:hideMark/>
          </w:tcPr>
          <w:p w:rsidR="00DC36DC" w:rsidRPr="003D5A00" w:rsidRDefault="00DC36DC" w:rsidP="0006743B">
            <w:pPr>
              <w:pStyle w:val="TableText"/>
            </w:pPr>
            <w:r w:rsidRPr="003D5A00">
              <w:t>TURP procedures</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pPr>
            <w:r w:rsidRPr="00DC36DC">
              <w:t>12,500</w:t>
            </w:r>
          </w:p>
        </w:tc>
        <w:tc>
          <w:tcPr>
            <w:tcW w:w="0" w:type="auto"/>
            <w:shd w:val="clear" w:color="auto" w:fill="auto"/>
            <w:noWrap/>
            <w:hideMark/>
          </w:tcPr>
          <w:p w:rsidR="00DC36DC" w:rsidRPr="00DC36DC" w:rsidRDefault="00DC36DC" w:rsidP="00DC36DC">
            <w:pPr>
              <w:pStyle w:val="TableText"/>
            </w:pPr>
            <w:r w:rsidRPr="00DC36DC">
              <w:t>12,375</w:t>
            </w:r>
          </w:p>
        </w:tc>
        <w:tc>
          <w:tcPr>
            <w:tcW w:w="0" w:type="auto"/>
            <w:shd w:val="clear" w:color="auto" w:fill="auto"/>
            <w:noWrap/>
            <w:hideMark/>
          </w:tcPr>
          <w:p w:rsidR="00DC36DC" w:rsidRPr="00DC36DC" w:rsidRDefault="00DC36DC" w:rsidP="00DC36DC">
            <w:pPr>
              <w:pStyle w:val="TableText"/>
            </w:pPr>
            <w:r w:rsidRPr="00DC36DC">
              <w:t>12,125</w:t>
            </w:r>
          </w:p>
        </w:tc>
        <w:tc>
          <w:tcPr>
            <w:tcW w:w="0" w:type="auto"/>
            <w:shd w:val="clear" w:color="auto" w:fill="auto"/>
            <w:noWrap/>
            <w:hideMark/>
          </w:tcPr>
          <w:p w:rsidR="00DC36DC" w:rsidRPr="00DC36DC" w:rsidRDefault="00DC36DC" w:rsidP="00DC36DC">
            <w:pPr>
              <w:pStyle w:val="TableText"/>
            </w:pPr>
            <w:r w:rsidRPr="00DC36DC">
              <w:t>11,875</w:t>
            </w:r>
          </w:p>
        </w:tc>
        <w:tc>
          <w:tcPr>
            <w:tcW w:w="0" w:type="auto"/>
            <w:shd w:val="clear" w:color="auto" w:fill="auto"/>
            <w:noWrap/>
            <w:hideMark/>
          </w:tcPr>
          <w:p w:rsidR="00DC36DC" w:rsidRPr="00DC36DC" w:rsidRDefault="00DC36DC" w:rsidP="00DC36DC">
            <w:pPr>
              <w:pStyle w:val="TableText"/>
            </w:pPr>
            <w:r w:rsidRPr="00DC36DC">
              <w:t>11,875</w:t>
            </w:r>
          </w:p>
        </w:tc>
        <w:tc>
          <w:tcPr>
            <w:tcW w:w="0" w:type="auto"/>
            <w:shd w:val="clear" w:color="auto" w:fill="auto"/>
            <w:noWrap/>
            <w:hideMark/>
          </w:tcPr>
          <w:p w:rsidR="00DC36DC" w:rsidRPr="00DC36DC" w:rsidRDefault="00DC36DC" w:rsidP="00DC36DC">
            <w:pPr>
              <w:pStyle w:val="TableText"/>
            </w:pPr>
            <w:r w:rsidRPr="00DC36DC">
              <w:t>11,250</w:t>
            </w:r>
          </w:p>
        </w:tc>
      </w:tr>
      <w:tr w:rsidR="00DC36DC" w:rsidRPr="00A9072C" w:rsidTr="00DC36DC">
        <w:trPr>
          <w:trHeight w:val="300"/>
        </w:trPr>
        <w:tc>
          <w:tcPr>
            <w:tcW w:w="0" w:type="auto"/>
            <w:shd w:val="clear" w:color="auto" w:fill="auto"/>
            <w:noWrap/>
            <w:hideMark/>
          </w:tcPr>
          <w:p w:rsidR="00DC36DC" w:rsidRPr="003D5A00" w:rsidRDefault="00DC36DC" w:rsidP="0006743B">
            <w:pPr>
              <w:pStyle w:val="TableText"/>
            </w:pPr>
            <w:r w:rsidRPr="003D5A00">
              <w:t>OP procedures</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pPr>
            <w:r w:rsidRPr="00DC36DC">
              <w:t>150</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r>
      <w:tr w:rsidR="00DC36DC" w:rsidRPr="00A9072C" w:rsidTr="00DC36DC">
        <w:trPr>
          <w:trHeight w:val="300"/>
        </w:trPr>
        <w:tc>
          <w:tcPr>
            <w:tcW w:w="0" w:type="auto"/>
            <w:shd w:val="clear" w:color="auto" w:fill="auto"/>
            <w:noWrap/>
            <w:hideMark/>
          </w:tcPr>
          <w:p w:rsidR="00DC36DC" w:rsidRPr="003D5A00" w:rsidRDefault="00DC36DC" w:rsidP="0006743B">
            <w:pPr>
              <w:pStyle w:val="TableText"/>
            </w:pPr>
            <w:r w:rsidRPr="003D5A00">
              <w:t>HoLEP procedures (total)</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pPr>
            <w:r w:rsidRPr="00DC36DC">
              <w:t>-</w:t>
            </w:r>
          </w:p>
        </w:tc>
        <w:tc>
          <w:tcPr>
            <w:tcW w:w="0" w:type="auto"/>
            <w:shd w:val="clear" w:color="auto" w:fill="auto"/>
            <w:noWrap/>
            <w:hideMark/>
          </w:tcPr>
          <w:p w:rsidR="00DC36DC" w:rsidRPr="00DC36DC" w:rsidRDefault="00DC36DC" w:rsidP="00DC36DC">
            <w:pPr>
              <w:pStyle w:val="TableText"/>
            </w:pPr>
            <w:r w:rsidRPr="00DC36DC">
              <w:t>138</w:t>
            </w:r>
          </w:p>
        </w:tc>
        <w:tc>
          <w:tcPr>
            <w:tcW w:w="0" w:type="auto"/>
            <w:shd w:val="clear" w:color="auto" w:fill="auto"/>
            <w:noWrap/>
            <w:hideMark/>
          </w:tcPr>
          <w:p w:rsidR="00DC36DC" w:rsidRPr="00DC36DC" w:rsidRDefault="00DC36DC" w:rsidP="00DC36DC">
            <w:pPr>
              <w:pStyle w:val="TableText"/>
            </w:pPr>
            <w:r w:rsidRPr="00DC36DC">
              <w:t>388</w:t>
            </w:r>
          </w:p>
        </w:tc>
        <w:tc>
          <w:tcPr>
            <w:tcW w:w="0" w:type="auto"/>
            <w:shd w:val="clear" w:color="auto" w:fill="auto"/>
            <w:noWrap/>
            <w:hideMark/>
          </w:tcPr>
          <w:p w:rsidR="00DC36DC" w:rsidRPr="00DC36DC" w:rsidRDefault="00DC36DC" w:rsidP="00DC36DC">
            <w:pPr>
              <w:pStyle w:val="TableText"/>
            </w:pPr>
            <w:r w:rsidRPr="00DC36DC">
              <w:t>638</w:t>
            </w:r>
          </w:p>
        </w:tc>
        <w:tc>
          <w:tcPr>
            <w:tcW w:w="0" w:type="auto"/>
            <w:shd w:val="clear" w:color="auto" w:fill="auto"/>
            <w:noWrap/>
            <w:hideMark/>
          </w:tcPr>
          <w:p w:rsidR="00DC36DC" w:rsidRPr="00DC36DC" w:rsidRDefault="00DC36DC" w:rsidP="00DC36DC">
            <w:pPr>
              <w:pStyle w:val="TableText"/>
            </w:pPr>
            <w:r w:rsidRPr="00DC36DC">
              <w:t>638</w:t>
            </w:r>
          </w:p>
        </w:tc>
        <w:tc>
          <w:tcPr>
            <w:tcW w:w="0" w:type="auto"/>
            <w:shd w:val="clear" w:color="auto" w:fill="auto"/>
            <w:noWrap/>
            <w:hideMark/>
          </w:tcPr>
          <w:p w:rsidR="00DC36DC" w:rsidRPr="00DC36DC" w:rsidRDefault="00DC36DC" w:rsidP="00DC36DC">
            <w:pPr>
              <w:pStyle w:val="TableText"/>
            </w:pPr>
            <w:r w:rsidRPr="00DC36DC">
              <w:t>1,263</w:t>
            </w:r>
          </w:p>
        </w:tc>
      </w:tr>
      <w:tr w:rsidR="00DC36DC" w:rsidRPr="00A9072C" w:rsidTr="00DC36DC">
        <w:trPr>
          <w:trHeight w:val="300"/>
        </w:trPr>
        <w:tc>
          <w:tcPr>
            <w:tcW w:w="0" w:type="auto"/>
            <w:shd w:val="clear" w:color="auto" w:fill="auto"/>
            <w:hideMark/>
          </w:tcPr>
          <w:p w:rsidR="00DC36DC" w:rsidRPr="003D5A00" w:rsidRDefault="00DC36DC" w:rsidP="0006743B">
            <w:pPr>
              <w:pStyle w:val="TableText"/>
            </w:pPr>
            <w:r w:rsidRPr="003D5A00">
              <w:t>TURP MBS  fees</w:t>
            </w:r>
          </w:p>
        </w:tc>
        <w:tc>
          <w:tcPr>
            <w:tcW w:w="0" w:type="auto"/>
            <w:shd w:val="clear" w:color="auto" w:fill="auto"/>
            <w:hideMark/>
          </w:tcPr>
          <w:p w:rsidR="00DC36DC" w:rsidRPr="00DC36DC" w:rsidRDefault="00DC36DC" w:rsidP="00DC36DC">
            <w:pPr>
              <w:pStyle w:val="TableText"/>
            </w:pPr>
            <w:r w:rsidRPr="00DC36DC">
              <w:t>$1,002.70</w:t>
            </w:r>
          </w:p>
        </w:tc>
        <w:tc>
          <w:tcPr>
            <w:tcW w:w="0" w:type="auto"/>
            <w:shd w:val="clear" w:color="auto" w:fill="auto"/>
            <w:noWrap/>
            <w:hideMark/>
          </w:tcPr>
          <w:p w:rsidR="00DC36DC" w:rsidRPr="00DC36DC" w:rsidRDefault="00DC36DC" w:rsidP="00DC36DC">
            <w:pPr>
              <w:pStyle w:val="TableText"/>
            </w:pPr>
            <w:r w:rsidRPr="00DC36DC">
              <w:t>$12,533,125</w:t>
            </w:r>
          </w:p>
        </w:tc>
        <w:tc>
          <w:tcPr>
            <w:tcW w:w="0" w:type="auto"/>
            <w:shd w:val="clear" w:color="auto" w:fill="auto"/>
            <w:noWrap/>
            <w:hideMark/>
          </w:tcPr>
          <w:p w:rsidR="00DC36DC" w:rsidRPr="00DC36DC" w:rsidRDefault="00DC36DC" w:rsidP="00DC36DC">
            <w:pPr>
              <w:pStyle w:val="TableText"/>
            </w:pPr>
            <w:r w:rsidRPr="00DC36DC">
              <w:t>$12,407,794</w:t>
            </w:r>
          </w:p>
        </w:tc>
        <w:tc>
          <w:tcPr>
            <w:tcW w:w="0" w:type="auto"/>
            <w:shd w:val="clear" w:color="auto" w:fill="auto"/>
            <w:noWrap/>
            <w:hideMark/>
          </w:tcPr>
          <w:p w:rsidR="00DC36DC" w:rsidRPr="00DC36DC" w:rsidRDefault="00DC36DC" w:rsidP="00DC36DC">
            <w:pPr>
              <w:pStyle w:val="TableText"/>
            </w:pPr>
            <w:r w:rsidRPr="00DC36DC">
              <w:t>$12,157,131</w:t>
            </w:r>
          </w:p>
        </w:tc>
        <w:tc>
          <w:tcPr>
            <w:tcW w:w="0" w:type="auto"/>
            <w:shd w:val="clear" w:color="auto" w:fill="auto"/>
            <w:noWrap/>
            <w:hideMark/>
          </w:tcPr>
          <w:p w:rsidR="00DC36DC" w:rsidRPr="00DC36DC" w:rsidRDefault="00DC36DC" w:rsidP="00DC36DC">
            <w:pPr>
              <w:pStyle w:val="TableText"/>
            </w:pPr>
            <w:r w:rsidRPr="00DC36DC">
              <w:t>$11,906,469</w:t>
            </w:r>
          </w:p>
        </w:tc>
        <w:tc>
          <w:tcPr>
            <w:tcW w:w="0" w:type="auto"/>
            <w:shd w:val="clear" w:color="auto" w:fill="auto"/>
            <w:noWrap/>
            <w:hideMark/>
          </w:tcPr>
          <w:p w:rsidR="00DC36DC" w:rsidRPr="00DC36DC" w:rsidRDefault="00DC36DC" w:rsidP="00DC36DC">
            <w:pPr>
              <w:pStyle w:val="TableText"/>
            </w:pPr>
            <w:r w:rsidRPr="00DC36DC">
              <w:t>$11,906,469</w:t>
            </w:r>
          </w:p>
        </w:tc>
        <w:tc>
          <w:tcPr>
            <w:tcW w:w="0" w:type="auto"/>
            <w:shd w:val="clear" w:color="auto" w:fill="auto"/>
            <w:noWrap/>
            <w:hideMark/>
          </w:tcPr>
          <w:p w:rsidR="00DC36DC" w:rsidRPr="00DC36DC" w:rsidRDefault="00DC36DC" w:rsidP="00DC36DC">
            <w:pPr>
              <w:pStyle w:val="TableText"/>
            </w:pPr>
            <w:r w:rsidRPr="00DC36DC">
              <w:t>$11,279,813</w:t>
            </w:r>
          </w:p>
        </w:tc>
      </w:tr>
      <w:tr w:rsidR="00DC36DC" w:rsidRPr="00A9072C" w:rsidTr="00DC36DC">
        <w:trPr>
          <w:trHeight w:val="300"/>
        </w:trPr>
        <w:tc>
          <w:tcPr>
            <w:tcW w:w="0" w:type="auto"/>
            <w:shd w:val="clear" w:color="auto" w:fill="auto"/>
            <w:hideMark/>
          </w:tcPr>
          <w:p w:rsidR="00DC36DC" w:rsidRPr="003D5A00" w:rsidRDefault="00DC36DC" w:rsidP="0006743B">
            <w:pPr>
              <w:pStyle w:val="TableText"/>
            </w:pPr>
            <w:r w:rsidRPr="003D5A00">
              <w:t xml:space="preserve">OP MBS fees </w:t>
            </w:r>
          </w:p>
        </w:tc>
        <w:tc>
          <w:tcPr>
            <w:tcW w:w="0" w:type="auto"/>
            <w:shd w:val="clear" w:color="auto" w:fill="auto"/>
            <w:hideMark/>
          </w:tcPr>
          <w:p w:rsidR="00DC36DC" w:rsidRPr="00DC36DC" w:rsidRDefault="00DC36DC" w:rsidP="00DC36DC">
            <w:pPr>
              <w:pStyle w:val="TableText"/>
            </w:pPr>
            <w:r w:rsidRPr="00DC36DC">
              <w:t>$977.80</w:t>
            </w:r>
          </w:p>
        </w:tc>
        <w:tc>
          <w:tcPr>
            <w:tcW w:w="0" w:type="auto"/>
            <w:shd w:val="clear" w:color="auto" w:fill="auto"/>
            <w:noWrap/>
            <w:hideMark/>
          </w:tcPr>
          <w:p w:rsidR="00DC36DC" w:rsidRPr="00DC36DC" w:rsidRDefault="00DC36DC" w:rsidP="00DC36DC">
            <w:pPr>
              <w:pStyle w:val="TableText"/>
            </w:pPr>
            <w:r w:rsidRPr="00DC36DC">
              <w:t>$146,670</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r>
      <w:tr w:rsidR="00DC36DC" w:rsidRPr="00A9072C" w:rsidTr="00DC36DC">
        <w:trPr>
          <w:trHeight w:val="600"/>
        </w:trPr>
        <w:tc>
          <w:tcPr>
            <w:tcW w:w="0" w:type="auto"/>
            <w:shd w:val="clear" w:color="auto" w:fill="auto"/>
            <w:hideMark/>
          </w:tcPr>
          <w:p w:rsidR="00DC36DC" w:rsidRPr="003D5A00" w:rsidRDefault="00DC36DC" w:rsidP="0006743B">
            <w:pPr>
              <w:pStyle w:val="TableText"/>
            </w:pPr>
            <w:r w:rsidRPr="003D5A00">
              <w:t>HoLEP MBS fees</w:t>
            </w:r>
          </w:p>
        </w:tc>
        <w:tc>
          <w:tcPr>
            <w:tcW w:w="0" w:type="auto"/>
            <w:shd w:val="clear" w:color="auto" w:fill="auto"/>
            <w:hideMark/>
          </w:tcPr>
          <w:p w:rsidR="00DC36DC" w:rsidRPr="00DC36DC" w:rsidRDefault="00DC36DC" w:rsidP="00DC36DC">
            <w:pPr>
              <w:pStyle w:val="TableText"/>
            </w:pPr>
            <w:r w:rsidRPr="00DC36DC">
              <w:t>$1,423.18</w:t>
            </w:r>
          </w:p>
        </w:tc>
        <w:tc>
          <w:tcPr>
            <w:tcW w:w="0" w:type="auto"/>
            <w:shd w:val="clear" w:color="auto" w:fill="auto"/>
            <w:noWrap/>
            <w:hideMark/>
          </w:tcPr>
          <w:p w:rsidR="00DC36DC" w:rsidRPr="00DC36DC" w:rsidRDefault="00DC36DC" w:rsidP="00DC36DC">
            <w:pPr>
              <w:pStyle w:val="TableText"/>
            </w:pPr>
            <w:r w:rsidRPr="00DC36DC">
              <w:t>$-</w:t>
            </w:r>
          </w:p>
        </w:tc>
        <w:tc>
          <w:tcPr>
            <w:tcW w:w="0" w:type="auto"/>
            <w:shd w:val="clear" w:color="auto" w:fill="auto"/>
            <w:noWrap/>
            <w:hideMark/>
          </w:tcPr>
          <w:p w:rsidR="00DC36DC" w:rsidRPr="00DC36DC" w:rsidRDefault="00DC36DC" w:rsidP="00DC36DC">
            <w:pPr>
              <w:pStyle w:val="TableText"/>
            </w:pPr>
            <w:r w:rsidRPr="00DC36DC">
              <w:t>$196,398</w:t>
            </w:r>
          </w:p>
        </w:tc>
        <w:tc>
          <w:tcPr>
            <w:tcW w:w="0" w:type="auto"/>
            <w:shd w:val="clear" w:color="auto" w:fill="auto"/>
            <w:noWrap/>
            <w:hideMark/>
          </w:tcPr>
          <w:p w:rsidR="00DC36DC" w:rsidRPr="00DC36DC" w:rsidRDefault="00DC36DC" w:rsidP="00DC36DC">
            <w:pPr>
              <w:pStyle w:val="TableText"/>
            </w:pPr>
            <w:r w:rsidRPr="00DC36DC">
              <w:t>$552,193</w:t>
            </w:r>
          </w:p>
        </w:tc>
        <w:tc>
          <w:tcPr>
            <w:tcW w:w="0" w:type="auto"/>
            <w:shd w:val="clear" w:color="auto" w:fill="auto"/>
            <w:noWrap/>
            <w:hideMark/>
          </w:tcPr>
          <w:p w:rsidR="00DC36DC" w:rsidRPr="00DC36DC" w:rsidRDefault="00DC36DC" w:rsidP="00DC36DC">
            <w:pPr>
              <w:pStyle w:val="TableText"/>
            </w:pPr>
            <w:r w:rsidRPr="00DC36DC">
              <w:t>$907,988</w:t>
            </w:r>
          </w:p>
        </w:tc>
        <w:tc>
          <w:tcPr>
            <w:tcW w:w="0" w:type="auto"/>
            <w:shd w:val="clear" w:color="auto" w:fill="auto"/>
            <w:noWrap/>
            <w:hideMark/>
          </w:tcPr>
          <w:p w:rsidR="00DC36DC" w:rsidRPr="00DC36DC" w:rsidRDefault="00DC36DC" w:rsidP="00DC36DC">
            <w:pPr>
              <w:pStyle w:val="TableText"/>
            </w:pPr>
            <w:r w:rsidRPr="00DC36DC">
              <w:t>$907,988</w:t>
            </w:r>
          </w:p>
        </w:tc>
        <w:tc>
          <w:tcPr>
            <w:tcW w:w="0" w:type="auto"/>
            <w:shd w:val="clear" w:color="auto" w:fill="auto"/>
            <w:noWrap/>
            <w:hideMark/>
          </w:tcPr>
          <w:p w:rsidR="00DC36DC" w:rsidRPr="00DC36DC" w:rsidRDefault="00DC36DC" w:rsidP="00DC36DC">
            <w:pPr>
              <w:pStyle w:val="TableText"/>
            </w:pPr>
            <w:r w:rsidRPr="00DC36DC">
              <w:t>$1,797,476</w:t>
            </w:r>
          </w:p>
        </w:tc>
      </w:tr>
      <w:tr w:rsidR="00DC36DC" w:rsidRPr="00A9072C" w:rsidTr="00DC36DC">
        <w:trPr>
          <w:trHeight w:val="900"/>
        </w:trPr>
        <w:tc>
          <w:tcPr>
            <w:tcW w:w="0" w:type="auto"/>
            <w:shd w:val="clear" w:color="auto" w:fill="auto"/>
            <w:hideMark/>
          </w:tcPr>
          <w:p w:rsidR="00DC36DC" w:rsidRPr="003D5A00" w:rsidRDefault="00DC36DC" w:rsidP="0006743B">
            <w:pPr>
              <w:pStyle w:val="TableText"/>
            </w:pPr>
            <w:r w:rsidRPr="003D5A00">
              <w:t>Total MBS fees for BPH procedures over 5 years</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pPr>
            <w:r w:rsidRPr="00DC36DC">
              <w:t>$12,679,795</w:t>
            </w:r>
          </w:p>
        </w:tc>
        <w:tc>
          <w:tcPr>
            <w:tcW w:w="0" w:type="auto"/>
            <w:shd w:val="clear" w:color="auto" w:fill="auto"/>
            <w:noWrap/>
            <w:hideMark/>
          </w:tcPr>
          <w:p w:rsidR="00DC36DC" w:rsidRPr="00DC36DC" w:rsidRDefault="00DC36DC" w:rsidP="00DC36DC">
            <w:pPr>
              <w:pStyle w:val="TableText"/>
            </w:pPr>
            <w:r w:rsidRPr="00DC36DC">
              <w:t>$12,738,151</w:t>
            </w:r>
          </w:p>
        </w:tc>
        <w:tc>
          <w:tcPr>
            <w:tcW w:w="0" w:type="auto"/>
            <w:shd w:val="clear" w:color="auto" w:fill="auto"/>
            <w:noWrap/>
            <w:hideMark/>
          </w:tcPr>
          <w:p w:rsidR="00DC36DC" w:rsidRPr="00DC36DC" w:rsidRDefault="00DC36DC" w:rsidP="00DC36DC">
            <w:pPr>
              <w:pStyle w:val="TableText"/>
            </w:pPr>
            <w:r w:rsidRPr="00DC36DC">
              <w:t>$12,843,284</w:t>
            </w:r>
          </w:p>
        </w:tc>
        <w:tc>
          <w:tcPr>
            <w:tcW w:w="0" w:type="auto"/>
            <w:shd w:val="clear" w:color="auto" w:fill="auto"/>
            <w:noWrap/>
            <w:hideMark/>
          </w:tcPr>
          <w:p w:rsidR="00DC36DC" w:rsidRPr="00DC36DC" w:rsidRDefault="00DC36DC" w:rsidP="00DC36DC">
            <w:pPr>
              <w:pStyle w:val="TableText"/>
            </w:pPr>
            <w:r w:rsidRPr="00DC36DC">
              <w:t>$12,948,416</w:t>
            </w:r>
          </w:p>
        </w:tc>
        <w:tc>
          <w:tcPr>
            <w:tcW w:w="0" w:type="auto"/>
            <w:shd w:val="clear" w:color="auto" w:fill="auto"/>
            <w:noWrap/>
            <w:hideMark/>
          </w:tcPr>
          <w:p w:rsidR="00DC36DC" w:rsidRPr="00DC36DC" w:rsidRDefault="00DC36DC" w:rsidP="00DC36DC">
            <w:pPr>
              <w:pStyle w:val="TableText"/>
            </w:pPr>
            <w:r w:rsidRPr="00DC36DC">
              <w:t>$12,948,416</w:t>
            </w:r>
          </w:p>
        </w:tc>
        <w:tc>
          <w:tcPr>
            <w:tcW w:w="0" w:type="auto"/>
            <w:shd w:val="clear" w:color="auto" w:fill="auto"/>
            <w:noWrap/>
            <w:hideMark/>
          </w:tcPr>
          <w:p w:rsidR="00DC36DC" w:rsidRPr="00DC36DC" w:rsidRDefault="00DC36DC" w:rsidP="00DC36DC">
            <w:pPr>
              <w:pStyle w:val="TableText"/>
            </w:pPr>
            <w:r w:rsidRPr="00DC36DC">
              <w:t>$13,211,247</w:t>
            </w:r>
          </w:p>
        </w:tc>
      </w:tr>
      <w:tr w:rsidR="00DC36DC" w:rsidRPr="00FA6306" w:rsidTr="00DC36DC">
        <w:trPr>
          <w:trHeight w:val="900"/>
        </w:trPr>
        <w:tc>
          <w:tcPr>
            <w:tcW w:w="0" w:type="auto"/>
            <w:shd w:val="clear" w:color="auto" w:fill="auto"/>
            <w:hideMark/>
          </w:tcPr>
          <w:p w:rsidR="00DC36DC" w:rsidRPr="003D5A00" w:rsidRDefault="00DC36DC" w:rsidP="0006743B">
            <w:pPr>
              <w:pStyle w:val="TableText"/>
            </w:pPr>
            <w:r w:rsidRPr="003D5A00">
              <w:t>Additional costs each year associated with HoLEP listing</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pPr>
            <w:r w:rsidRPr="00DC36DC">
              <w:t>$-</w:t>
            </w:r>
          </w:p>
        </w:tc>
        <w:tc>
          <w:tcPr>
            <w:tcW w:w="0" w:type="auto"/>
            <w:shd w:val="clear" w:color="auto" w:fill="auto"/>
            <w:noWrap/>
            <w:hideMark/>
          </w:tcPr>
          <w:p w:rsidR="00DC36DC" w:rsidRPr="00DC36DC" w:rsidRDefault="00DC36DC" w:rsidP="00DC36DC">
            <w:pPr>
              <w:pStyle w:val="TableText"/>
            </w:pPr>
            <w:r w:rsidRPr="00DC36DC">
              <w:t>$58,356</w:t>
            </w:r>
          </w:p>
        </w:tc>
        <w:tc>
          <w:tcPr>
            <w:tcW w:w="0" w:type="auto"/>
            <w:shd w:val="clear" w:color="auto" w:fill="auto"/>
            <w:noWrap/>
            <w:hideMark/>
          </w:tcPr>
          <w:p w:rsidR="00DC36DC" w:rsidRPr="00DC36DC" w:rsidRDefault="00DC36DC" w:rsidP="00DC36DC">
            <w:pPr>
              <w:pStyle w:val="TableText"/>
            </w:pPr>
            <w:r w:rsidRPr="00DC36DC">
              <w:t>$163,488</w:t>
            </w:r>
          </w:p>
        </w:tc>
        <w:tc>
          <w:tcPr>
            <w:tcW w:w="0" w:type="auto"/>
            <w:shd w:val="clear" w:color="auto" w:fill="auto"/>
            <w:noWrap/>
            <w:hideMark/>
          </w:tcPr>
          <w:p w:rsidR="00DC36DC" w:rsidRPr="00DC36DC" w:rsidRDefault="00DC36DC" w:rsidP="00DC36DC">
            <w:pPr>
              <w:pStyle w:val="TableText"/>
            </w:pPr>
            <w:r w:rsidRPr="00DC36DC">
              <w:t>$268,621</w:t>
            </w:r>
          </w:p>
        </w:tc>
        <w:tc>
          <w:tcPr>
            <w:tcW w:w="0" w:type="auto"/>
            <w:shd w:val="clear" w:color="auto" w:fill="auto"/>
            <w:noWrap/>
            <w:hideMark/>
          </w:tcPr>
          <w:p w:rsidR="00DC36DC" w:rsidRPr="00DC36DC" w:rsidRDefault="00DC36DC" w:rsidP="00DC36DC">
            <w:pPr>
              <w:pStyle w:val="TableText"/>
            </w:pPr>
            <w:r w:rsidRPr="00DC36DC">
              <w:t>$268,621</w:t>
            </w:r>
          </w:p>
        </w:tc>
        <w:tc>
          <w:tcPr>
            <w:tcW w:w="0" w:type="auto"/>
            <w:shd w:val="clear" w:color="auto" w:fill="auto"/>
            <w:noWrap/>
            <w:hideMark/>
          </w:tcPr>
          <w:p w:rsidR="00DC36DC" w:rsidRPr="00DC36DC" w:rsidRDefault="00DC36DC" w:rsidP="00DC36DC">
            <w:pPr>
              <w:pStyle w:val="TableText"/>
            </w:pPr>
            <w:r w:rsidRPr="00DC36DC">
              <w:t>$531,452</w:t>
            </w:r>
          </w:p>
        </w:tc>
      </w:tr>
      <w:tr w:rsidR="00DC36DC" w:rsidRPr="00FA6306" w:rsidTr="00DC36DC">
        <w:trPr>
          <w:trHeight w:val="600"/>
        </w:trPr>
        <w:tc>
          <w:tcPr>
            <w:tcW w:w="0" w:type="auto"/>
            <w:shd w:val="clear" w:color="auto" w:fill="auto"/>
            <w:hideMark/>
          </w:tcPr>
          <w:p w:rsidR="00DC36DC" w:rsidRPr="00924F9A" w:rsidRDefault="00DC36DC" w:rsidP="0006743B">
            <w:pPr>
              <w:pStyle w:val="TableText"/>
              <w:rPr>
                <w:b/>
              </w:rPr>
            </w:pPr>
            <w:r w:rsidRPr="00924F9A">
              <w:rPr>
                <w:b/>
              </w:rPr>
              <w:t>Total additional cost to Government (75%)</w:t>
            </w:r>
          </w:p>
        </w:tc>
        <w:tc>
          <w:tcPr>
            <w:tcW w:w="0" w:type="auto"/>
            <w:shd w:val="clear" w:color="auto" w:fill="auto"/>
            <w:noWrap/>
            <w:hideMark/>
          </w:tcPr>
          <w:p w:rsidR="00DC36DC" w:rsidRPr="00DC36DC" w:rsidRDefault="00DC36DC" w:rsidP="00DC36DC">
            <w:pPr>
              <w:pStyle w:val="TableText"/>
            </w:pPr>
          </w:p>
        </w:tc>
        <w:tc>
          <w:tcPr>
            <w:tcW w:w="0" w:type="auto"/>
            <w:shd w:val="clear" w:color="auto" w:fill="auto"/>
            <w:noWrap/>
            <w:hideMark/>
          </w:tcPr>
          <w:p w:rsidR="00DC36DC" w:rsidRPr="00DC36DC" w:rsidRDefault="00DC36DC" w:rsidP="00DC36DC">
            <w:pPr>
              <w:pStyle w:val="TableText"/>
              <w:rPr>
                <w:b/>
              </w:rPr>
            </w:pPr>
            <w:r w:rsidRPr="00DC36DC">
              <w:rPr>
                <w:b/>
              </w:rPr>
              <w:t>$-</w:t>
            </w:r>
          </w:p>
        </w:tc>
        <w:tc>
          <w:tcPr>
            <w:tcW w:w="0" w:type="auto"/>
            <w:shd w:val="clear" w:color="auto" w:fill="auto"/>
            <w:noWrap/>
            <w:hideMark/>
          </w:tcPr>
          <w:p w:rsidR="00DC36DC" w:rsidRPr="00DC36DC" w:rsidRDefault="00DC36DC" w:rsidP="00DC36DC">
            <w:pPr>
              <w:pStyle w:val="TableText"/>
              <w:rPr>
                <w:b/>
              </w:rPr>
            </w:pPr>
            <w:r w:rsidRPr="00DC36DC">
              <w:rPr>
                <w:b/>
              </w:rPr>
              <w:t>$43,767</w:t>
            </w:r>
          </w:p>
        </w:tc>
        <w:tc>
          <w:tcPr>
            <w:tcW w:w="0" w:type="auto"/>
            <w:shd w:val="clear" w:color="auto" w:fill="auto"/>
            <w:noWrap/>
            <w:hideMark/>
          </w:tcPr>
          <w:p w:rsidR="00DC36DC" w:rsidRPr="00DC36DC" w:rsidRDefault="00DC36DC" w:rsidP="00DC36DC">
            <w:pPr>
              <w:pStyle w:val="TableText"/>
              <w:rPr>
                <w:b/>
              </w:rPr>
            </w:pPr>
            <w:r w:rsidRPr="00DC36DC">
              <w:rPr>
                <w:b/>
              </w:rPr>
              <w:t>$122,616</w:t>
            </w:r>
          </w:p>
        </w:tc>
        <w:tc>
          <w:tcPr>
            <w:tcW w:w="0" w:type="auto"/>
            <w:shd w:val="clear" w:color="auto" w:fill="auto"/>
            <w:noWrap/>
            <w:hideMark/>
          </w:tcPr>
          <w:p w:rsidR="00DC36DC" w:rsidRPr="00DC36DC" w:rsidRDefault="00DC36DC" w:rsidP="00DC36DC">
            <w:pPr>
              <w:pStyle w:val="TableText"/>
              <w:rPr>
                <w:b/>
              </w:rPr>
            </w:pPr>
            <w:r w:rsidRPr="00DC36DC">
              <w:rPr>
                <w:b/>
              </w:rPr>
              <w:t>$201,465</w:t>
            </w:r>
          </w:p>
        </w:tc>
        <w:tc>
          <w:tcPr>
            <w:tcW w:w="0" w:type="auto"/>
            <w:shd w:val="clear" w:color="auto" w:fill="auto"/>
            <w:noWrap/>
            <w:hideMark/>
          </w:tcPr>
          <w:p w:rsidR="00DC36DC" w:rsidRPr="00DC36DC" w:rsidRDefault="00DC36DC" w:rsidP="00DC36DC">
            <w:pPr>
              <w:pStyle w:val="TableText"/>
              <w:rPr>
                <w:b/>
              </w:rPr>
            </w:pPr>
            <w:r w:rsidRPr="00DC36DC">
              <w:rPr>
                <w:b/>
              </w:rPr>
              <w:t>$201,465</w:t>
            </w:r>
          </w:p>
        </w:tc>
        <w:tc>
          <w:tcPr>
            <w:tcW w:w="0" w:type="auto"/>
            <w:shd w:val="clear" w:color="auto" w:fill="auto"/>
            <w:noWrap/>
            <w:hideMark/>
          </w:tcPr>
          <w:p w:rsidR="00DC36DC" w:rsidRPr="00DC36DC" w:rsidRDefault="00DC36DC" w:rsidP="00DC36DC">
            <w:pPr>
              <w:pStyle w:val="TableText"/>
              <w:rPr>
                <w:b/>
              </w:rPr>
            </w:pPr>
            <w:r w:rsidRPr="00DC36DC">
              <w:rPr>
                <w:b/>
              </w:rPr>
              <w:t>$398,589</w:t>
            </w:r>
          </w:p>
        </w:tc>
      </w:tr>
    </w:tbl>
    <w:p w:rsidR="00786914" w:rsidRDefault="00786914" w:rsidP="0006743B"/>
    <w:p w:rsidR="00786914" w:rsidRDefault="00786914" w:rsidP="0006743B">
      <w:r>
        <w:t>The table below shows the corresponding figures in the event that HoLEP were listed at $1</w:t>
      </w:r>
      <w:r w:rsidR="00F74585">
        <w:t>,</w:t>
      </w:r>
      <w:r>
        <w:t>202.18 i.e. without morcellation.</w:t>
      </w:r>
    </w:p>
    <w:p w:rsidR="00786914" w:rsidRDefault="00786914" w:rsidP="0006743B">
      <w:pPr>
        <w:pStyle w:val="Caption"/>
      </w:pPr>
      <w:bookmarkStart w:id="350" w:name="_Toc327881580"/>
      <w:r>
        <w:t xml:space="preserve">Table </w:t>
      </w:r>
      <w:fldSimple w:instr=" SEQ Table \* ARABIC ">
        <w:r w:rsidR="00F45C43">
          <w:rPr>
            <w:noProof/>
          </w:rPr>
          <w:t>43</w:t>
        </w:r>
      </w:fldSimple>
      <w:r>
        <w:t>:</w:t>
      </w:r>
      <w:r>
        <w:tab/>
        <w:t>Total cost over a five year period without morcellation</w:t>
      </w:r>
      <w:bookmarkEnd w:id="3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73"/>
        <w:gridCol w:w="1037"/>
        <w:gridCol w:w="1037"/>
        <w:gridCol w:w="1037"/>
        <w:gridCol w:w="1037"/>
        <w:gridCol w:w="1037"/>
        <w:gridCol w:w="1037"/>
      </w:tblGrid>
      <w:tr w:rsidR="00786914" w:rsidRPr="00784E9B" w:rsidTr="00DC36DC">
        <w:trPr>
          <w:trHeight w:val="300"/>
        </w:trPr>
        <w:tc>
          <w:tcPr>
            <w:tcW w:w="0" w:type="auto"/>
            <w:shd w:val="clear" w:color="auto" w:fill="auto"/>
            <w:noWrap/>
            <w:hideMark/>
          </w:tcPr>
          <w:p w:rsidR="00786914" w:rsidRPr="003D5A00" w:rsidRDefault="00786914" w:rsidP="0006743B">
            <w:pPr>
              <w:pStyle w:val="TableText"/>
            </w:pPr>
          </w:p>
        </w:tc>
        <w:tc>
          <w:tcPr>
            <w:tcW w:w="0" w:type="auto"/>
            <w:shd w:val="clear" w:color="auto" w:fill="auto"/>
            <w:noWrap/>
            <w:hideMark/>
          </w:tcPr>
          <w:p w:rsidR="00786914" w:rsidRPr="00DE2873" w:rsidRDefault="00786914" w:rsidP="0006743B">
            <w:pPr>
              <w:pStyle w:val="TableText"/>
              <w:rPr>
                <w:b/>
              </w:rPr>
            </w:pPr>
            <w:r w:rsidRPr="00DE2873">
              <w:rPr>
                <w:b/>
              </w:rPr>
              <w:t>Item fee</w:t>
            </w:r>
          </w:p>
        </w:tc>
        <w:tc>
          <w:tcPr>
            <w:tcW w:w="0" w:type="auto"/>
            <w:shd w:val="clear" w:color="auto" w:fill="auto"/>
            <w:noWrap/>
            <w:hideMark/>
          </w:tcPr>
          <w:p w:rsidR="00786914" w:rsidRPr="00DE2873" w:rsidRDefault="00786914" w:rsidP="0006743B">
            <w:pPr>
              <w:pStyle w:val="TableText"/>
              <w:rPr>
                <w:b/>
              </w:rPr>
            </w:pPr>
            <w:r w:rsidRPr="00DE2873">
              <w:rPr>
                <w:b/>
              </w:rPr>
              <w:t>2012</w:t>
            </w:r>
          </w:p>
        </w:tc>
        <w:tc>
          <w:tcPr>
            <w:tcW w:w="0" w:type="auto"/>
            <w:shd w:val="clear" w:color="auto" w:fill="auto"/>
            <w:noWrap/>
            <w:hideMark/>
          </w:tcPr>
          <w:p w:rsidR="00786914" w:rsidRPr="00DE2873" w:rsidRDefault="00786914" w:rsidP="0006743B">
            <w:pPr>
              <w:pStyle w:val="TableText"/>
              <w:rPr>
                <w:b/>
              </w:rPr>
            </w:pPr>
            <w:r w:rsidRPr="00DE2873">
              <w:rPr>
                <w:b/>
              </w:rPr>
              <w:t>2013</w:t>
            </w:r>
          </w:p>
        </w:tc>
        <w:tc>
          <w:tcPr>
            <w:tcW w:w="0" w:type="auto"/>
            <w:shd w:val="clear" w:color="auto" w:fill="auto"/>
            <w:noWrap/>
            <w:hideMark/>
          </w:tcPr>
          <w:p w:rsidR="00786914" w:rsidRPr="00DE2873" w:rsidRDefault="00786914" w:rsidP="0006743B">
            <w:pPr>
              <w:pStyle w:val="TableText"/>
              <w:rPr>
                <w:b/>
              </w:rPr>
            </w:pPr>
            <w:r w:rsidRPr="00DE2873">
              <w:rPr>
                <w:b/>
              </w:rPr>
              <w:t>2014</w:t>
            </w:r>
          </w:p>
        </w:tc>
        <w:tc>
          <w:tcPr>
            <w:tcW w:w="0" w:type="auto"/>
            <w:shd w:val="clear" w:color="auto" w:fill="auto"/>
            <w:noWrap/>
            <w:hideMark/>
          </w:tcPr>
          <w:p w:rsidR="00786914" w:rsidRPr="00DE2873" w:rsidRDefault="00786914" w:rsidP="0006743B">
            <w:pPr>
              <w:pStyle w:val="TableText"/>
              <w:rPr>
                <w:b/>
              </w:rPr>
            </w:pPr>
            <w:r w:rsidRPr="00DE2873">
              <w:rPr>
                <w:b/>
              </w:rPr>
              <w:t>2015</w:t>
            </w:r>
          </w:p>
        </w:tc>
        <w:tc>
          <w:tcPr>
            <w:tcW w:w="0" w:type="auto"/>
            <w:shd w:val="clear" w:color="auto" w:fill="auto"/>
            <w:noWrap/>
            <w:hideMark/>
          </w:tcPr>
          <w:p w:rsidR="00786914" w:rsidRPr="00DE2873" w:rsidRDefault="00786914" w:rsidP="0006743B">
            <w:pPr>
              <w:pStyle w:val="TableText"/>
              <w:rPr>
                <w:b/>
              </w:rPr>
            </w:pPr>
            <w:r w:rsidRPr="00DE2873">
              <w:rPr>
                <w:b/>
              </w:rPr>
              <w:t>2016</w:t>
            </w:r>
          </w:p>
        </w:tc>
        <w:tc>
          <w:tcPr>
            <w:tcW w:w="0" w:type="auto"/>
            <w:shd w:val="clear" w:color="auto" w:fill="auto"/>
            <w:noWrap/>
            <w:hideMark/>
          </w:tcPr>
          <w:p w:rsidR="00786914" w:rsidRPr="00DE2873" w:rsidRDefault="00786914" w:rsidP="0006743B">
            <w:pPr>
              <w:pStyle w:val="TableText"/>
              <w:rPr>
                <w:b/>
              </w:rPr>
            </w:pPr>
            <w:r w:rsidRPr="00DE2873">
              <w:rPr>
                <w:b/>
              </w:rPr>
              <w:t>2017</w:t>
            </w:r>
          </w:p>
        </w:tc>
      </w:tr>
      <w:tr w:rsidR="00DC36DC" w:rsidRPr="00784E9B" w:rsidTr="00DC36DC">
        <w:trPr>
          <w:trHeight w:val="300"/>
        </w:trPr>
        <w:tc>
          <w:tcPr>
            <w:tcW w:w="0" w:type="auto"/>
            <w:shd w:val="clear" w:color="auto" w:fill="auto"/>
            <w:noWrap/>
          </w:tcPr>
          <w:p w:rsidR="00DC36DC" w:rsidRPr="002D516C" w:rsidRDefault="00DC36DC" w:rsidP="0006743B">
            <w:pPr>
              <w:pStyle w:val="TableText"/>
              <w:rPr>
                <w:b/>
              </w:rPr>
            </w:pPr>
          </w:p>
        </w:tc>
        <w:tc>
          <w:tcPr>
            <w:tcW w:w="0" w:type="auto"/>
            <w:shd w:val="clear" w:color="auto" w:fill="auto"/>
            <w:noWrap/>
          </w:tcPr>
          <w:p w:rsidR="00DC36DC" w:rsidRPr="00DC36DC" w:rsidRDefault="00DC36DC" w:rsidP="00DC36DC">
            <w:pPr>
              <w:pStyle w:val="TableText"/>
            </w:pPr>
            <w:r w:rsidRPr="00DC36DC">
              <w:t> </w:t>
            </w:r>
          </w:p>
        </w:tc>
        <w:tc>
          <w:tcPr>
            <w:tcW w:w="0" w:type="auto"/>
            <w:shd w:val="clear" w:color="auto" w:fill="auto"/>
            <w:noWrap/>
          </w:tcPr>
          <w:p w:rsidR="00DC36DC" w:rsidRPr="00DC36DC" w:rsidRDefault="00DC36DC" w:rsidP="00DC36DC">
            <w:pPr>
              <w:pStyle w:val="TableText"/>
            </w:pPr>
            <w:r w:rsidRPr="00DC36DC">
              <w:t> </w:t>
            </w:r>
          </w:p>
        </w:tc>
        <w:tc>
          <w:tcPr>
            <w:tcW w:w="0" w:type="auto"/>
            <w:shd w:val="clear" w:color="auto" w:fill="auto"/>
            <w:noWrap/>
          </w:tcPr>
          <w:p w:rsidR="00DC36DC" w:rsidRPr="00DC36DC" w:rsidRDefault="00DC36DC" w:rsidP="00DC36DC">
            <w:pPr>
              <w:pStyle w:val="TableText"/>
            </w:pPr>
            <w:r w:rsidRPr="00DC36DC">
              <w:t>Year 1</w:t>
            </w:r>
          </w:p>
        </w:tc>
        <w:tc>
          <w:tcPr>
            <w:tcW w:w="0" w:type="auto"/>
            <w:shd w:val="clear" w:color="auto" w:fill="auto"/>
            <w:noWrap/>
          </w:tcPr>
          <w:p w:rsidR="00DC36DC" w:rsidRPr="00DC36DC" w:rsidRDefault="00DC36DC" w:rsidP="00DC36DC">
            <w:pPr>
              <w:pStyle w:val="TableText"/>
            </w:pPr>
            <w:r w:rsidRPr="00DC36DC">
              <w:t>Year 2</w:t>
            </w:r>
          </w:p>
        </w:tc>
        <w:tc>
          <w:tcPr>
            <w:tcW w:w="0" w:type="auto"/>
            <w:shd w:val="clear" w:color="auto" w:fill="auto"/>
            <w:noWrap/>
          </w:tcPr>
          <w:p w:rsidR="00DC36DC" w:rsidRPr="00DC36DC" w:rsidRDefault="00DC36DC" w:rsidP="00DC36DC">
            <w:pPr>
              <w:pStyle w:val="TableText"/>
            </w:pPr>
            <w:r w:rsidRPr="00DC36DC">
              <w:t>Year 3</w:t>
            </w:r>
          </w:p>
        </w:tc>
        <w:tc>
          <w:tcPr>
            <w:tcW w:w="0" w:type="auto"/>
            <w:shd w:val="clear" w:color="auto" w:fill="auto"/>
            <w:noWrap/>
          </w:tcPr>
          <w:p w:rsidR="00DC36DC" w:rsidRPr="00DC36DC" w:rsidRDefault="00DC36DC" w:rsidP="00DC36DC">
            <w:pPr>
              <w:pStyle w:val="TableText"/>
            </w:pPr>
            <w:r w:rsidRPr="00DC36DC">
              <w:t>Year 4</w:t>
            </w:r>
          </w:p>
        </w:tc>
        <w:tc>
          <w:tcPr>
            <w:tcW w:w="0" w:type="auto"/>
            <w:shd w:val="clear" w:color="auto" w:fill="auto"/>
            <w:noWrap/>
          </w:tcPr>
          <w:p w:rsidR="00DC36DC" w:rsidRPr="00DC36DC" w:rsidRDefault="00DC36DC" w:rsidP="00DC36DC">
            <w:pPr>
              <w:pStyle w:val="TableText"/>
            </w:pPr>
            <w:r w:rsidRPr="00DC36DC">
              <w:t>Year 5</w:t>
            </w:r>
          </w:p>
        </w:tc>
      </w:tr>
      <w:tr w:rsidR="00DC36DC" w:rsidRPr="00784E9B" w:rsidTr="00DC36DC">
        <w:trPr>
          <w:trHeight w:val="300"/>
        </w:trPr>
        <w:tc>
          <w:tcPr>
            <w:tcW w:w="0" w:type="auto"/>
            <w:shd w:val="clear" w:color="auto" w:fill="auto"/>
            <w:noWrap/>
            <w:hideMark/>
          </w:tcPr>
          <w:p w:rsidR="00DC36DC" w:rsidRPr="003D5A00" w:rsidRDefault="00DC36DC" w:rsidP="0006743B">
            <w:pPr>
              <w:pStyle w:val="TableText"/>
            </w:pPr>
            <w:r w:rsidRPr="003D5A00">
              <w:t>TURP procedures</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12,500</w:t>
            </w:r>
          </w:p>
        </w:tc>
        <w:tc>
          <w:tcPr>
            <w:tcW w:w="0" w:type="auto"/>
            <w:shd w:val="clear" w:color="auto" w:fill="auto"/>
            <w:noWrap/>
            <w:hideMark/>
          </w:tcPr>
          <w:p w:rsidR="00DC36DC" w:rsidRPr="00DC36DC" w:rsidRDefault="00DC36DC" w:rsidP="00DC36DC">
            <w:pPr>
              <w:pStyle w:val="TableText"/>
            </w:pPr>
            <w:r w:rsidRPr="00DC36DC">
              <w:t>12,375</w:t>
            </w:r>
          </w:p>
        </w:tc>
        <w:tc>
          <w:tcPr>
            <w:tcW w:w="0" w:type="auto"/>
            <w:shd w:val="clear" w:color="auto" w:fill="auto"/>
            <w:noWrap/>
            <w:hideMark/>
          </w:tcPr>
          <w:p w:rsidR="00DC36DC" w:rsidRPr="00DC36DC" w:rsidRDefault="00DC36DC" w:rsidP="00DC36DC">
            <w:pPr>
              <w:pStyle w:val="TableText"/>
            </w:pPr>
            <w:r w:rsidRPr="00DC36DC">
              <w:t>12,125</w:t>
            </w:r>
          </w:p>
        </w:tc>
        <w:tc>
          <w:tcPr>
            <w:tcW w:w="0" w:type="auto"/>
            <w:shd w:val="clear" w:color="auto" w:fill="auto"/>
            <w:noWrap/>
            <w:hideMark/>
          </w:tcPr>
          <w:p w:rsidR="00DC36DC" w:rsidRPr="00DC36DC" w:rsidRDefault="00DC36DC" w:rsidP="00DC36DC">
            <w:pPr>
              <w:pStyle w:val="TableText"/>
            </w:pPr>
            <w:r w:rsidRPr="00DC36DC">
              <w:t>11,875</w:t>
            </w:r>
          </w:p>
        </w:tc>
        <w:tc>
          <w:tcPr>
            <w:tcW w:w="0" w:type="auto"/>
            <w:shd w:val="clear" w:color="auto" w:fill="auto"/>
            <w:noWrap/>
            <w:hideMark/>
          </w:tcPr>
          <w:p w:rsidR="00DC36DC" w:rsidRPr="00DC36DC" w:rsidRDefault="00DC36DC" w:rsidP="00DC36DC">
            <w:pPr>
              <w:pStyle w:val="TableText"/>
            </w:pPr>
            <w:r w:rsidRPr="00DC36DC">
              <w:t>11,875</w:t>
            </w:r>
          </w:p>
        </w:tc>
        <w:tc>
          <w:tcPr>
            <w:tcW w:w="0" w:type="auto"/>
            <w:shd w:val="clear" w:color="auto" w:fill="auto"/>
            <w:noWrap/>
            <w:hideMark/>
          </w:tcPr>
          <w:p w:rsidR="00DC36DC" w:rsidRPr="00DC36DC" w:rsidRDefault="00DC36DC" w:rsidP="00DC36DC">
            <w:pPr>
              <w:pStyle w:val="TableText"/>
            </w:pPr>
            <w:r w:rsidRPr="00DC36DC">
              <w:t>11,250</w:t>
            </w:r>
          </w:p>
        </w:tc>
      </w:tr>
      <w:tr w:rsidR="00DC36DC" w:rsidRPr="00784E9B" w:rsidTr="00DC36DC">
        <w:trPr>
          <w:trHeight w:val="300"/>
        </w:trPr>
        <w:tc>
          <w:tcPr>
            <w:tcW w:w="0" w:type="auto"/>
            <w:shd w:val="clear" w:color="auto" w:fill="auto"/>
            <w:noWrap/>
            <w:hideMark/>
          </w:tcPr>
          <w:p w:rsidR="00DC36DC" w:rsidRPr="003D5A00" w:rsidRDefault="00DC36DC" w:rsidP="0006743B">
            <w:pPr>
              <w:pStyle w:val="TableText"/>
            </w:pPr>
            <w:r w:rsidRPr="003D5A00">
              <w:t>OP procedures</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150</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c>
          <w:tcPr>
            <w:tcW w:w="0" w:type="auto"/>
            <w:shd w:val="clear" w:color="auto" w:fill="auto"/>
            <w:noWrap/>
            <w:hideMark/>
          </w:tcPr>
          <w:p w:rsidR="00DC36DC" w:rsidRPr="00DC36DC" w:rsidRDefault="00DC36DC" w:rsidP="00DC36DC">
            <w:pPr>
              <w:pStyle w:val="TableText"/>
            </w:pPr>
            <w:r w:rsidRPr="00DC36DC">
              <w:t>137</w:t>
            </w:r>
          </w:p>
        </w:tc>
      </w:tr>
      <w:tr w:rsidR="00DC36DC" w:rsidRPr="00784E9B" w:rsidTr="00DC36DC">
        <w:trPr>
          <w:trHeight w:val="300"/>
        </w:trPr>
        <w:tc>
          <w:tcPr>
            <w:tcW w:w="0" w:type="auto"/>
            <w:shd w:val="clear" w:color="auto" w:fill="auto"/>
            <w:noWrap/>
            <w:hideMark/>
          </w:tcPr>
          <w:p w:rsidR="00DC36DC" w:rsidRPr="003D5A00" w:rsidRDefault="00DC36DC" w:rsidP="0006743B">
            <w:pPr>
              <w:pStyle w:val="TableText"/>
            </w:pPr>
            <w:r w:rsidRPr="003D5A00">
              <w:t>HoLEP procedures (Total)</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w:t>
            </w:r>
          </w:p>
        </w:tc>
        <w:tc>
          <w:tcPr>
            <w:tcW w:w="0" w:type="auto"/>
            <w:shd w:val="clear" w:color="auto" w:fill="auto"/>
            <w:noWrap/>
            <w:hideMark/>
          </w:tcPr>
          <w:p w:rsidR="00DC36DC" w:rsidRPr="00DC36DC" w:rsidRDefault="00DC36DC" w:rsidP="00DC36DC">
            <w:pPr>
              <w:pStyle w:val="TableText"/>
            </w:pPr>
            <w:r w:rsidRPr="00DC36DC">
              <w:t>138</w:t>
            </w:r>
          </w:p>
        </w:tc>
        <w:tc>
          <w:tcPr>
            <w:tcW w:w="0" w:type="auto"/>
            <w:shd w:val="clear" w:color="auto" w:fill="auto"/>
            <w:noWrap/>
            <w:hideMark/>
          </w:tcPr>
          <w:p w:rsidR="00DC36DC" w:rsidRPr="00DC36DC" w:rsidRDefault="00DC36DC" w:rsidP="00DC36DC">
            <w:pPr>
              <w:pStyle w:val="TableText"/>
            </w:pPr>
            <w:r w:rsidRPr="00DC36DC">
              <w:t>388</w:t>
            </w:r>
          </w:p>
        </w:tc>
        <w:tc>
          <w:tcPr>
            <w:tcW w:w="0" w:type="auto"/>
            <w:shd w:val="clear" w:color="auto" w:fill="auto"/>
            <w:noWrap/>
            <w:hideMark/>
          </w:tcPr>
          <w:p w:rsidR="00DC36DC" w:rsidRPr="00DC36DC" w:rsidRDefault="00DC36DC" w:rsidP="00DC36DC">
            <w:pPr>
              <w:pStyle w:val="TableText"/>
            </w:pPr>
            <w:r w:rsidRPr="00DC36DC">
              <w:t>638</w:t>
            </w:r>
          </w:p>
        </w:tc>
        <w:tc>
          <w:tcPr>
            <w:tcW w:w="0" w:type="auto"/>
            <w:shd w:val="clear" w:color="auto" w:fill="auto"/>
            <w:noWrap/>
            <w:hideMark/>
          </w:tcPr>
          <w:p w:rsidR="00DC36DC" w:rsidRPr="00DC36DC" w:rsidRDefault="00DC36DC" w:rsidP="00DC36DC">
            <w:pPr>
              <w:pStyle w:val="TableText"/>
            </w:pPr>
            <w:r w:rsidRPr="00DC36DC">
              <w:t>638</w:t>
            </w:r>
          </w:p>
        </w:tc>
        <w:tc>
          <w:tcPr>
            <w:tcW w:w="0" w:type="auto"/>
            <w:shd w:val="clear" w:color="auto" w:fill="auto"/>
            <w:noWrap/>
            <w:hideMark/>
          </w:tcPr>
          <w:p w:rsidR="00DC36DC" w:rsidRPr="00DC36DC" w:rsidRDefault="00DC36DC" w:rsidP="00DC36DC">
            <w:pPr>
              <w:pStyle w:val="TableText"/>
            </w:pPr>
            <w:r w:rsidRPr="00DC36DC">
              <w:t>1,263</w:t>
            </w:r>
          </w:p>
        </w:tc>
      </w:tr>
      <w:tr w:rsidR="00DC36DC" w:rsidRPr="00784E9B" w:rsidTr="00DC36DC">
        <w:trPr>
          <w:trHeight w:val="300"/>
        </w:trPr>
        <w:tc>
          <w:tcPr>
            <w:tcW w:w="0" w:type="auto"/>
            <w:shd w:val="clear" w:color="auto" w:fill="auto"/>
            <w:hideMark/>
          </w:tcPr>
          <w:p w:rsidR="00DC36DC" w:rsidRPr="003D5A00" w:rsidRDefault="00DC36DC" w:rsidP="0006743B">
            <w:pPr>
              <w:pStyle w:val="TableText"/>
            </w:pPr>
            <w:r w:rsidRPr="003D5A00">
              <w:t>TURP MBS fees</w:t>
            </w:r>
          </w:p>
        </w:tc>
        <w:tc>
          <w:tcPr>
            <w:tcW w:w="0" w:type="auto"/>
            <w:shd w:val="clear" w:color="auto" w:fill="auto"/>
            <w:hideMark/>
          </w:tcPr>
          <w:p w:rsidR="00DC36DC" w:rsidRPr="00DC36DC" w:rsidRDefault="00DC36DC" w:rsidP="00DC36DC">
            <w:pPr>
              <w:pStyle w:val="TableText"/>
            </w:pPr>
            <w:r w:rsidRPr="00DC36DC">
              <w:t>$1,002.70</w:t>
            </w:r>
          </w:p>
        </w:tc>
        <w:tc>
          <w:tcPr>
            <w:tcW w:w="0" w:type="auto"/>
            <w:shd w:val="clear" w:color="auto" w:fill="auto"/>
            <w:noWrap/>
            <w:hideMark/>
          </w:tcPr>
          <w:p w:rsidR="00DC36DC" w:rsidRPr="00DC36DC" w:rsidRDefault="00DC36DC" w:rsidP="00DC36DC">
            <w:pPr>
              <w:pStyle w:val="TableText"/>
            </w:pPr>
            <w:r w:rsidRPr="00DC36DC">
              <w:t>$12,533,125</w:t>
            </w:r>
          </w:p>
        </w:tc>
        <w:tc>
          <w:tcPr>
            <w:tcW w:w="0" w:type="auto"/>
            <w:shd w:val="clear" w:color="auto" w:fill="auto"/>
            <w:noWrap/>
            <w:hideMark/>
          </w:tcPr>
          <w:p w:rsidR="00DC36DC" w:rsidRPr="00DC36DC" w:rsidRDefault="00DC36DC" w:rsidP="00DC36DC">
            <w:pPr>
              <w:pStyle w:val="TableText"/>
            </w:pPr>
            <w:r w:rsidRPr="00DC36DC">
              <w:t>$12,407,794</w:t>
            </w:r>
          </w:p>
        </w:tc>
        <w:tc>
          <w:tcPr>
            <w:tcW w:w="0" w:type="auto"/>
            <w:shd w:val="clear" w:color="auto" w:fill="auto"/>
            <w:noWrap/>
            <w:hideMark/>
          </w:tcPr>
          <w:p w:rsidR="00DC36DC" w:rsidRPr="00DC36DC" w:rsidRDefault="00DC36DC" w:rsidP="00DC36DC">
            <w:pPr>
              <w:pStyle w:val="TableText"/>
            </w:pPr>
            <w:r w:rsidRPr="00DC36DC">
              <w:t>$12,157,131</w:t>
            </w:r>
          </w:p>
        </w:tc>
        <w:tc>
          <w:tcPr>
            <w:tcW w:w="0" w:type="auto"/>
            <w:shd w:val="clear" w:color="auto" w:fill="auto"/>
            <w:noWrap/>
            <w:hideMark/>
          </w:tcPr>
          <w:p w:rsidR="00DC36DC" w:rsidRPr="00DC36DC" w:rsidRDefault="00DC36DC" w:rsidP="00DC36DC">
            <w:pPr>
              <w:pStyle w:val="TableText"/>
            </w:pPr>
            <w:r w:rsidRPr="00DC36DC">
              <w:t>$11,906,469</w:t>
            </w:r>
          </w:p>
        </w:tc>
        <w:tc>
          <w:tcPr>
            <w:tcW w:w="0" w:type="auto"/>
            <w:shd w:val="clear" w:color="auto" w:fill="auto"/>
            <w:noWrap/>
            <w:hideMark/>
          </w:tcPr>
          <w:p w:rsidR="00DC36DC" w:rsidRPr="00DC36DC" w:rsidRDefault="00DC36DC" w:rsidP="00DC36DC">
            <w:pPr>
              <w:pStyle w:val="TableText"/>
            </w:pPr>
            <w:r w:rsidRPr="00DC36DC">
              <w:t>$11,906,469</w:t>
            </w:r>
          </w:p>
        </w:tc>
        <w:tc>
          <w:tcPr>
            <w:tcW w:w="0" w:type="auto"/>
            <w:shd w:val="clear" w:color="auto" w:fill="auto"/>
            <w:noWrap/>
            <w:hideMark/>
          </w:tcPr>
          <w:p w:rsidR="00DC36DC" w:rsidRPr="00DC36DC" w:rsidRDefault="00DC36DC" w:rsidP="00DC36DC">
            <w:pPr>
              <w:pStyle w:val="TableText"/>
            </w:pPr>
            <w:r w:rsidRPr="00DC36DC">
              <w:t>$11,279,813</w:t>
            </w:r>
          </w:p>
        </w:tc>
      </w:tr>
      <w:tr w:rsidR="00DC36DC" w:rsidRPr="00784E9B" w:rsidTr="00DC36DC">
        <w:trPr>
          <w:trHeight w:val="300"/>
        </w:trPr>
        <w:tc>
          <w:tcPr>
            <w:tcW w:w="0" w:type="auto"/>
            <w:shd w:val="clear" w:color="auto" w:fill="auto"/>
            <w:hideMark/>
          </w:tcPr>
          <w:p w:rsidR="00DC36DC" w:rsidRPr="003D5A00" w:rsidRDefault="00DC36DC" w:rsidP="0006743B">
            <w:pPr>
              <w:pStyle w:val="TableText"/>
            </w:pPr>
            <w:r w:rsidRPr="003D5A00">
              <w:t xml:space="preserve">OP MBS fees </w:t>
            </w:r>
          </w:p>
        </w:tc>
        <w:tc>
          <w:tcPr>
            <w:tcW w:w="0" w:type="auto"/>
            <w:shd w:val="clear" w:color="auto" w:fill="auto"/>
            <w:hideMark/>
          </w:tcPr>
          <w:p w:rsidR="00DC36DC" w:rsidRPr="00DC36DC" w:rsidRDefault="00DC36DC" w:rsidP="00DC36DC">
            <w:pPr>
              <w:pStyle w:val="TableText"/>
            </w:pPr>
            <w:r w:rsidRPr="00DC36DC">
              <w:t>$977.80</w:t>
            </w:r>
          </w:p>
        </w:tc>
        <w:tc>
          <w:tcPr>
            <w:tcW w:w="0" w:type="auto"/>
            <w:shd w:val="clear" w:color="auto" w:fill="auto"/>
            <w:noWrap/>
            <w:hideMark/>
          </w:tcPr>
          <w:p w:rsidR="00DC36DC" w:rsidRPr="00DC36DC" w:rsidRDefault="00DC36DC" w:rsidP="00DC36DC">
            <w:pPr>
              <w:pStyle w:val="TableText"/>
            </w:pPr>
            <w:r w:rsidRPr="00DC36DC">
              <w:t>$146,670</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c>
          <w:tcPr>
            <w:tcW w:w="0" w:type="auto"/>
            <w:shd w:val="clear" w:color="auto" w:fill="auto"/>
            <w:noWrap/>
            <w:hideMark/>
          </w:tcPr>
          <w:p w:rsidR="00DC36DC" w:rsidRPr="00DC36DC" w:rsidRDefault="00DC36DC" w:rsidP="00DC36DC">
            <w:pPr>
              <w:pStyle w:val="TableText"/>
            </w:pPr>
            <w:r w:rsidRPr="00DC36DC">
              <w:t>$133,958</w:t>
            </w:r>
          </w:p>
        </w:tc>
      </w:tr>
      <w:tr w:rsidR="00DC36DC" w:rsidRPr="00784E9B" w:rsidTr="00DC36DC">
        <w:trPr>
          <w:trHeight w:val="600"/>
        </w:trPr>
        <w:tc>
          <w:tcPr>
            <w:tcW w:w="0" w:type="auto"/>
            <w:shd w:val="clear" w:color="auto" w:fill="auto"/>
            <w:hideMark/>
          </w:tcPr>
          <w:p w:rsidR="00DC36DC" w:rsidRPr="003D5A00" w:rsidRDefault="00DC36DC" w:rsidP="0006743B">
            <w:pPr>
              <w:pStyle w:val="TableText"/>
            </w:pPr>
            <w:r w:rsidRPr="003D5A00">
              <w:t>HoLEP MBS fees (excluding morcellation)</w:t>
            </w:r>
          </w:p>
        </w:tc>
        <w:tc>
          <w:tcPr>
            <w:tcW w:w="0" w:type="auto"/>
            <w:shd w:val="clear" w:color="auto" w:fill="auto"/>
            <w:hideMark/>
          </w:tcPr>
          <w:p w:rsidR="00DC36DC" w:rsidRPr="00DC36DC" w:rsidRDefault="00DC36DC" w:rsidP="00DC36DC">
            <w:pPr>
              <w:pStyle w:val="TableText"/>
            </w:pPr>
            <w:r w:rsidRPr="00DC36DC">
              <w:t>$1,423.18</w:t>
            </w:r>
          </w:p>
        </w:tc>
        <w:tc>
          <w:tcPr>
            <w:tcW w:w="0" w:type="auto"/>
            <w:shd w:val="clear" w:color="auto" w:fill="auto"/>
            <w:noWrap/>
            <w:hideMark/>
          </w:tcPr>
          <w:p w:rsidR="00DC36DC" w:rsidRPr="00DC36DC" w:rsidRDefault="00DC36DC" w:rsidP="00DC36DC">
            <w:pPr>
              <w:pStyle w:val="TableText"/>
            </w:pPr>
            <w:r w:rsidRPr="00DC36DC">
              <w:t>-</w:t>
            </w:r>
          </w:p>
        </w:tc>
        <w:tc>
          <w:tcPr>
            <w:tcW w:w="0" w:type="auto"/>
            <w:shd w:val="clear" w:color="auto" w:fill="auto"/>
            <w:noWrap/>
            <w:hideMark/>
          </w:tcPr>
          <w:p w:rsidR="00DC36DC" w:rsidRPr="00DC36DC" w:rsidRDefault="00DC36DC" w:rsidP="00DC36DC">
            <w:pPr>
              <w:pStyle w:val="TableText"/>
            </w:pPr>
            <w:r w:rsidRPr="00DC36DC">
              <w:t>$196,398</w:t>
            </w:r>
          </w:p>
        </w:tc>
        <w:tc>
          <w:tcPr>
            <w:tcW w:w="0" w:type="auto"/>
            <w:shd w:val="clear" w:color="auto" w:fill="auto"/>
            <w:noWrap/>
            <w:hideMark/>
          </w:tcPr>
          <w:p w:rsidR="00DC36DC" w:rsidRPr="00DC36DC" w:rsidRDefault="00DC36DC" w:rsidP="00DC36DC">
            <w:pPr>
              <w:pStyle w:val="TableText"/>
            </w:pPr>
            <w:r w:rsidRPr="00DC36DC">
              <w:t>$552,193</w:t>
            </w:r>
          </w:p>
        </w:tc>
        <w:tc>
          <w:tcPr>
            <w:tcW w:w="0" w:type="auto"/>
            <w:shd w:val="clear" w:color="auto" w:fill="auto"/>
            <w:noWrap/>
            <w:hideMark/>
          </w:tcPr>
          <w:p w:rsidR="00DC36DC" w:rsidRPr="00DC36DC" w:rsidRDefault="00DC36DC" w:rsidP="00DC36DC">
            <w:pPr>
              <w:pStyle w:val="TableText"/>
            </w:pPr>
            <w:r w:rsidRPr="00DC36DC">
              <w:t>$907,988</w:t>
            </w:r>
          </w:p>
        </w:tc>
        <w:tc>
          <w:tcPr>
            <w:tcW w:w="0" w:type="auto"/>
            <w:shd w:val="clear" w:color="auto" w:fill="auto"/>
            <w:noWrap/>
            <w:hideMark/>
          </w:tcPr>
          <w:p w:rsidR="00DC36DC" w:rsidRPr="00DC36DC" w:rsidRDefault="00DC36DC" w:rsidP="00DC36DC">
            <w:pPr>
              <w:pStyle w:val="TableText"/>
            </w:pPr>
            <w:r w:rsidRPr="00DC36DC">
              <w:t>$907,988</w:t>
            </w:r>
          </w:p>
        </w:tc>
        <w:tc>
          <w:tcPr>
            <w:tcW w:w="0" w:type="auto"/>
            <w:shd w:val="clear" w:color="auto" w:fill="auto"/>
            <w:noWrap/>
            <w:hideMark/>
          </w:tcPr>
          <w:p w:rsidR="00DC36DC" w:rsidRPr="00DC36DC" w:rsidRDefault="00DC36DC" w:rsidP="00DC36DC">
            <w:pPr>
              <w:pStyle w:val="TableText"/>
            </w:pPr>
            <w:r w:rsidRPr="00DC36DC">
              <w:t>$1,797,476</w:t>
            </w:r>
          </w:p>
        </w:tc>
      </w:tr>
      <w:tr w:rsidR="00DC36DC" w:rsidRPr="00784E9B" w:rsidTr="00DC36DC">
        <w:trPr>
          <w:trHeight w:val="900"/>
        </w:trPr>
        <w:tc>
          <w:tcPr>
            <w:tcW w:w="0" w:type="auto"/>
            <w:shd w:val="clear" w:color="auto" w:fill="auto"/>
            <w:hideMark/>
          </w:tcPr>
          <w:p w:rsidR="00DC36DC" w:rsidRPr="003D5A00" w:rsidRDefault="00DC36DC" w:rsidP="0006743B">
            <w:pPr>
              <w:pStyle w:val="TableText"/>
            </w:pPr>
            <w:r w:rsidRPr="003D5A00">
              <w:t>Total MBS fees for BPH procedures over 5 years</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$12,679,795</w:t>
            </w:r>
          </w:p>
        </w:tc>
        <w:tc>
          <w:tcPr>
            <w:tcW w:w="0" w:type="auto"/>
            <w:shd w:val="clear" w:color="auto" w:fill="auto"/>
            <w:noWrap/>
            <w:hideMark/>
          </w:tcPr>
          <w:p w:rsidR="00DC36DC" w:rsidRPr="00DC36DC" w:rsidRDefault="00DC36DC" w:rsidP="00DC36DC">
            <w:pPr>
              <w:pStyle w:val="TableText"/>
            </w:pPr>
            <w:r w:rsidRPr="00DC36DC">
              <w:t>$12,738,151</w:t>
            </w:r>
          </w:p>
        </w:tc>
        <w:tc>
          <w:tcPr>
            <w:tcW w:w="0" w:type="auto"/>
            <w:shd w:val="clear" w:color="auto" w:fill="auto"/>
            <w:noWrap/>
            <w:hideMark/>
          </w:tcPr>
          <w:p w:rsidR="00DC36DC" w:rsidRPr="00DC36DC" w:rsidRDefault="00DC36DC" w:rsidP="00DC36DC">
            <w:pPr>
              <w:pStyle w:val="TableText"/>
            </w:pPr>
            <w:r w:rsidRPr="00DC36DC">
              <w:t>$12,843,284</w:t>
            </w:r>
          </w:p>
        </w:tc>
        <w:tc>
          <w:tcPr>
            <w:tcW w:w="0" w:type="auto"/>
            <w:shd w:val="clear" w:color="auto" w:fill="auto"/>
            <w:noWrap/>
            <w:hideMark/>
          </w:tcPr>
          <w:p w:rsidR="00DC36DC" w:rsidRPr="00DC36DC" w:rsidRDefault="00DC36DC" w:rsidP="00DC36DC">
            <w:pPr>
              <w:pStyle w:val="TableText"/>
            </w:pPr>
            <w:r w:rsidRPr="00DC36DC">
              <w:t>$12,948,416</w:t>
            </w:r>
          </w:p>
        </w:tc>
        <w:tc>
          <w:tcPr>
            <w:tcW w:w="0" w:type="auto"/>
            <w:shd w:val="clear" w:color="auto" w:fill="auto"/>
            <w:noWrap/>
            <w:hideMark/>
          </w:tcPr>
          <w:p w:rsidR="00DC36DC" w:rsidRPr="00DC36DC" w:rsidRDefault="00DC36DC" w:rsidP="00DC36DC">
            <w:pPr>
              <w:pStyle w:val="TableText"/>
            </w:pPr>
            <w:r w:rsidRPr="00DC36DC">
              <w:t>$12,948,416</w:t>
            </w:r>
          </w:p>
        </w:tc>
        <w:tc>
          <w:tcPr>
            <w:tcW w:w="0" w:type="auto"/>
            <w:shd w:val="clear" w:color="auto" w:fill="auto"/>
            <w:noWrap/>
            <w:hideMark/>
          </w:tcPr>
          <w:p w:rsidR="00DC36DC" w:rsidRPr="00DC36DC" w:rsidRDefault="00DC36DC" w:rsidP="00DC36DC">
            <w:pPr>
              <w:pStyle w:val="TableText"/>
            </w:pPr>
            <w:r w:rsidRPr="00DC36DC">
              <w:t>$13,211,247</w:t>
            </w:r>
          </w:p>
        </w:tc>
      </w:tr>
      <w:tr w:rsidR="00DC36DC" w:rsidRPr="00784E9B" w:rsidTr="00DC36DC">
        <w:trPr>
          <w:trHeight w:val="900"/>
        </w:trPr>
        <w:tc>
          <w:tcPr>
            <w:tcW w:w="0" w:type="auto"/>
            <w:shd w:val="clear" w:color="auto" w:fill="auto"/>
            <w:hideMark/>
          </w:tcPr>
          <w:p w:rsidR="00DC36DC" w:rsidRPr="003D5A00" w:rsidRDefault="00DC36DC" w:rsidP="0006743B">
            <w:pPr>
              <w:pStyle w:val="TableText"/>
            </w:pPr>
            <w:r w:rsidRPr="003D5A00">
              <w:t>Additional costs each year associated with HoLEP listing</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$58,356</w:t>
            </w:r>
          </w:p>
        </w:tc>
        <w:tc>
          <w:tcPr>
            <w:tcW w:w="0" w:type="auto"/>
            <w:shd w:val="clear" w:color="auto" w:fill="auto"/>
            <w:noWrap/>
            <w:hideMark/>
          </w:tcPr>
          <w:p w:rsidR="00DC36DC" w:rsidRPr="00DC36DC" w:rsidRDefault="00DC36DC" w:rsidP="00DC36DC">
            <w:pPr>
              <w:pStyle w:val="TableText"/>
            </w:pPr>
            <w:r w:rsidRPr="00DC36DC">
              <w:t>$163,488</w:t>
            </w:r>
          </w:p>
        </w:tc>
        <w:tc>
          <w:tcPr>
            <w:tcW w:w="0" w:type="auto"/>
            <w:shd w:val="clear" w:color="auto" w:fill="auto"/>
            <w:noWrap/>
            <w:hideMark/>
          </w:tcPr>
          <w:p w:rsidR="00DC36DC" w:rsidRPr="00DC36DC" w:rsidRDefault="00DC36DC" w:rsidP="00DC36DC">
            <w:pPr>
              <w:pStyle w:val="TableText"/>
            </w:pPr>
            <w:r w:rsidRPr="00DC36DC">
              <w:t>$268,621</w:t>
            </w:r>
          </w:p>
        </w:tc>
        <w:tc>
          <w:tcPr>
            <w:tcW w:w="0" w:type="auto"/>
            <w:shd w:val="clear" w:color="auto" w:fill="auto"/>
            <w:noWrap/>
            <w:hideMark/>
          </w:tcPr>
          <w:p w:rsidR="00DC36DC" w:rsidRPr="00DC36DC" w:rsidRDefault="00DC36DC" w:rsidP="00DC36DC">
            <w:pPr>
              <w:pStyle w:val="TableText"/>
            </w:pPr>
            <w:r w:rsidRPr="00DC36DC">
              <w:t>$268,621</w:t>
            </w:r>
          </w:p>
        </w:tc>
        <w:tc>
          <w:tcPr>
            <w:tcW w:w="0" w:type="auto"/>
            <w:shd w:val="clear" w:color="auto" w:fill="auto"/>
            <w:noWrap/>
            <w:hideMark/>
          </w:tcPr>
          <w:p w:rsidR="00DC36DC" w:rsidRPr="00DC36DC" w:rsidRDefault="00DC36DC" w:rsidP="00DC36DC">
            <w:pPr>
              <w:pStyle w:val="TableText"/>
            </w:pPr>
            <w:r w:rsidRPr="00DC36DC">
              <w:t>$531,452</w:t>
            </w:r>
          </w:p>
        </w:tc>
      </w:tr>
      <w:tr w:rsidR="00DC36DC" w:rsidRPr="00784E9B" w:rsidTr="00DC36DC">
        <w:trPr>
          <w:trHeight w:val="600"/>
        </w:trPr>
        <w:tc>
          <w:tcPr>
            <w:tcW w:w="0" w:type="auto"/>
            <w:shd w:val="clear" w:color="auto" w:fill="auto"/>
            <w:hideMark/>
          </w:tcPr>
          <w:p w:rsidR="00DC36DC" w:rsidRPr="00DE2873" w:rsidRDefault="00DC36DC" w:rsidP="0006743B">
            <w:pPr>
              <w:pStyle w:val="TableText"/>
              <w:rPr>
                <w:b/>
              </w:rPr>
            </w:pPr>
            <w:r w:rsidRPr="00DE2873">
              <w:rPr>
                <w:b/>
              </w:rPr>
              <w:t>Total cost to Government (75%)</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pPr>
            <w:r w:rsidRPr="00DC36DC">
              <w:t> </w:t>
            </w:r>
          </w:p>
        </w:tc>
        <w:tc>
          <w:tcPr>
            <w:tcW w:w="0" w:type="auto"/>
            <w:shd w:val="clear" w:color="auto" w:fill="auto"/>
            <w:noWrap/>
            <w:hideMark/>
          </w:tcPr>
          <w:p w:rsidR="00DC36DC" w:rsidRPr="00DC36DC" w:rsidRDefault="00DC36DC" w:rsidP="00DC36DC">
            <w:pPr>
              <w:pStyle w:val="TableText"/>
              <w:rPr>
                <w:b/>
              </w:rPr>
            </w:pPr>
            <w:r w:rsidRPr="00DC36DC">
              <w:rPr>
                <w:b/>
              </w:rPr>
              <w:t>$43,767</w:t>
            </w:r>
          </w:p>
        </w:tc>
        <w:tc>
          <w:tcPr>
            <w:tcW w:w="0" w:type="auto"/>
            <w:shd w:val="clear" w:color="auto" w:fill="auto"/>
            <w:noWrap/>
            <w:hideMark/>
          </w:tcPr>
          <w:p w:rsidR="00DC36DC" w:rsidRPr="00DC36DC" w:rsidRDefault="00DC36DC" w:rsidP="00DC36DC">
            <w:pPr>
              <w:pStyle w:val="TableText"/>
              <w:rPr>
                <w:b/>
              </w:rPr>
            </w:pPr>
            <w:r w:rsidRPr="00DC36DC">
              <w:rPr>
                <w:b/>
              </w:rPr>
              <w:t>$122,616</w:t>
            </w:r>
          </w:p>
        </w:tc>
        <w:tc>
          <w:tcPr>
            <w:tcW w:w="0" w:type="auto"/>
            <w:shd w:val="clear" w:color="auto" w:fill="auto"/>
            <w:noWrap/>
            <w:hideMark/>
          </w:tcPr>
          <w:p w:rsidR="00DC36DC" w:rsidRPr="00DC36DC" w:rsidRDefault="00DC36DC" w:rsidP="00DC36DC">
            <w:pPr>
              <w:pStyle w:val="TableText"/>
              <w:rPr>
                <w:b/>
              </w:rPr>
            </w:pPr>
            <w:r w:rsidRPr="00DC36DC">
              <w:rPr>
                <w:b/>
              </w:rPr>
              <w:t>$201,465</w:t>
            </w:r>
          </w:p>
        </w:tc>
        <w:tc>
          <w:tcPr>
            <w:tcW w:w="0" w:type="auto"/>
            <w:shd w:val="clear" w:color="auto" w:fill="auto"/>
            <w:noWrap/>
            <w:hideMark/>
          </w:tcPr>
          <w:p w:rsidR="00DC36DC" w:rsidRPr="00DC36DC" w:rsidRDefault="00DC36DC" w:rsidP="00DC36DC">
            <w:pPr>
              <w:pStyle w:val="TableText"/>
              <w:rPr>
                <w:b/>
              </w:rPr>
            </w:pPr>
            <w:r w:rsidRPr="00DC36DC">
              <w:rPr>
                <w:b/>
              </w:rPr>
              <w:t>$201,465</w:t>
            </w:r>
          </w:p>
        </w:tc>
        <w:tc>
          <w:tcPr>
            <w:tcW w:w="0" w:type="auto"/>
            <w:shd w:val="clear" w:color="auto" w:fill="auto"/>
            <w:noWrap/>
            <w:hideMark/>
          </w:tcPr>
          <w:p w:rsidR="00DC36DC" w:rsidRPr="00DC36DC" w:rsidRDefault="00DC36DC" w:rsidP="00DC36DC">
            <w:pPr>
              <w:pStyle w:val="TableText"/>
              <w:rPr>
                <w:b/>
              </w:rPr>
            </w:pPr>
            <w:r w:rsidRPr="00DC36DC">
              <w:rPr>
                <w:b/>
              </w:rPr>
              <w:t>$398,589</w:t>
            </w:r>
          </w:p>
        </w:tc>
      </w:tr>
    </w:tbl>
    <w:p w:rsidR="00786914" w:rsidRDefault="00786914" w:rsidP="0006743B">
      <w:pPr>
        <w:rPr>
          <w:rFonts w:cs="Tahoma"/>
          <w:sz w:val="20"/>
        </w:rPr>
      </w:pPr>
    </w:p>
    <w:p w:rsidR="00786914" w:rsidRPr="002D516C" w:rsidRDefault="00786914" w:rsidP="0006743B">
      <w:r w:rsidRPr="002D516C">
        <w:t xml:space="preserve">The tables above indicate that the projected annual additional costs to the Government range are predicted to range from $43,767 in year 1 to $398,589 in year 5, based on the </w:t>
      </w:r>
      <w:r w:rsidRPr="002D516C">
        <w:lastRenderedPageBreak/>
        <w:t>assumptions described above. The equivalent ranges in the event of HoLEP listing at the reduced fee (without morcellation) range from $20,893 in year 1 to $189,247.</w:t>
      </w:r>
    </w:p>
    <w:p w:rsidR="00786914" w:rsidRPr="002D516C" w:rsidRDefault="00786914" w:rsidP="0006743B">
      <w:r w:rsidRPr="002D516C">
        <w:t>It should be noted that the figures above do not take into account the number of HoLEP procedures that might be undertaken in a public hospital. The total number of HoLEP procedures being performed annually over the five year period may also be greater than the numbers projected in the tables and which will be dependent on the availability of trained surgeons to undertake them and investment by the institution</w:t>
      </w:r>
      <w:r>
        <w:t>.</w:t>
      </w:r>
    </w:p>
    <w:p w:rsidR="00786914" w:rsidRPr="00776777" w:rsidRDefault="00786914" w:rsidP="0006743B">
      <w:pPr>
        <w:pStyle w:val="Heading1"/>
      </w:pPr>
      <w:bookmarkStart w:id="351" w:name="_Toc327877915"/>
      <w:bookmarkStart w:id="352" w:name="_Toc365900587"/>
      <w:r w:rsidRPr="00776777">
        <w:lastRenderedPageBreak/>
        <w:t>Discussion</w:t>
      </w:r>
      <w:bookmarkEnd w:id="258"/>
      <w:bookmarkEnd w:id="351"/>
      <w:bookmarkEnd w:id="352"/>
    </w:p>
    <w:p w:rsidR="00786914" w:rsidRDefault="00786914" w:rsidP="0006743B">
      <w:bookmarkStart w:id="353" w:name="_Toc214339187"/>
      <w:r>
        <w:t>The assessment of HoLEP as a potential new publicly funded surgical procedure for the treatment of men with benign prostatic hyperplasia throughout this report was based on a direct comparison with either TURP or OP.</w:t>
      </w:r>
    </w:p>
    <w:p w:rsidR="00786914" w:rsidRPr="004C6B15" w:rsidRDefault="00786914" w:rsidP="0006743B">
      <w:pPr>
        <w:pStyle w:val="Heading2"/>
      </w:pPr>
      <w:bookmarkStart w:id="354" w:name="_Toc323642295"/>
      <w:bookmarkStart w:id="355" w:name="_Toc327877916"/>
      <w:bookmarkStart w:id="356" w:name="_Toc365900588"/>
      <w:r w:rsidRPr="004C6B15">
        <w:t>Is it safe?</w:t>
      </w:r>
      <w:bookmarkEnd w:id="353"/>
      <w:bookmarkEnd w:id="354"/>
      <w:bookmarkEnd w:id="355"/>
      <w:bookmarkEnd w:id="356"/>
    </w:p>
    <w:p w:rsidR="00786914" w:rsidRDefault="00786914" w:rsidP="0006743B">
      <w:r>
        <w:t>The evidence from systematic reviews and RCTs reviewed in this report indicates that HoLEP is a relatively safe procedure when compared with either TURP or OP procedures. Safety outcomes listed in the DAP and others identified in the literature reviewed include blood transfusion rates post-procedure, urethral stricture, incontinence, TUR syndrome, erectile dysfunction, dysuria, capsular perforation as well as overall mortality.</w:t>
      </w:r>
    </w:p>
    <w:p w:rsidR="00786914" w:rsidRDefault="00786914" w:rsidP="0006743B">
      <w:r>
        <w:t>The evidence from the systematic review and subsequent RCTs that informed the comparison of HoLEP with TURP indicated that HoLEP offers statistically significant advantages over TURP in respect of blood transfusion rates post procedure. This evidence includes data from seven RCTs in total with 348 patients randomised to HoLEP and 342 randomised to TURP. Non-significant differences between the two were observed for all of the other outcomes considered.</w:t>
      </w:r>
    </w:p>
    <w:p w:rsidR="00786914" w:rsidRDefault="00786914" w:rsidP="0006743B">
      <w:r>
        <w:t xml:space="preserve">HoLEP also appears to be as safe as OP across the range of outcomes assessed, although this information is analysed from fewer studies and with a smaller number of patients. </w:t>
      </w:r>
      <w:r w:rsidRPr="00A2525E">
        <w:t>In a meta-analysis of the two studies, patients allocated to HoLEP were less likely to have a blood transfusion than those allocated to TURP.</w:t>
      </w:r>
      <w:r>
        <w:t xml:space="preserve"> This evidence includes data from two RCTs in total in which 101 patients were randomised to HoLEP and 99 to OP. </w:t>
      </w:r>
      <w:r w:rsidRPr="00852FE2">
        <w:t>Other complications, such as incontinence and stricture,</w:t>
      </w:r>
      <w:r w:rsidRPr="00295011">
        <w:t xml:space="preserve"> were comparable between the groups</w:t>
      </w:r>
      <w:r>
        <w:t>.</w:t>
      </w:r>
    </w:p>
    <w:p w:rsidR="00786914" w:rsidRDefault="00786914" w:rsidP="0006743B">
      <w:pPr>
        <w:pStyle w:val="Heading2"/>
      </w:pPr>
      <w:bookmarkStart w:id="357" w:name="_Toc214339188"/>
      <w:bookmarkStart w:id="358" w:name="_Toc323642296"/>
      <w:bookmarkStart w:id="359" w:name="_Toc327877917"/>
      <w:bookmarkStart w:id="360" w:name="_Toc365900589"/>
      <w:r w:rsidRPr="004C6B15">
        <w:t>Is it effective?</w:t>
      </w:r>
      <w:bookmarkEnd w:id="357"/>
      <w:bookmarkEnd w:id="358"/>
      <w:bookmarkEnd w:id="359"/>
      <w:bookmarkEnd w:id="360"/>
    </w:p>
    <w:p w:rsidR="00786914" w:rsidRDefault="00786914" w:rsidP="0006743B">
      <w:r>
        <w:t xml:space="preserve">The body of evidence included in this assessment was appraised according to the NHMRC guidelines (NHMRC 2009), which are summarised under ‘Assessment of the body of evidence’ on page </w:t>
      </w:r>
      <w:r w:rsidR="00F0137E">
        <w:fldChar w:fldCharType="begin"/>
      </w:r>
      <w:r>
        <w:instrText xml:space="preserve"> PAGEREF _Ref323636696 \h </w:instrText>
      </w:r>
      <w:r w:rsidR="00F0137E">
        <w:fldChar w:fldCharType="separate"/>
      </w:r>
      <w:r w:rsidR="00F45C43">
        <w:rPr>
          <w:noProof/>
        </w:rPr>
        <w:t>20</w:t>
      </w:r>
      <w:r w:rsidR="00F0137E">
        <w:fldChar w:fldCharType="end"/>
      </w:r>
      <w:r>
        <w:t>.</w:t>
      </w:r>
    </w:p>
    <w:p w:rsidR="00786914" w:rsidRPr="00F06E40" w:rsidRDefault="00786914" w:rsidP="0006743B">
      <w:pPr>
        <w:pStyle w:val="Heading3"/>
      </w:pPr>
      <w:bookmarkStart w:id="361" w:name="_Toc327877918"/>
      <w:bookmarkStart w:id="362" w:name="_Toc365900590"/>
      <w:r w:rsidRPr="00F06E40">
        <w:t>HoLEP</w:t>
      </w:r>
      <w:r>
        <w:t xml:space="preserve"> compared with</w:t>
      </w:r>
      <w:r w:rsidRPr="00F06E40">
        <w:t xml:space="preserve"> TURP</w:t>
      </w:r>
      <w:bookmarkEnd w:id="361"/>
      <w:bookmarkEnd w:id="362"/>
    </w:p>
    <w:p w:rsidR="00786914" w:rsidRDefault="00786914" w:rsidP="0006743B">
      <w:r>
        <w:t xml:space="preserve">The evidence base for the assessment of HoLEP in comparison to TURP is based on seven RCTs. Five of these were included in a systematic review, and this has been updated with two more recent RCTs identified as part of this assessment. In these studies348 patients have been treated with HoLEP and 342 patients treated with TURP. The RCTs included in this assessment did not give adequate details of either the random allocation and allocation concealment of patients in the trials. This lack of detail is not uncommon in surgical trials(McCulloch et al 2002). It does however mean that the trials are assessed at having a high or unclear risk of bias. Only one trial (Tan 2003) reported that outcome assessors were blinded to treatment allocation (cited in Lourenco et al 2008). Functional outcomes such as Qmax and PVR are not influenced by lack of blinding. Symptom scores (IPSS/AUA) and quality of life measures may however be impacted. </w:t>
      </w:r>
    </w:p>
    <w:p w:rsidR="00786914" w:rsidRDefault="00786914" w:rsidP="0006743B">
      <w:r>
        <w:lastRenderedPageBreak/>
        <w:t>Functional outcomes are consistent across the studies (with the exception of Qmax at six months). Pooling of the results for both symptom scores and quality of life measures indicates substantial heterogeneity – this may be explained by the lack of blinding of assessors. The assessment of symptom scores across the studies from 12 months, to a follow-up to 92 months, indicates that patients treated with HoLEP had lower symptom scores in comparison to patients in the TURP group. These differences were not however significant. There were no significant differences in quality of life data. Inconsistencies in relation to the duration of operation can be expected given the high level of specialisation and skills required. Surgeon experience was frequently not reported in the trials. It is difficult to know the impact of this experience in relation to the results reported.</w:t>
      </w:r>
    </w:p>
    <w:p w:rsidR="00786914" w:rsidRDefault="00786914" w:rsidP="0006743B">
      <w:r>
        <w:t xml:space="preserve">The primary outcomes assessed in the trials are those that were listed in the DAP. Bother scores, included in the protocol, were not reported in the any of the studies. The longest follow-up reported was at 92 months. Some significant differences in outcomes between patients treated with HoLEP in comparison with TURP were reported; although at two years most of the differences were not significant. However, patients treated with HoLEP tended to have better outcomes. </w:t>
      </w:r>
    </w:p>
    <w:p w:rsidR="00786914" w:rsidRDefault="00786914" w:rsidP="0006743B">
      <w:r>
        <w:t xml:space="preserve">The clinical flowcharts indicate that men treated with HoLEP (or another surgical treatment) should be those with moderate to severe symptomatic BPH (based on symptom score) in whom active surveillance, conservative treatment and medical management have failed or are inappropriate. The inclusion criteria of the trials varied. Lourenco et al for example reports that its five RCTs ‘provided details of the participants’ IPSS/AUA symptom scores and prostate size, showing that all 580 participants had severe symptoms and large prostates at trial entry’ (p65). It is not indicated however whether specific symptom scores were used as cut-offs for patient eligibility, or whether patients had previously failed to respond to pharmaceutical treatment. Mavuduru et al’s inclusion criteria stipulated only that patients be eligible for surgery for symptomatic BPH (2009). Eltabey et al’s inclusion criteria stipulated that patients have bladder outlet obstruction caused by BPH, related voiding symptoms, prostate size between 30–100g, had not responded to pharmacologic therapy, were eligible for surgical treatment, and had a specific AUA score and Qmax (2010). </w:t>
      </w:r>
    </w:p>
    <w:p w:rsidR="00786914" w:rsidRDefault="00786914" w:rsidP="0006743B">
      <w:r>
        <w:t xml:space="preserve">No published Australian studies were identified. The </w:t>
      </w:r>
      <w:r w:rsidRPr="009D7A10">
        <w:t>studies by Tan (2003)</w:t>
      </w:r>
      <w:r>
        <w:t xml:space="preserve"> (follow-up to Wilson et al 2006 and Gilling et al 2011) and Westenberg et al (2004)</w:t>
      </w:r>
      <w:r w:rsidRPr="009D7A10">
        <w:t xml:space="preserve"> were from a high</w:t>
      </w:r>
      <w:r>
        <w:t>-</w:t>
      </w:r>
      <w:r w:rsidRPr="009D7A10">
        <w:t>volume HoLEP centre in New Zealand</w:t>
      </w:r>
      <w:r>
        <w:t>. Clinical advice indicates that this is very similar</w:t>
      </w:r>
      <w:r w:rsidRPr="009D7A10">
        <w:t xml:space="preserve"> to an Australian population and practice.</w:t>
      </w:r>
    </w:p>
    <w:p w:rsidR="00786914" w:rsidRDefault="00786914" w:rsidP="0006743B">
      <w:r>
        <w:t>The body of evidence assessment matrix for the comparison of HoLEP and TURP is shown in Table 44.</w:t>
      </w:r>
    </w:p>
    <w:p w:rsidR="001C0B02" w:rsidRPr="001C0B02" w:rsidRDefault="00786914" w:rsidP="001C0B02">
      <w:pPr>
        <w:pStyle w:val="Caption"/>
        <w:keepNext/>
      </w:pPr>
      <w:bookmarkStart w:id="363" w:name="_Ref323634442"/>
      <w:bookmarkStart w:id="364" w:name="_Toc327803290"/>
      <w:bookmarkStart w:id="365" w:name="_Toc327881581"/>
      <w:bookmarkStart w:id="366" w:name="_Toc320106187"/>
      <w:r>
        <w:lastRenderedPageBreak/>
        <w:t xml:space="preserve">Table </w:t>
      </w:r>
      <w:fldSimple w:instr=" SEQ Table \* ARABIC ">
        <w:r w:rsidR="00F45C43">
          <w:rPr>
            <w:noProof/>
          </w:rPr>
          <w:t>44</w:t>
        </w:r>
      </w:fldSimple>
      <w:bookmarkEnd w:id="363"/>
      <w:r>
        <w:t>:</w:t>
      </w:r>
      <w:r>
        <w:tab/>
        <w:t>Completed body of evidence assessment matrix; HoLEP versus TURP</w:t>
      </w:r>
      <w:bookmarkEnd w:id="364"/>
      <w:bookmarkEnd w:id="365"/>
      <w:r w:rsidR="001C0B02">
        <w:br/>
      </w:r>
      <w:r w:rsidR="001C0B02">
        <w:rPr>
          <w:noProof/>
        </w:rPr>
        <w:drawing>
          <wp:inline distT="0" distB="0" distL="0" distR="0">
            <wp:extent cx="5114260" cy="2796362"/>
            <wp:effectExtent l="0" t="0" r="0" b="4445"/>
            <wp:docPr id="157" name="Picture 157" descr="Table 44: Completed body of evidence assessment matrix; HoLEP versus TURP" title="Table 44: Completed body of evidence assessment matrix; HoLEP versus T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14325" cy="2796398"/>
                    </a:xfrm>
                    <a:prstGeom prst="rect">
                      <a:avLst/>
                    </a:prstGeom>
                    <a:noFill/>
                    <a:ln>
                      <a:noFill/>
                    </a:ln>
                  </pic:spPr>
                </pic:pic>
              </a:graphicData>
            </a:graphic>
          </wp:inline>
        </w:drawing>
      </w:r>
    </w:p>
    <w:p w:rsidR="00786914" w:rsidRPr="004E7F58" w:rsidRDefault="00786914" w:rsidP="0006743B">
      <w:pPr>
        <w:pStyle w:val="Heading3"/>
      </w:pPr>
      <w:bookmarkStart w:id="367" w:name="_Toc327877919"/>
      <w:bookmarkStart w:id="368" w:name="_Toc365900591"/>
      <w:bookmarkEnd w:id="366"/>
      <w:r w:rsidRPr="004E7F58">
        <w:t>HoLEP</w:t>
      </w:r>
      <w:r>
        <w:t xml:space="preserve"> compared with</w:t>
      </w:r>
      <w:r w:rsidRPr="004E7F58">
        <w:t xml:space="preserve"> OP</w:t>
      </w:r>
      <w:bookmarkEnd w:id="367"/>
      <w:bookmarkEnd w:id="368"/>
    </w:p>
    <w:p w:rsidR="00786914" w:rsidRDefault="00786914" w:rsidP="0006743B">
      <w:r>
        <w:t>Two RCTs(comprising in total 101 patients treated with HoLEP and 99 patients treated with OP) were included in this comparison. Both RCTS had an unclear risk of bias due to the lack of details provided in regards to randomisation and allocation concealment as well as blinding of personnel and outcome assessors. It is difficult to know whether this is an issue of poor reporting of methods or a reflection of studies with a high risk of biases.</w:t>
      </w:r>
    </w:p>
    <w:p w:rsidR="00786914" w:rsidRDefault="00786914" w:rsidP="0006743B">
      <w:r>
        <w:t>These studies were consistent in that both reported similar results in respect to HoLEP and OP. No heterogeneity was observed in pooling the results, although this is only based on two studies.</w:t>
      </w:r>
    </w:p>
    <w:p w:rsidR="00786914" w:rsidRDefault="00786914" w:rsidP="0006743B">
      <w:r>
        <w:t>With regards to clinical impact no significant differences between the procedures were noted. All outcomes were comparable, with a maximum follow-up of 60 months. All primary outcomes in the DAP were reported in the trials (with the exception of bother scores, not reported in either study).</w:t>
      </w:r>
    </w:p>
    <w:p w:rsidR="00786914" w:rsidRDefault="00786914" w:rsidP="0006743B">
      <w:r>
        <w:t>The clinical flowcharts indicate that men treated with HoLEP (or another surgical treatment) should be those with moderate to severe symptomatic BPH (based on symptom score) in whom active surveillance, conservative treatment and medical management has failed or is inappropriate. The inclusion criteria of the trials varied. One study included patients in whom pharmacologic therapy had failed, and where BPH was based on functional outcomes such as post void residual volume rather than symptom scores. In the second study symptom score was used as an inclusion criteria. It was unclear however whether patients had previously undergone, and not responded to, conservation and medical treatment. In this study patients also had a prostate larger than 100g.</w:t>
      </w:r>
    </w:p>
    <w:p w:rsidR="00786914" w:rsidRDefault="00786914" w:rsidP="0006743B">
      <w:r>
        <w:t>No Australian studies were identified. The RCTs were from single centres in Europe (Germany and Italy).</w:t>
      </w:r>
    </w:p>
    <w:p w:rsidR="00786914" w:rsidRDefault="00786914" w:rsidP="0006743B">
      <w:r>
        <w:lastRenderedPageBreak/>
        <w:t>The body of evidence assessment matrix for the comparison of HoLEP and OP is shown in Table 45.</w:t>
      </w:r>
    </w:p>
    <w:p w:rsidR="00786914" w:rsidRDefault="00786914" w:rsidP="0006743B">
      <w:pPr>
        <w:pStyle w:val="Caption"/>
        <w:keepNext/>
      </w:pPr>
      <w:bookmarkStart w:id="369" w:name="_Ref323634415"/>
      <w:bookmarkStart w:id="370" w:name="_Toc327803291"/>
      <w:bookmarkStart w:id="371" w:name="_Toc327881582"/>
      <w:bookmarkStart w:id="372" w:name="_Ref322702617"/>
      <w:r>
        <w:t xml:space="preserve">Table </w:t>
      </w:r>
      <w:fldSimple w:instr=" SEQ Table \* ARABIC ">
        <w:r w:rsidR="00F45C43">
          <w:rPr>
            <w:noProof/>
          </w:rPr>
          <w:t>45</w:t>
        </w:r>
      </w:fldSimple>
      <w:bookmarkEnd w:id="369"/>
      <w:r>
        <w:t>:</w:t>
      </w:r>
      <w:r>
        <w:tab/>
        <w:t>Completed body of evidence assessment matrix: HoLEP versus OP</w:t>
      </w:r>
      <w:bookmarkEnd w:id="370"/>
      <w:bookmarkEnd w:id="371"/>
    </w:p>
    <w:p w:rsidR="001C0B02" w:rsidRPr="001C0B02" w:rsidRDefault="001C0B02" w:rsidP="001C0B02">
      <w:r>
        <w:rPr>
          <w:noProof/>
        </w:rPr>
        <w:drawing>
          <wp:inline distT="0" distB="0" distL="0" distR="0">
            <wp:extent cx="5114260" cy="3987209"/>
            <wp:effectExtent l="0" t="0" r="0" b="0"/>
            <wp:docPr id="156" name="Picture 156" descr="Table 45: Completed body of evidence assessment matrix: HoLEP versus OP" title="Table 45: Completed body of evidence assessment matrix: HoLEP versus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21176" cy="3992601"/>
                    </a:xfrm>
                    <a:prstGeom prst="rect">
                      <a:avLst/>
                    </a:prstGeom>
                    <a:noFill/>
                    <a:ln>
                      <a:noFill/>
                    </a:ln>
                  </pic:spPr>
                </pic:pic>
              </a:graphicData>
            </a:graphic>
          </wp:inline>
        </w:drawing>
      </w:r>
    </w:p>
    <w:bookmarkEnd w:id="372"/>
    <w:p w:rsidR="00786914" w:rsidRPr="00284CB2" w:rsidRDefault="00786914" w:rsidP="0006743B">
      <w:pPr>
        <w:pStyle w:val="TableNotes"/>
      </w:pPr>
      <w:r w:rsidRPr="00284CB2">
        <w:t xml:space="preserve">Adapted from </w:t>
      </w:r>
      <w:r w:rsidR="00F0137E" w:rsidRPr="00284CB2">
        <w:fldChar w:fldCharType="begin"/>
      </w:r>
      <w:r w:rsidRPr="00284CB2">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F0137E" w:rsidRPr="00284CB2">
        <w:fldChar w:fldCharType="separate"/>
      </w:r>
      <w:r w:rsidRPr="00284CB2">
        <w:t>(NHMRC 2009)</w:t>
      </w:r>
      <w:r w:rsidR="00F0137E" w:rsidRPr="00284CB2">
        <w:fldChar w:fldCharType="end"/>
      </w:r>
      <w:r w:rsidRPr="00284CB2">
        <w:t>.</w:t>
      </w:r>
    </w:p>
    <w:p w:rsidR="00786914" w:rsidRPr="00776777" w:rsidRDefault="00786914" w:rsidP="0006743B">
      <w:pPr>
        <w:pStyle w:val="Heading1"/>
      </w:pPr>
      <w:bookmarkStart w:id="373" w:name="_Toc323642297"/>
      <w:bookmarkStart w:id="374" w:name="_Toc327877920"/>
      <w:bookmarkStart w:id="375" w:name="_Toc365900592"/>
      <w:r w:rsidRPr="00776777">
        <w:lastRenderedPageBreak/>
        <w:t>Conclusions</w:t>
      </w:r>
      <w:bookmarkEnd w:id="373"/>
      <w:bookmarkEnd w:id="374"/>
      <w:bookmarkEnd w:id="375"/>
    </w:p>
    <w:p w:rsidR="00786914" w:rsidRPr="004C6B15" w:rsidRDefault="00786914">
      <w:pPr>
        <w:pStyle w:val="Heading2"/>
      </w:pPr>
      <w:bookmarkStart w:id="376" w:name="_Toc323642298"/>
      <w:bookmarkStart w:id="377" w:name="_Toc327877921"/>
      <w:bookmarkStart w:id="378" w:name="_Toc365900593"/>
      <w:r w:rsidRPr="004C6B15">
        <w:t>Safety</w:t>
      </w:r>
      <w:bookmarkEnd w:id="376"/>
      <w:bookmarkEnd w:id="377"/>
      <w:bookmarkEnd w:id="378"/>
    </w:p>
    <w:p w:rsidR="00786914" w:rsidRDefault="00786914" w:rsidP="0006743B">
      <w:r w:rsidRPr="004E1EFC">
        <w:t>HoLEP appears to be as safe as TURP across the range of outcomes assessed. There would appear to be statistically significant advantages over TURP in relation to blood transfusion rates post</w:t>
      </w:r>
      <w:r>
        <w:t xml:space="preserve"> </w:t>
      </w:r>
      <w:r w:rsidRPr="004E1EFC">
        <w:t>procedure. The evidence from the systematic review and two additional RCTs</w:t>
      </w:r>
      <w:r>
        <w:t xml:space="preserve"> that update it</w:t>
      </w:r>
      <w:r w:rsidRPr="004E1EFC">
        <w:t xml:space="preserve"> suggests that differences in the rates of other adverse events are not statistically significant. Some caution should be exercised in the interpretation of this information given the wide confidence intervals that exist around some of the outcomes.</w:t>
      </w:r>
    </w:p>
    <w:p w:rsidR="00786914" w:rsidRDefault="00786914" w:rsidP="0006743B">
      <w:r>
        <w:t xml:space="preserve">HoLEP also appears to be as safe as OP across the range of outcomes assessed, although this information is analysed from fewer studies and with a smaller total number of patients. </w:t>
      </w:r>
      <w:r w:rsidRPr="00A2525E">
        <w:t xml:space="preserve">In a meta-analysis of the two studies, patients allocated to HoLEP were less likely to have a blood transfusion than those allocated to </w:t>
      </w:r>
      <w:r w:rsidR="00FE592A">
        <w:t>OP</w:t>
      </w:r>
      <w:r w:rsidRPr="00A2525E">
        <w:t>.</w:t>
      </w:r>
      <w:r>
        <w:t xml:space="preserve"> </w:t>
      </w:r>
      <w:r w:rsidRPr="00852FE2">
        <w:t>Other complications, such as incontinence and stricture,</w:t>
      </w:r>
      <w:r w:rsidRPr="00295011">
        <w:t xml:space="preserve"> were comparable between the groups</w:t>
      </w:r>
    </w:p>
    <w:p w:rsidR="00786914" w:rsidRPr="004C6B15" w:rsidRDefault="00786914">
      <w:pPr>
        <w:pStyle w:val="Heading2"/>
      </w:pPr>
      <w:bookmarkStart w:id="379" w:name="_Toc323642299"/>
      <w:bookmarkStart w:id="380" w:name="_Toc327877922"/>
      <w:bookmarkStart w:id="381" w:name="_Toc365900594"/>
      <w:r w:rsidRPr="004C6B15">
        <w:t>Effectiveness</w:t>
      </w:r>
      <w:bookmarkEnd w:id="379"/>
      <w:bookmarkEnd w:id="380"/>
      <w:bookmarkEnd w:id="381"/>
    </w:p>
    <w:p w:rsidR="00786914" w:rsidRPr="004E1EFC" w:rsidRDefault="00786914" w:rsidP="0006743B">
      <w:r w:rsidRPr="004E1EFC">
        <w:t xml:space="preserve">HoLEP appears to be as effective, or more effective, than TURP across a range of effectiveness outcomes. These include peak flow (Qmax), symptom scores and </w:t>
      </w:r>
      <w:r>
        <w:t>PVR</w:t>
      </w:r>
      <w:r w:rsidRPr="004E1EFC">
        <w:t>. Caution should however be exercised in the interpretation of these findings given wide confidence intervals and significant heterogeneity across the studies. Quality of life differences and differences between the two interventions in respect of treatment failure/</w:t>
      </w:r>
      <w:r>
        <w:t>re-treatment</w:t>
      </w:r>
      <w:r w:rsidRPr="004E1EFC">
        <w:t xml:space="preserve"> rates were not significa</w:t>
      </w:r>
      <w:r>
        <w:t xml:space="preserve">nt. </w:t>
      </w:r>
    </w:p>
    <w:p w:rsidR="00786914" w:rsidRDefault="00786914" w:rsidP="0006743B">
      <w:r w:rsidRPr="004E1EFC">
        <w:t>A HoLEP procedure takes longer to complete than a TURP procedure, but is associated with a statistically significant shorter hospital stay. Catheterisation times are also shorter.</w:t>
      </w:r>
      <w:r>
        <w:t xml:space="preserve"> </w:t>
      </w:r>
      <w:r w:rsidRPr="004E1EFC">
        <w:t>Surgeon experience was often not noted in the studies and so it difficult to ascertain whether these results would reflect current operative times.</w:t>
      </w:r>
    </w:p>
    <w:p w:rsidR="00786914" w:rsidRDefault="00786914" w:rsidP="0006743B">
      <w:r>
        <w:t>There is a satisfactory evidence base for this comparison of HoLEP and TURP, with several RCTs providing consistent evidence. This evidence is considered to be generalisable given that the patients included in these studies are likely to be similar to those for whom treatment is envisaged in Australia.</w:t>
      </w:r>
    </w:p>
    <w:p w:rsidR="00786914" w:rsidRDefault="00786914" w:rsidP="0006743B">
      <w:r w:rsidRPr="004E1EFC">
        <w:t>HoLEP appears to be as effective as OP across a range of effectiveness outcomes</w:t>
      </w:r>
      <w:r>
        <w:t>, albeit with a smaller body of evidence</w:t>
      </w:r>
      <w:r w:rsidRPr="004E1EFC">
        <w:t xml:space="preserve">. These include Qmax, symptom scores and </w:t>
      </w:r>
      <w:r>
        <w:t>PVR</w:t>
      </w:r>
      <w:r w:rsidRPr="004E1EFC">
        <w:t>. No evidence of superiority for HoLEP (or OP) was demonstrated</w:t>
      </w:r>
      <w:r>
        <w:t>.</w:t>
      </w:r>
    </w:p>
    <w:p w:rsidR="00786914" w:rsidRDefault="00786914" w:rsidP="0006743B">
      <w:r w:rsidRPr="004E1EFC">
        <w:t xml:space="preserve">A HoLEP procedure </w:t>
      </w:r>
      <w:r>
        <w:t xml:space="preserve">also </w:t>
      </w:r>
      <w:r w:rsidRPr="004E1EFC">
        <w:t>may</w:t>
      </w:r>
      <w:r>
        <w:t xml:space="preserve"> take longer to complete than an OP </w:t>
      </w:r>
      <w:r w:rsidRPr="004E1EFC">
        <w:t>procedure, but may be associated with a shorter hospital stay</w:t>
      </w:r>
      <w:r w:rsidR="00C07A9D">
        <w:t xml:space="preserve"> and </w:t>
      </w:r>
      <w:r w:rsidRPr="004E1EFC">
        <w:t>shorter catheterisation times</w:t>
      </w:r>
      <w:r w:rsidR="00C07A9D">
        <w:t>.</w:t>
      </w:r>
      <w:r w:rsidRPr="004E1EFC">
        <w:t xml:space="preserve"> </w:t>
      </w:r>
    </w:p>
    <w:p w:rsidR="00786914" w:rsidRPr="005A0875" w:rsidRDefault="00786914" w:rsidP="0006743B">
      <w:pPr>
        <w:rPr>
          <w:rFonts w:ascii="Arial" w:hAnsi="Arial"/>
          <w:b/>
          <w:szCs w:val="24"/>
          <w:u w:val="single"/>
        </w:rPr>
      </w:pPr>
      <w:r>
        <w:t>The evidence base for the comparison of HoLEP and OP is limited to two RCTs with 100 patients in total in each arm. Results from these trials are consistent, and are probably still generalisable to the Australian population.</w:t>
      </w:r>
    </w:p>
    <w:p w:rsidR="00786914" w:rsidRDefault="00786914">
      <w:pPr>
        <w:pStyle w:val="Heading2"/>
      </w:pPr>
      <w:bookmarkStart w:id="382" w:name="_Toc323642300"/>
      <w:bookmarkStart w:id="383" w:name="_Toc327877923"/>
      <w:bookmarkStart w:id="384" w:name="_Toc365900595"/>
      <w:r>
        <w:lastRenderedPageBreak/>
        <w:t>Economic considerations</w:t>
      </w:r>
      <w:bookmarkEnd w:id="382"/>
      <w:bookmarkEnd w:id="383"/>
      <w:bookmarkEnd w:id="384"/>
    </w:p>
    <w:p w:rsidR="00773F60" w:rsidRDefault="00773F60" w:rsidP="00773F60">
      <w:r>
        <w:t>Economic modelling to assess the costs and effects of various treatment options for BPH was undertaken. The economic evaluations undertaken showed that HoLEP treatment was associated with lower average per-patient treatment costs than treatment options including either TURP or OP, with very similar effectiveness. This lower cost is driven by the reduced length of stay required for HoLEP treatment, as well as reduced rates of adverse events, long-term incontinence and treatment failure.</w:t>
      </w:r>
    </w:p>
    <w:p w:rsidR="00773F60" w:rsidRPr="00EF610B" w:rsidRDefault="00773F60" w:rsidP="00773F60">
      <w:pPr>
        <w:rPr>
          <w:b/>
        </w:rPr>
      </w:pPr>
      <w:r>
        <w:rPr>
          <w:b/>
        </w:rPr>
        <w:t>TURP as the comparator</w:t>
      </w:r>
    </w:p>
    <w:p w:rsidR="00773F60" w:rsidRDefault="00773F60" w:rsidP="00773F60">
      <w:r>
        <w:t xml:space="preserve">When treatment pathways of HoLEP (with HoLEP for re-treatment if necessary) and TURP (with TURP for re-treatment) were compared, HoLEP was associated with lower average per-patient costs than TURP treatment with only a negligible difference in effectiveness (-0.008 QALYs). The origin of this difference in effectiveness is an artefact of the calculation of patient progression through the model and the two treatment pathways may be considered equally effective. There were lower treatment costs associated with HoLEP. </w:t>
      </w:r>
    </w:p>
    <w:p w:rsidR="00773F60" w:rsidRDefault="00773F60" w:rsidP="00773F60">
      <w:r>
        <w:t>There was only a marginal difference in effectiveness across a wide range of variables tested through sensitivity analysis.</w:t>
      </w:r>
    </w:p>
    <w:p w:rsidR="00773F60" w:rsidRDefault="00773F60" w:rsidP="00773F60">
      <w:pPr>
        <w:pStyle w:val="Normalbold"/>
      </w:pPr>
      <w:r>
        <w:t>OP as the comparator</w:t>
      </w:r>
    </w:p>
    <w:p w:rsidR="00773F60" w:rsidRDefault="00773F60" w:rsidP="00773F60">
      <w:r>
        <w:t xml:space="preserve">The treatment pathway employing </w:t>
      </w:r>
      <w:r w:rsidRPr="00C94D50">
        <w:t>HoLEP</w:t>
      </w:r>
      <w:r>
        <w:rPr>
          <w:b/>
        </w:rPr>
        <w:t xml:space="preserve"> </w:t>
      </w:r>
      <w:r>
        <w:t>followed by a second HoLEP upon initial treatment failure was found to have a lower average per-patient cost with superior effectiveness to treatment pathways employing OP. The reduction of cost was primarily driven by a reduced cost of treatment as a result of HoLEP requiring a reduced LOS than OP. When the costs associated with a LOS for HoLEP were adjusted upwards from two to three days HoLEP treatment remained a more cost-effective strategy.</w:t>
      </w:r>
    </w:p>
    <w:p w:rsidR="00773F60" w:rsidRDefault="00773F60" w:rsidP="00773F60">
      <w:r>
        <w:t>The treatment pathway of HoLEP then HoLEP remained preferable to that of HoLEP then OP or OP alone across all conditions tested through sensitivity analysis.</w:t>
      </w:r>
    </w:p>
    <w:p w:rsidR="00773F60" w:rsidRDefault="00773F60" w:rsidP="00773F60">
      <w:r>
        <w:t xml:space="preserve">It should be noted that the inputs used in the economic evaluation assessing the treatment of BPH in men with an expected prostate size &gt;80-100g using either HoLEP or OP was only based upon data published in two clinical trials </w:t>
      </w:r>
      <w:r w:rsidR="00F434EC">
        <w:t xml:space="preserve">with 200 </w:t>
      </w:r>
      <w:r>
        <w:t xml:space="preserve">patients </w:t>
      </w:r>
      <w:r w:rsidR="00F434EC">
        <w:t>in total</w:t>
      </w:r>
      <w:r>
        <w:t>. Thus, whilst the evidence at hand suggests that HoLEP is a cost-effective treatment option for BPH compared to OP, some caution should be exercised in drawing firm conclusions from the assessment provided in this report. This uncertainty regarding the comparative cost-effectiveness of HoLEP treatment compared with OP was reflected in the wide range of values obtained from the conduct of sensitivity analysis. However, given that HoLEP treatment was consistently found to be associated with a lower average per-patient treatment cost, and superior effectiveness, the availability of more data could be anticipated to reduce this uncertainty rather than alter the outcome of the assessment.</w:t>
      </w:r>
    </w:p>
    <w:p w:rsidR="00773F60" w:rsidRPr="000A3AAF" w:rsidRDefault="00773F60" w:rsidP="00773F60">
      <w:pPr>
        <w:pStyle w:val="Heading2"/>
      </w:pPr>
      <w:bookmarkStart w:id="385" w:name="_Toc365900596"/>
      <w:r w:rsidRPr="000A3AAF">
        <w:lastRenderedPageBreak/>
        <w:t>Costing</w:t>
      </w:r>
      <w:bookmarkEnd w:id="385"/>
    </w:p>
    <w:p w:rsidR="00773F60" w:rsidRPr="00EF2C2C" w:rsidRDefault="00773F60" w:rsidP="00773F60">
      <w:r w:rsidRPr="0019625F">
        <w:t>There is a learning curve to develop skills in the procedure. It is likely therefore that uptake of the procedure following positive listing would initially be slow, and increase gradually over time</w:t>
      </w:r>
      <w:r>
        <w:t xml:space="preserve">. Estimates of uptake of the procedure over a five year period in the event of a positive listing ranged from 1% of the total number of TURP procedures that are performed annually by year 1 and rising to 10% by year 5. </w:t>
      </w:r>
    </w:p>
    <w:p w:rsidR="00773F60" w:rsidRPr="0019625F" w:rsidRDefault="00773F60" w:rsidP="00773F60">
      <w:r w:rsidRPr="0019625F">
        <w:t xml:space="preserve">The listing of HoLEP would have an additional direct cost to </w:t>
      </w:r>
      <w:r>
        <w:t>the MBS</w:t>
      </w:r>
      <w:r w:rsidRPr="0019625F">
        <w:t xml:space="preserve"> on an annual basis as a result of the increased fee for the item. The indirect cost savings that occur – through reduced length of stay and reduced complications – would accrue to hospitals, to health insurers and to patients.</w:t>
      </w:r>
    </w:p>
    <w:p w:rsidR="00773F60" w:rsidRPr="0019625F" w:rsidRDefault="00773F60" w:rsidP="00773F60">
      <w:r w:rsidRPr="0019625F">
        <w:t xml:space="preserve">Based on the projections outlined in this assessment, it is estimated that the additional cost to </w:t>
      </w:r>
      <w:r>
        <w:t>the MBS</w:t>
      </w:r>
      <w:r w:rsidRPr="0019625F">
        <w:t xml:space="preserve"> as a result of positive listing of this procedure would be $201,465 by year 3 and rising to $398,589 by year 5. These costs reflect only the 75% benefit for the item and it is expected that any additional costs would be out-of-pocket.</w:t>
      </w:r>
    </w:p>
    <w:p w:rsidR="00786914" w:rsidRDefault="00786914" w:rsidP="0006743B"/>
    <w:p w:rsidR="00786914" w:rsidRPr="00776777" w:rsidRDefault="00786914" w:rsidP="0049453C">
      <w:pPr>
        <w:pStyle w:val="Heading1"/>
        <w:ind w:left="3600" w:hanging="3600"/>
        <w:rPr>
          <w:bCs/>
        </w:rPr>
      </w:pPr>
      <w:bookmarkStart w:id="386" w:name="_Ref206484417"/>
      <w:bookmarkStart w:id="387" w:name="_Toc323642302"/>
      <w:bookmarkStart w:id="388" w:name="_Toc327877926"/>
      <w:bookmarkStart w:id="389" w:name="_Toc365900597"/>
      <w:r w:rsidRPr="00776777">
        <w:rPr>
          <w:bCs/>
        </w:rPr>
        <w:lastRenderedPageBreak/>
        <w:t xml:space="preserve">Appendix </w:t>
      </w:r>
      <w:bookmarkEnd w:id="386"/>
      <w:r w:rsidR="007C5D64">
        <w:rPr>
          <w:bCs/>
        </w:rPr>
        <w:t>A</w:t>
      </w:r>
      <w:r w:rsidRPr="00776777">
        <w:rPr>
          <w:bCs/>
        </w:rPr>
        <w:tab/>
      </w:r>
      <w:r w:rsidR="008D2B47">
        <w:rPr>
          <w:bCs/>
        </w:rPr>
        <w:t xml:space="preserve">Health </w:t>
      </w:r>
      <w:r w:rsidR="00A07985">
        <w:rPr>
          <w:bCs/>
        </w:rPr>
        <w:t xml:space="preserve">Expert Standing </w:t>
      </w:r>
      <w:r w:rsidRPr="00776777">
        <w:rPr>
          <w:bCs/>
        </w:rPr>
        <w:t>Panel</w:t>
      </w:r>
      <w:r>
        <w:rPr>
          <w:bCs/>
        </w:rPr>
        <w:t xml:space="preserve"> </w:t>
      </w:r>
      <w:r w:rsidRPr="00776777">
        <w:rPr>
          <w:bCs/>
        </w:rPr>
        <w:t>and</w:t>
      </w:r>
      <w:r>
        <w:rPr>
          <w:bCs/>
        </w:rPr>
        <w:t xml:space="preserve"> </w:t>
      </w:r>
      <w:bookmarkEnd w:id="387"/>
      <w:bookmarkEnd w:id="388"/>
      <w:r w:rsidR="008D2B47">
        <w:rPr>
          <w:bCs/>
        </w:rPr>
        <w:t>Assessment Group</w:t>
      </w:r>
      <w:bookmarkEnd w:id="389"/>
    </w:p>
    <w:p w:rsidR="00786914" w:rsidRPr="00284CB2" w:rsidRDefault="00786914" w:rsidP="0006743B">
      <w:pPr>
        <w:pStyle w:val="Normalbold"/>
      </w:pPr>
      <w:bookmarkStart w:id="390" w:name="_Toc323642303"/>
      <w:bookmarkStart w:id="391" w:name="_Toc327877927"/>
      <w:r w:rsidRPr="00284CB2">
        <w:t>Application 1149 – Holmium:YAG laser enucleation of the prostate (HoLEP) for the treatment of benign prostatic hyperplasia</w:t>
      </w:r>
      <w:bookmarkEnd w:id="390"/>
      <w:bookmarkEnd w:id="391"/>
    </w:p>
    <w:p w:rsidR="00786914" w:rsidRPr="004C6B15" w:rsidRDefault="00786914" w:rsidP="0006743B">
      <w:pPr>
        <w:pStyle w:val="Normalbold"/>
      </w:pPr>
      <w:bookmarkStart w:id="392" w:name="_Toc323642304"/>
      <w:bookmarkStart w:id="393" w:name="_Toc327877928"/>
      <w:r>
        <w:t>Medical Expert Standing Panel</w:t>
      </w:r>
      <w:bookmarkEnd w:id="392"/>
      <w:bookmarkEnd w:id="393"/>
    </w:p>
    <w:p w:rsidR="007378F3" w:rsidRPr="0032213E" w:rsidRDefault="007378F3" w:rsidP="0006743B">
      <w:pPr>
        <w:tabs>
          <w:tab w:val="left" w:pos="4077"/>
        </w:tabs>
        <w:autoSpaceDE w:val="0"/>
        <w:autoSpaceDN w:val="0"/>
        <w:adjustRightInd w:val="0"/>
        <w:spacing w:after="120"/>
        <w:ind w:left="816" w:hanging="11"/>
        <w:rPr>
          <w:b/>
          <w:szCs w:val="22"/>
        </w:rPr>
      </w:pPr>
      <w:bookmarkStart w:id="394" w:name="OLE_LINK1"/>
      <w:bookmarkStart w:id="395" w:name="OLE_LINK2"/>
      <w:r w:rsidRPr="0032213E">
        <w:rPr>
          <w:b/>
          <w:sz w:val="22"/>
          <w:szCs w:val="22"/>
        </w:rPr>
        <w:t>Member</w:t>
      </w:r>
      <w:r w:rsidRPr="0032213E">
        <w:rPr>
          <w:b/>
          <w:szCs w:val="22"/>
        </w:rPr>
        <w:tab/>
      </w:r>
      <w:r w:rsidRPr="0032213E">
        <w:rPr>
          <w:b/>
          <w:sz w:val="22"/>
          <w:szCs w:val="22"/>
        </w:rPr>
        <w:t>Expertise or Affiliation</w:t>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 xml:space="preserve">Dr Nader Awad </w:t>
      </w:r>
      <w:r w:rsidRPr="00986B15">
        <w:rPr>
          <w:szCs w:val="22"/>
        </w:rPr>
        <w:tab/>
      </w:r>
      <w:r>
        <w:rPr>
          <w:sz w:val="22"/>
          <w:szCs w:val="22"/>
        </w:rPr>
        <w:t>Senior Urologist. Head of Department Port Macquarie. FRACS (UROL) Senior Lecturer UNSW, UNE, NU</w:t>
      </w:r>
    </w:p>
    <w:p w:rsidR="007378F3" w:rsidRPr="007E745E" w:rsidRDefault="007378F3" w:rsidP="0006743B">
      <w:pPr>
        <w:tabs>
          <w:tab w:val="left" w:pos="4077"/>
        </w:tabs>
        <w:autoSpaceDE w:val="0"/>
        <w:autoSpaceDN w:val="0"/>
        <w:adjustRightInd w:val="0"/>
        <w:spacing w:after="0"/>
        <w:ind w:left="816" w:hanging="34"/>
        <w:rPr>
          <w:szCs w:val="22"/>
        </w:rPr>
      </w:pPr>
      <w:r w:rsidRPr="00986B15">
        <w:rPr>
          <w:szCs w:val="22"/>
        </w:rPr>
        <w:tab/>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Dr Andrew Tan</w:t>
      </w:r>
      <w:r w:rsidRPr="00986B15">
        <w:rPr>
          <w:szCs w:val="22"/>
        </w:rPr>
        <w:tab/>
      </w:r>
      <w:r>
        <w:rPr>
          <w:sz w:val="22"/>
          <w:szCs w:val="22"/>
        </w:rPr>
        <w:t>Consultant Urological Surgeon</w:t>
      </w:r>
    </w:p>
    <w:p w:rsidR="007378F3" w:rsidRPr="007E745E" w:rsidRDefault="007378F3" w:rsidP="0006743B">
      <w:pPr>
        <w:tabs>
          <w:tab w:val="left" w:pos="4077"/>
        </w:tabs>
        <w:autoSpaceDE w:val="0"/>
        <w:autoSpaceDN w:val="0"/>
        <w:adjustRightInd w:val="0"/>
        <w:spacing w:after="0"/>
        <w:ind w:left="816" w:hanging="34"/>
        <w:rPr>
          <w:szCs w:val="22"/>
        </w:rPr>
      </w:pPr>
      <w:r w:rsidRPr="00986B15">
        <w:rPr>
          <w:szCs w:val="22"/>
        </w:rPr>
        <w:tab/>
      </w:r>
      <w:r>
        <w:rPr>
          <w:sz w:val="22"/>
          <w:szCs w:val="22"/>
        </w:rPr>
        <w:t>Royal Perth Hospital/Mount Private Hospital</w:t>
      </w:r>
    </w:p>
    <w:p w:rsidR="007378F3" w:rsidRPr="007E745E" w:rsidRDefault="007378F3" w:rsidP="0006743B">
      <w:pPr>
        <w:tabs>
          <w:tab w:val="left" w:pos="4077"/>
        </w:tabs>
        <w:autoSpaceDE w:val="0"/>
        <w:autoSpaceDN w:val="0"/>
        <w:adjustRightInd w:val="0"/>
        <w:spacing w:after="0"/>
        <w:ind w:left="816" w:hanging="34"/>
        <w:rPr>
          <w:szCs w:val="22"/>
        </w:rPr>
      </w:pPr>
      <w:r w:rsidRPr="00986B15">
        <w:rPr>
          <w:szCs w:val="22"/>
        </w:rPr>
        <w:tab/>
      </w:r>
      <w:r>
        <w:rPr>
          <w:sz w:val="22"/>
          <w:szCs w:val="22"/>
        </w:rPr>
        <w:t>Western Australia</w:t>
      </w:r>
    </w:p>
    <w:bookmarkEnd w:id="394"/>
    <w:bookmarkEnd w:id="395"/>
    <w:p w:rsidR="00786914" w:rsidRPr="001550E8" w:rsidRDefault="008D2B47" w:rsidP="0006743B">
      <w:pPr>
        <w:pStyle w:val="Normalbold"/>
      </w:pPr>
      <w:r>
        <w:t>Assessment Group</w:t>
      </w:r>
    </w:p>
    <w:p w:rsidR="007378F3" w:rsidRPr="006A5814" w:rsidRDefault="007378F3" w:rsidP="0006743B">
      <w:pPr>
        <w:tabs>
          <w:tab w:val="left" w:pos="4077"/>
        </w:tabs>
        <w:autoSpaceDE w:val="0"/>
        <w:autoSpaceDN w:val="0"/>
        <w:adjustRightInd w:val="0"/>
        <w:spacing w:after="120"/>
        <w:ind w:left="816" w:hanging="11"/>
        <w:rPr>
          <w:b/>
          <w:szCs w:val="22"/>
        </w:rPr>
      </w:pPr>
      <w:r w:rsidRPr="0032213E">
        <w:rPr>
          <w:b/>
          <w:sz w:val="22"/>
          <w:szCs w:val="22"/>
        </w:rPr>
        <w:t>Name</w:t>
      </w:r>
      <w:r w:rsidRPr="0032213E">
        <w:rPr>
          <w:b/>
          <w:szCs w:val="22"/>
        </w:rPr>
        <w:tab/>
      </w:r>
      <w:r w:rsidRPr="0038436D">
        <w:rPr>
          <w:b/>
          <w:sz w:val="22"/>
          <w:szCs w:val="22"/>
        </w:rPr>
        <w:t>Organisation</w:t>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Anna Stoklosa</w:t>
      </w:r>
      <w:r w:rsidRPr="00986B15">
        <w:rPr>
          <w:szCs w:val="22"/>
        </w:rPr>
        <w:tab/>
      </w:r>
      <w:r>
        <w:rPr>
          <w:sz w:val="22"/>
          <w:szCs w:val="22"/>
        </w:rPr>
        <w:t>NHMRC Clinical Trials Centre, University of Sydney</w:t>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Sally Wortley</w:t>
      </w:r>
      <w:r w:rsidRPr="00986B15">
        <w:rPr>
          <w:szCs w:val="22"/>
        </w:rPr>
        <w:tab/>
      </w:r>
      <w:r>
        <w:rPr>
          <w:sz w:val="22"/>
          <w:szCs w:val="22"/>
        </w:rPr>
        <w:t>NHMRC Clinical Trials Centre, University of Sydney</w:t>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Toby Gould</w:t>
      </w:r>
      <w:r w:rsidRPr="00986B15">
        <w:rPr>
          <w:szCs w:val="22"/>
        </w:rPr>
        <w:tab/>
      </w:r>
      <w:r>
        <w:rPr>
          <w:sz w:val="22"/>
          <w:szCs w:val="22"/>
        </w:rPr>
        <w:t>NHMRC Clinical Trials Centre, University of Sydney</w:t>
      </w:r>
    </w:p>
    <w:p w:rsidR="007378F3" w:rsidRPr="007E745E" w:rsidRDefault="007378F3" w:rsidP="0006743B">
      <w:pPr>
        <w:tabs>
          <w:tab w:val="left" w:pos="4077"/>
        </w:tabs>
        <w:autoSpaceDE w:val="0"/>
        <w:autoSpaceDN w:val="0"/>
        <w:adjustRightInd w:val="0"/>
        <w:spacing w:after="0"/>
        <w:ind w:left="816" w:hanging="34"/>
        <w:rPr>
          <w:szCs w:val="22"/>
        </w:rPr>
      </w:pPr>
      <w:r>
        <w:rPr>
          <w:sz w:val="22"/>
          <w:szCs w:val="22"/>
        </w:rPr>
        <w:t>Samara Lewis</w:t>
      </w:r>
      <w:r w:rsidRPr="00986B15">
        <w:rPr>
          <w:szCs w:val="22"/>
        </w:rPr>
        <w:tab/>
      </w:r>
      <w:r>
        <w:rPr>
          <w:sz w:val="22"/>
          <w:szCs w:val="22"/>
        </w:rPr>
        <w:t>NHMRC Clinical Trials Centre, University of Sydney</w:t>
      </w:r>
    </w:p>
    <w:p w:rsidR="007378F3" w:rsidRDefault="007378F3" w:rsidP="0006743B">
      <w:pPr>
        <w:tabs>
          <w:tab w:val="left" w:pos="4077"/>
        </w:tabs>
        <w:autoSpaceDE w:val="0"/>
        <w:autoSpaceDN w:val="0"/>
        <w:adjustRightInd w:val="0"/>
        <w:spacing w:after="0"/>
        <w:ind w:left="816" w:hanging="34"/>
        <w:rPr>
          <w:szCs w:val="22"/>
        </w:rPr>
      </w:pPr>
      <w:r>
        <w:rPr>
          <w:sz w:val="22"/>
          <w:szCs w:val="22"/>
        </w:rPr>
        <w:t>Martin Flattery</w:t>
      </w:r>
      <w:r>
        <w:rPr>
          <w:szCs w:val="22"/>
        </w:rPr>
        <w:tab/>
      </w:r>
      <w:r>
        <w:rPr>
          <w:sz w:val="22"/>
          <w:szCs w:val="22"/>
        </w:rPr>
        <w:t>NHMRC Clinical Trials Centre, University of Sydney</w:t>
      </w:r>
    </w:p>
    <w:p w:rsidR="00786914" w:rsidRPr="00867543" w:rsidRDefault="00786914" w:rsidP="0006743B"/>
    <w:p w:rsidR="00786914" w:rsidRDefault="00786914" w:rsidP="0006743B">
      <w:pPr>
        <w:pStyle w:val="Heading1"/>
        <w:rPr>
          <w:bCs/>
        </w:rPr>
      </w:pPr>
      <w:bookmarkStart w:id="396" w:name="_Toc323642306"/>
      <w:bookmarkStart w:id="397" w:name="_Toc327877930"/>
      <w:bookmarkStart w:id="398" w:name="_Toc365900598"/>
      <w:r w:rsidRPr="004C6B15">
        <w:rPr>
          <w:bCs/>
        </w:rPr>
        <w:lastRenderedPageBreak/>
        <w:t xml:space="preserve">Appendix </w:t>
      </w:r>
      <w:r w:rsidR="007C5D64">
        <w:rPr>
          <w:bCs/>
        </w:rPr>
        <w:t>B</w:t>
      </w:r>
      <w:r w:rsidRPr="004C6B15">
        <w:rPr>
          <w:bCs/>
        </w:rPr>
        <w:tab/>
        <w:t>Search strategies</w:t>
      </w:r>
      <w:bookmarkEnd w:id="396"/>
      <w:bookmarkEnd w:id="397"/>
      <w:bookmarkEnd w:id="398"/>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184"/>
      </w:tblGrid>
      <w:tr w:rsidR="00786914" w:rsidRPr="00D62B55" w:rsidTr="0006743B">
        <w:tc>
          <w:tcPr>
            <w:tcW w:w="1161" w:type="dxa"/>
          </w:tcPr>
          <w:p w:rsidR="00786914" w:rsidRPr="00D62B55" w:rsidRDefault="00786914" w:rsidP="0006743B">
            <w:pPr>
              <w:pStyle w:val="TableText"/>
            </w:pPr>
            <w:r w:rsidRPr="00D62B55">
              <w:t>#</w:t>
            </w:r>
          </w:p>
        </w:tc>
        <w:tc>
          <w:tcPr>
            <w:tcW w:w="8184" w:type="dxa"/>
          </w:tcPr>
          <w:p w:rsidR="00786914" w:rsidRDefault="00786914" w:rsidP="0006743B">
            <w:pPr>
              <w:pStyle w:val="TableText"/>
              <w:rPr>
                <w:b/>
                <w:bCs/>
                <w:color w:val="0055A4"/>
              </w:rPr>
            </w:pPr>
            <w:r w:rsidRPr="007F1854">
              <w:rPr>
                <w:b/>
              </w:rPr>
              <w:t>Embase</w:t>
            </w:r>
          </w:p>
        </w:tc>
      </w:tr>
      <w:tr w:rsidR="00786914" w:rsidRPr="00D62B55" w:rsidTr="0006743B">
        <w:tc>
          <w:tcPr>
            <w:tcW w:w="1161" w:type="dxa"/>
          </w:tcPr>
          <w:p w:rsidR="00786914" w:rsidRPr="00D62B55" w:rsidRDefault="00786914" w:rsidP="0006743B">
            <w:pPr>
              <w:pStyle w:val="TableText"/>
            </w:pPr>
            <w:r w:rsidRPr="00D62B55">
              <w:t>1</w:t>
            </w:r>
          </w:p>
        </w:tc>
        <w:tc>
          <w:tcPr>
            <w:tcW w:w="8184" w:type="dxa"/>
          </w:tcPr>
          <w:p w:rsidR="00786914" w:rsidRPr="00D62B55" w:rsidRDefault="00786914" w:rsidP="0006743B">
            <w:pPr>
              <w:pStyle w:val="TableText"/>
            </w:pPr>
            <w:r w:rsidRPr="00D62B55">
              <w:rPr>
                <w:bCs/>
              </w:rPr>
              <w:t>'prostate hypertrophy'</w:t>
            </w:r>
            <w:r w:rsidRPr="00D62B55">
              <w:t xml:space="preserve">/exp OR </w:t>
            </w:r>
            <w:r w:rsidRPr="00D62B55">
              <w:rPr>
                <w:bCs/>
              </w:rPr>
              <w:t>'prostate hypertrophy'</w:t>
            </w:r>
          </w:p>
        </w:tc>
      </w:tr>
      <w:tr w:rsidR="00786914" w:rsidRPr="00D62B55" w:rsidTr="0006743B">
        <w:tc>
          <w:tcPr>
            <w:tcW w:w="1161" w:type="dxa"/>
          </w:tcPr>
          <w:p w:rsidR="00786914" w:rsidRPr="00D62B55" w:rsidRDefault="00786914" w:rsidP="0006743B">
            <w:pPr>
              <w:pStyle w:val="TableText"/>
            </w:pPr>
            <w:r w:rsidRPr="00D62B55">
              <w:t>2</w:t>
            </w:r>
          </w:p>
        </w:tc>
        <w:tc>
          <w:tcPr>
            <w:tcW w:w="8184" w:type="dxa"/>
          </w:tcPr>
          <w:p w:rsidR="00786914" w:rsidRPr="00D62B55" w:rsidRDefault="00786914" w:rsidP="0006743B">
            <w:pPr>
              <w:pStyle w:val="TableText"/>
            </w:pPr>
            <w:r w:rsidRPr="00D62B55">
              <w:rPr>
                <w:bCs/>
              </w:rPr>
              <w:t>bph</w:t>
            </w:r>
            <w:r w:rsidRPr="00D62B55">
              <w:t>:ab,ti</w:t>
            </w:r>
          </w:p>
        </w:tc>
      </w:tr>
      <w:tr w:rsidR="00786914" w:rsidRPr="00D62B55" w:rsidTr="0006743B">
        <w:tc>
          <w:tcPr>
            <w:tcW w:w="1161" w:type="dxa"/>
          </w:tcPr>
          <w:p w:rsidR="00786914" w:rsidRPr="00D62B55" w:rsidRDefault="00786914" w:rsidP="0006743B">
            <w:pPr>
              <w:pStyle w:val="TableText"/>
            </w:pPr>
            <w:r w:rsidRPr="00D62B55">
              <w:t>3</w:t>
            </w:r>
          </w:p>
        </w:tc>
        <w:tc>
          <w:tcPr>
            <w:tcW w:w="8184" w:type="dxa"/>
          </w:tcPr>
          <w:p w:rsidR="00786914" w:rsidRPr="00D62B55" w:rsidRDefault="00786914" w:rsidP="0006743B">
            <w:pPr>
              <w:pStyle w:val="TableText"/>
            </w:pPr>
            <w:r w:rsidRPr="00D62B55">
              <w:rPr>
                <w:bCs/>
              </w:rPr>
              <w:t>bpo</w:t>
            </w:r>
            <w:r w:rsidRPr="00D62B55">
              <w:t>:ab,ti</w:t>
            </w:r>
          </w:p>
        </w:tc>
      </w:tr>
      <w:tr w:rsidR="00786914" w:rsidRPr="00D62B55" w:rsidTr="0006743B">
        <w:tc>
          <w:tcPr>
            <w:tcW w:w="1161" w:type="dxa"/>
          </w:tcPr>
          <w:p w:rsidR="00786914" w:rsidRPr="00D62B55" w:rsidRDefault="00786914" w:rsidP="0006743B">
            <w:pPr>
              <w:pStyle w:val="TableText"/>
            </w:pPr>
            <w:r w:rsidRPr="00D62B55">
              <w:t>4</w:t>
            </w:r>
          </w:p>
        </w:tc>
        <w:tc>
          <w:tcPr>
            <w:tcW w:w="8184" w:type="dxa"/>
          </w:tcPr>
          <w:p w:rsidR="00786914" w:rsidRPr="00D62B55" w:rsidRDefault="00786914" w:rsidP="0006743B">
            <w:pPr>
              <w:pStyle w:val="TableText"/>
            </w:pPr>
            <w:r w:rsidRPr="00D62B55">
              <w:rPr>
                <w:bCs/>
              </w:rPr>
              <w:t>bpe</w:t>
            </w:r>
            <w:r w:rsidRPr="00D62B55">
              <w:t>:ab,ti</w:t>
            </w:r>
          </w:p>
        </w:tc>
      </w:tr>
      <w:tr w:rsidR="00786914" w:rsidRPr="00D62B55" w:rsidTr="0006743B">
        <w:tc>
          <w:tcPr>
            <w:tcW w:w="1161" w:type="dxa"/>
          </w:tcPr>
          <w:p w:rsidR="00786914" w:rsidRPr="00D62B55" w:rsidRDefault="00786914" w:rsidP="0006743B">
            <w:pPr>
              <w:pStyle w:val="TableText"/>
            </w:pPr>
            <w:r w:rsidRPr="00D62B55">
              <w:t>5</w:t>
            </w:r>
          </w:p>
        </w:tc>
        <w:tc>
          <w:tcPr>
            <w:tcW w:w="8184" w:type="dxa"/>
          </w:tcPr>
          <w:p w:rsidR="00786914" w:rsidRPr="00D62B55" w:rsidRDefault="00786914" w:rsidP="0006743B">
            <w:pPr>
              <w:pStyle w:val="TableText"/>
            </w:pPr>
            <w:r w:rsidRPr="00D62B55">
              <w:t xml:space="preserve"> (</w:t>
            </w:r>
            <w:r w:rsidRPr="00D62B55">
              <w:rPr>
                <w:bCs/>
              </w:rPr>
              <w:t>prostat*</w:t>
            </w:r>
            <w:r w:rsidRPr="00D62B55">
              <w:t xml:space="preserve"> NEXT/3 </w:t>
            </w:r>
            <w:r w:rsidRPr="00D62B55">
              <w:rPr>
                <w:bCs/>
              </w:rPr>
              <w:t>hyper*</w:t>
            </w:r>
            <w:r w:rsidRPr="00D62B55">
              <w:t>):ab,ti</w:t>
            </w:r>
          </w:p>
        </w:tc>
      </w:tr>
      <w:tr w:rsidR="00786914" w:rsidRPr="00D62B55" w:rsidTr="0006743B">
        <w:tc>
          <w:tcPr>
            <w:tcW w:w="1161" w:type="dxa"/>
          </w:tcPr>
          <w:p w:rsidR="00786914" w:rsidRPr="00D62B55" w:rsidRDefault="00786914" w:rsidP="0006743B">
            <w:pPr>
              <w:pStyle w:val="TableText"/>
            </w:pPr>
            <w:r w:rsidRPr="00D62B55">
              <w:t>6</w:t>
            </w:r>
          </w:p>
        </w:tc>
        <w:tc>
          <w:tcPr>
            <w:tcW w:w="8184" w:type="dxa"/>
          </w:tcPr>
          <w:p w:rsidR="00786914" w:rsidRPr="00D62B55" w:rsidRDefault="00786914" w:rsidP="0006743B">
            <w:pPr>
              <w:pStyle w:val="TableText"/>
            </w:pPr>
            <w:r w:rsidRPr="00D62B55">
              <w:rPr>
                <w:bCs/>
              </w:rPr>
              <w:t>benign</w:t>
            </w:r>
            <w:r w:rsidRPr="00D62B55">
              <w:t>:ab,ti AND (</w:t>
            </w:r>
            <w:r w:rsidRPr="00D62B55">
              <w:rPr>
                <w:bCs/>
              </w:rPr>
              <w:t>prostat*</w:t>
            </w:r>
            <w:r w:rsidRPr="00D62B55">
              <w:t xml:space="preserve"> NEXT/3 (</w:t>
            </w:r>
            <w:r w:rsidRPr="00D62B55">
              <w:rPr>
                <w:bCs/>
              </w:rPr>
              <w:t>enlarge*</w:t>
            </w:r>
            <w:r w:rsidRPr="00D62B55">
              <w:t xml:space="preserve"> OR </w:t>
            </w:r>
            <w:r w:rsidRPr="00D62B55">
              <w:rPr>
                <w:bCs/>
              </w:rPr>
              <w:t>obstruct*</w:t>
            </w:r>
            <w:r w:rsidRPr="00D62B55">
              <w:t xml:space="preserve"> OR </w:t>
            </w:r>
            <w:r w:rsidRPr="00D62B55">
              <w:rPr>
                <w:bCs/>
              </w:rPr>
              <w:t>disease</w:t>
            </w:r>
            <w:r w:rsidRPr="00D62B55">
              <w:t>)):ab,ti</w:t>
            </w:r>
          </w:p>
        </w:tc>
      </w:tr>
      <w:tr w:rsidR="00786914" w:rsidRPr="00D62B55" w:rsidTr="0006743B">
        <w:tc>
          <w:tcPr>
            <w:tcW w:w="1161" w:type="dxa"/>
          </w:tcPr>
          <w:p w:rsidR="00786914" w:rsidRPr="00D62B55" w:rsidRDefault="00786914" w:rsidP="0006743B">
            <w:pPr>
              <w:pStyle w:val="TableText"/>
            </w:pPr>
            <w:r w:rsidRPr="00D62B55">
              <w:t>7</w:t>
            </w:r>
          </w:p>
        </w:tc>
        <w:tc>
          <w:tcPr>
            <w:tcW w:w="8184" w:type="dxa"/>
          </w:tcPr>
          <w:p w:rsidR="00786914" w:rsidRPr="00D62B55" w:rsidRDefault="00786914" w:rsidP="0006743B">
            <w:pPr>
              <w:pStyle w:val="TableText"/>
            </w:pPr>
            <w:r w:rsidRPr="00D62B55">
              <w:rPr>
                <w:bCs/>
              </w:rPr>
              <w:t>#1</w:t>
            </w:r>
            <w:r w:rsidRPr="00D62B55">
              <w:t xml:space="preserve"> OR </w:t>
            </w:r>
            <w:r w:rsidRPr="00D62B55">
              <w:rPr>
                <w:bCs/>
              </w:rPr>
              <w:t>#2</w:t>
            </w:r>
            <w:r w:rsidRPr="00D62B55">
              <w:t xml:space="preserve"> OR </w:t>
            </w:r>
            <w:r w:rsidRPr="00D62B55">
              <w:rPr>
                <w:bCs/>
              </w:rPr>
              <w:t>#3</w:t>
            </w:r>
            <w:r w:rsidRPr="00D62B55">
              <w:t xml:space="preserve"> OR </w:t>
            </w:r>
            <w:r w:rsidRPr="00D62B55">
              <w:rPr>
                <w:bCs/>
              </w:rPr>
              <w:t>#4</w:t>
            </w:r>
            <w:r w:rsidRPr="00D62B55">
              <w:t xml:space="preserve"> OR </w:t>
            </w:r>
            <w:r w:rsidRPr="00D62B55">
              <w:rPr>
                <w:bCs/>
              </w:rPr>
              <w:t>#5</w:t>
            </w:r>
            <w:r w:rsidRPr="00D62B55">
              <w:t xml:space="preserve"> OR </w:t>
            </w:r>
            <w:r w:rsidRPr="00D62B55">
              <w:rPr>
                <w:bCs/>
              </w:rPr>
              <w:t xml:space="preserve">#6 </w:t>
            </w:r>
          </w:p>
        </w:tc>
      </w:tr>
      <w:tr w:rsidR="00786914" w:rsidRPr="00D62B55" w:rsidTr="0006743B">
        <w:tc>
          <w:tcPr>
            <w:tcW w:w="1161" w:type="dxa"/>
          </w:tcPr>
          <w:p w:rsidR="00786914" w:rsidRPr="00D62B55" w:rsidRDefault="00786914" w:rsidP="0006743B">
            <w:pPr>
              <w:pStyle w:val="TableText"/>
            </w:pPr>
            <w:r w:rsidRPr="00D62B55">
              <w:t>8</w:t>
            </w:r>
          </w:p>
        </w:tc>
        <w:tc>
          <w:tcPr>
            <w:tcW w:w="8184" w:type="dxa"/>
          </w:tcPr>
          <w:p w:rsidR="00786914" w:rsidRPr="00D62B55" w:rsidRDefault="00786914" w:rsidP="0006743B">
            <w:pPr>
              <w:pStyle w:val="TableText"/>
            </w:pPr>
            <w:r w:rsidRPr="00D62B55">
              <w:rPr>
                <w:bCs/>
              </w:rPr>
              <w:t>'holmium laser'</w:t>
            </w:r>
            <w:r w:rsidRPr="00D62B55">
              <w:t>:ab,ti</w:t>
            </w:r>
          </w:p>
        </w:tc>
      </w:tr>
      <w:tr w:rsidR="00786914" w:rsidRPr="00D62B55" w:rsidTr="0006743B">
        <w:tc>
          <w:tcPr>
            <w:tcW w:w="1161" w:type="dxa"/>
          </w:tcPr>
          <w:p w:rsidR="00786914" w:rsidRPr="00D62B55" w:rsidRDefault="00786914" w:rsidP="0006743B">
            <w:pPr>
              <w:pStyle w:val="TableText"/>
            </w:pPr>
            <w:r w:rsidRPr="00D62B55">
              <w:t>9</w:t>
            </w:r>
          </w:p>
        </w:tc>
        <w:tc>
          <w:tcPr>
            <w:tcW w:w="8184" w:type="dxa"/>
          </w:tcPr>
          <w:p w:rsidR="00786914" w:rsidRPr="00D62B55" w:rsidRDefault="00786914" w:rsidP="0006743B">
            <w:pPr>
              <w:pStyle w:val="TableText"/>
            </w:pPr>
            <w:r w:rsidRPr="00D62B55">
              <w:rPr>
                <w:bCs/>
              </w:rPr>
              <w:t>'yag laser'</w:t>
            </w:r>
            <w:r w:rsidRPr="00D62B55">
              <w:t>:ab,ti</w:t>
            </w:r>
          </w:p>
        </w:tc>
      </w:tr>
      <w:tr w:rsidR="00786914" w:rsidRPr="00D62B55" w:rsidTr="0006743B">
        <w:tc>
          <w:tcPr>
            <w:tcW w:w="1161" w:type="dxa"/>
          </w:tcPr>
          <w:p w:rsidR="00786914" w:rsidRPr="00D62B55" w:rsidRDefault="00786914" w:rsidP="0006743B">
            <w:pPr>
              <w:pStyle w:val="TableText"/>
            </w:pPr>
            <w:r w:rsidRPr="00D62B55">
              <w:t>10</w:t>
            </w:r>
          </w:p>
        </w:tc>
        <w:tc>
          <w:tcPr>
            <w:tcW w:w="8184" w:type="dxa"/>
          </w:tcPr>
          <w:p w:rsidR="00786914" w:rsidRPr="00D62B55" w:rsidRDefault="00786914" w:rsidP="0006743B">
            <w:pPr>
              <w:pStyle w:val="TableText"/>
            </w:pPr>
            <w:r w:rsidRPr="00D62B55">
              <w:t>(</w:t>
            </w:r>
            <w:r w:rsidRPr="00D62B55">
              <w:rPr>
                <w:bCs/>
              </w:rPr>
              <w:t>laser</w:t>
            </w:r>
            <w:r w:rsidRPr="00D62B55">
              <w:t xml:space="preserve"> NEAR/3 (</w:t>
            </w:r>
            <w:r w:rsidRPr="00D62B55">
              <w:rPr>
                <w:bCs/>
              </w:rPr>
              <w:t>enucleat*</w:t>
            </w:r>
            <w:r w:rsidRPr="00D62B55">
              <w:t xml:space="preserve"> OR </w:t>
            </w:r>
            <w:r w:rsidRPr="00D62B55">
              <w:rPr>
                <w:bCs/>
              </w:rPr>
              <w:t>prostatect*</w:t>
            </w:r>
            <w:r w:rsidRPr="00D62B55">
              <w:t xml:space="preserve"> OR </w:t>
            </w:r>
            <w:r w:rsidRPr="00D62B55">
              <w:rPr>
                <w:bCs/>
              </w:rPr>
              <w:t>resect*</w:t>
            </w:r>
            <w:r w:rsidRPr="00D62B55">
              <w:t xml:space="preserve"> OR </w:t>
            </w:r>
            <w:r w:rsidRPr="00D62B55">
              <w:rPr>
                <w:bCs/>
              </w:rPr>
              <w:t>ablat*</w:t>
            </w:r>
            <w:r w:rsidRPr="00D62B55">
              <w:t>)):ab,ti</w:t>
            </w:r>
          </w:p>
        </w:tc>
      </w:tr>
      <w:tr w:rsidR="00786914" w:rsidRPr="00D62B55" w:rsidTr="0006743B">
        <w:tc>
          <w:tcPr>
            <w:tcW w:w="1161" w:type="dxa"/>
          </w:tcPr>
          <w:p w:rsidR="00786914" w:rsidRPr="00D62B55" w:rsidRDefault="00786914" w:rsidP="0006743B">
            <w:pPr>
              <w:pStyle w:val="TableText"/>
            </w:pPr>
            <w:r w:rsidRPr="00D62B55">
              <w:t>11</w:t>
            </w:r>
          </w:p>
        </w:tc>
        <w:tc>
          <w:tcPr>
            <w:tcW w:w="8184" w:type="dxa"/>
          </w:tcPr>
          <w:p w:rsidR="00786914" w:rsidRPr="00D62B55" w:rsidRDefault="00786914" w:rsidP="0006743B">
            <w:pPr>
              <w:pStyle w:val="TableText"/>
            </w:pPr>
            <w:r w:rsidRPr="00D62B55">
              <w:rPr>
                <w:bCs/>
              </w:rPr>
              <w:t>holep</w:t>
            </w:r>
            <w:r w:rsidRPr="00D62B55">
              <w:t>:ab,ti</w:t>
            </w:r>
          </w:p>
        </w:tc>
      </w:tr>
      <w:tr w:rsidR="00786914" w:rsidRPr="00D62B55" w:rsidTr="0006743B">
        <w:tc>
          <w:tcPr>
            <w:tcW w:w="1161" w:type="dxa"/>
          </w:tcPr>
          <w:p w:rsidR="00786914" w:rsidRPr="00D62B55" w:rsidRDefault="00786914" w:rsidP="0006743B">
            <w:pPr>
              <w:pStyle w:val="TableText"/>
            </w:pPr>
            <w:r w:rsidRPr="00D62B55">
              <w:t>12</w:t>
            </w:r>
          </w:p>
        </w:tc>
        <w:tc>
          <w:tcPr>
            <w:tcW w:w="8184" w:type="dxa"/>
          </w:tcPr>
          <w:p w:rsidR="00786914" w:rsidRPr="00D62B55" w:rsidRDefault="00786914" w:rsidP="0006743B">
            <w:pPr>
              <w:pStyle w:val="TableText"/>
            </w:pPr>
            <w:r w:rsidRPr="00D62B55">
              <w:t xml:space="preserve">#8 OR </w:t>
            </w:r>
            <w:r w:rsidRPr="00D62B55">
              <w:rPr>
                <w:bCs/>
              </w:rPr>
              <w:t>#9</w:t>
            </w:r>
            <w:r w:rsidRPr="00D62B55">
              <w:t xml:space="preserve"> OR </w:t>
            </w:r>
            <w:r w:rsidRPr="00D62B55">
              <w:rPr>
                <w:bCs/>
              </w:rPr>
              <w:t>#10</w:t>
            </w:r>
            <w:r w:rsidRPr="00D62B55">
              <w:t xml:space="preserve"> OR </w:t>
            </w:r>
            <w:r w:rsidRPr="00D62B55">
              <w:rPr>
                <w:bCs/>
              </w:rPr>
              <w:t xml:space="preserve">#11 </w:t>
            </w:r>
          </w:p>
        </w:tc>
      </w:tr>
      <w:tr w:rsidR="00786914" w:rsidRPr="00D62B55" w:rsidTr="0006743B">
        <w:tc>
          <w:tcPr>
            <w:tcW w:w="1161" w:type="dxa"/>
          </w:tcPr>
          <w:p w:rsidR="00786914" w:rsidRPr="00D62B55" w:rsidRDefault="00786914" w:rsidP="0006743B">
            <w:pPr>
              <w:pStyle w:val="TableText"/>
            </w:pPr>
            <w:r w:rsidRPr="00D62B55">
              <w:t>13</w:t>
            </w:r>
          </w:p>
        </w:tc>
        <w:tc>
          <w:tcPr>
            <w:tcW w:w="8184" w:type="dxa"/>
          </w:tcPr>
          <w:p w:rsidR="00786914" w:rsidRPr="00D62B55" w:rsidRDefault="00786914" w:rsidP="0006743B">
            <w:pPr>
              <w:pStyle w:val="TableText"/>
            </w:pPr>
            <w:r w:rsidRPr="00D62B55">
              <w:rPr>
                <w:bCs/>
              </w:rPr>
              <w:t>#7</w:t>
            </w:r>
            <w:r w:rsidRPr="00D62B55">
              <w:t xml:space="preserve"> AND </w:t>
            </w:r>
            <w:r w:rsidRPr="00D62B55">
              <w:rPr>
                <w:bCs/>
              </w:rPr>
              <w:t xml:space="preserve">#12  </w:t>
            </w:r>
          </w:p>
        </w:tc>
      </w:tr>
      <w:tr w:rsidR="00786914" w:rsidRPr="00D62B55" w:rsidTr="0006743B">
        <w:tc>
          <w:tcPr>
            <w:tcW w:w="1161" w:type="dxa"/>
          </w:tcPr>
          <w:p w:rsidR="00786914" w:rsidRPr="00D62B55" w:rsidRDefault="00786914" w:rsidP="0006743B">
            <w:pPr>
              <w:pStyle w:val="TableText"/>
            </w:pPr>
            <w:r w:rsidRPr="00D62B55">
              <w:t>14</w:t>
            </w:r>
          </w:p>
        </w:tc>
        <w:tc>
          <w:tcPr>
            <w:tcW w:w="8184" w:type="dxa"/>
          </w:tcPr>
          <w:p w:rsidR="00786914" w:rsidRPr="00D62B55" w:rsidRDefault="00786914" w:rsidP="0006743B">
            <w:pPr>
              <w:pStyle w:val="TableText"/>
            </w:pPr>
            <w:r w:rsidRPr="00D62B55">
              <w:rPr>
                <w:bCs/>
              </w:rPr>
              <w:t>'randomized controlled trial'</w:t>
            </w:r>
            <w:r w:rsidRPr="00D62B55">
              <w:t xml:space="preserve">/exp OR </w:t>
            </w:r>
            <w:r w:rsidRPr="00D62B55">
              <w:rPr>
                <w:bCs/>
              </w:rPr>
              <w:t>'randomized controlled trial'</w:t>
            </w:r>
          </w:p>
        </w:tc>
      </w:tr>
      <w:tr w:rsidR="00786914" w:rsidRPr="00D62B55" w:rsidTr="0006743B">
        <w:tc>
          <w:tcPr>
            <w:tcW w:w="1161" w:type="dxa"/>
          </w:tcPr>
          <w:p w:rsidR="00786914" w:rsidRPr="00D62B55" w:rsidRDefault="00786914" w:rsidP="0006743B">
            <w:pPr>
              <w:pStyle w:val="TableText"/>
            </w:pPr>
            <w:r w:rsidRPr="00D62B55">
              <w:t>15</w:t>
            </w:r>
          </w:p>
        </w:tc>
        <w:tc>
          <w:tcPr>
            <w:tcW w:w="8184" w:type="dxa"/>
          </w:tcPr>
          <w:p w:rsidR="00786914" w:rsidRPr="00D62B55" w:rsidRDefault="00786914" w:rsidP="0006743B">
            <w:pPr>
              <w:pStyle w:val="TableText"/>
            </w:pPr>
            <w:r w:rsidRPr="00D62B55">
              <w:rPr>
                <w:bCs/>
              </w:rPr>
              <w:t>'randomization'</w:t>
            </w:r>
            <w:r w:rsidRPr="00D62B55">
              <w:t xml:space="preserve">/exp OR </w:t>
            </w:r>
            <w:r w:rsidRPr="00D62B55">
              <w:rPr>
                <w:bCs/>
              </w:rPr>
              <w:t>randomization</w:t>
            </w:r>
          </w:p>
        </w:tc>
      </w:tr>
      <w:tr w:rsidR="00786914" w:rsidRPr="00D62B55" w:rsidTr="0006743B">
        <w:tc>
          <w:tcPr>
            <w:tcW w:w="1161" w:type="dxa"/>
          </w:tcPr>
          <w:p w:rsidR="00786914" w:rsidRPr="00D62B55" w:rsidRDefault="00786914" w:rsidP="0006743B">
            <w:pPr>
              <w:pStyle w:val="TableText"/>
            </w:pPr>
            <w:r w:rsidRPr="00D62B55">
              <w:t>16</w:t>
            </w:r>
          </w:p>
        </w:tc>
        <w:tc>
          <w:tcPr>
            <w:tcW w:w="8184" w:type="dxa"/>
          </w:tcPr>
          <w:p w:rsidR="00786914" w:rsidRPr="00D62B55" w:rsidRDefault="00786914" w:rsidP="0006743B">
            <w:pPr>
              <w:pStyle w:val="TableText"/>
            </w:pPr>
            <w:r w:rsidRPr="00D62B55">
              <w:rPr>
                <w:bCs/>
              </w:rPr>
              <w:t>'randomi?ed controlled trial$'</w:t>
            </w:r>
            <w:r w:rsidRPr="00D62B55">
              <w:t>:ab,ti</w:t>
            </w:r>
          </w:p>
        </w:tc>
      </w:tr>
      <w:tr w:rsidR="00786914" w:rsidRPr="00D62B55" w:rsidTr="0006743B">
        <w:tc>
          <w:tcPr>
            <w:tcW w:w="1161" w:type="dxa"/>
          </w:tcPr>
          <w:p w:rsidR="00786914" w:rsidRPr="00D62B55" w:rsidRDefault="00786914" w:rsidP="0006743B">
            <w:pPr>
              <w:pStyle w:val="TableText"/>
            </w:pPr>
            <w:r w:rsidRPr="00D62B55">
              <w:t>17</w:t>
            </w:r>
          </w:p>
        </w:tc>
        <w:tc>
          <w:tcPr>
            <w:tcW w:w="8184" w:type="dxa"/>
          </w:tcPr>
          <w:p w:rsidR="00786914" w:rsidRPr="00D62B55" w:rsidRDefault="00786914" w:rsidP="0006743B">
            <w:pPr>
              <w:pStyle w:val="TableText"/>
            </w:pPr>
            <w:r w:rsidRPr="00D62B55">
              <w:rPr>
                <w:bCs/>
              </w:rPr>
              <w:t>rct</w:t>
            </w:r>
            <w:r w:rsidRPr="00D62B55">
              <w:t>:ab,ti</w:t>
            </w:r>
          </w:p>
        </w:tc>
      </w:tr>
      <w:tr w:rsidR="00786914" w:rsidRPr="00D62B55" w:rsidTr="0006743B">
        <w:tc>
          <w:tcPr>
            <w:tcW w:w="1161" w:type="dxa"/>
          </w:tcPr>
          <w:p w:rsidR="00786914" w:rsidRPr="00D62B55" w:rsidRDefault="00786914" w:rsidP="0006743B">
            <w:pPr>
              <w:pStyle w:val="TableText"/>
            </w:pPr>
            <w:r w:rsidRPr="00D62B55">
              <w:t>18</w:t>
            </w:r>
          </w:p>
        </w:tc>
        <w:tc>
          <w:tcPr>
            <w:tcW w:w="8184" w:type="dxa"/>
          </w:tcPr>
          <w:p w:rsidR="00786914" w:rsidRPr="00D62B55" w:rsidRDefault="00786914" w:rsidP="0006743B">
            <w:pPr>
              <w:pStyle w:val="TableText"/>
            </w:pPr>
            <w:r w:rsidRPr="00D62B55">
              <w:rPr>
                <w:bCs/>
              </w:rPr>
              <w:t>'random allocation'</w:t>
            </w:r>
            <w:r w:rsidRPr="00D62B55">
              <w:t>:ab,ti</w:t>
            </w:r>
          </w:p>
        </w:tc>
      </w:tr>
      <w:tr w:rsidR="00786914" w:rsidRPr="00D62B55" w:rsidTr="0006743B">
        <w:tc>
          <w:tcPr>
            <w:tcW w:w="1161" w:type="dxa"/>
          </w:tcPr>
          <w:p w:rsidR="00786914" w:rsidRPr="00D62B55" w:rsidRDefault="00786914" w:rsidP="0006743B">
            <w:pPr>
              <w:pStyle w:val="TableText"/>
            </w:pPr>
            <w:r w:rsidRPr="00D62B55">
              <w:t>19</w:t>
            </w:r>
          </w:p>
        </w:tc>
        <w:tc>
          <w:tcPr>
            <w:tcW w:w="8184" w:type="dxa"/>
          </w:tcPr>
          <w:p w:rsidR="00786914" w:rsidRPr="00D62B55" w:rsidRDefault="00786914" w:rsidP="0006743B">
            <w:pPr>
              <w:pStyle w:val="TableText"/>
            </w:pPr>
            <w:r w:rsidRPr="00D62B55">
              <w:rPr>
                <w:bCs/>
              </w:rPr>
              <w:t>'randomly allocated'</w:t>
            </w:r>
            <w:r w:rsidRPr="00D62B55">
              <w:t>:ab,ti</w:t>
            </w:r>
          </w:p>
        </w:tc>
      </w:tr>
      <w:tr w:rsidR="00786914" w:rsidRPr="00D62B55" w:rsidTr="0006743B">
        <w:tc>
          <w:tcPr>
            <w:tcW w:w="1161" w:type="dxa"/>
          </w:tcPr>
          <w:p w:rsidR="00786914" w:rsidRPr="00D62B55" w:rsidRDefault="00786914" w:rsidP="0006743B">
            <w:pPr>
              <w:pStyle w:val="TableText"/>
            </w:pPr>
            <w:r w:rsidRPr="00D62B55">
              <w:t>20</w:t>
            </w:r>
          </w:p>
        </w:tc>
        <w:tc>
          <w:tcPr>
            <w:tcW w:w="8184" w:type="dxa"/>
          </w:tcPr>
          <w:p w:rsidR="00786914" w:rsidRPr="00D62B55" w:rsidRDefault="00786914" w:rsidP="0006743B">
            <w:pPr>
              <w:pStyle w:val="TableText"/>
            </w:pPr>
            <w:r w:rsidRPr="00D62B55">
              <w:t xml:space="preserve">#14 OR #15 OR #16 OR #17 OR #18 OR #19 </w:t>
            </w:r>
          </w:p>
        </w:tc>
      </w:tr>
      <w:tr w:rsidR="00786914" w:rsidRPr="00D62B55" w:rsidTr="0006743B">
        <w:tc>
          <w:tcPr>
            <w:tcW w:w="1161" w:type="dxa"/>
          </w:tcPr>
          <w:p w:rsidR="00786914" w:rsidRPr="00D62B55" w:rsidRDefault="00786914" w:rsidP="0006743B">
            <w:pPr>
              <w:pStyle w:val="TableText"/>
            </w:pPr>
            <w:r w:rsidRPr="00D62B55">
              <w:t>21</w:t>
            </w:r>
          </w:p>
        </w:tc>
        <w:tc>
          <w:tcPr>
            <w:tcW w:w="8184" w:type="dxa"/>
          </w:tcPr>
          <w:p w:rsidR="00786914" w:rsidRPr="00D62B55" w:rsidRDefault="00786914" w:rsidP="0006743B">
            <w:pPr>
              <w:pStyle w:val="TableText"/>
            </w:pPr>
            <w:r w:rsidRPr="00D62B55">
              <w:rPr>
                <w:bCs/>
              </w:rPr>
              <w:t>#13</w:t>
            </w:r>
            <w:r w:rsidRPr="00D62B55">
              <w:t xml:space="preserve"> AND </w:t>
            </w:r>
            <w:r w:rsidRPr="00D62B55">
              <w:rPr>
                <w:bCs/>
              </w:rPr>
              <w:t>#20</w:t>
            </w:r>
          </w:p>
        </w:tc>
      </w:tr>
      <w:tr w:rsidR="00786914" w:rsidRPr="00D62B55" w:rsidTr="0006743B">
        <w:tc>
          <w:tcPr>
            <w:tcW w:w="1161" w:type="dxa"/>
          </w:tcPr>
          <w:p w:rsidR="00786914" w:rsidRPr="00D62B55" w:rsidRDefault="00786914" w:rsidP="0006743B">
            <w:pPr>
              <w:pStyle w:val="TableText"/>
            </w:pPr>
            <w:r w:rsidRPr="00D62B55">
              <w:t>22</w:t>
            </w:r>
          </w:p>
        </w:tc>
        <w:tc>
          <w:tcPr>
            <w:tcW w:w="8184" w:type="dxa"/>
          </w:tcPr>
          <w:p w:rsidR="00786914" w:rsidRPr="00D62B55" w:rsidRDefault="00786914" w:rsidP="0006743B">
            <w:pPr>
              <w:pStyle w:val="TableText"/>
            </w:pPr>
            <w:r w:rsidRPr="00D62B55">
              <w:rPr>
                <w:bCs/>
              </w:rPr>
              <w:t>#13</w:t>
            </w:r>
            <w:r w:rsidRPr="00D62B55">
              <w:t xml:space="preserve"> AND </w:t>
            </w:r>
            <w:r w:rsidRPr="00D62B55">
              <w:rPr>
                <w:bCs/>
              </w:rPr>
              <w:t xml:space="preserve">#20 </w:t>
            </w:r>
            <w:r w:rsidRPr="00D62B55">
              <w:t>AND [2006-2012]/py</w:t>
            </w:r>
          </w:p>
        </w:tc>
      </w:tr>
      <w:tr w:rsidR="00786914" w:rsidRPr="00D62B55" w:rsidTr="0006743B">
        <w:tc>
          <w:tcPr>
            <w:tcW w:w="1161" w:type="dxa"/>
          </w:tcPr>
          <w:p w:rsidR="00786914" w:rsidRPr="00D62B55" w:rsidRDefault="00786914" w:rsidP="0006743B">
            <w:pPr>
              <w:pStyle w:val="TableText"/>
            </w:pPr>
            <w:r w:rsidRPr="00D62B55">
              <w:t>23</w:t>
            </w:r>
          </w:p>
        </w:tc>
        <w:tc>
          <w:tcPr>
            <w:tcW w:w="8184" w:type="dxa"/>
          </w:tcPr>
          <w:p w:rsidR="00786914" w:rsidRPr="00D62B55" w:rsidRDefault="00786914" w:rsidP="0006743B">
            <w:pPr>
              <w:pStyle w:val="TableText"/>
            </w:pPr>
            <w:r w:rsidRPr="00D62B55">
              <w:rPr>
                <w:bCs/>
              </w:rPr>
              <w:t>'review'</w:t>
            </w:r>
            <w:r w:rsidRPr="00D62B55">
              <w:t xml:space="preserve">/exp OR </w:t>
            </w:r>
            <w:r w:rsidRPr="00D62B55">
              <w:rPr>
                <w:bCs/>
              </w:rPr>
              <w:t>review</w:t>
            </w:r>
          </w:p>
        </w:tc>
      </w:tr>
      <w:tr w:rsidR="00786914" w:rsidRPr="00D62B55" w:rsidTr="0006743B">
        <w:tc>
          <w:tcPr>
            <w:tcW w:w="1161" w:type="dxa"/>
          </w:tcPr>
          <w:p w:rsidR="00786914" w:rsidRPr="00D62B55" w:rsidRDefault="00786914" w:rsidP="0006743B">
            <w:pPr>
              <w:pStyle w:val="TableText"/>
            </w:pPr>
            <w:r w:rsidRPr="00D62B55">
              <w:t>24</w:t>
            </w:r>
          </w:p>
        </w:tc>
        <w:tc>
          <w:tcPr>
            <w:tcW w:w="8184" w:type="dxa"/>
          </w:tcPr>
          <w:p w:rsidR="00786914" w:rsidRPr="00D62B55" w:rsidRDefault="00786914" w:rsidP="0006743B">
            <w:pPr>
              <w:pStyle w:val="TableText"/>
            </w:pPr>
            <w:r w:rsidRPr="00D62B55">
              <w:rPr>
                <w:bCs/>
              </w:rPr>
              <w:t>medline</w:t>
            </w:r>
            <w:r w:rsidRPr="00D62B55">
              <w:t>:ab,ti</w:t>
            </w:r>
          </w:p>
        </w:tc>
      </w:tr>
      <w:tr w:rsidR="00786914" w:rsidRPr="00D62B55" w:rsidTr="0006743B">
        <w:tc>
          <w:tcPr>
            <w:tcW w:w="1161" w:type="dxa"/>
          </w:tcPr>
          <w:p w:rsidR="00786914" w:rsidRPr="00D62B55" w:rsidRDefault="00786914" w:rsidP="0006743B">
            <w:pPr>
              <w:pStyle w:val="TableText"/>
            </w:pPr>
            <w:r w:rsidRPr="00D62B55">
              <w:t>25</w:t>
            </w:r>
          </w:p>
        </w:tc>
        <w:tc>
          <w:tcPr>
            <w:tcW w:w="8184" w:type="dxa"/>
          </w:tcPr>
          <w:p w:rsidR="00786914" w:rsidRPr="00D62B55" w:rsidRDefault="00786914" w:rsidP="00AE6E57">
            <w:pPr>
              <w:pStyle w:val="TableText"/>
            </w:pPr>
            <w:r w:rsidRPr="00D62B55">
              <w:rPr>
                <w:bCs/>
              </w:rPr>
              <w:t>#23</w:t>
            </w:r>
            <w:r w:rsidRPr="00D62B55">
              <w:t xml:space="preserve"> AND </w:t>
            </w:r>
            <w:r w:rsidRPr="00D62B55">
              <w:rPr>
                <w:bCs/>
              </w:rPr>
              <w:t xml:space="preserve">#24 </w:t>
            </w:r>
          </w:p>
        </w:tc>
      </w:tr>
      <w:tr w:rsidR="00786914" w:rsidRPr="00D62B55" w:rsidTr="0006743B">
        <w:tc>
          <w:tcPr>
            <w:tcW w:w="1161" w:type="dxa"/>
          </w:tcPr>
          <w:p w:rsidR="00786914" w:rsidRPr="00D62B55" w:rsidRDefault="00786914" w:rsidP="0006743B">
            <w:pPr>
              <w:pStyle w:val="TableText"/>
            </w:pPr>
            <w:r w:rsidRPr="00D62B55">
              <w:t>26</w:t>
            </w:r>
          </w:p>
        </w:tc>
        <w:tc>
          <w:tcPr>
            <w:tcW w:w="8184" w:type="dxa"/>
          </w:tcPr>
          <w:p w:rsidR="00786914" w:rsidRPr="00D62B55" w:rsidRDefault="00786914" w:rsidP="0006743B">
            <w:pPr>
              <w:pStyle w:val="TableText"/>
            </w:pPr>
            <w:r w:rsidRPr="00D62B55">
              <w:rPr>
                <w:bCs/>
              </w:rPr>
              <w:t>'</w:t>
            </w:r>
            <w:r>
              <w:rPr>
                <w:bCs/>
              </w:rPr>
              <w:t>meta-analysis</w:t>
            </w:r>
            <w:r w:rsidRPr="00D62B55">
              <w:rPr>
                <w:bCs/>
              </w:rPr>
              <w:t>'</w:t>
            </w:r>
            <w:r w:rsidRPr="00D62B55">
              <w:t xml:space="preserve">/exp OR </w:t>
            </w:r>
            <w:r w:rsidRPr="00D62B55">
              <w:rPr>
                <w:bCs/>
              </w:rPr>
              <w:t>'</w:t>
            </w:r>
            <w:r>
              <w:rPr>
                <w:bCs/>
              </w:rPr>
              <w:t>meta-analysis</w:t>
            </w:r>
            <w:r w:rsidRPr="00D62B55">
              <w:rPr>
                <w:bCs/>
              </w:rPr>
              <w:t>'</w:t>
            </w:r>
          </w:p>
        </w:tc>
      </w:tr>
      <w:tr w:rsidR="00786914" w:rsidRPr="00D62B55" w:rsidTr="0006743B">
        <w:tc>
          <w:tcPr>
            <w:tcW w:w="1161" w:type="dxa"/>
          </w:tcPr>
          <w:p w:rsidR="00786914" w:rsidRPr="00D62B55" w:rsidRDefault="00786914" w:rsidP="0006743B">
            <w:pPr>
              <w:pStyle w:val="TableText"/>
            </w:pPr>
            <w:r w:rsidRPr="00D62B55">
              <w:t>27</w:t>
            </w:r>
          </w:p>
        </w:tc>
        <w:tc>
          <w:tcPr>
            <w:tcW w:w="8184" w:type="dxa"/>
          </w:tcPr>
          <w:p w:rsidR="00786914" w:rsidRPr="00D62B55" w:rsidRDefault="00786914" w:rsidP="0006743B">
            <w:pPr>
              <w:pStyle w:val="TableText"/>
            </w:pPr>
            <w:r w:rsidRPr="00D62B55">
              <w:t>systematic*:ti,ab AND (review$ or overview$):ti,ab</w:t>
            </w:r>
          </w:p>
        </w:tc>
      </w:tr>
      <w:tr w:rsidR="00786914" w:rsidRPr="00D62B55" w:rsidTr="0006743B">
        <w:tc>
          <w:tcPr>
            <w:tcW w:w="1161" w:type="dxa"/>
          </w:tcPr>
          <w:p w:rsidR="00786914" w:rsidRPr="00D62B55" w:rsidRDefault="00786914" w:rsidP="0006743B">
            <w:pPr>
              <w:pStyle w:val="TableText"/>
            </w:pPr>
            <w:r w:rsidRPr="00D62B55">
              <w:t>28</w:t>
            </w:r>
          </w:p>
        </w:tc>
        <w:tc>
          <w:tcPr>
            <w:tcW w:w="8184" w:type="dxa"/>
          </w:tcPr>
          <w:p w:rsidR="00786914" w:rsidRPr="00D62B55" w:rsidRDefault="00786914" w:rsidP="0006743B">
            <w:pPr>
              <w:pStyle w:val="TableText"/>
            </w:pPr>
            <w:r w:rsidRPr="00D62B55">
              <w:t>meta?analy$:ab,ti</w:t>
            </w:r>
          </w:p>
        </w:tc>
      </w:tr>
      <w:tr w:rsidR="00786914" w:rsidRPr="00D62B55" w:rsidTr="0006743B">
        <w:trPr>
          <w:trHeight w:val="307"/>
        </w:trPr>
        <w:tc>
          <w:tcPr>
            <w:tcW w:w="1161" w:type="dxa"/>
          </w:tcPr>
          <w:p w:rsidR="00786914" w:rsidRPr="00D62B55" w:rsidRDefault="00786914" w:rsidP="0006743B">
            <w:pPr>
              <w:pStyle w:val="TableText"/>
            </w:pPr>
            <w:r w:rsidRPr="00D62B55">
              <w:t>29</w:t>
            </w:r>
          </w:p>
        </w:tc>
        <w:tc>
          <w:tcPr>
            <w:tcW w:w="8184" w:type="dxa"/>
          </w:tcPr>
          <w:p w:rsidR="00786914" w:rsidRPr="00D62B55" w:rsidRDefault="00786914" w:rsidP="0006743B">
            <w:pPr>
              <w:pStyle w:val="TableText"/>
            </w:pPr>
            <w:r w:rsidRPr="00D62B55">
              <w:t>meta analy*:ab,ti</w:t>
            </w:r>
          </w:p>
        </w:tc>
      </w:tr>
      <w:tr w:rsidR="00786914" w:rsidRPr="00D62B55" w:rsidTr="0006743B">
        <w:trPr>
          <w:trHeight w:val="307"/>
        </w:trPr>
        <w:tc>
          <w:tcPr>
            <w:tcW w:w="1161" w:type="dxa"/>
          </w:tcPr>
          <w:p w:rsidR="00786914" w:rsidRPr="00D62B55" w:rsidRDefault="00786914" w:rsidP="0006743B">
            <w:pPr>
              <w:pStyle w:val="TableText"/>
            </w:pPr>
            <w:r w:rsidRPr="00D62B55">
              <w:t>30</w:t>
            </w:r>
          </w:p>
        </w:tc>
        <w:tc>
          <w:tcPr>
            <w:tcW w:w="8184" w:type="dxa"/>
          </w:tcPr>
          <w:p w:rsidR="00786914" w:rsidRPr="00D62B55" w:rsidRDefault="00786914" w:rsidP="0006743B">
            <w:pPr>
              <w:pStyle w:val="TableText"/>
            </w:pPr>
            <w:r w:rsidRPr="00D62B55">
              <w:t>#23 OR #24 OR #25 OR #26 OR #27 OR #28 OR #29</w:t>
            </w:r>
          </w:p>
        </w:tc>
      </w:tr>
      <w:tr w:rsidR="00786914" w:rsidRPr="00D62B55" w:rsidTr="0006743B">
        <w:trPr>
          <w:trHeight w:val="307"/>
        </w:trPr>
        <w:tc>
          <w:tcPr>
            <w:tcW w:w="1161" w:type="dxa"/>
          </w:tcPr>
          <w:p w:rsidR="00786914" w:rsidRPr="00D62B55" w:rsidRDefault="00786914" w:rsidP="0006743B">
            <w:pPr>
              <w:pStyle w:val="TableText"/>
            </w:pPr>
            <w:r w:rsidRPr="00D62B55">
              <w:t>31</w:t>
            </w:r>
          </w:p>
        </w:tc>
        <w:tc>
          <w:tcPr>
            <w:tcW w:w="8184" w:type="dxa"/>
          </w:tcPr>
          <w:p w:rsidR="00786914" w:rsidRPr="00D62B55" w:rsidRDefault="00786914" w:rsidP="0006743B">
            <w:pPr>
              <w:pStyle w:val="TableText"/>
            </w:pPr>
            <w:r w:rsidRPr="00D62B55">
              <w:t>#30 AND #13</w:t>
            </w:r>
          </w:p>
        </w:tc>
      </w:tr>
      <w:tr w:rsidR="00786914" w:rsidRPr="00D62B55" w:rsidTr="0006743B">
        <w:trPr>
          <w:trHeight w:val="307"/>
        </w:trPr>
        <w:tc>
          <w:tcPr>
            <w:tcW w:w="1161" w:type="dxa"/>
          </w:tcPr>
          <w:p w:rsidR="00786914" w:rsidRPr="00D62B55" w:rsidRDefault="00786914" w:rsidP="0006743B">
            <w:pPr>
              <w:pStyle w:val="TableText"/>
            </w:pPr>
            <w:r w:rsidRPr="00D62B55">
              <w:t>32</w:t>
            </w:r>
          </w:p>
        </w:tc>
        <w:tc>
          <w:tcPr>
            <w:tcW w:w="8184" w:type="dxa"/>
          </w:tcPr>
          <w:p w:rsidR="00786914" w:rsidRPr="00D62B55" w:rsidRDefault="00786914" w:rsidP="0006743B">
            <w:pPr>
              <w:pStyle w:val="TableText"/>
            </w:pPr>
            <w:r w:rsidRPr="00D62B55">
              <w:t>#30 AND #13 AND [2006-2012]/py</w:t>
            </w:r>
          </w:p>
        </w:tc>
      </w:tr>
      <w:tr w:rsidR="00786914" w:rsidRPr="00D62B55" w:rsidTr="0006743B">
        <w:trPr>
          <w:trHeight w:val="307"/>
        </w:trPr>
        <w:tc>
          <w:tcPr>
            <w:tcW w:w="1161" w:type="dxa"/>
          </w:tcPr>
          <w:p w:rsidR="00786914" w:rsidRPr="00D62B55" w:rsidRDefault="00786914" w:rsidP="0006743B">
            <w:pPr>
              <w:pStyle w:val="TableText"/>
            </w:pPr>
            <w:r w:rsidRPr="00D62B55">
              <w:t>33</w:t>
            </w:r>
          </w:p>
        </w:tc>
        <w:tc>
          <w:tcPr>
            <w:tcW w:w="8184" w:type="dxa"/>
          </w:tcPr>
          <w:p w:rsidR="00786914" w:rsidRPr="00D62B55" w:rsidRDefault="00786914" w:rsidP="0006743B">
            <w:pPr>
              <w:pStyle w:val="TableText"/>
            </w:pPr>
            <w:r w:rsidRPr="00D62B55">
              <w:t>‘socioeconomics’/de</w:t>
            </w:r>
          </w:p>
        </w:tc>
      </w:tr>
      <w:tr w:rsidR="00786914" w:rsidRPr="00D62B55" w:rsidTr="0006743B">
        <w:trPr>
          <w:trHeight w:val="307"/>
        </w:trPr>
        <w:tc>
          <w:tcPr>
            <w:tcW w:w="1161" w:type="dxa"/>
          </w:tcPr>
          <w:p w:rsidR="00786914" w:rsidRPr="00D62B55" w:rsidRDefault="00786914" w:rsidP="0006743B">
            <w:pPr>
              <w:pStyle w:val="TableText"/>
            </w:pPr>
            <w:r w:rsidRPr="00D62B55">
              <w:t>34</w:t>
            </w:r>
          </w:p>
        </w:tc>
        <w:tc>
          <w:tcPr>
            <w:tcW w:w="8184" w:type="dxa"/>
          </w:tcPr>
          <w:p w:rsidR="00786914" w:rsidRPr="00D62B55" w:rsidRDefault="00786914" w:rsidP="0006743B">
            <w:pPr>
              <w:pStyle w:val="TableText"/>
            </w:pPr>
            <w:r w:rsidRPr="00D62B55">
              <w:t>'cost benefit analysis'/de</w:t>
            </w:r>
          </w:p>
        </w:tc>
      </w:tr>
      <w:tr w:rsidR="00786914" w:rsidRPr="00D62B55" w:rsidTr="0006743B">
        <w:trPr>
          <w:trHeight w:val="307"/>
        </w:trPr>
        <w:tc>
          <w:tcPr>
            <w:tcW w:w="1161" w:type="dxa"/>
          </w:tcPr>
          <w:p w:rsidR="00786914" w:rsidRPr="00D62B55" w:rsidRDefault="00786914" w:rsidP="0006743B">
            <w:pPr>
              <w:pStyle w:val="TableText"/>
            </w:pPr>
            <w:r w:rsidRPr="00D62B55">
              <w:t>35</w:t>
            </w:r>
          </w:p>
        </w:tc>
        <w:tc>
          <w:tcPr>
            <w:tcW w:w="8184" w:type="dxa"/>
          </w:tcPr>
          <w:p w:rsidR="00786914" w:rsidRPr="00D62B55" w:rsidRDefault="00786914" w:rsidP="0006743B">
            <w:pPr>
              <w:pStyle w:val="TableText"/>
            </w:pPr>
            <w:r w:rsidRPr="00D62B55">
              <w:t>'</w:t>
            </w:r>
            <w:r>
              <w:t>cost-effective</w:t>
            </w:r>
            <w:r w:rsidRPr="00D62B55">
              <w:t>ness analysis'/de</w:t>
            </w:r>
          </w:p>
        </w:tc>
      </w:tr>
      <w:tr w:rsidR="00786914" w:rsidRPr="00D62B55" w:rsidTr="0006743B">
        <w:trPr>
          <w:trHeight w:val="307"/>
        </w:trPr>
        <w:tc>
          <w:tcPr>
            <w:tcW w:w="1161" w:type="dxa"/>
          </w:tcPr>
          <w:p w:rsidR="00786914" w:rsidRPr="00D62B55" w:rsidRDefault="00786914" w:rsidP="0006743B">
            <w:pPr>
              <w:pStyle w:val="TableText"/>
            </w:pPr>
            <w:r w:rsidRPr="00D62B55">
              <w:t>36</w:t>
            </w:r>
          </w:p>
        </w:tc>
        <w:tc>
          <w:tcPr>
            <w:tcW w:w="8184" w:type="dxa"/>
          </w:tcPr>
          <w:p w:rsidR="00786914" w:rsidRPr="00D62B55" w:rsidRDefault="00786914" w:rsidP="0006743B">
            <w:pPr>
              <w:pStyle w:val="TableText"/>
            </w:pPr>
            <w:r w:rsidRPr="00D62B55">
              <w:t>'cost of illness'/de</w:t>
            </w:r>
          </w:p>
        </w:tc>
      </w:tr>
      <w:tr w:rsidR="00786914" w:rsidRPr="00D62B55" w:rsidTr="0006743B">
        <w:trPr>
          <w:trHeight w:val="307"/>
        </w:trPr>
        <w:tc>
          <w:tcPr>
            <w:tcW w:w="1161" w:type="dxa"/>
          </w:tcPr>
          <w:p w:rsidR="00786914" w:rsidRPr="00D62B55" w:rsidRDefault="00786914" w:rsidP="0006743B">
            <w:pPr>
              <w:pStyle w:val="TableText"/>
            </w:pPr>
            <w:r w:rsidRPr="00D62B55">
              <w:t>37</w:t>
            </w:r>
          </w:p>
        </w:tc>
        <w:tc>
          <w:tcPr>
            <w:tcW w:w="8184" w:type="dxa"/>
          </w:tcPr>
          <w:p w:rsidR="00786914" w:rsidRPr="00D62B55" w:rsidRDefault="00786914" w:rsidP="0006743B">
            <w:pPr>
              <w:pStyle w:val="TableText"/>
            </w:pPr>
            <w:r w:rsidRPr="00D62B55">
              <w:t>'cost control'/de</w:t>
            </w:r>
          </w:p>
        </w:tc>
      </w:tr>
      <w:tr w:rsidR="00786914" w:rsidRPr="00D62B55" w:rsidTr="0006743B">
        <w:trPr>
          <w:trHeight w:val="307"/>
        </w:trPr>
        <w:tc>
          <w:tcPr>
            <w:tcW w:w="1161" w:type="dxa"/>
          </w:tcPr>
          <w:p w:rsidR="00786914" w:rsidRPr="00D62B55" w:rsidRDefault="00786914" w:rsidP="0006743B">
            <w:pPr>
              <w:pStyle w:val="TableText"/>
            </w:pPr>
            <w:r w:rsidRPr="00D62B55">
              <w:t>38</w:t>
            </w:r>
          </w:p>
        </w:tc>
        <w:tc>
          <w:tcPr>
            <w:tcW w:w="8184" w:type="dxa"/>
          </w:tcPr>
          <w:p w:rsidR="00786914" w:rsidRPr="00D62B55" w:rsidRDefault="00786914" w:rsidP="0006743B">
            <w:pPr>
              <w:pStyle w:val="TableText"/>
            </w:pPr>
            <w:r w:rsidRPr="00D62B55">
              <w:t>'economic aspect'/de</w:t>
            </w:r>
          </w:p>
        </w:tc>
      </w:tr>
      <w:tr w:rsidR="00786914" w:rsidRPr="00D62B55" w:rsidTr="0006743B">
        <w:trPr>
          <w:trHeight w:val="307"/>
        </w:trPr>
        <w:tc>
          <w:tcPr>
            <w:tcW w:w="1161" w:type="dxa"/>
          </w:tcPr>
          <w:p w:rsidR="00786914" w:rsidRPr="00D62B55" w:rsidRDefault="00786914" w:rsidP="0006743B">
            <w:pPr>
              <w:pStyle w:val="TableText"/>
            </w:pPr>
            <w:r w:rsidRPr="00D62B55">
              <w:t>39</w:t>
            </w:r>
          </w:p>
        </w:tc>
        <w:tc>
          <w:tcPr>
            <w:tcW w:w="8184" w:type="dxa"/>
          </w:tcPr>
          <w:p w:rsidR="00786914" w:rsidRPr="00D62B55" w:rsidRDefault="00786914" w:rsidP="0006743B">
            <w:pPr>
              <w:pStyle w:val="TableText"/>
            </w:pPr>
            <w:r w:rsidRPr="00D62B55">
              <w:t>'financial management'/de</w:t>
            </w:r>
          </w:p>
        </w:tc>
      </w:tr>
      <w:tr w:rsidR="00786914" w:rsidRPr="00D62B55" w:rsidTr="0006743B">
        <w:trPr>
          <w:trHeight w:val="307"/>
        </w:trPr>
        <w:tc>
          <w:tcPr>
            <w:tcW w:w="1161" w:type="dxa"/>
          </w:tcPr>
          <w:p w:rsidR="00786914" w:rsidRPr="00D62B55" w:rsidRDefault="00786914" w:rsidP="0006743B">
            <w:pPr>
              <w:pStyle w:val="TableText"/>
            </w:pPr>
            <w:r w:rsidRPr="00D62B55">
              <w:t>40</w:t>
            </w:r>
          </w:p>
        </w:tc>
        <w:tc>
          <w:tcPr>
            <w:tcW w:w="8184" w:type="dxa"/>
          </w:tcPr>
          <w:p w:rsidR="00786914" w:rsidRPr="00D62B55" w:rsidRDefault="00786914" w:rsidP="0006743B">
            <w:pPr>
              <w:pStyle w:val="TableText"/>
            </w:pPr>
            <w:r w:rsidRPr="00D62B55">
              <w:t>'health care cost'/de</w:t>
            </w:r>
          </w:p>
        </w:tc>
      </w:tr>
      <w:tr w:rsidR="00786914" w:rsidRPr="00D62B55" w:rsidTr="0006743B">
        <w:trPr>
          <w:trHeight w:val="307"/>
        </w:trPr>
        <w:tc>
          <w:tcPr>
            <w:tcW w:w="1161" w:type="dxa"/>
          </w:tcPr>
          <w:p w:rsidR="00786914" w:rsidRPr="00D62B55" w:rsidRDefault="00786914" w:rsidP="0006743B">
            <w:pPr>
              <w:pStyle w:val="TableText"/>
            </w:pPr>
            <w:r w:rsidRPr="00D62B55">
              <w:lastRenderedPageBreak/>
              <w:t>41</w:t>
            </w:r>
          </w:p>
        </w:tc>
        <w:tc>
          <w:tcPr>
            <w:tcW w:w="8184" w:type="dxa"/>
          </w:tcPr>
          <w:p w:rsidR="00786914" w:rsidRPr="00D62B55" w:rsidRDefault="00786914" w:rsidP="0006743B">
            <w:pPr>
              <w:pStyle w:val="TableText"/>
            </w:pPr>
            <w:r w:rsidRPr="00D62B55">
              <w:t>'health care financing'/de</w:t>
            </w:r>
          </w:p>
        </w:tc>
      </w:tr>
      <w:tr w:rsidR="00786914" w:rsidRPr="00D62B55" w:rsidTr="0006743B">
        <w:trPr>
          <w:trHeight w:val="307"/>
        </w:trPr>
        <w:tc>
          <w:tcPr>
            <w:tcW w:w="1161" w:type="dxa"/>
          </w:tcPr>
          <w:p w:rsidR="00786914" w:rsidRPr="00D62B55" w:rsidRDefault="00786914" w:rsidP="0006743B">
            <w:pPr>
              <w:pStyle w:val="TableText"/>
            </w:pPr>
            <w:r w:rsidRPr="00D62B55">
              <w:t>42</w:t>
            </w:r>
          </w:p>
        </w:tc>
        <w:tc>
          <w:tcPr>
            <w:tcW w:w="8184" w:type="dxa"/>
          </w:tcPr>
          <w:p w:rsidR="00786914" w:rsidRPr="00D62B55" w:rsidRDefault="00786914" w:rsidP="0006743B">
            <w:pPr>
              <w:pStyle w:val="TableText"/>
            </w:pPr>
            <w:r w:rsidRPr="00D62B55">
              <w:t>'health economics'/de</w:t>
            </w:r>
          </w:p>
        </w:tc>
      </w:tr>
      <w:tr w:rsidR="00786914" w:rsidRPr="00D62B55" w:rsidTr="0006743B">
        <w:trPr>
          <w:trHeight w:val="307"/>
        </w:trPr>
        <w:tc>
          <w:tcPr>
            <w:tcW w:w="1161" w:type="dxa"/>
          </w:tcPr>
          <w:p w:rsidR="00786914" w:rsidRPr="00D62B55" w:rsidRDefault="00786914" w:rsidP="0006743B">
            <w:pPr>
              <w:pStyle w:val="TableText"/>
            </w:pPr>
            <w:r w:rsidRPr="00D62B55">
              <w:t>43</w:t>
            </w:r>
          </w:p>
        </w:tc>
        <w:tc>
          <w:tcPr>
            <w:tcW w:w="8184" w:type="dxa"/>
          </w:tcPr>
          <w:p w:rsidR="00786914" w:rsidRPr="00D62B55" w:rsidRDefault="00786914" w:rsidP="0006743B">
            <w:pPr>
              <w:pStyle w:val="TableText"/>
            </w:pPr>
            <w:r w:rsidRPr="00D62B55">
              <w:t>'hospital cost'/de</w:t>
            </w:r>
          </w:p>
        </w:tc>
      </w:tr>
      <w:tr w:rsidR="00786914" w:rsidRPr="00D62B55" w:rsidTr="0006743B">
        <w:trPr>
          <w:trHeight w:val="307"/>
        </w:trPr>
        <w:tc>
          <w:tcPr>
            <w:tcW w:w="1161" w:type="dxa"/>
          </w:tcPr>
          <w:p w:rsidR="00786914" w:rsidRPr="00D62B55" w:rsidRDefault="00786914" w:rsidP="0006743B">
            <w:pPr>
              <w:pStyle w:val="TableText"/>
            </w:pPr>
            <w:r w:rsidRPr="00D62B55">
              <w:t>44</w:t>
            </w:r>
          </w:p>
        </w:tc>
        <w:tc>
          <w:tcPr>
            <w:tcW w:w="8184" w:type="dxa"/>
          </w:tcPr>
          <w:p w:rsidR="00786914" w:rsidRPr="00D62B55" w:rsidRDefault="00786914" w:rsidP="0006743B">
            <w:pPr>
              <w:pStyle w:val="TableText"/>
            </w:pPr>
            <w:r w:rsidRPr="00D62B55">
              <w:t>(fiscal or financial or finance or funding):ab,ti</w:t>
            </w:r>
          </w:p>
        </w:tc>
      </w:tr>
      <w:tr w:rsidR="00786914" w:rsidRPr="00D62B55" w:rsidTr="0006743B">
        <w:trPr>
          <w:trHeight w:val="307"/>
        </w:trPr>
        <w:tc>
          <w:tcPr>
            <w:tcW w:w="1161" w:type="dxa"/>
          </w:tcPr>
          <w:p w:rsidR="00786914" w:rsidRPr="00D62B55" w:rsidRDefault="00786914" w:rsidP="0006743B">
            <w:pPr>
              <w:pStyle w:val="TableText"/>
            </w:pPr>
            <w:r w:rsidRPr="00D62B55">
              <w:t>45</w:t>
            </w:r>
          </w:p>
        </w:tc>
        <w:tc>
          <w:tcPr>
            <w:tcW w:w="8184" w:type="dxa"/>
          </w:tcPr>
          <w:p w:rsidR="00786914" w:rsidRPr="00D62B55" w:rsidRDefault="00786914" w:rsidP="0006743B">
            <w:pPr>
              <w:pStyle w:val="TableText"/>
            </w:pPr>
            <w:r w:rsidRPr="00D62B55">
              <w:t>'cost minimization analysis'/de</w:t>
            </w:r>
          </w:p>
        </w:tc>
      </w:tr>
      <w:tr w:rsidR="00786914" w:rsidRPr="00D62B55" w:rsidTr="0006743B">
        <w:trPr>
          <w:trHeight w:val="307"/>
        </w:trPr>
        <w:tc>
          <w:tcPr>
            <w:tcW w:w="1161" w:type="dxa"/>
          </w:tcPr>
          <w:p w:rsidR="00786914" w:rsidRPr="00D62B55" w:rsidRDefault="00786914" w:rsidP="0006743B">
            <w:pPr>
              <w:pStyle w:val="TableText"/>
            </w:pPr>
            <w:r w:rsidRPr="00D62B55">
              <w:t>46</w:t>
            </w:r>
          </w:p>
        </w:tc>
        <w:tc>
          <w:tcPr>
            <w:tcW w:w="8184" w:type="dxa"/>
          </w:tcPr>
          <w:p w:rsidR="00786914" w:rsidRPr="00D62B55" w:rsidRDefault="00786914" w:rsidP="0006743B">
            <w:pPr>
              <w:pStyle w:val="TableText"/>
            </w:pPr>
            <w:r w:rsidRPr="00D62B55">
              <w:t>(cost NEAR/1 estimate$):ab,ti</w:t>
            </w:r>
          </w:p>
        </w:tc>
      </w:tr>
      <w:tr w:rsidR="00786914" w:rsidRPr="00D62B55" w:rsidTr="0006743B">
        <w:trPr>
          <w:trHeight w:val="307"/>
        </w:trPr>
        <w:tc>
          <w:tcPr>
            <w:tcW w:w="1161" w:type="dxa"/>
          </w:tcPr>
          <w:p w:rsidR="00786914" w:rsidRPr="00D62B55" w:rsidRDefault="00786914" w:rsidP="0006743B">
            <w:pPr>
              <w:pStyle w:val="TableText"/>
            </w:pPr>
            <w:r w:rsidRPr="00D62B55">
              <w:t>47</w:t>
            </w:r>
          </w:p>
        </w:tc>
        <w:tc>
          <w:tcPr>
            <w:tcW w:w="8184" w:type="dxa"/>
          </w:tcPr>
          <w:p w:rsidR="00786914" w:rsidRPr="00D62B55" w:rsidRDefault="00786914" w:rsidP="0006743B">
            <w:pPr>
              <w:pStyle w:val="TableText"/>
            </w:pPr>
            <w:r w:rsidRPr="00D62B55">
              <w:t>(cost NEAR/1 variable):ab,ti</w:t>
            </w:r>
          </w:p>
        </w:tc>
      </w:tr>
      <w:tr w:rsidR="00786914" w:rsidRPr="00D62B55" w:rsidTr="0006743B">
        <w:trPr>
          <w:trHeight w:val="307"/>
        </w:trPr>
        <w:tc>
          <w:tcPr>
            <w:tcW w:w="1161" w:type="dxa"/>
          </w:tcPr>
          <w:p w:rsidR="00786914" w:rsidRPr="00D62B55" w:rsidRDefault="00786914" w:rsidP="0006743B">
            <w:pPr>
              <w:pStyle w:val="TableText"/>
            </w:pPr>
            <w:r w:rsidRPr="00D62B55">
              <w:t>48</w:t>
            </w:r>
          </w:p>
        </w:tc>
        <w:tc>
          <w:tcPr>
            <w:tcW w:w="8184" w:type="dxa"/>
          </w:tcPr>
          <w:p w:rsidR="00786914" w:rsidRPr="00D62B55" w:rsidRDefault="00786914" w:rsidP="0006743B">
            <w:pPr>
              <w:pStyle w:val="TableText"/>
            </w:pPr>
            <w:r w:rsidRPr="00D62B55">
              <w:t>(unit NEAR/1 cost$):ab,ti</w:t>
            </w:r>
          </w:p>
        </w:tc>
      </w:tr>
      <w:tr w:rsidR="00786914" w:rsidRPr="00D62B55" w:rsidTr="0006743B">
        <w:trPr>
          <w:trHeight w:val="307"/>
        </w:trPr>
        <w:tc>
          <w:tcPr>
            <w:tcW w:w="1161" w:type="dxa"/>
          </w:tcPr>
          <w:p w:rsidR="00786914" w:rsidRPr="00D62B55" w:rsidRDefault="00786914" w:rsidP="0006743B">
            <w:pPr>
              <w:pStyle w:val="TableText"/>
            </w:pPr>
            <w:r w:rsidRPr="00D62B55">
              <w:t>49</w:t>
            </w:r>
          </w:p>
        </w:tc>
        <w:tc>
          <w:tcPr>
            <w:tcW w:w="8184" w:type="dxa"/>
          </w:tcPr>
          <w:p w:rsidR="00786914" w:rsidRPr="00D62B55" w:rsidRDefault="00786914" w:rsidP="0006743B">
            <w:pPr>
              <w:pStyle w:val="TableText"/>
            </w:pPr>
            <w:r w:rsidRPr="00D62B55">
              <w:t>#33 OR #34 OR #35 OR #36 OR #37 OR #38 OR #39 OR #40 OR #41 OR #42 OR #43 OR #44 OR #45 OR #46 OR #47 OR #48</w:t>
            </w:r>
          </w:p>
        </w:tc>
      </w:tr>
      <w:tr w:rsidR="00786914" w:rsidRPr="00D62B55" w:rsidTr="0006743B">
        <w:trPr>
          <w:trHeight w:val="307"/>
        </w:trPr>
        <w:tc>
          <w:tcPr>
            <w:tcW w:w="1161" w:type="dxa"/>
          </w:tcPr>
          <w:p w:rsidR="00786914" w:rsidRPr="00D62B55" w:rsidRDefault="00786914" w:rsidP="0006743B">
            <w:pPr>
              <w:pStyle w:val="TableText"/>
            </w:pPr>
            <w:r w:rsidRPr="00D62B55">
              <w:t>50</w:t>
            </w:r>
          </w:p>
        </w:tc>
        <w:tc>
          <w:tcPr>
            <w:tcW w:w="8184" w:type="dxa"/>
          </w:tcPr>
          <w:p w:rsidR="00786914" w:rsidRPr="00D62B55" w:rsidRDefault="00786914" w:rsidP="0006743B">
            <w:pPr>
              <w:pStyle w:val="TableText"/>
            </w:pPr>
            <w:r w:rsidRPr="00D62B55">
              <w:t>#49 AND #13</w:t>
            </w:r>
          </w:p>
        </w:tc>
      </w:tr>
      <w:tr w:rsidR="00786914" w:rsidRPr="00D62B55" w:rsidTr="0006743B">
        <w:trPr>
          <w:trHeight w:val="307"/>
        </w:trPr>
        <w:tc>
          <w:tcPr>
            <w:tcW w:w="1161" w:type="dxa"/>
          </w:tcPr>
          <w:p w:rsidR="00786914" w:rsidRPr="00D62B55" w:rsidRDefault="00786914" w:rsidP="0006743B">
            <w:pPr>
              <w:pStyle w:val="TableText"/>
            </w:pPr>
            <w:r w:rsidRPr="00D62B55">
              <w:t>51</w:t>
            </w:r>
          </w:p>
        </w:tc>
        <w:tc>
          <w:tcPr>
            <w:tcW w:w="8184" w:type="dxa"/>
          </w:tcPr>
          <w:p w:rsidR="00786914" w:rsidRPr="00D62B55" w:rsidRDefault="00786914" w:rsidP="0006743B">
            <w:pPr>
              <w:pStyle w:val="TableText"/>
            </w:pPr>
            <w:r w:rsidRPr="00D62B55">
              <w:t>#49 AND #13 AND [2006-2012]/py</w:t>
            </w:r>
          </w:p>
        </w:tc>
      </w:tr>
      <w:tr w:rsidR="00786914" w:rsidRPr="00D62B55" w:rsidTr="0006743B">
        <w:trPr>
          <w:trHeight w:val="307"/>
        </w:trPr>
        <w:tc>
          <w:tcPr>
            <w:tcW w:w="1161" w:type="dxa"/>
          </w:tcPr>
          <w:p w:rsidR="00786914" w:rsidRPr="00D62B55" w:rsidRDefault="00786914" w:rsidP="0006743B">
            <w:pPr>
              <w:pStyle w:val="TableText"/>
            </w:pPr>
            <w:r w:rsidRPr="00D62B55">
              <w:t>52</w:t>
            </w:r>
          </w:p>
        </w:tc>
        <w:tc>
          <w:tcPr>
            <w:tcW w:w="8184" w:type="dxa"/>
          </w:tcPr>
          <w:p w:rsidR="00786914" w:rsidRPr="00D62B55" w:rsidRDefault="00786914" w:rsidP="0006743B">
            <w:pPr>
              <w:pStyle w:val="TableText"/>
            </w:pPr>
            <w:r w:rsidRPr="00D62B55">
              <w:t>#22 OR #32 OR #51</w:t>
            </w:r>
          </w:p>
        </w:tc>
      </w:tr>
    </w:tbl>
    <w:p w:rsidR="00786914" w:rsidRPr="00D62B55" w:rsidRDefault="00786914" w:rsidP="0006743B">
      <w:pPr>
        <w:pStyle w:val="Table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161"/>
      </w:tblGrid>
      <w:tr w:rsidR="00786914" w:rsidRPr="00D62B55" w:rsidTr="0006743B">
        <w:tc>
          <w:tcPr>
            <w:tcW w:w="1161" w:type="dxa"/>
          </w:tcPr>
          <w:p w:rsidR="00786914" w:rsidRPr="00D62B55" w:rsidRDefault="00786914" w:rsidP="0006743B">
            <w:pPr>
              <w:pStyle w:val="TableText"/>
              <w:rPr>
                <w:b/>
                <w:bCs/>
              </w:rPr>
            </w:pPr>
            <w:r w:rsidRPr="00D62B55">
              <w:rPr>
                <w:b/>
                <w:bCs/>
              </w:rPr>
              <w:t>#</w:t>
            </w:r>
          </w:p>
        </w:tc>
        <w:tc>
          <w:tcPr>
            <w:tcW w:w="8161" w:type="dxa"/>
          </w:tcPr>
          <w:p w:rsidR="00786914" w:rsidRPr="00D62B55" w:rsidRDefault="00786914" w:rsidP="0006743B">
            <w:pPr>
              <w:pStyle w:val="TableText"/>
              <w:rPr>
                <w:b/>
              </w:rPr>
            </w:pPr>
            <w:r w:rsidRPr="00D62B55">
              <w:rPr>
                <w:b/>
              </w:rPr>
              <w:t>PreMedline</w:t>
            </w:r>
          </w:p>
        </w:tc>
      </w:tr>
      <w:tr w:rsidR="00786914" w:rsidRPr="00D62B55" w:rsidTr="0006743B">
        <w:tc>
          <w:tcPr>
            <w:tcW w:w="1161" w:type="dxa"/>
          </w:tcPr>
          <w:p w:rsidR="00786914" w:rsidRPr="00D62B55" w:rsidRDefault="00786914" w:rsidP="0006743B">
            <w:pPr>
              <w:pStyle w:val="TableText"/>
            </w:pPr>
            <w:r w:rsidRPr="00D62B55">
              <w:t>1</w:t>
            </w:r>
          </w:p>
        </w:tc>
        <w:tc>
          <w:tcPr>
            <w:tcW w:w="8161" w:type="dxa"/>
          </w:tcPr>
          <w:p w:rsidR="00786914" w:rsidRPr="00D62B55" w:rsidRDefault="00786914" w:rsidP="0006743B">
            <w:pPr>
              <w:pStyle w:val="TableText"/>
            </w:pPr>
            <w:r w:rsidRPr="00D62B55">
              <w:rPr>
                <w:color w:val="0A0905"/>
              </w:rPr>
              <w:t>exp prostatic hyperplasia/</w:t>
            </w:r>
          </w:p>
        </w:tc>
      </w:tr>
      <w:tr w:rsidR="00786914" w:rsidRPr="00D62B55" w:rsidTr="0006743B">
        <w:tc>
          <w:tcPr>
            <w:tcW w:w="1161" w:type="dxa"/>
          </w:tcPr>
          <w:p w:rsidR="00786914" w:rsidRPr="00D62B55" w:rsidRDefault="00786914" w:rsidP="0006743B">
            <w:pPr>
              <w:pStyle w:val="TableText"/>
            </w:pPr>
            <w:r w:rsidRPr="00D62B55">
              <w:t>2</w:t>
            </w:r>
          </w:p>
        </w:tc>
        <w:tc>
          <w:tcPr>
            <w:tcW w:w="8161" w:type="dxa"/>
          </w:tcPr>
          <w:p w:rsidR="00786914" w:rsidRPr="00D62B55" w:rsidRDefault="00786914" w:rsidP="0006743B">
            <w:pPr>
              <w:pStyle w:val="TableText"/>
            </w:pPr>
            <w:r w:rsidRPr="00D62B55">
              <w:t>BPH.mp</w:t>
            </w:r>
          </w:p>
        </w:tc>
      </w:tr>
      <w:tr w:rsidR="00786914" w:rsidRPr="00D62B55" w:rsidTr="0006743B">
        <w:tc>
          <w:tcPr>
            <w:tcW w:w="1161" w:type="dxa"/>
          </w:tcPr>
          <w:p w:rsidR="00786914" w:rsidRPr="00D62B55" w:rsidRDefault="00786914" w:rsidP="0006743B">
            <w:pPr>
              <w:pStyle w:val="TableText"/>
            </w:pPr>
            <w:r w:rsidRPr="00D62B55">
              <w:t>3</w:t>
            </w:r>
          </w:p>
        </w:tc>
        <w:tc>
          <w:tcPr>
            <w:tcW w:w="8161" w:type="dxa"/>
          </w:tcPr>
          <w:p w:rsidR="00786914" w:rsidRPr="00D62B55" w:rsidRDefault="00786914" w:rsidP="0006743B">
            <w:pPr>
              <w:pStyle w:val="TableText"/>
            </w:pPr>
            <w:r w:rsidRPr="00D62B55">
              <w:t xml:space="preserve">BPO.mp </w:t>
            </w:r>
          </w:p>
        </w:tc>
      </w:tr>
      <w:tr w:rsidR="00786914" w:rsidRPr="00D62B55" w:rsidTr="0006743B">
        <w:tc>
          <w:tcPr>
            <w:tcW w:w="1161" w:type="dxa"/>
          </w:tcPr>
          <w:p w:rsidR="00786914" w:rsidRPr="00D62B55" w:rsidRDefault="00786914" w:rsidP="0006743B">
            <w:pPr>
              <w:pStyle w:val="TableText"/>
            </w:pPr>
            <w:r w:rsidRPr="00D62B55">
              <w:t>4</w:t>
            </w:r>
          </w:p>
        </w:tc>
        <w:tc>
          <w:tcPr>
            <w:tcW w:w="8161" w:type="dxa"/>
          </w:tcPr>
          <w:p w:rsidR="00786914" w:rsidRPr="00D62B55" w:rsidRDefault="00786914" w:rsidP="0006743B">
            <w:pPr>
              <w:pStyle w:val="TableText"/>
            </w:pPr>
            <w:r w:rsidRPr="00D62B55">
              <w:t>BPE.mp</w:t>
            </w:r>
          </w:p>
        </w:tc>
      </w:tr>
      <w:tr w:rsidR="00786914" w:rsidRPr="00D62B55" w:rsidTr="0006743B">
        <w:tc>
          <w:tcPr>
            <w:tcW w:w="1161" w:type="dxa"/>
          </w:tcPr>
          <w:p w:rsidR="00786914" w:rsidRPr="00D62B55" w:rsidRDefault="00786914" w:rsidP="0006743B">
            <w:pPr>
              <w:pStyle w:val="TableText"/>
            </w:pPr>
            <w:r w:rsidRPr="00D62B55">
              <w:t>5</w:t>
            </w:r>
          </w:p>
        </w:tc>
        <w:tc>
          <w:tcPr>
            <w:tcW w:w="8161" w:type="dxa"/>
          </w:tcPr>
          <w:p w:rsidR="00786914" w:rsidRPr="00D62B55" w:rsidRDefault="00786914" w:rsidP="0006743B">
            <w:pPr>
              <w:pStyle w:val="TableText"/>
            </w:pPr>
            <w:r w:rsidRPr="00D62B55">
              <w:rPr>
                <w:color w:val="0A0905"/>
              </w:rPr>
              <w:t>(prostat* adj3 hyper*).tw</w:t>
            </w:r>
          </w:p>
        </w:tc>
      </w:tr>
      <w:tr w:rsidR="00786914" w:rsidRPr="00D62B55" w:rsidTr="0006743B">
        <w:tc>
          <w:tcPr>
            <w:tcW w:w="1161" w:type="dxa"/>
          </w:tcPr>
          <w:p w:rsidR="00786914" w:rsidRPr="00D62B55" w:rsidRDefault="00786914" w:rsidP="0006743B">
            <w:pPr>
              <w:pStyle w:val="TableText"/>
            </w:pPr>
            <w:r w:rsidRPr="00D62B55">
              <w:t>6</w:t>
            </w:r>
          </w:p>
        </w:tc>
        <w:tc>
          <w:tcPr>
            <w:tcW w:w="8161" w:type="dxa"/>
          </w:tcPr>
          <w:p w:rsidR="00786914" w:rsidRPr="00D62B55" w:rsidRDefault="00786914" w:rsidP="0006743B">
            <w:pPr>
              <w:pStyle w:val="TableText"/>
            </w:pPr>
            <w:r w:rsidRPr="00D62B55">
              <w:t>benign.tw AND (prostat* adj3 (enlarge* OR obstruct* OR disease)).tw</w:t>
            </w:r>
          </w:p>
        </w:tc>
      </w:tr>
      <w:tr w:rsidR="00786914" w:rsidRPr="00D62B55" w:rsidTr="0006743B">
        <w:tc>
          <w:tcPr>
            <w:tcW w:w="1161" w:type="dxa"/>
          </w:tcPr>
          <w:p w:rsidR="00786914" w:rsidRPr="00D62B55" w:rsidRDefault="00786914" w:rsidP="0006743B">
            <w:pPr>
              <w:pStyle w:val="TableText"/>
            </w:pPr>
            <w:r w:rsidRPr="00D62B55">
              <w:t>7</w:t>
            </w:r>
          </w:p>
        </w:tc>
        <w:tc>
          <w:tcPr>
            <w:tcW w:w="8161" w:type="dxa"/>
          </w:tcPr>
          <w:p w:rsidR="00786914" w:rsidRPr="00D62B55" w:rsidRDefault="00786914" w:rsidP="0006743B">
            <w:pPr>
              <w:pStyle w:val="TableText"/>
            </w:pPr>
            <w:r w:rsidRPr="00D62B55">
              <w:rPr>
                <w:color w:val="0A0905"/>
              </w:rPr>
              <w:t xml:space="preserve">1 or 2 or 3 or 4 or 5 or 6 </w:t>
            </w:r>
          </w:p>
        </w:tc>
      </w:tr>
      <w:tr w:rsidR="00786914" w:rsidRPr="00D62B55" w:rsidTr="0006743B">
        <w:tc>
          <w:tcPr>
            <w:tcW w:w="1161" w:type="dxa"/>
          </w:tcPr>
          <w:p w:rsidR="00786914" w:rsidRPr="00D62B55" w:rsidRDefault="00786914" w:rsidP="0006743B">
            <w:pPr>
              <w:pStyle w:val="TableText"/>
            </w:pPr>
            <w:r w:rsidRPr="00D62B55">
              <w:t>8</w:t>
            </w:r>
          </w:p>
        </w:tc>
        <w:tc>
          <w:tcPr>
            <w:tcW w:w="8161" w:type="dxa"/>
          </w:tcPr>
          <w:p w:rsidR="00786914" w:rsidRPr="00D62B55" w:rsidRDefault="00786914" w:rsidP="0006743B">
            <w:pPr>
              <w:pStyle w:val="TableText"/>
            </w:pPr>
            <w:r w:rsidRPr="00D62B55">
              <w:rPr>
                <w:color w:val="0A0905"/>
              </w:rPr>
              <w:t>holmium laser.tw</w:t>
            </w:r>
          </w:p>
        </w:tc>
      </w:tr>
      <w:tr w:rsidR="00786914" w:rsidRPr="00D62B55" w:rsidTr="0006743B">
        <w:tc>
          <w:tcPr>
            <w:tcW w:w="1161" w:type="dxa"/>
          </w:tcPr>
          <w:p w:rsidR="00786914" w:rsidRPr="00D62B55" w:rsidRDefault="00786914" w:rsidP="0006743B">
            <w:pPr>
              <w:pStyle w:val="TableText"/>
            </w:pPr>
            <w:r w:rsidRPr="00D62B55">
              <w:t>9</w:t>
            </w:r>
          </w:p>
        </w:tc>
        <w:tc>
          <w:tcPr>
            <w:tcW w:w="8161" w:type="dxa"/>
          </w:tcPr>
          <w:p w:rsidR="00786914" w:rsidRPr="00D62B55" w:rsidRDefault="00786914" w:rsidP="0006743B">
            <w:pPr>
              <w:pStyle w:val="TableText"/>
            </w:pPr>
            <w:r w:rsidRPr="00D62B55">
              <w:rPr>
                <w:color w:val="0A0905"/>
              </w:rPr>
              <w:t>yag laser.tw</w:t>
            </w:r>
          </w:p>
        </w:tc>
      </w:tr>
      <w:tr w:rsidR="00786914" w:rsidRPr="00D62B55" w:rsidTr="0006743B">
        <w:tc>
          <w:tcPr>
            <w:tcW w:w="1161" w:type="dxa"/>
          </w:tcPr>
          <w:p w:rsidR="00786914" w:rsidRPr="00D62B55" w:rsidRDefault="00786914" w:rsidP="0006743B">
            <w:pPr>
              <w:pStyle w:val="TableText"/>
            </w:pPr>
            <w:r w:rsidRPr="00D62B55">
              <w:t>10</w:t>
            </w:r>
          </w:p>
        </w:tc>
        <w:tc>
          <w:tcPr>
            <w:tcW w:w="8161" w:type="dxa"/>
          </w:tcPr>
          <w:p w:rsidR="00786914" w:rsidRPr="00D62B55" w:rsidRDefault="00786914" w:rsidP="0006743B">
            <w:pPr>
              <w:pStyle w:val="TableText"/>
            </w:pPr>
            <w:r w:rsidRPr="00D62B55">
              <w:rPr>
                <w:color w:val="0A0905"/>
              </w:rPr>
              <w:t>(laser adj3 (enucleat* or prostatect* or resect* or ablat*)).tw.</w:t>
            </w:r>
          </w:p>
        </w:tc>
      </w:tr>
      <w:tr w:rsidR="00786914" w:rsidRPr="00D62B55" w:rsidTr="0006743B">
        <w:tc>
          <w:tcPr>
            <w:tcW w:w="1161" w:type="dxa"/>
          </w:tcPr>
          <w:p w:rsidR="00786914" w:rsidRPr="00D62B55" w:rsidRDefault="00786914" w:rsidP="0006743B">
            <w:pPr>
              <w:pStyle w:val="TableText"/>
            </w:pPr>
            <w:r w:rsidRPr="00D62B55">
              <w:t>11</w:t>
            </w:r>
          </w:p>
        </w:tc>
        <w:tc>
          <w:tcPr>
            <w:tcW w:w="8161" w:type="dxa"/>
          </w:tcPr>
          <w:p w:rsidR="00786914" w:rsidRPr="00D62B55" w:rsidRDefault="00786914" w:rsidP="0006743B">
            <w:pPr>
              <w:pStyle w:val="TableText"/>
            </w:pPr>
            <w:r w:rsidRPr="00D62B55">
              <w:rPr>
                <w:color w:val="0A0905"/>
              </w:rPr>
              <w:t>holep.tw</w:t>
            </w:r>
          </w:p>
        </w:tc>
      </w:tr>
      <w:tr w:rsidR="00786914" w:rsidRPr="00D62B55" w:rsidTr="0006743B">
        <w:tc>
          <w:tcPr>
            <w:tcW w:w="1161" w:type="dxa"/>
          </w:tcPr>
          <w:p w:rsidR="00786914" w:rsidRPr="00D62B55" w:rsidRDefault="00786914" w:rsidP="0006743B">
            <w:pPr>
              <w:pStyle w:val="TableText"/>
            </w:pPr>
            <w:r w:rsidRPr="00D62B55">
              <w:t>12</w:t>
            </w:r>
          </w:p>
        </w:tc>
        <w:tc>
          <w:tcPr>
            <w:tcW w:w="8161" w:type="dxa"/>
          </w:tcPr>
          <w:p w:rsidR="00786914" w:rsidRPr="00D62B55" w:rsidRDefault="00786914" w:rsidP="0006743B">
            <w:pPr>
              <w:pStyle w:val="TableText"/>
            </w:pPr>
            <w:r w:rsidRPr="00D62B55">
              <w:rPr>
                <w:color w:val="0A0905"/>
              </w:rPr>
              <w:t>8 or 9 or 10 or 11</w:t>
            </w:r>
          </w:p>
        </w:tc>
      </w:tr>
      <w:tr w:rsidR="00786914" w:rsidRPr="00D62B55" w:rsidTr="0006743B">
        <w:tc>
          <w:tcPr>
            <w:tcW w:w="1161" w:type="dxa"/>
          </w:tcPr>
          <w:p w:rsidR="00786914" w:rsidRPr="00D62B55" w:rsidRDefault="00786914" w:rsidP="0006743B">
            <w:pPr>
              <w:pStyle w:val="TableText"/>
            </w:pPr>
            <w:r w:rsidRPr="00D62B55">
              <w:t>13</w:t>
            </w:r>
          </w:p>
        </w:tc>
        <w:tc>
          <w:tcPr>
            <w:tcW w:w="8161" w:type="dxa"/>
          </w:tcPr>
          <w:p w:rsidR="00786914" w:rsidRPr="00D62B55" w:rsidRDefault="00786914" w:rsidP="0006743B">
            <w:pPr>
              <w:pStyle w:val="TableText"/>
            </w:pPr>
            <w:r w:rsidRPr="00D62B55">
              <w:t>7 and 12</w:t>
            </w:r>
          </w:p>
        </w:tc>
      </w:tr>
      <w:tr w:rsidR="00786914" w:rsidRPr="00D62B55" w:rsidTr="0006743B">
        <w:tc>
          <w:tcPr>
            <w:tcW w:w="1161" w:type="dxa"/>
          </w:tcPr>
          <w:p w:rsidR="00786914" w:rsidRPr="00D62B55" w:rsidRDefault="00786914" w:rsidP="0006743B">
            <w:pPr>
              <w:pStyle w:val="TableText"/>
            </w:pPr>
            <w:r w:rsidRPr="00D62B55">
              <w:t>14</w:t>
            </w:r>
          </w:p>
        </w:tc>
        <w:tc>
          <w:tcPr>
            <w:tcW w:w="8161" w:type="dxa"/>
          </w:tcPr>
          <w:p w:rsidR="00786914" w:rsidRPr="00D62B55" w:rsidRDefault="00786914" w:rsidP="0006743B">
            <w:pPr>
              <w:pStyle w:val="TableText"/>
            </w:pPr>
            <w:r w:rsidRPr="00D62B55">
              <w:t>Randomized controlled trial.pt</w:t>
            </w:r>
          </w:p>
        </w:tc>
      </w:tr>
      <w:tr w:rsidR="00786914" w:rsidRPr="00D62B55" w:rsidTr="0006743B">
        <w:tc>
          <w:tcPr>
            <w:tcW w:w="1161" w:type="dxa"/>
          </w:tcPr>
          <w:p w:rsidR="00786914" w:rsidRPr="00D62B55" w:rsidRDefault="00786914" w:rsidP="0006743B">
            <w:pPr>
              <w:pStyle w:val="TableText"/>
            </w:pPr>
            <w:r w:rsidRPr="00D62B55">
              <w:t>15</w:t>
            </w:r>
          </w:p>
        </w:tc>
        <w:tc>
          <w:tcPr>
            <w:tcW w:w="8161" w:type="dxa"/>
          </w:tcPr>
          <w:p w:rsidR="00786914" w:rsidRPr="00D62B55" w:rsidRDefault="00786914" w:rsidP="0006743B">
            <w:pPr>
              <w:pStyle w:val="TableText"/>
            </w:pPr>
            <w:r w:rsidRPr="00D62B55">
              <w:t>Controlled clinical trial.pt</w:t>
            </w:r>
          </w:p>
        </w:tc>
      </w:tr>
      <w:tr w:rsidR="00786914" w:rsidRPr="00D62B55" w:rsidTr="0006743B">
        <w:tc>
          <w:tcPr>
            <w:tcW w:w="1161" w:type="dxa"/>
          </w:tcPr>
          <w:p w:rsidR="00786914" w:rsidRPr="00D62B55" w:rsidRDefault="00786914" w:rsidP="0006743B">
            <w:pPr>
              <w:pStyle w:val="TableText"/>
            </w:pPr>
            <w:r w:rsidRPr="00D62B55">
              <w:t>16</w:t>
            </w:r>
          </w:p>
        </w:tc>
        <w:tc>
          <w:tcPr>
            <w:tcW w:w="8161" w:type="dxa"/>
          </w:tcPr>
          <w:p w:rsidR="00786914" w:rsidRPr="00D62B55" w:rsidRDefault="00786914" w:rsidP="0006743B">
            <w:pPr>
              <w:pStyle w:val="TableText"/>
            </w:pPr>
            <w:r w:rsidRPr="00D62B55">
              <w:t>Randomized.ab</w:t>
            </w:r>
          </w:p>
        </w:tc>
      </w:tr>
      <w:tr w:rsidR="00786914" w:rsidRPr="00D62B55" w:rsidTr="0006743B">
        <w:tc>
          <w:tcPr>
            <w:tcW w:w="1161" w:type="dxa"/>
          </w:tcPr>
          <w:p w:rsidR="00786914" w:rsidRPr="00D62B55" w:rsidRDefault="00786914" w:rsidP="0006743B">
            <w:pPr>
              <w:pStyle w:val="TableText"/>
            </w:pPr>
            <w:r w:rsidRPr="00D62B55">
              <w:t>17</w:t>
            </w:r>
          </w:p>
        </w:tc>
        <w:tc>
          <w:tcPr>
            <w:tcW w:w="8161" w:type="dxa"/>
          </w:tcPr>
          <w:p w:rsidR="00786914" w:rsidRPr="00D62B55" w:rsidRDefault="00786914" w:rsidP="0006743B">
            <w:pPr>
              <w:pStyle w:val="TableText"/>
            </w:pPr>
            <w:r w:rsidRPr="00D62B55">
              <w:t>Placebo.ab</w:t>
            </w:r>
          </w:p>
        </w:tc>
      </w:tr>
      <w:tr w:rsidR="00786914" w:rsidRPr="00D62B55" w:rsidTr="0006743B">
        <w:tc>
          <w:tcPr>
            <w:tcW w:w="1161" w:type="dxa"/>
          </w:tcPr>
          <w:p w:rsidR="00786914" w:rsidRPr="00D62B55" w:rsidRDefault="00786914" w:rsidP="0006743B">
            <w:pPr>
              <w:pStyle w:val="TableText"/>
            </w:pPr>
            <w:r w:rsidRPr="00D62B55">
              <w:t>18</w:t>
            </w:r>
          </w:p>
        </w:tc>
        <w:tc>
          <w:tcPr>
            <w:tcW w:w="8161" w:type="dxa"/>
          </w:tcPr>
          <w:p w:rsidR="00786914" w:rsidRPr="00D62B55" w:rsidRDefault="00786914" w:rsidP="0006743B">
            <w:pPr>
              <w:pStyle w:val="TableText"/>
            </w:pPr>
            <w:r w:rsidRPr="00D62B55">
              <w:t>Drug therapy.fs</w:t>
            </w:r>
          </w:p>
        </w:tc>
      </w:tr>
      <w:tr w:rsidR="00786914" w:rsidRPr="00D62B55" w:rsidTr="0006743B">
        <w:tc>
          <w:tcPr>
            <w:tcW w:w="1161" w:type="dxa"/>
          </w:tcPr>
          <w:p w:rsidR="00786914" w:rsidRPr="00D62B55" w:rsidRDefault="00786914" w:rsidP="0006743B">
            <w:pPr>
              <w:pStyle w:val="TableText"/>
            </w:pPr>
            <w:r w:rsidRPr="00D62B55">
              <w:t>19</w:t>
            </w:r>
          </w:p>
        </w:tc>
        <w:tc>
          <w:tcPr>
            <w:tcW w:w="8161" w:type="dxa"/>
          </w:tcPr>
          <w:p w:rsidR="00786914" w:rsidRPr="00D62B55" w:rsidRDefault="00786914" w:rsidP="0006743B">
            <w:pPr>
              <w:pStyle w:val="TableText"/>
            </w:pPr>
            <w:r w:rsidRPr="00D62B55">
              <w:t>Randomly.ab</w:t>
            </w:r>
          </w:p>
        </w:tc>
      </w:tr>
      <w:tr w:rsidR="00786914" w:rsidRPr="00D62B55" w:rsidTr="0006743B">
        <w:tc>
          <w:tcPr>
            <w:tcW w:w="1161" w:type="dxa"/>
          </w:tcPr>
          <w:p w:rsidR="00786914" w:rsidRPr="00D62B55" w:rsidRDefault="00786914" w:rsidP="0006743B">
            <w:pPr>
              <w:pStyle w:val="TableText"/>
            </w:pPr>
            <w:r w:rsidRPr="00D62B55">
              <w:t>20</w:t>
            </w:r>
          </w:p>
        </w:tc>
        <w:tc>
          <w:tcPr>
            <w:tcW w:w="8161" w:type="dxa"/>
          </w:tcPr>
          <w:p w:rsidR="00786914" w:rsidRPr="00D62B55" w:rsidRDefault="00786914" w:rsidP="0006743B">
            <w:pPr>
              <w:pStyle w:val="TableText"/>
            </w:pPr>
            <w:r w:rsidRPr="00D62B55">
              <w:t>Trial.ab</w:t>
            </w:r>
          </w:p>
        </w:tc>
      </w:tr>
      <w:tr w:rsidR="00786914" w:rsidRPr="00D62B55" w:rsidTr="0006743B">
        <w:tc>
          <w:tcPr>
            <w:tcW w:w="1161" w:type="dxa"/>
          </w:tcPr>
          <w:p w:rsidR="00786914" w:rsidRPr="00D62B55" w:rsidRDefault="00786914" w:rsidP="0006743B">
            <w:pPr>
              <w:pStyle w:val="TableText"/>
            </w:pPr>
            <w:r w:rsidRPr="00D62B55">
              <w:t>21</w:t>
            </w:r>
          </w:p>
        </w:tc>
        <w:tc>
          <w:tcPr>
            <w:tcW w:w="8161" w:type="dxa"/>
          </w:tcPr>
          <w:p w:rsidR="00786914" w:rsidRPr="00D62B55" w:rsidRDefault="00786914" w:rsidP="0006743B">
            <w:pPr>
              <w:pStyle w:val="TableText"/>
            </w:pPr>
            <w:r w:rsidRPr="00D62B55">
              <w:t>Groups.ab</w:t>
            </w:r>
          </w:p>
        </w:tc>
      </w:tr>
      <w:tr w:rsidR="00786914" w:rsidRPr="00D62B55" w:rsidTr="0006743B">
        <w:tc>
          <w:tcPr>
            <w:tcW w:w="1161" w:type="dxa"/>
          </w:tcPr>
          <w:p w:rsidR="00786914" w:rsidRPr="00D62B55" w:rsidRDefault="00786914" w:rsidP="0006743B">
            <w:pPr>
              <w:pStyle w:val="TableText"/>
            </w:pPr>
            <w:r w:rsidRPr="00D62B55">
              <w:t>22</w:t>
            </w:r>
          </w:p>
        </w:tc>
        <w:tc>
          <w:tcPr>
            <w:tcW w:w="8161" w:type="dxa"/>
          </w:tcPr>
          <w:p w:rsidR="00786914" w:rsidRPr="00D62B55" w:rsidRDefault="00786914" w:rsidP="0006743B">
            <w:pPr>
              <w:pStyle w:val="TableText"/>
            </w:pPr>
            <w:r w:rsidRPr="00D62B55">
              <w:t xml:space="preserve">14 or 15 or 16 or 17 or 18 or 19 or 20 or 21 </w:t>
            </w:r>
          </w:p>
        </w:tc>
      </w:tr>
      <w:tr w:rsidR="00786914" w:rsidRPr="00D62B55" w:rsidTr="0006743B">
        <w:tc>
          <w:tcPr>
            <w:tcW w:w="1161" w:type="dxa"/>
          </w:tcPr>
          <w:p w:rsidR="00786914" w:rsidRPr="00D62B55" w:rsidRDefault="00786914" w:rsidP="0006743B">
            <w:pPr>
              <w:pStyle w:val="TableText"/>
              <w:rPr>
                <w:bCs/>
              </w:rPr>
            </w:pPr>
            <w:r w:rsidRPr="00D62B55">
              <w:rPr>
                <w:bCs/>
              </w:rPr>
              <w:t>23</w:t>
            </w:r>
          </w:p>
        </w:tc>
        <w:tc>
          <w:tcPr>
            <w:tcW w:w="8161" w:type="dxa"/>
          </w:tcPr>
          <w:p w:rsidR="00786914" w:rsidRPr="00D62B55" w:rsidRDefault="00786914" w:rsidP="0006743B">
            <w:pPr>
              <w:pStyle w:val="TableText"/>
              <w:rPr>
                <w:b/>
                <w:bCs/>
              </w:rPr>
            </w:pPr>
            <w:r w:rsidRPr="00D62B55">
              <w:rPr>
                <w:bCs/>
              </w:rPr>
              <w:t>22 and 13</w:t>
            </w:r>
          </w:p>
        </w:tc>
      </w:tr>
      <w:tr w:rsidR="00786914" w:rsidRPr="00D62B55" w:rsidTr="0006743B">
        <w:tc>
          <w:tcPr>
            <w:tcW w:w="1161" w:type="dxa"/>
          </w:tcPr>
          <w:p w:rsidR="00786914" w:rsidRPr="00D62B55" w:rsidRDefault="00786914" w:rsidP="0006743B">
            <w:pPr>
              <w:pStyle w:val="TableText"/>
            </w:pPr>
            <w:r w:rsidRPr="00D62B55">
              <w:t>24</w:t>
            </w:r>
          </w:p>
        </w:tc>
        <w:tc>
          <w:tcPr>
            <w:tcW w:w="8161" w:type="dxa"/>
          </w:tcPr>
          <w:p w:rsidR="00786914" w:rsidRPr="00D62B55" w:rsidRDefault="00786914" w:rsidP="0006743B">
            <w:pPr>
              <w:pStyle w:val="TableText"/>
              <w:rPr>
                <w:b/>
                <w:bCs/>
              </w:rPr>
            </w:pPr>
            <w:r w:rsidRPr="00D62B55">
              <w:rPr>
                <w:color w:val="0A0905"/>
              </w:rPr>
              <w:t>limit 23 to yr="2006 - 2012"</w:t>
            </w:r>
          </w:p>
        </w:tc>
      </w:tr>
      <w:tr w:rsidR="00786914" w:rsidRPr="00D62B55" w:rsidTr="0006743B">
        <w:tc>
          <w:tcPr>
            <w:tcW w:w="1161" w:type="dxa"/>
          </w:tcPr>
          <w:p w:rsidR="00786914" w:rsidRPr="00D62B55" w:rsidRDefault="00786914" w:rsidP="0006743B">
            <w:pPr>
              <w:pStyle w:val="TableText"/>
            </w:pPr>
            <w:r w:rsidRPr="00D62B55">
              <w:t>25</w:t>
            </w:r>
          </w:p>
        </w:tc>
        <w:tc>
          <w:tcPr>
            <w:tcW w:w="8161" w:type="dxa"/>
          </w:tcPr>
          <w:p w:rsidR="00786914" w:rsidRPr="00D62B55" w:rsidRDefault="00786914" w:rsidP="0006743B">
            <w:pPr>
              <w:pStyle w:val="TableText"/>
            </w:pPr>
            <w:r w:rsidRPr="00D62B55">
              <w:t>Review.pt and medline.tw</w:t>
            </w:r>
          </w:p>
        </w:tc>
      </w:tr>
      <w:tr w:rsidR="00786914" w:rsidRPr="00D62B55" w:rsidTr="0006743B">
        <w:tc>
          <w:tcPr>
            <w:tcW w:w="1161" w:type="dxa"/>
          </w:tcPr>
          <w:p w:rsidR="00786914" w:rsidRPr="00D62B55" w:rsidRDefault="00786914" w:rsidP="0006743B">
            <w:pPr>
              <w:pStyle w:val="TableText"/>
            </w:pPr>
            <w:r w:rsidRPr="00D62B55">
              <w:t>26</w:t>
            </w:r>
          </w:p>
        </w:tc>
        <w:tc>
          <w:tcPr>
            <w:tcW w:w="8161" w:type="dxa"/>
          </w:tcPr>
          <w:p w:rsidR="00786914" w:rsidRPr="00D62B55" w:rsidRDefault="00786914" w:rsidP="0006743B">
            <w:pPr>
              <w:pStyle w:val="TableText"/>
            </w:pPr>
            <w:r>
              <w:t>Meta-analysis</w:t>
            </w:r>
            <w:r w:rsidRPr="00D62B55">
              <w:t>.pt</w:t>
            </w:r>
          </w:p>
        </w:tc>
      </w:tr>
      <w:tr w:rsidR="00786914" w:rsidRPr="00D62B55" w:rsidTr="0006743B">
        <w:tc>
          <w:tcPr>
            <w:tcW w:w="1161" w:type="dxa"/>
          </w:tcPr>
          <w:p w:rsidR="00786914" w:rsidRPr="00D62B55" w:rsidRDefault="00786914" w:rsidP="0006743B">
            <w:pPr>
              <w:pStyle w:val="TableText"/>
            </w:pPr>
            <w:r w:rsidRPr="00D62B55">
              <w:t>27</w:t>
            </w:r>
          </w:p>
        </w:tc>
        <w:tc>
          <w:tcPr>
            <w:tcW w:w="8161" w:type="dxa"/>
          </w:tcPr>
          <w:p w:rsidR="00786914" w:rsidRPr="00D62B55" w:rsidRDefault="00786914" w:rsidP="0006743B">
            <w:pPr>
              <w:pStyle w:val="TableText"/>
            </w:pPr>
            <w:r w:rsidRPr="00D62B55">
              <w:t>Systematic$.tw and (review$ or overview$).tw</w:t>
            </w:r>
          </w:p>
        </w:tc>
      </w:tr>
      <w:tr w:rsidR="00786914" w:rsidRPr="00D62B55" w:rsidTr="0006743B">
        <w:tc>
          <w:tcPr>
            <w:tcW w:w="1161" w:type="dxa"/>
          </w:tcPr>
          <w:p w:rsidR="00786914" w:rsidRPr="00D62B55" w:rsidRDefault="00786914" w:rsidP="0006743B">
            <w:pPr>
              <w:pStyle w:val="TableText"/>
            </w:pPr>
            <w:r w:rsidRPr="00D62B55">
              <w:t>28</w:t>
            </w:r>
          </w:p>
        </w:tc>
        <w:tc>
          <w:tcPr>
            <w:tcW w:w="8161" w:type="dxa"/>
          </w:tcPr>
          <w:p w:rsidR="00786914" w:rsidRPr="00D62B55" w:rsidRDefault="00786914" w:rsidP="0006743B">
            <w:pPr>
              <w:pStyle w:val="TableText"/>
            </w:pPr>
            <w:r w:rsidRPr="00D62B55">
              <w:t>Meta?analy$.tw</w:t>
            </w:r>
          </w:p>
        </w:tc>
      </w:tr>
      <w:tr w:rsidR="00786914" w:rsidRPr="00D62B55" w:rsidTr="0006743B">
        <w:tc>
          <w:tcPr>
            <w:tcW w:w="1161" w:type="dxa"/>
          </w:tcPr>
          <w:p w:rsidR="00786914" w:rsidRPr="00D62B55" w:rsidRDefault="00786914" w:rsidP="0006743B">
            <w:pPr>
              <w:pStyle w:val="TableText"/>
            </w:pPr>
            <w:r w:rsidRPr="00D62B55">
              <w:t>29</w:t>
            </w:r>
          </w:p>
        </w:tc>
        <w:tc>
          <w:tcPr>
            <w:tcW w:w="8161" w:type="dxa"/>
          </w:tcPr>
          <w:p w:rsidR="00786914" w:rsidRPr="00D62B55" w:rsidRDefault="00786914" w:rsidP="0006743B">
            <w:pPr>
              <w:pStyle w:val="TableText"/>
            </w:pPr>
            <w:r w:rsidRPr="00D62B55">
              <w:t>Meta analy$.tw</w:t>
            </w:r>
          </w:p>
        </w:tc>
      </w:tr>
      <w:tr w:rsidR="00786914" w:rsidRPr="00D62B55" w:rsidTr="0006743B">
        <w:tc>
          <w:tcPr>
            <w:tcW w:w="1161" w:type="dxa"/>
          </w:tcPr>
          <w:p w:rsidR="00786914" w:rsidRPr="00D62B55" w:rsidRDefault="00786914" w:rsidP="0006743B">
            <w:pPr>
              <w:pStyle w:val="TableText"/>
            </w:pPr>
            <w:r w:rsidRPr="00D62B55">
              <w:t>30</w:t>
            </w:r>
          </w:p>
        </w:tc>
        <w:tc>
          <w:tcPr>
            <w:tcW w:w="8161" w:type="dxa"/>
          </w:tcPr>
          <w:p w:rsidR="00786914" w:rsidRPr="00D62B55" w:rsidRDefault="00786914" w:rsidP="0006743B">
            <w:pPr>
              <w:pStyle w:val="TableText"/>
            </w:pPr>
            <w:r w:rsidRPr="00D62B55">
              <w:t>25 or 26 or 27 or 28 or 29 or 30</w:t>
            </w:r>
          </w:p>
        </w:tc>
      </w:tr>
      <w:tr w:rsidR="00786914" w:rsidRPr="00D62B55" w:rsidTr="0006743B">
        <w:trPr>
          <w:trHeight w:val="307"/>
        </w:trPr>
        <w:tc>
          <w:tcPr>
            <w:tcW w:w="1161" w:type="dxa"/>
          </w:tcPr>
          <w:p w:rsidR="00786914" w:rsidRPr="00D62B55" w:rsidRDefault="00786914" w:rsidP="0006743B">
            <w:pPr>
              <w:pStyle w:val="TableText"/>
            </w:pPr>
            <w:r w:rsidRPr="00D62B55">
              <w:lastRenderedPageBreak/>
              <w:t>31</w:t>
            </w:r>
          </w:p>
        </w:tc>
        <w:tc>
          <w:tcPr>
            <w:tcW w:w="8161" w:type="dxa"/>
          </w:tcPr>
          <w:p w:rsidR="00786914" w:rsidRPr="00D62B55" w:rsidRDefault="00786914" w:rsidP="0006743B">
            <w:pPr>
              <w:pStyle w:val="TableText"/>
            </w:pPr>
            <w:r w:rsidRPr="00D62B55">
              <w:t>30 and 13</w:t>
            </w:r>
          </w:p>
        </w:tc>
      </w:tr>
      <w:tr w:rsidR="00786914" w:rsidRPr="00D62B55" w:rsidTr="0006743B">
        <w:trPr>
          <w:trHeight w:val="307"/>
        </w:trPr>
        <w:tc>
          <w:tcPr>
            <w:tcW w:w="1161" w:type="dxa"/>
          </w:tcPr>
          <w:p w:rsidR="00786914" w:rsidRPr="00D62B55" w:rsidRDefault="00786914" w:rsidP="0006743B">
            <w:pPr>
              <w:pStyle w:val="TableText"/>
            </w:pPr>
            <w:r w:rsidRPr="00D62B55">
              <w:t>32</w:t>
            </w:r>
          </w:p>
        </w:tc>
        <w:tc>
          <w:tcPr>
            <w:tcW w:w="8161" w:type="dxa"/>
          </w:tcPr>
          <w:p w:rsidR="00786914" w:rsidRPr="00D62B55" w:rsidRDefault="00786914" w:rsidP="0006743B">
            <w:pPr>
              <w:pStyle w:val="TableText"/>
            </w:pPr>
            <w:r w:rsidRPr="00D62B55">
              <w:rPr>
                <w:color w:val="0A0905"/>
              </w:rPr>
              <w:t>limit 31 to yr="2006 - 2012"</w:t>
            </w:r>
          </w:p>
        </w:tc>
      </w:tr>
      <w:tr w:rsidR="00786914" w:rsidRPr="00D62B55" w:rsidTr="0006743B">
        <w:trPr>
          <w:trHeight w:val="307"/>
        </w:trPr>
        <w:tc>
          <w:tcPr>
            <w:tcW w:w="1161" w:type="dxa"/>
          </w:tcPr>
          <w:p w:rsidR="00786914" w:rsidRPr="00D62B55" w:rsidRDefault="00786914" w:rsidP="0006743B">
            <w:pPr>
              <w:pStyle w:val="TableText"/>
            </w:pPr>
            <w:r w:rsidRPr="00D62B55">
              <w:t>33</w:t>
            </w:r>
          </w:p>
        </w:tc>
        <w:tc>
          <w:tcPr>
            <w:tcW w:w="8161" w:type="dxa"/>
          </w:tcPr>
          <w:p w:rsidR="00786914" w:rsidRPr="00D62B55" w:rsidRDefault="00786914" w:rsidP="0006743B">
            <w:pPr>
              <w:pStyle w:val="TableText"/>
            </w:pPr>
            <w:r w:rsidRPr="00D62B55">
              <w:t xml:space="preserve">Economics/ </w:t>
            </w:r>
          </w:p>
        </w:tc>
      </w:tr>
      <w:tr w:rsidR="00786914" w:rsidRPr="00D62B55" w:rsidTr="0006743B">
        <w:trPr>
          <w:trHeight w:val="307"/>
        </w:trPr>
        <w:tc>
          <w:tcPr>
            <w:tcW w:w="1161" w:type="dxa"/>
          </w:tcPr>
          <w:p w:rsidR="00786914" w:rsidRPr="00D62B55" w:rsidRDefault="00786914" w:rsidP="0006743B">
            <w:pPr>
              <w:pStyle w:val="TableText"/>
            </w:pPr>
            <w:r w:rsidRPr="00D62B55">
              <w:t>34</w:t>
            </w:r>
          </w:p>
        </w:tc>
        <w:tc>
          <w:tcPr>
            <w:tcW w:w="8161" w:type="dxa"/>
          </w:tcPr>
          <w:p w:rsidR="00786914" w:rsidRPr="00D62B55" w:rsidRDefault="00786914" w:rsidP="0006743B">
            <w:pPr>
              <w:pStyle w:val="TableText"/>
            </w:pPr>
            <w:r w:rsidRPr="00D62B55">
              <w:t xml:space="preserve">costs and cost analysis/ </w:t>
            </w:r>
          </w:p>
        </w:tc>
      </w:tr>
      <w:tr w:rsidR="00786914" w:rsidRPr="00D62B55" w:rsidTr="0006743B">
        <w:trPr>
          <w:trHeight w:val="307"/>
        </w:trPr>
        <w:tc>
          <w:tcPr>
            <w:tcW w:w="1161" w:type="dxa"/>
          </w:tcPr>
          <w:p w:rsidR="00786914" w:rsidRPr="00D62B55" w:rsidRDefault="00786914" w:rsidP="0006743B">
            <w:pPr>
              <w:pStyle w:val="TableText"/>
            </w:pPr>
            <w:r w:rsidRPr="00D62B55">
              <w:t>35</w:t>
            </w:r>
          </w:p>
        </w:tc>
        <w:tc>
          <w:tcPr>
            <w:tcW w:w="8161" w:type="dxa"/>
          </w:tcPr>
          <w:p w:rsidR="00786914" w:rsidRPr="00D62B55" w:rsidRDefault="00786914" w:rsidP="0006743B">
            <w:pPr>
              <w:pStyle w:val="TableText"/>
            </w:pPr>
            <w:r w:rsidRPr="00D62B55">
              <w:t xml:space="preserve">Cost allocation/ </w:t>
            </w:r>
          </w:p>
        </w:tc>
      </w:tr>
      <w:tr w:rsidR="00786914" w:rsidRPr="00D62B55" w:rsidTr="0006743B">
        <w:trPr>
          <w:trHeight w:val="307"/>
        </w:trPr>
        <w:tc>
          <w:tcPr>
            <w:tcW w:w="1161" w:type="dxa"/>
          </w:tcPr>
          <w:p w:rsidR="00786914" w:rsidRPr="00D62B55" w:rsidRDefault="00786914" w:rsidP="0006743B">
            <w:pPr>
              <w:pStyle w:val="TableText"/>
            </w:pPr>
            <w:r w:rsidRPr="00D62B55">
              <w:t>36</w:t>
            </w:r>
          </w:p>
        </w:tc>
        <w:tc>
          <w:tcPr>
            <w:tcW w:w="8161" w:type="dxa"/>
          </w:tcPr>
          <w:p w:rsidR="00786914" w:rsidRPr="00D62B55" w:rsidRDefault="00786914" w:rsidP="0006743B">
            <w:pPr>
              <w:pStyle w:val="TableText"/>
            </w:pPr>
            <w:r w:rsidRPr="00D62B55">
              <w:t>Cost-benefit analysis/</w:t>
            </w:r>
          </w:p>
        </w:tc>
      </w:tr>
      <w:tr w:rsidR="00786914" w:rsidRPr="00D62B55" w:rsidTr="0006743B">
        <w:trPr>
          <w:trHeight w:val="307"/>
        </w:trPr>
        <w:tc>
          <w:tcPr>
            <w:tcW w:w="1161" w:type="dxa"/>
          </w:tcPr>
          <w:p w:rsidR="00786914" w:rsidRPr="00D62B55" w:rsidRDefault="00786914" w:rsidP="0006743B">
            <w:pPr>
              <w:pStyle w:val="TableText"/>
            </w:pPr>
            <w:r w:rsidRPr="00D62B55">
              <w:t>37</w:t>
            </w:r>
          </w:p>
        </w:tc>
        <w:tc>
          <w:tcPr>
            <w:tcW w:w="8161" w:type="dxa"/>
          </w:tcPr>
          <w:p w:rsidR="00786914" w:rsidRPr="00D62B55" w:rsidRDefault="00786914" w:rsidP="0006743B">
            <w:pPr>
              <w:pStyle w:val="TableText"/>
            </w:pPr>
            <w:r w:rsidRPr="00D62B55">
              <w:t>Cost control/</w:t>
            </w:r>
          </w:p>
        </w:tc>
      </w:tr>
      <w:tr w:rsidR="00786914" w:rsidRPr="00D62B55" w:rsidTr="0006743B">
        <w:trPr>
          <w:trHeight w:val="307"/>
        </w:trPr>
        <w:tc>
          <w:tcPr>
            <w:tcW w:w="1161" w:type="dxa"/>
          </w:tcPr>
          <w:p w:rsidR="00786914" w:rsidRPr="00D62B55" w:rsidRDefault="00786914" w:rsidP="0006743B">
            <w:pPr>
              <w:pStyle w:val="TableText"/>
            </w:pPr>
            <w:r w:rsidRPr="00D62B55">
              <w:t>38</w:t>
            </w:r>
          </w:p>
        </w:tc>
        <w:tc>
          <w:tcPr>
            <w:tcW w:w="8161" w:type="dxa"/>
          </w:tcPr>
          <w:p w:rsidR="00786914" w:rsidRPr="00D62B55" w:rsidRDefault="00786914" w:rsidP="0006743B">
            <w:pPr>
              <w:pStyle w:val="TableText"/>
            </w:pPr>
            <w:r w:rsidRPr="00D62B55">
              <w:t>Cost savings/</w:t>
            </w:r>
          </w:p>
        </w:tc>
      </w:tr>
      <w:tr w:rsidR="00786914" w:rsidRPr="00D62B55" w:rsidTr="0006743B">
        <w:trPr>
          <w:trHeight w:val="307"/>
        </w:trPr>
        <w:tc>
          <w:tcPr>
            <w:tcW w:w="1161" w:type="dxa"/>
          </w:tcPr>
          <w:p w:rsidR="00786914" w:rsidRPr="00D62B55" w:rsidRDefault="00786914" w:rsidP="0006743B">
            <w:pPr>
              <w:pStyle w:val="TableText"/>
            </w:pPr>
            <w:r w:rsidRPr="00D62B55">
              <w:t>39</w:t>
            </w:r>
          </w:p>
        </w:tc>
        <w:tc>
          <w:tcPr>
            <w:tcW w:w="8161" w:type="dxa"/>
          </w:tcPr>
          <w:p w:rsidR="00786914" w:rsidRPr="00D62B55" w:rsidRDefault="00786914" w:rsidP="0006743B">
            <w:pPr>
              <w:pStyle w:val="TableText"/>
            </w:pPr>
            <w:r w:rsidRPr="00D62B55">
              <w:t>Cost of illness/</w:t>
            </w:r>
          </w:p>
        </w:tc>
      </w:tr>
      <w:tr w:rsidR="00786914" w:rsidRPr="00D62B55" w:rsidTr="0006743B">
        <w:trPr>
          <w:trHeight w:val="307"/>
        </w:trPr>
        <w:tc>
          <w:tcPr>
            <w:tcW w:w="1161" w:type="dxa"/>
          </w:tcPr>
          <w:p w:rsidR="00786914" w:rsidRPr="00D62B55" w:rsidRDefault="00786914" w:rsidP="0006743B">
            <w:pPr>
              <w:pStyle w:val="TableText"/>
            </w:pPr>
            <w:r w:rsidRPr="00D62B55">
              <w:t>40</w:t>
            </w:r>
          </w:p>
        </w:tc>
        <w:tc>
          <w:tcPr>
            <w:tcW w:w="8161" w:type="dxa"/>
          </w:tcPr>
          <w:p w:rsidR="00786914" w:rsidRPr="00D62B55" w:rsidRDefault="00786914" w:rsidP="0006743B">
            <w:pPr>
              <w:pStyle w:val="TableText"/>
            </w:pPr>
            <w:r w:rsidRPr="00D62B55">
              <w:t>Cost sharing/</w:t>
            </w:r>
          </w:p>
        </w:tc>
      </w:tr>
      <w:tr w:rsidR="00786914" w:rsidRPr="00D62B55" w:rsidTr="0006743B">
        <w:trPr>
          <w:trHeight w:val="307"/>
        </w:trPr>
        <w:tc>
          <w:tcPr>
            <w:tcW w:w="1161" w:type="dxa"/>
          </w:tcPr>
          <w:p w:rsidR="00786914" w:rsidRPr="00D62B55" w:rsidRDefault="00786914" w:rsidP="0006743B">
            <w:pPr>
              <w:pStyle w:val="TableText"/>
            </w:pPr>
            <w:r w:rsidRPr="00D62B55">
              <w:t>41</w:t>
            </w:r>
          </w:p>
        </w:tc>
        <w:tc>
          <w:tcPr>
            <w:tcW w:w="8161" w:type="dxa"/>
          </w:tcPr>
          <w:p w:rsidR="00786914" w:rsidRPr="00D62B55" w:rsidRDefault="00786914" w:rsidP="0006743B">
            <w:pPr>
              <w:pStyle w:val="TableText"/>
            </w:pPr>
            <w:r w:rsidRPr="00D62B55">
              <w:t>deductibles and coinsurance/</w:t>
            </w:r>
          </w:p>
        </w:tc>
      </w:tr>
      <w:tr w:rsidR="00786914" w:rsidRPr="00D62B55" w:rsidTr="0006743B">
        <w:trPr>
          <w:trHeight w:val="307"/>
        </w:trPr>
        <w:tc>
          <w:tcPr>
            <w:tcW w:w="1161" w:type="dxa"/>
          </w:tcPr>
          <w:p w:rsidR="00786914" w:rsidRPr="00D62B55" w:rsidRDefault="00786914" w:rsidP="0006743B">
            <w:pPr>
              <w:pStyle w:val="TableText"/>
            </w:pPr>
            <w:r w:rsidRPr="00D62B55">
              <w:t>42</w:t>
            </w:r>
          </w:p>
        </w:tc>
        <w:tc>
          <w:tcPr>
            <w:tcW w:w="8161" w:type="dxa"/>
          </w:tcPr>
          <w:p w:rsidR="00786914" w:rsidRPr="00D62B55" w:rsidRDefault="00786914" w:rsidP="0006743B">
            <w:pPr>
              <w:pStyle w:val="TableText"/>
            </w:pPr>
            <w:r w:rsidRPr="00D62B55">
              <w:t>Medical savings accounts/</w:t>
            </w:r>
          </w:p>
        </w:tc>
      </w:tr>
      <w:tr w:rsidR="00786914" w:rsidRPr="00D62B55" w:rsidTr="0006743B">
        <w:trPr>
          <w:trHeight w:val="307"/>
        </w:trPr>
        <w:tc>
          <w:tcPr>
            <w:tcW w:w="1161" w:type="dxa"/>
          </w:tcPr>
          <w:p w:rsidR="00786914" w:rsidRPr="00D62B55" w:rsidRDefault="00786914" w:rsidP="0006743B">
            <w:pPr>
              <w:pStyle w:val="TableText"/>
            </w:pPr>
            <w:r w:rsidRPr="00D62B55">
              <w:t>43</w:t>
            </w:r>
          </w:p>
        </w:tc>
        <w:tc>
          <w:tcPr>
            <w:tcW w:w="8161" w:type="dxa"/>
          </w:tcPr>
          <w:p w:rsidR="00786914" w:rsidRPr="00D62B55" w:rsidRDefault="00786914" w:rsidP="0006743B">
            <w:pPr>
              <w:pStyle w:val="TableText"/>
            </w:pPr>
            <w:r w:rsidRPr="00D62B55">
              <w:t>Health care costs/</w:t>
            </w:r>
          </w:p>
        </w:tc>
      </w:tr>
      <w:tr w:rsidR="00786914" w:rsidRPr="00D62B55" w:rsidTr="0006743B">
        <w:trPr>
          <w:trHeight w:val="307"/>
        </w:trPr>
        <w:tc>
          <w:tcPr>
            <w:tcW w:w="1161" w:type="dxa"/>
          </w:tcPr>
          <w:p w:rsidR="00786914" w:rsidRPr="00D62B55" w:rsidRDefault="00786914" w:rsidP="0006743B">
            <w:pPr>
              <w:pStyle w:val="TableText"/>
            </w:pPr>
            <w:r w:rsidRPr="00D62B55">
              <w:t>44</w:t>
            </w:r>
          </w:p>
        </w:tc>
        <w:tc>
          <w:tcPr>
            <w:tcW w:w="8161" w:type="dxa"/>
          </w:tcPr>
          <w:p w:rsidR="00786914" w:rsidRPr="00D62B55" w:rsidRDefault="00786914" w:rsidP="0006743B">
            <w:pPr>
              <w:pStyle w:val="TableText"/>
            </w:pPr>
            <w:r w:rsidRPr="00D62B55">
              <w:t>Direct service costs/</w:t>
            </w:r>
          </w:p>
        </w:tc>
      </w:tr>
      <w:tr w:rsidR="00786914" w:rsidRPr="00D62B55" w:rsidTr="0006743B">
        <w:trPr>
          <w:trHeight w:val="307"/>
        </w:trPr>
        <w:tc>
          <w:tcPr>
            <w:tcW w:w="1161" w:type="dxa"/>
          </w:tcPr>
          <w:p w:rsidR="00786914" w:rsidRPr="00D62B55" w:rsidRDefault="00786914" w:rsidP="0006743B">
            <w:pPr>
              <w:pStyle w:val="TableText"/>
            </w:pPr>
            <w:r w:rsidRPr="00D62B55">
              <w:t>45</w:t>
            </w:r>
          </w:p>
        </w:tc>
        <w:tc>
          <w:tcPr>
            <w:tcW w:w="8161" w:type="dxa"/>
          </w:tcPr>
          <w:p w:rsidR="00786914" w:rsidRPr="00D62B55" w:rsidRDefault="00786914" w:rsidP="0006743B">
            <w:pPr>
              <w:pStyle w:val="TableText"/>
            </w:pPr>
            <w:r w:rsidRPr="00D62B55">
              <w:t>Drug costs/</w:t>
            </w:r>
          </w:p>
        </w:tc>
      </w:tr>
      <w:tr w:rsidR="00786914" w:rsidRPr="00D62B55" w:rsidTr="0006743B">
        <w:trPr>
          <w:trHeight w:val="307"/>
        </w:trPr>
        <w:tc>
          <w:tcPr>
            <w:tcW w:w="1161" w:type="dxa"/>
          </w:tcPr>
          <w:p w:rsidR="00786914" w:rsidRPr="00D62B55" w:rsidRDefault="00786914" w:rsidP="0006743B">
            <w:pPr>
              <w:pStyle w:val="TableText"/>
            </w:pPr>
            <w:r w:rsidRPr="00D62B55">
              <w:t>46</w:t>
            </w:r>
          </w:p>
        </w:tc>
        <w:tc>
          <w:tcPr>
            <w:tcW w:w="8161" w:type="dxa"/>
          </w:tcPr>
          <w:p w:rsidR="00786914" w:rsidRPr="00D62B55" w:rsidRDefault="00786914" w:rsidP="0006743B">
            <w:pPr>
              <w:pStyle w:val="TableText"/>
            </w:pPr>
            <w:r w:rsidRPr="00D62B55">
              <w:t>Employer health costs/</w:t>
            </w:r>
          </w:p>
        </w:tc>
      </w:tr>
      <w:tr w:rsidR="00786914" w:rsidRPr="00D62B55" w:rsidTr="0006743B">
        <w:trPr>
          <w:trHeight w:val="307"/>
        </w:trPr>
        <w:tc>
          <w:tcPr>
            <w:tcW w:w="1161" w:type="dxa"/>
          </w:tcPr>
          <w:p w:rsidR="00786914" w:rsidRPr="00D62B55" w:rsidRDefault="00786914" w:rsidP="0006743B">
            <w:pPr>
              <w:pStyle w:val="TableText"/>
            </w:pPr>
            <w:r w:rsidRPr="00D62B55">
              <w:t>47</w:t>
            </w:r>
          </w:p>
        </w:tc>
        <w:tc>
          <w:tcPr>
            <w:tcW w:w="8161" w:type="dxa"/>
          </w:tcPr>
          <w:p w:rsidR="00786914" w:rsidRPr="00D62B55" w:rsidRDefault="00786914" w:rsidP="0006743B">
            <w:pPr>
              <w:pStyle w:val="TableText"/>
            </w:pPr>
            <w:r w:rsidRPr="00D62B55">
              <w:t>Hospital costs/</w:t>
            </w:r>
          </w:p>
        </w:tc>
      </w:tr>
      <w:tr w:rsidR="00786914" w:rsidRPr="00D62B55" w:rsidTr="0006743B">
        <w:trPr>
          <w:trHeight w:val="307"/>
        </w:trPr>
        <w:tc>
          <w:tcPr>
            <w:tcW w:w="1161" w:type="dxa"/>
          </w:tcPr>
          <w:p w:rsidR="00786914" w:rsidRPr="00D62B55" w:rsidRDefault="00786914" w:rsidP="0006743B">
            <w:pPr>
              <w:pStyle w:val="TableText"/>
            </w:pPr>
            <w:r w:rsidRPr="00D62B55">
              <w:t>48</w:t>
            </w:r>
          </w:p>
        </w:tc>
        <w:tc>
          <w:tcPr>
            <w:tcW w:w="8161" w:type="dxa"/>
          </w:tcPr>
          <w:p w:rsidR="00786914" w:rsidRPr="00D62B55" w:rsidRDefault="00786914" w:rsidP="0006743B">
            <w:pPr>
              <w:pStyle w:val="TableText"/>
            </w:pPr>
            <w:r w:rsidRPr="00D62B55">
              <w:t>Health expenditures/</w:t>
            </w:r>
          </w:p>
        </w:tc>
      </w:tr>
      <w:tr w:rsidR="00786914" w:rsidRPr="00D62B55" w:rsidTr="0006743B">
        <w:trPr>
          <w:trHeight w:val="307"/>
        </w:trPr>
        <w:tc>
          <w:tcPr>
            <w:tcW w:w="1161" w:type="dxa"/>
          </w:tcPr>
          <w:p w:rsidR="00786914" w:rsidRPr="00D62B55" w:rsidRDefault="00786914" w:rsidP="0006743B">
            <w:pPr>
              <w:pStyle w:val="TableText"/>
            </w:pPr>
            <w:r w:rsidRPr="00D62B55">
              <w:t>49</w:t>
            </w:r>
          </w:p>
        </w:tc>
        <w:tc>
          <w:tcPr>
            <w:tcW w:w="8161" w:type="dxa"/>
          </w:tcPr>
          <w:p w:rsidR="00786914" w:rsidRPr="00D62B55" w:rsidRDefault="00786914" w:rsidP="0006743B">
            <w:pPr>
              <w:pStyle w:val="TableText"/>
            </w:pPr>
            <w:r w:rsidRPr="00D62B55">
              <w:t>Capital expenditures/</w:t>
            </w:r>
          </w:p>
        </w:tc>
      </w:tr>
      <w:tr w:rsidR="00786914" w:rsidRPr="00D62B55" w:rsidTr="0006743B">
        <w:trPr>
          <w:trHeight w:val="307"/>
        </w:trPr>
        <w:tc>
          <w:tcPr>
            <w:tcW w:w="1161" w:type="dxa"/>
          </w:tcPr>
          <w:p w:rsidR="00786914" w:rsidRPr="00D62B55" w:rsidRDefault="00786914" w:rsidP="0006743B">
            <w:pPr>
              <w:pStyle w:val="TableText"/>
            </w:pPr>
            <w:r w:rsidRPr="00D62B55">
              <w:t>50</w:t>
            </w:r>
          </w:p>
        </w:tc>
        <w:tc>
          <w:tcPr>
            <w:tcW w:w="8161" w:type="dxa"/>
          </w:tcPr>
          <w:p w:rsidR="00786914" w:rsidRPr="00D62B55" w:rsidRDefault="00786914" w:rsidP="0006743B">
            <w:pPr>
              <w:pStyle w:val="TableText"/>
            </w:pPr>
            <w:r w:rsidRPr="00D62B55">
              <w:t>Value of life/</w:t>
            </w:r>
          </w:p>
        </w:tc>
      </w:tr>
      <w:tr w:rsidR="00786914" w:rsidRPr="00D62B55" w:rsidTr="0006743B">
        <w:trPr>
          <w:trHeight w:val="307"/>
        </w:trPr>
        <w:tc>
          <w:tcPr>
            <w:tcW w:w="1161" w:type="dxa"/>
          </w:tcPr>
          <w:p w:rsidR="00786914" w:rsidRPr="00D62B55" w:rsidRDefault="00786914" w:rsidP="0006743B">
            <w:pPr>
              <w:pStyle w:val="TableText"/>
            </w:pPr>
            <w:r w:rsidRPr="00D62B55">
              <w:t>51</w:t>
            </w:r>
          </w:p>
        </w:tc>
        <w:tc>
          <w:tcPr>
            <w:tcW w:w="8161" w:type="dxa"/>
          </w:tcPr>
          <w:p w:rsidR="00786914" w:rsidRPr="00D62B55" w:rsidRDefault="00786914" w:rsidP="0006743B">
            <w:pPr>
              <w:pStyle w:val="TableText"/>
            </w:pPr>
            <w:r w:rsidRPr="00D62B55">
              <w:t>Exp economics, hospital/</w:t>
            </w:r>
          </w:p>
        </w:tc>
      </w:tr>
      <w:tr w:rsidR="00786914" w:rsidRPr="00D62B55" w:rsidTr="0006743B">
        <w:trPr>
          <w:trHeight w:val="307"/>
        </w:trPr>
        <w:tc>
          <w:tcPr>
            <w:tcW w:w="1161" w:type="dxa"/>
          </w:tcPr>
          <w:p w:rsidR="00786914" w:rsidRPr="00D62B55" w:rsidRDefault="00786914" w:rsidP="0006743B">
            <w:pPr>
              <w:pStyle w:val="TableText"/>
            </w:pPr>
            <w:r w:rsidRPr="00D62B55">
              <w:t>52</w:t>
            </w:r>
          </w:p>
        </w:tc>
        <w:tc>
          <w:tcPr>
            <w:tcW w:w="8161" w:type="dxa"/>
          </w:tcPr>
          <w:p w:rsidR="00786914" w:rsidRPr="00D62B55" w:rsidRDefault="00786914" w:rsidP="0006743B">
            <w:pPr>
              <w:pStyle w:val="TableText"/>
            </w:pPr>
            <w:r w:rsidRPr="00D62B55">
              <w:t>Exp economics, medical/</w:t>
            </w:r>
          </w:p>
        </w:tc>
      </w:tr>
      <w:tr w:rsidR="00786914" w:rsidRPr="00D62B55" w:rsidTr="0006743B">
        <w:trPr>
          <w:trHeight w:val="307"/>
        </w:trPr>
        <w:tc>
          <w:tcPr>
            <w:tcW w:w="1161" w:type="dxa"/>
          </w:tcPr>
          <w:p w:rsidR="00786914" w:rsidRPr="00D62B55" w:rsidRDefault="00786914" w:rsidP="0006743B">
            <w:pPr>
              <w:pStyle w:val="TableText"/>
            </w:pPr>
            <w:r w:rsidRPr="00D62B55">
              <w:t>53</w:t>
            </w:r>
          </w:p>
        </w:tc>
        <w:tc>
          <w:tcPr>
            <w:tcW w:w="8161" w:type="dxa"/>
          </w:tcPr>
          <w:p w:rsidR="00786914" w:rsidRPr="00D62B55" w:rsidRDefault="00786914" w:rsidP="0006743B">
            <w:pPr>
              <w:pStyle w:val="TableText"/>
            </w:pPr>
            <w:r w:rsidRPr="00D62B55">
              <w:t>Economics, nursing/</w:t>
            </w:r>
          </w:p>
        </w:tc>
      </w:tr>
      <w:tr w:rsidR="00786914" w:rsidRPr="00D62B55" w:rsidTr="0006743B">
        <w:trPr>
          <w:trHeight w:val="307"/>
        </w:trPr>
        <w:tc>
          <w:tcPr>
            <w:tcW w:w="1161" w:type="dxa"/>
          </w:tcPr>
          <w:p w:rsidR="00786914" w:rsidRPr="00D62B55" w:rsidRDefault="00786914" w:rsidP="0006743B">
            <w:pPr>
              <w:pStyle w:val="TableText"/>
            </w:pPr>
            <w:r w:rsidRPr="00D62B55">
              <w:t>54</w:t>
            </w:r>
          </w:p>
        </w:tc>
        <w:tc>
          <w:tcPr>
            <w:tcW w:w="8161" w:type="dxa"/>
          </w:tcPr>
          <w:p w:rsidR="00786914" w:rsidRPr="00D62B55" w:rsidRDefault="00786914" w:rsidP="0006743B">
            <w:pPr>
              <w:pStyle w:val="TableText"/>
            </w:pPr>
            <w:r w:rsidRPr="00D62B55">
              <w:t>Economics, pharmaceutical/</w:t>
            </w:r>
          </w:p>
        </w:tc>
      </w:tr>
      <w:tr w:rsidR="00786914" w:rsidRPr="00D62B55" w:rsidTr="0006743B">
        <w:trPr>
          <w:trHeight w:val="307"/>
        </w:trPr>
        <w:tc>
          <w:tcPr>
            <w:tcW w:w="1161" w:type="dxa"/>
          </w:tcPr>
          <w:p w:rsidR="00786914" w:rsidRPr="00D62B55" w:rsidRDefault="00786914" w:rsidP="0006743B">
            <w:pPr>
              <w:pStyle w:val="TableText"/>
            </w:pPr>
            <w:r w:rsidRPr="00D62B55">
              <w:t>55</w:t>
            </w:r>
          </w:p>
        </w:tc>
        <w:tc>
          <w:tcPr>
            <w:tcW w:w="8161" w:type="dxa"/>
          </w:tcPr>
          <w:p w:rsidR="00786914" w:rsidRPr="00D62B55" w:rsidRDefault="00786914" w:rsidP="0006743B">
            <w:pPr>
              <w:pStyle w:val="TableText"/>
            </w:pPr>
            <w:r w:rsidRPr="00D62B55">
              <w:t>Exp fees and charges/</w:t>
            </w:r>
          </w:p>
        </w:tc>
      </w:tr>
      <w:tr w:rsidR="00786914" w:rsidRPr="00D62B55" w:rsidTr="0006743B">
        <w:trPr>
          <w:trHeight w:val="307"/>
        </w:trPr>
        <w:tc>
          <w:tcPr>
            <w:tcW w:w="1161" w:type="dxa"/>
          </w:tcPr>
          <w:p w:rsidR="00786914" w:rsidRPr="00D62B55" w:rsidRDefault="00786914" w:rsidP="0006743B">
            <w:pPr>
              <w:pStyle w:val="TableText"/>
            </w:pPr>
            <w:r w:rsidRPr="00D62B55">
              <w:t>56</w:t>
            </w:r>
          </w:p>
        </w:tc>
        <w:tc>
          <w:tcPr>
            <w:tcW w:w="8161" w:type="dxa"/>
          </w:tcPr>
          <w:p w:rsidR="00786914" w:rsidRPr="00D62B55" w:rsidRDefault="00786914" w:rsidP="0006743B">
            <w:pPr>
              <w:pStyle w:val="TableText"/>
            </w:pPr>
            <w:r w:rsidRPr="00D62B55">
              <w:t>Exp budgets/</w:t>
            </w:r>
          </w:p>
        </w:tc>
      </w:tr>
      <w:tr w:rsidR="00786914" w:rsidRPr="00D62B55" w:rsidTr="0006743B">
        <w:trPr>
          <w:trHeight w:val="307"/>
        </w:trPr>
        <w:tc>
          <w:tcPr>
            <w:tcW w:w="1161" w:type="dxa"/>
          </w:tcPr>
          <w:p w:rsidR="00786914" w:rsidRPr="00D62B55" w:rsidRDefault="00786914" w:rsidP="0006743B">
            <w:pPr>
              <w:pStyle w:val="TableText"/>
            </w:pPr>
            <w:r w:rsidRPr="00D62B55">
              <w:t>57</w:t>
            </w:r>
          </w:p>
        </w:tc>
        <w:tc>
          <w:tcPr>
            <w:tcW w:w="8161" w:type="dxa"/>
          </w:tcPr>
          <w:p w:rsidR="00786914" w:rsidRPr="00D62B55" w:rsidRDefault="00786914" w:rsidP="0006743B">
            <w:pPr>
              <w:pStyle w:val="TableText"/>
            </w:pPr>
            <w:r w:rsidRPr="00D62B55">
              <w:t>(low adj cost).mp</w:t>
            </w:r>
          </w:p>
        </w:tc>
      </w:tr>
      <w:tr w:rsidR="00786914" w:rsidRPr="00D62B55" w:rsidTr="0006743B">
        <w:trPr>
          <w:trHeight w:val="307"/>
        </w:trPr>
        <w:tc>
          <w:tcPr>
            <w:tcW w:w="1161" w:type="dxa"/>
          </w:tcPr>
          <w:p w:rsidR="00786914" w:rsidRPr="00D62B55" w:rsidRDefault="00786914" w:rsidP="0006743B">
            <w:pPr>
              <w:pStyle w:val="TableText"/>
            </w:pPr>
            <w:r w:rsidRPr="00D62B55">
              <w:t>58</w:t>
            </w:r>
          </w:p>
        </w:tc>
        <w:tc>
          <w:tcPr>
            <w:tcW w:w="8161" w:type="dxa"/>
          </w:tcPr>
          <w:p w:rsidR="00786914" w:rsidRPr="00D62B55" w:rsidRDefault="00786914" w:rsidP="0006743B">
            <w:pPr>
              <w:pStyle w:val="TableText"/>
            </w:pPr>
            <w:r w:rsidRPr="00D62B55">
              <w:t>(high adj cost).mp</w:t>
            </w:r>
          </w:p>
        </w:tc>
      </w:tr>
      <w:tr w:rsidR="00786914" w:rsidRPr="00D62B55" w:rsidTr="0006743B">
        <w:trPr>
          <w:trHeight w:val="307"/>
        </w:trPr>
        <w:tc>
          <w:tcPr>
            <w:tcW w:w="1161" w:type="dxa"/>
          </w:tcPr>
          <w:p w:rsidR="00786914" w:rsidRPr="00D62B55" w:rsidRDefault="00786914" w:rsidP="0006743B">
            <w:pPr>
              <w:pStyle w:val="TableText"/>
            </w:pPr>
            <w:r w:rsidRPr="00D62B55">
              <w:t>59</w:t>
            </w:r>
          </w:p>
        </w:tc>
        <w:tc>
          <w:tcPr>
            <w:tcW w:w="8161" w:type="dxa"/>
          </w:tcPr>
          <w:p w:rsidR="00786914" w:rsidRPr="00D62B55" w:rsidRDefault="00786914" w:rsidP="0006743B">
            <w:pPr>
              <w:pStyle w:val="TableText"/>
            </w:pPr>
            <w:r w:rsidRPr="00D62B55">
              <w:t>(health?careadj cost$).mp</w:t>
            </w:r>
          </w:p>
        </w:tc>
      </w:tr>
      <w:tr w:rsidR="00786914" w:rsidRPr="00D62B55" w:rsidTr="0006743B">
        <w:trPr>
          <w:trHeight w:val="307"/>
        </w:trPr>
        <w:tc>
          <w:tcPr>
            <w:tcW w:w="1161" w:type="dxa"/>
          </w:tcPr>
          <w:p w:rsidR="00786914" w:rsidRPr="00D62B55" w:rsidRDefault="00786914" w:rsidP="0006743B">
            <w:pPr>
              <w:pStyle w:val="TableText"/>
            </w:pPr>
            <w:r w:rsidRPr="00D62B55">
              <w:t>60</w:t>
            </w:r>
          </w:p>
        </w:tc>
        <w:tc>
          <w:tcPr>
            <w:tcW w:w="8161" w:type="dxa"/>
          </w:tcPr>
          <w:p w:rsidR="00786914" w:rsidRPr="00D62B55" w:rsidRDefault="00786914" w:rsidP="0006743B">
            <w:pPr>
              <w:pStyle w:val="TableText"/>
            </w:pPr>
            <w:r w:rsidRPr="00D62B55">
              <w:t>(fiscal or funding or financial or finance).tw</w:t>
            </w:r>
          </w:p>
        </w:tc>
      </w:tr>
      <w:tr w:rsidR="00786914" w:rsidRPr="00D62B55" w:rsidTr="0006743B">
        <w:trPr>
          <w:trHeight w:val="307"/>
        </w:trPr>
        <w:tc>
          <w:tcPr>
            <w:tcW w:w="1161" w:type="dxa"/>
          </w:tcPr>
          <w:p w:rsidR="00786914" w:rsidRPr="00D62B55" w:rsidRDefault="00786914" w:rsidP="0006743B">
            <w:pPr>
              <w:pStyle w:val="TableText"/>
            </w:pPr>
            <w:r w:rsidRPr="00D62B55">
              <w:t>61</w:t>
            </w:r>
          </w:p>
        </w:tc>
        <w:tc>
          <w:tcPr>
            <w:tcW w:w="8161" w:type="dxa"/>
          </w:tcPr>
          <w:p w:rsidR="00786914" w:rsidRPr="00D62B55" w:rsidRDefault="00786914" w:rsidP="0006743B">
            <w:pPr>
              <w:pStyle w:val="TableText"/>
            </w:pPr>
            <w:r w:rsidRPr="00D62B55">
              <w:t>(cost adj estimate$).mp</w:t>
            </w:r>
          </w:p>
        </w:tc>
      </w:tr>
      <w:tr w:rsidR="00786914" w:rsidRPr="00D62B55" w:rsidTr="0006743B">
        <w:trPr>
          <w:trHeight w:val="307"/>
        </w:trPr>
        <w:tc>
          <w:tcPr>
            <w:tcW w:w="1161" w:type="dxa"/>
          </w:tcPr>
          <w:p w:rsidR="00786914" w:rsidRPr="00D62B55" w:rsidRDefault="00786914" w:rsidP="0006743B">
            <w:pPr>
              <w:pStyle w:val="TableText"/>
            </w:pPr>
            <w:r w:rsidRPr="00D62B55">
              <w:t>62</w:t>
            </w:r>
          </w:p>
        </w:tc>
        <w:tc>
          <w:tcPr>
            <w:tcW w:w="8161" w:type="dxa"/>
          </w:tcPr>
          <w:p w:rsidR="00786914" w:rsidRPr="00D62B55" w:rsidRDefault="00786914" w:rsidP="0006743B">
            <w:pPr>
              <w:pStyle w:val="TableText"/>
            </w:pPr>
            <w:r w:rsidRPr="00D62B55">
              <w:t>(cost adj variable).mp</w:t>
            </w:r>
          </w:p>
        </w:tc>
      </w:tr>
      <w:tr w:rsidR="00786914" w:rsidRPr="00D62B55" w:rsidTr="0006743B">
        <w:trPr>
          <w:trHeight w:val="307"/>
        </w:trPr>
        <w:tc>
          <w:tcPr>
            <w:tcW w:w="1161" w:type="dxa"/>
          </w:tcPr>
          <w:p w:rsidR="00786914" w:rsidRPr="00D62B55" w:rsidRDefault="00786914" w:rsidP="0006743B">
            <w:pPr>
              <w:pStyle w:val="TableText"/>
            </w:pPr>
            <w:r w:rsidRPr="00D62B55">
              <w:t>63</w:t>
            </w:r>
          </w:p>
        </w:tc>
        <w:tc>
          <w:tcPr>
            <w:tcW w:w="8161" w:type="dxa"/>
          </w:tcPr>
          <w:p w:rsidR="00786914" w:rsidRPr="00D62B55" w:rsidRDefault="00786914" w:rsidP="0006743B">
            <w:pPr>
              <w:pStyle w:val="TableText"/>
            </w:pPr>
            <w:r w:rsidRPr="00D62B55">
              <w:t>(unit adj cost$).mp</w:t>
            </w:r>
          </w:p>
        </w:tc>
      </w:tr>
      <w:tr w:rsidR="00786914" w:rsidRPr="00D62B55" w:rsidTr="0006743B">
        <w:trPr>
          <w:trHeight w:val="307"/>
        </w:trPr>
        <w:tc>
          <w:tcPr>
            <w:tcW w:w="1161" w:type="dxa"/>
          </w:tcPr>
          <w:p w:rsidR="00786914" w:rsidRPr="00D62B55" w:rsidRDefault="00786914" w:rsidP="0006743B">
            <w:pPr>
              <w:pStyle w:val="TableText"/>
            </w:pPr>
            <w:r w:rsidRPr="00D62B55">
              <w:t>64</w:t>
            </w:r>
          </w:p>
        </w:tc>
        <w:tc>
          <w:tcPr>
            <w:tcW w:w="8161" w:type="dxa"/>
          </w:tcPr>
          <w:p w:rsidR="00786914" w:rsidRPr="00D62B55" w:rsidRDefault="00786914" w:rsidP="0006743B">
            <w:pPr>
              <w:pStyle w:val="TableText"/>
            </w:pPr>
            <w:r w:rsidRPr="00D62B55">
              <w:t>(economic$ or pharmacoeconomic$ or price$ or pricing).tw</w:t>
            </w:r>
          </w:p>
        </w:tc>
      </w:tr>
      <w:tr w:rsidR="00786914" w:rsidRPr="00D62B55" w:rsidTr="0006743B">
        <w:trPr>
          <w:trHeight w:val="307"/>
        </w:trPr>
        <w:tc>
          <w:tcPr>
            <w:tcW w:w="1161" w:type="dxa"/>
          </w:tcPr>
          <w:p w:rsidR="00786914" w:rsidRPr="00D62B55" w:rsidRDefault="00786914" w:rsidP="0006743B">
            <w:pPr>
              <w:pStyle w:val="TableText"/>
            </w:pPr>
            <w:r w:rsidRPr="00D62B55">
              <w:t>65</w:t>
            </w:r>
          </w:p>
        </w:tc>
        <w:tc>
          <w:tcPr>
            <w:tcW w:w="8161" w:type="dxa"/>
          </w:tcPr>
          <w:p w:rsidR="00786914" w:rsidRPr="00D62B55" w:rsidRDefault="00786914" w:rsidP="0006743B">
            <w:pPr>
              <w:pStyle w:val="TableText"/>
            </w:pPr>
            <w:r w:rsidRPr="00D62B55">
              <w:t>33 or 34 or 35 or 36 or 37 or 38 or 39 or 40 or 41 or 42 or 43 or 44 or 45 or 46 or 47 or 48 or 49 or 50 or 51 or 52 or 53 or 54 or 55 or 56 or 57 or 58 or 59 or 60 or 61 or 62 or 63 or 64</w:t>
            </w:r>
          </w:p>
        </w:tc>
      </w:tr>
      <w:tr w:rsidR="00786914" w:rsidRPr="00D62B55" w:rsidTr="0006743B">
        <w:trPr>
          <w:trHeight w:val="307"/>
        </w:trPr>
        <w:tc>
          <w:tcPr>
            <w:tcW w:w="1161" w:type="dxa"/>
          </w:tcPr>
          <w:p w:rsidR="00786914" w:rsidRPr="00D62B55" w:rsidRDefault="00786914" w:rsidP="0006743B">
            <w:pPr>
              <w:pStyle w:val="TableText"/>
            </w:pPr>
            <w:r w:rsidRPr="00D62B55">
              <w:t>66</w:t>
            </w:r>
          </w:p>
        </w:tc>
        <w:tc>
          <w:tcPr>
            <w:tcW w:w="8161" w:type="dxa"/>
          </w:tcPr>
          <w:p w:rsidR="00786914" w:rsidRPr="00D62B55" w:rsidRDefault="00786914" w:rsidP="0006743B">
            <w:pPr>
              <w:pStyle w:val="TableText"/>
            </w:pPr>
            <w:r w:rsidRPr="00D62B55">
              <w:t>65 and 13</w:t>
            </w:r>
          </w:p>
        </w:tc>
      </w:tr>
      <w:tr w:rsidR="00786914" w:rsidRPr="00D62B55" w:rsidTr="0006743B">
        <w:trPr>
          <w:trHeight w:val="307"/>
        </w:trPr>
        <w:tc>
          <w:tcPr>
            <w:tcW w:w="1161" w:type="dxa"/>
          </w:tcPr>
          <w:p w:rsidR="00786914" w:rsidRPr="00D62B55" w:rsidRDefault="00786914" w:rsidP="0006743B">
            <w:pPr>
              <w:pStyle w:val="TableText"/>
            </w:pPr>
            <w:r w:rsidRPr="00D62B55">
              <w:t>67</w:t>
            </w:r>
          </w:p>
        </w:tc>
        <w:tc>
          <w:tcPr>
            <w:tcW w:w="8161" w:type="dxa"/>
          </w:tcPr>
          <w:p w:rsidR="00786914" w:rsidRPr="00D62B55" w:rsidRDefault="00786914" w:rsidP="0006743B">
            <w:pPr>
              <w:pStyle w:val="TableText"/>
            </w:pPr>
            <w:r w:rsidRPr="00D62B55">
              <w:rPr>
                <w:color w:val="0A0905"/>
              </w:rPr>
              <w:t>limit 66 to yr="2006 - 2012"</w:t>
            </w:r>
          </w:p>
        </w:tc>
      </w:tr>
      <w:tr w:rsidR="00786914" w:rsidRPr="00D62B55" w:rsidTr="0006743B">
        <w:trPr>
          <w:trHeight w:val="307"/>
        </w:trPr>
        <w:tc>
          <w:tcPr>
            <w:tcW w:w="1161" w:type="dxa"/>
          </w:tcPr>
          <w:p w:rsidR="00786914" w:rsidRPr="00D62B55" w:rsidRDefault="00786914" w:rsidP="0006743B">
            <w:pPr>
              <w:pStyle w:val="TableText"/>
            </w:pPr>
            <w:r w:rsidRPr="00D62B55">
              <w:t>68</w:t>
            </w:r>
          </w:p>
        </w:tc>
        <w:tc>
          <w:tcPr>
            <w:tcW w:w="8161" w:type="dxa"/>
          </w:tcPr>
          <w:p w:rsidR="00786914" w:rsidRPr="00D62B55" w:rsidRDefault="00786914" w:rsidP="0006743B">
            <w:pPr>
              <w:pStyle w:val="TableText"/>
            </w:pPr>
            <w:r w:rsidRPr="00D62B55">
              <w:t>24 or 32 or 67</w:t>
            </w:r>
          </w:p>
        </w:tc>
      </w:tr>
    </w:tbl>
    <w:p w:rsidR="00786914" w:rsidRPr="004B5180" w:rsidRDefault="00786914" w:rsidP="0006743B">
      <w:pPr>
        <w:pStyle w:val="Table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161"/>
      </w:tblGrid>
      <w:tr w:rsidR="00786914" w:rsidRPr="00D43AD3" w:rsidTr="0006743B">
        <w:tc>
          <w:tcPr>
            <w:tcW w:w="1161" w:type="dxa"/>
          </w:tcPr>
          <w:p w:rsidR="00786914" w:rsidRPr="00D62B55" w:rsidRDefault="00786914" w:rsidP="0006743B">
            <w:pPr>
              <w:pStyle w:val="TableText"/>
              <w:rPr>
                <w:b/>
                <w:bCs/>
              </w:rPr>
            </w:pPr>
          </w:p>
        </w:tc>
        <w:tc>
          <w:tcPr>
            <w:tcW w:w="8161" w:type="dxa"/>
          </w:tcPr>
          <w:p w:rsidR="00786914" w:rsidRPr="00D62B55" w:rsidRDefault="00786914" w:rsidP="0006743B">
            <w:pPr>
              <w:pStyle w:val="TableText"/>
              <w:rPr>
                <w:b/>
                <w:bCs/>
              </w:rPr>
            </w:pPr>
            <w:r w:rsidRPr="00D62B55">
              <w:rPr>
                <w:b/>
                <w:bCs/>
              </w:rPr>
              <w:t>ALL EBM Reviews</w:t>
            </w:r>
          </w:p>
        </w:tc>
      </w:tr>
      <w:tr w:rsidR="00786914" w:rsidRPr="00D43AD3" w:rsidTr="0006743B">
        <w:tc>
          <w:tcPr>
            <w:tcW w:w="1161" w:type="dxa"/>
          </w:tcPr>
          <w:p w:rsidR="00786914" w:rsidRPr="00D62B55" w:rsidRDefault="00786914" w:rsidP="0006743B">
            <w:pPr>
              <w:pStyle w:val="TableText"/>
            </w:pPr>
            <w:r w:rsidRPr="00D62B55">
              <w:t>1</w:t>
            </w:r>
          </w:p>
        </w:tc>
        <w:tc>
          <w:tcPr>
            <w:tcW w:w="8161" w:type="dxa"/>
          </w:tcPr>
          <w:p w:rsidR="00786914" w:rsidRPr="00D62B55" w:rsidRDefault="00786914" w:rsidP="0006743B">
            <w:pPr>
              <w:pStyle w:val="TableText"/>
            </w:pPr>
            <w:r w:rsidRPr="00D62B55">
              <w:rPr>
                <w:color w:val="0A0905"/>
              </w:rPr>
              <w:t>exp prostatic hyperplasia/</w:t>
            </w:r>
          </w:p>
        </w:tc>
      </w:tr>
      <w:tr w:rsidR="00786914" w:rsidRPr="00D43AD3" w:rsidTr="0006743B">
        <w:tc>
          <w:tcPr>
            <w:tcW w:w="1161" w:type="dxa"/>
          </w:tcPr>
          <w:p w:rsidR="00786914" w:rsidRPr="00D62B55" w:rsidRDefault="00786914" w:rsidP="0006743B">
            <w:pPr>
              <w:pStyle w:val="TableText"/>
            </w:pPr>
            <w:r w:rsidRPr="00D62B55">
              <w:t>2</w:t>
            </w:r>
          </w:p>
        </w:tc>
        <w:tc>
          <w:tcPr>
            <w:tcW w:w="8161" w:type="dxa"/>
          </w:tcPr>
          <w:p w:rsidR="00786914" w:rsidRPr="00D62B55" w:rsidRDefault="00786914" w:rsidP="0006743B">
            <w:pPr>
              <w:pStyle w:val="TableText"/>
            </w:pPr>
            <w:r w:rsidRPr="00D62B55">
              <w:t>BPH.mp</w:t>
            </w:r>
          </w:p>
        </w:tc>
      </w:tr>
      <w:tr w:rsidR="00786914" w:rsidRPr="00D43AD3" w:rsidTr="0006743B">
        <w:tc>
          <w:tcPr>
            <w:tcW w:w="1161" w:type="dxa"/>
          </w:tcPr>
          <w:p w:rsidR="00786914" w:rsidRPr="00D62B55" w:rsidRDefault="00786914" w:rsidP="0006743B">
            <w:pPr>
              <w:pStyle w:val="TableText"/>
            </w:pPr>
            <w:r w:rsidRPr="00D62B55">
              <w:lastRenderedPageBreak/>
              <w:t>3</w:t>
            </w:r>
          </w:p>
        </w:tc>
        <w:tc>
          <w:tcPr>
            <w:tcW w:w="8161" w:type="dxa"/>
          </w:tcPr>
          <w:p w:rsidR="00786914" w:rsidRPr="00D62B55" w:rsidRDefault="00786914" w:rsidP="0006743B">
            <w:pPr>
              <w:pStyle w:val="TableText"/>
            </w:pPr>
            <w:r w:rsidRPr="00D62B55">
              <w:t>BPO.mp</w:t>
            </w:r>
          </w:p>
        </w:tc>
      </w:tr>
      <w:tr w:rsidR="00786914" w:rsidRPr="00D43AD3" w:rsidTr="0006743B">
        <w:tc>
          <w:tcPr>
            <w:tcW w:w="1161" w:type="dxa"/>
          </w:tcPr>
          <w:p w:rsidR="00786914" w:rsidRPr="00D62B55" w:rsidRDefault="00786914" w:rsidP="0006743B">
            <w:pPr>
              <w:pStyle w:val="TableText"/>
            </w:pPr>
            <w:r w:rsidRPr="00D62B55">
              <w:t>4</w:t>
            </w:r>
          </w:p>
        </w:tc>
        <w:tc>
          <w:tcPr>
            <w:tcW w:w="8161" w:type="dxa"/>
          </w:tcPr>
          <w:p w:rsidR="00786914" w:rsidRPr="00D62B55" w:rsidRDefault="00786914" w:rsidP="0006743B">
            <w:pPr>
              <w:pStyle w:val="TableText"/>
            </w:pPr>
            <w:r w:rsidRPr="00D62B55">
              <w:t>BPE.mp</w:t>
            </w:r>
          </w:p>
        </w:tc>
      </w:tr>
      <w:tr w:rsidR="00786914" w:rsidRPr="00D43AD3" w:rsidTr="0006743B">
        <w:tc>
          <w:tcPr>
            <w:tcW w:w="1161" w:type="dxa"/>
          </w:tcPr>
          <w:p w:rsidR="00786914" w:rsidRPr="00D62B55" w:rsidRDefault="00786914" w:rsidP="0006743B">
            <w:pPr>
              <w:pStyle w:val="TableText"/>
            </w:pPr>
            <w:r w:rsidRPr="00D62B55">
              <w:t>5</w:t>
            </w:r>
          </w:p>
        </w:tc>
        <w:tc>
          <w:tcPr>
            <w:tcW w:w="8161" w:type="dxa"/>
          </w:tcPr>
          <w:p w:rsidR="00786914" w:rsidRPr="00D62B55" w:rsidRDefault="00786914" w:rsidP="0006743B">
            <w:pPr>
              <w:pStyle w:val="TableText"/>
            </w:pPr>
            <w:r w:rsidRPr="00D62B55">
              <w:rPr>
                <w:color w:val="0A0905"/>
              </w:rPr>
              <w:t>(prostat* adj3 hyper*).tw</w:t>
            </w:r>
          </w:p>
        </w:tc>
      </w:tr>
      <w:tr w:rsidR="00786914" w:rsidRPr="00D43AD3" w:rsidTr="0006743B">
        <w:tc>
          <w:tcPr>
            <w:tcW w:w="1161" w:type="dxa"/>
          </w:tcPr>
          <w:p w:rsidR="00786914" w:rsidRPr="00D62B55" w:rsidRDefault="00786914" w:rsidP="0006743B">
            <w:pPr>
              <w:pStyle w:val="TableText"/>
            </w:pPr>
            <w:r w:rsidRPr="00D62B55">
              <w:t>6</w:t>
            </w:r>
          </w:p>
        </w:tc>
        <w:tc>
          <w:tcPr>
            <w:tcW w:w="8161" w:type="dxa"/>
          </w:tcPr>
          <w:p w:rsidR="00786914" w:rsidRPr="00D62B55" w:rsidRDefault="00786914" w:rsidP="0006743B">
            <w:pPr>
              <w:pStyle w:val="TableText"/>
            </w:pPr>
            <w:r w:rsidRPr="00D62B55">
              <w:t>benign.tw AND (prostat* adj3 (enlarge* OR obstruct* OR disease)).tw</w:t>
            </w:r>
          </w:p>
        </w:tc>
      </w:tr>
      <w:tr w:rsidR="00786914" w:rsidRPr="00D43AD3" w:rsidTr="0006743B">
        <w:tc>
          <w:tcPr>
            <w:tcW w:w="1161" w:type="dxa"/>
          </w:tcPr>
          <w:p w:rsidR="00786914" w:rsidRPr="00D62B55" w:rsidRDefault="00786914" w:rsidP="0006743B">
            <w:pPr>
              <w:pStyle w:val="TableText"/>
            </w:pPr>
            <w:r w:rsidRPr="00D62B55">
              <w:t>7</w:t>
            </w:r>
          </w:p>
        </w:tc>
        <w:tc>
          <w:tcPr>
            <w:tcW w:w="8161" w:type="dxa"/>
          </w:tcPr>
          <w:p w:rsidR="00786914" w:rsidRPr="00D62B55" w:rsidRDefault="00786914" w:rsidP="0006743B">
            <w:pPr>
              <w:pStyle w:val="TableText"/>
            </w:pPr>
            <w:r w:rsidRPr="00D62B55">
              <w:rPr>
                <w:color w:val="0A0905"/>
              </w:rPr>
              <w:t>1 or 2 or 3 or 4 or 5 or 6</w:t>
            </w:r>
          </w:p>
        </w:tc>
      </w:tr>
      <w:tr w:rsidR="00786914" w:rsidRPr="00D43AD3" w:rsidTr="0006743B">
        <w:tc>
          <w:tcPr>
            <w:tcW w:w="1161" w:type="dxa"/>
          </w:tcPr>
          <w:p w:rsidR="00786914" w:rsidRPr="00D62B55" w:rsidRDefault="00786914" w:rsidP="0006743B">
            <w:pPr>
              <w:pStyle w:val="TableText"/>
            </w:pPr>
            <w:r w:rsidRPr="00D62B55">
              <w:t>8</w:t>
            </w:r>
          </w:p>
        </w:tc>
        <w:tc>
          <w:tcPr>
            <w:tcW w:w="8161" w:type="dxa"/>
          </w:tcPr>
          <w:p w:rsidR="00786914" w:rsidRPr="00D62B55" w:rsidRDefault="00786914" w:rsidP="0006743B">
            <w:pPr>
              <w:pStyle w:val="TableText"/>
            </w:pPr>
            <w:r w:rsidRPr="00D62B55">
              <w:rPr>
                <w:color w:val="0A0905"/>
              </w:rPr>
              <w:t>holmium laser.tw</w:t>
            </w:r>
            <w:r>
              <w:rPr>
                <w:color w:val="0A0905"/>
              </w:rPr>
              <w:t xml:space="preserve">. </w:t>
            </w:r>
            <w:r w:rsidRPr="00D62B55">
              <w:rPr>
                <w:color w:val="0A0905"/>
              </w:rPr>
              <w:t xml:space="preserve"> </w:t>
            </w:r>
          </w:p>
        </w:tc>
      </w:tr>
      <w:tr w:rsidR="00786914" w:rsidRPr="00D43AD3" w:rsidTr="0006743B">
        <w:tc>
          <w:tcPr>
            <w:tcW w:w="1161" w:type="dxa"/>
          </w:tcPr>
          <w:p w:rsidR="00786914" w:rsidRPr="00D62B55" w:rsidRDefault="00786914" w:rsidP="0006743B">
            <w:pPr>
              <w:pStyle w:val="TableText"/>
            </w:pPr>
            <w:r w:rsidRPr="00D62B55">
              <w:t>9</w:t>
            </w:r>
          </w:p>
        </w:tc>
        <w:tc>
          <w:tcPr>
            <w:tcW w:w="8161" w:type="dxa"/>
          </w:tcPr>
          <w:p w:rsidR="00786914" w:rsidRPr="00D62B55" w:rsidRDefault="00786914" w:rsidP="00AE6E57">
            <w:pPr>
              <w:pStyle w:val="TableText"/>
            </w:pPr>
            <w:r w:rsidRPr="00D62B55">
              <w:rPr>
                <w:color w:val="0A0905"/>
              </w:rPr>
              <w:t>yag laser.tw</w:t>
            </w:r>
            <w:r>
              <w:rPr>
                <w:color w:val="0A0905"/>
              </w:rPr>
              <w:t>.</w:t>
            </w:r>
            <w:r w:rsidRPr="00D62B55">
              <w:rPr>
                <w:color w:val="0A0905"/>
              </w:rPr>
              <w:t xml:space="preserve"> </w:t>
            </w:r>
          </w:p>
        </w:tc>
      </w:tr>
      <w:tr w:rsidR="00786914" w:rsidRPr="00D43AD3" w:rsidTr="0006743B">
        <w:tc>
          <w:tcPr>
            <w:tcW w:w="1161" w:type="dxa"/>
          </w:tcPr>
          <w:p w:rsidR="00786914" w:rsidRPr="00D62B55" w:rsidRDefault="00786914" w:rsidP="0006743B">
            <w:pPr>
              <w:pStyle w:val="TableText"/>
            </w:pPr>
            <w:r w:rsidRPr="00D62B55">
              <w:t>10</w:t>
            </w:r>
          </w:p>
        </w:tc>
        <w:tc>
          <w:tcPr>
            <w:tcW w:w="8161" w:type="dxa"/>
          </w:tcPr>
          <w:p w:rsidR="00786914" w:rsidRPr="00D62B55" w:rsidRDefault="00786914" w:rsidP="0006743B">
            <w:pPr>
              <w:pStyle w:val="TableText"/>
            </w:pPr>
            <w:r w:rsidRPr="00D62B55">
              <w:rPr>
                <w:color w:val="0A0905"/>
              </w:rPr>
              <w:t>(laser adj3 (enucleat* or prostatect* or resect* or ablat*)).tw.</w:t>
            </w:r>
          </w:p>
        </w:tc>
      </w:tr>
      <w:tr w:rsidR="00786914" w:rsidRPr="00D43AD3" w:rsidTr="0006743B">
        <w:tc>
          <w:tcPr>
            <w:tcW w:w="1161" w:type="dxa"/>
          </w:tcPr>
          <w:p w:rsidR="00786914" w:rsidRPr="00D62B55" w:rsidRDefault="00786914" w:rsidP="0006743B">
            <w:pPr>
              <w:pStyle w:val="TableText"/>
            </w:pPr>
            <w:r w:rsidRPr="00D62B55">
              <w:t>11</w:t>
            </w:r>
          </w:p>
        </w:tc>
        <w:tc>
          <w:tcPr>
            <w:tcW w:w="8161" w:type="dxa"/>
          </w:tcPr>
          <w:p w:rsidR="00786914" w:rsidRPr="00D62B55" w:rsidRDefault="00786914" w:rsidP="0006743B">
            <w:pPr>
              <w:pStyle w:val="TableText"/>
            </w:pPr>
            <w:r w:rsidRPr="00D62B55">
              <w:rPr>
                <w:color w:val="0A0905"/>
              </w:rPr>
              <w:t>holep.tw.</w:t>
            </w:r>
          </w:p>
        </w:tc>
      </w:tr>
      <w:tr w:rsidR="00786914" w:rsidRPr="00D43AD3" w:rsidTr="0006743B">
        <w:tc>
          <w:tcPr>
            <w:tcW w:w="1161" w:type="dxa"/>
          </w:tcPr>
          <w:p w:rsidR="00786914" w:rsidRPr="00D62B55" w:rsidRDefault="00786914" w:rsidP="0006743B">
            <w:pPr>
              <w:pStyle w:val="TableText"/>
            </w:pPr>
            <w:r w:rsidRPr="00D62B55">
              <w:t>12</w:t>
            </w:r>
          </w:p>
        </w:tc>
        <w:tc>
          <w:tcPr>
            <w:tcW w:w="8161" w:type="dxa"/>
          </w:tcPr>
          <w:p w:rsidR="00786914" w:rsidRPr="00D62B55" w:rsidRDefault="00786914" w:rsidP="0006743B">
            <w:pPr>
              <w:pStyle w:val="TableText"/>
            </w:pPr>
            <w:r w:rsidRPr="00D62B55">
              <w:rPr>
                <w:color w:val="0A0905"/>
              </w:rPr>
              <w:t>8 or 9 or 10 or 11</w:t>
            </w:r>
          </w:p>
        </w:tc>
      </w:tr>
      <w:tr w:rsidR="00786914" w:rsidRPr="00D43AD3" w:rsidTr="0006743B">
        <w:tc>
          <w:tcPr>
            <w:tcW w:w="1161" w:type="dxa"/>
          </w:tcPr>
          <w:p w:rsidR="00786914" w:rsidRPr="00D62B55" w:rsidRDefault="00786914" w:rsidP="0006743B">
            <w:pPr>
              <w:pStyle w:val="TableText"/>
            </w:pPr>
            <w:r w:rsidRPr="00D62B55">
              <w:t>13</w:t>
            </w:r>
          </w:p>
        </w:tc>
        <w:tc>
          <w:tcPr>
            <w:tcW w:w="8161" w:type="dxa"/>
          </w:tcPr>
          <w:p w:rsidR="00786914" w:rsidRPr="00D62B55" w:rsidRDefault="00786914" w:rsidP="0006743B">
            <w:pPr>
              <w:pStyle w:val="TableText"/>
            </w:pPr>
            <w:r w:rsidRPr="00D62B55">
              <w:t>7 and 12</w:t>
            </w:r>
          </w:p>
        </w:tc>
      </w:tr>
      <w:tr w:rsidR="00786914" w:rsidRPr="00D43AD3" w:rsidTr="0006743B">
        <w:tc>
          <w:tcPr>
            <w:tcW w:w="1161" w:type="dxa"/>
          </w:tcPr>
          <w:p w:rsidR="00786914" w:rsidRPr="00D62B55" w:rsidRDefault="00786914" w:rsidP="0006743B">
            <w:pPr>
              <w:pStyle w:val="TableText"/>
            </w:pPr>
            <w:r w:rsidRPr="00D62B55">
              <w:t>14</w:t>
            </w:r>
          </w:p>
        </w:tc>
        <w:tc>
          <w:tcPr>
            <w:tcW w:w="8161" w:type="dxa"/>
          </w:tcPr>
          <w:p w:rsidR="00786914" w:rsidRPr="00D62B55" w:rsidRDefault="00786914" w:rsidP="0006743B">
            <w:pPr>
              <w:pStyle w:val="TableText"/>
            </w:pPr>
            <w:r w:rsidRPr="00D62B55">
              <w:t>Randomized controlled trial.pt</w:t>
            </w:r>
          </w:p>
        </w:tc>
      </w:tr>
      <w:tr w:rsidR="00786914" w:rsidRPr="00D43AD3" w:rsidTr="0006743B">
        <w:tc>
          <w:tcPr>
            <w:tcW w:w="1161" w:type="dxa"/>
          </w:tcPr>
          <w:p w:rsidR="00786914" w:rsidRPr="00D62B55" w:rsidRDefault="00786914" w:rsidP="0006743B">
            <w:pPr>
              <w:pStyle w:val="TableText"/>
            </w:pPr>
            <w:r w:rsidRPr="00D62B55">
              <w:t>15</w:t>
            </w:r>
          </w:p>
        </w:tc>
        <w:tc>
          <w:tcPr>
            <w:tcW w:w="8161" w:type="dxa"/>
          </w:tcPr>
          <w:p w:rsidR="00786914" w:rsidRPr="00D62B55" w:rsidRDefault="00786914" w:rsidP="0006743B">
            <w:pPr>
              <w:pStyle w:val="TableText"/>
            </w:pPr>
            <w:r w:rsidRPr="00D62B55">
              <w:t>Controlled clinical trial.pt</w:t>
            </w:r>
          </w:p>
        </w:tc>
      </w:tr>
      <w:tr w:rsidR="00786914" w:rsidRPr="00D43AD3" w:rsidTr="0006743B">
        <w:tc>
          <w:tcPr>
            <w:tcW w:w="1161" w:type="dxa"/>
          </w:tcPr>
          <w:p w:rsidR="00786914" w:rsidRPr="00D62B55" w:rsidRDefault="00786914" w:rsidP="0006743B">
            <w:pPr>
              <w:pStyle w:val="TableText"/>
            </w:pPr>
            <w:r w:rsidRPr="00D62B55">
              <w:t>16</w:t>
            </w:r>
          </w:p>
        </w:tc>
        <w:tc>
          <w:tcPr>
            <w:tcW w:w="8161" w:type="dxa"/>
          </w:tcPr>
          <w:p w:rsidR="00786914" w:rsidRPr="00D62B55" w:rsidRDefault="00786914" w:rsidP="0006743B">
            <w:pPr>
              <w:pStyle w:val="TableText"/>
            </w:pPr>
            <w:r w:rsidRPr="00D62B55">
              <w:t>Randomized.ab</w:t>
            </w:r>
          </w:p>
        </w:tc>
      </w:tr>
      <w:tr w:rsidR="00786914" w:rsidRPr="00D43AD3" w:rsidTr="0006743B">
        <w:tc>
          <w:tcPr>
            <w:tcW w:w="1161" w:type="dxa"/>
          </w:tcPr>
          <w:p w:rsidR="00786914" w:rsidRPr="00D62B55" w:rsidRDefault="00786914" w:rsidP="0006743B">
            <w:pPr>
              <w:pStyle w:val="TableText"/>
            </w:pPr>
            <w:r w:rsidRPr="00D62B55">
              <w:t>17</w:t>
            </w:r>
          </w:p>
        </w:tc>
        <w:tc>
          <w:tcPr>
            <w:tcW w:w="8161" w:type="dxa"/>
          </w:tcPr>
          <w:p w:rsidR="00786914" w:rsidRPr="00D62B55" w:rsidRDefault="00786914" w:rsidP="0006743B">
            <w:pPr>
              <w:pStyle w:val="TableText"/>
            </w:pPr>
            <w:r w:rsidRPr="00D62B55">
              <w:t>Placebo.ab</w:t>
            </w:r>
          </w:p>
        </w:tc>
      </w:tr>
      <w:tr w:rsidR="00786914" w:rsidRPr="00D43AD3" w:rsidTr="0006743B">
        <w:tc>
          <w:tcPr>
            <w:tcW w:w="1161" w:type="dxa"/>
          </w:tcPr>
          <w:p w:rsidR="00786914" w:rsidRPr="00D62B55" w:rsidRDefault="00786914" w:rsidP="0006743B">
            <w:pPr>
              <w:pStyle w:val="TableText"/>
            </w:pPr>
            <w:r w:rsidRPr="00D62B55">
              <w:t>18</w:t>
            </w:r>
          </w:p>
        </w:tc>
        <w:tc>
          <w:tcPr>
            <w:tcW w:w="8161" w:type="dxa"/>
          </w:tcPr>
          <w:p w:rsidR="00786914" w:rsidRPr="00D62B55" w:rsidRDefault="00786914" w:rsidP="0006743B">
            <w:pPr>
              <w:pStyle w:val="TableText"/>
            </w:pPr>
            <w:r w:rsidRPr="00D62B55">
              <w:t>Drug therapy.fs</w:t>
            </w:r>
          </w:p>
        </w:tc>
      </w:tr>
      <w:tr w:rsidR="00786914" w:rsidRPr="00D43AD3" w:rsidTr="0006743B">
        <w:tc>
          <w:tcPr>
            <w:tcW w:w="1161" w:type="dxa"/>
          </w:tcPr>
          <w:p w:rsidR="00786914" w:rsidRPr="00D62B55" w:rsidRDefault="00786914" w:rsidP="0006743B">
            <w:pPr>
              <w:pStyle w:val="TableText"/>
            </w:pPr>
            <w:r w:rsidRPr="00D62B55">
              <w:t>19</w:t>
            </w:r>
          </w:p>
        </w:tc>
        <w:tc>
          <w:tcPr>
            <w:tcW w:w="8161" w:type="dxa"/>
          </w:tcPr>
          <w:p w:rsidR="00786914" w:rsidRPr="00D62B55" w:rsidRDefault="00786914" w:rsidP="0006743B">
            <w:pPr>
              <w:pStyle w:val="TableText"/>
            </w:pPr>
            <w:r w:rsidRPr="00D62B55">
              <w:t>Randomly.ab</w:t>
            </w:r>
          </w:p>
        </w:tc>
      </w:tr>
      <w:tr w:rsidR="00786914" w:rsidRPr="00D43AD3" w:rsidTr="0006743B">
        <w:tc>
          <w:tcPr>
            <w:tcW w:w="1161" w:type="dxa"/>
          </w:tcPr>
          <w:p w:rsidR="00786914" w:rsidRPr="00D62B55" w:rsidRDefault="00786914" w:rsidP="0006743B">
            <w:pPr>
              <w:pStyle w:val="TableText"/>
            </w:pPr>
            <w:r w:rsidRPr="00D62B55">
              <w:t>20</w:t>
            </w:r>
          </w:p>
        </w:tc>
        <w:tc>
          <w:tcPr>
            <w:tcW w:w="8161" w:type="dxa"/>
          </w:tcPr>
          <w:p w:rsidR="00786914" w:rsidRPr="00D62B55" w:rsidRDefault="00786914" w:rsidP="0006743B">
            <w:pPr>
              <w:pStyle w:val="TableText"/>
            </w:pPr>
            <w:r w:rsidRPr="00D62B55">
              <w:t>Trial.ab</w:t>
            </w:r>
          </w:p>
        </w:tc>
      </w:tr>
      <w:tr w:rsidR="00786914" w:rsidRPr="00D43AD3" w:rsidTr="0006743B">
        <w:tc>
          <w:tcPr>
            <w:tcW w:w="1161" w:type="dxa"/>
          </w:tcPr>
          <w:p w:rsidR="00786914" w:rsidRPr="00D62B55" w:rsidRDefault="00786914" w:rsidP="0006743B">
            <w:pPr>
              <w:pStyle w:val="TableText"/>
            </w:pPr>
            <w:r w:rsidRPr="00D62B55">
              <w:t>21</w:t>
            </w:r>
          </w:p>
        </w:tc>
        <w:tc>
          <w:tcPr>
            <w:tcW w:w="8161" w:type="dxa"/>
          </w:tcPr>
          <w:p w:rsidR="00786914" w:rsidRPr="00D62B55" w:rsidRDefault="00786914" w:rsidP="0006743B">
            <w:pPr>
              <w:pStyle w:val="TableText"/>
            </w:pPr>
            <w:r w:rsidRPr="00D62B55">
              <w:t>Groups.ab</w:t>
            </w:r>
          </w:p>
        </w:tc>
      </w:tr>
      <w:tr w:rsidR="00786914" w:rsidRPr="00D43AD3" w:rsidTr="0006743B">
        <w:tc>
          <w:tcPr>
            <w:tcW w:w="1161" w:type="dxa"/>
          </w:tcPr>
          <w:p w:rsidR="00786914" w:rsidRPr="00D62B55" w:rsidRDefault="00786914" w:rsidP="0006743B">
            <w:pPr>
              <w:pStyle w:val="TableText"/>
            </w:pPr>
            <w:r w:rsidRPr="00D62B55">
              <w:t>22</w:t>
            </w:r>
          </w:p>
        </w:tc>
        <w:tc>
          <w:tcPr>
            <w:tcW w:w="8161" w:type="dxa"/>
          </w:tcPr>
          <w:p w:rsidR="00786914" w:rsidRPr="00D62B55" w:rsidRDefault="00786914" w:rsidP="0006743B">
            <w:pPr>
              <w:pStyle w:val="TableText"/>
            </w:pPr>
            <w:r w:rsidRPr="00D62B55">
              <w:t>14 or 15 or 16 or 17 or 18 or 19 or 20 or 21</w:t>
            </w:r>
          </w:p>
        </w:tc>
      </w:tr>
      <w:tr w:rsidR="00786914" w:rsidRPr="00D43AD3" w:rsidTr="0006743B">
        <w:tc>
          <w:tcPr>
            <w:tcW w:w="1161" w:type="dxa"/>
          </w:tcPr>
          <w:p w:rsidR="00786914" w:rsidRPr="00D62B55" w:rsidRDefault="00786914" w:rsidP="0006743B">
            <w:pPr>
              <w:pStyle w:val="TableText"/>
              <w:rPr>
                <w:bCs/>
              </w:rPr>
            </w:pPr>
            <w:r w:rsidRPr="00D62B55">
              <w:rPr>
                <w:bCs/>
              </w:rPr>
              <w:t>23</w:t>
            </w:r>
          </w:p>
        </w:tc>
        <w:tc>
          <w:tcPr>
            <w:tcW w:w="8161" w:type="dxa"/>
          </w:tcPr>
          <w:p w:rsidR="00786914" w:rsidRPr="00D62B55" w:rsidRDefault="00786914" w:rsidP="0006743B">
            <w:pPr>
              <w:pStyle w:val="TableText"/>
              <w:rPr>
                <w:b/>
                <w:bCs/>
              </w:rPr>
            </w:pPr>
            <w:r w:rsidRPr="00D62B55">
              <w:rPr>
                <w:bCs/>
              </w:rPr>
              <w:t>22 and 13</w:t>
            </w:r>
          </w:p>
        </w:tc>
      </w:tr>
      <w:tr w:rsidR="00786914" w:rsidRPr="00D43AD3" w:rsidTr="0006743B">
        <w:tc>
          <w:tcPr>
            <w:tcW w:w="1161" w:type="dxa"/>
          </w:tcPr>
          <w:p w:rsidR="00786914" w:rsidRPr="00D62B55" w:rsidRDefault="00786914" w:rsidP="0006743B">
            <w:pPr>
              <w:pStyle w:val="TableText"/>
            </w:pPr>
            <w:r w:rsidRPr="00D62B55">
              <w:t>24</w:t>
            </w:r>
          </w:p>
        </w:tc>
        <w:tc>
          <w:tcPr>
            <w:tcW w:w="8161" w:type="dxa"/>
          </w:tcPr>
          <w:p w:rsidR="00786914" w:rsidRPr="00D62B55" w:rsidRDefault="00786914" w:rsidP="0006743B">
            <w:pPr>
              <w:pStyle w:val="TableText"/>
            </w:pPr>
            <w:r w:rsidRPr="00D62B55">
              <w:rPr>
                <w:color w:val="0A0905"/>
              </w:rPr>
              <w:t>limit 23 to yr="2006 - 2012"</w:t>
            </w:r>
          </w:p>
        </w:tc>
      </w:tr>
      <w:tr w:rsidR="00786914" w:rsidRPr="00D43AD3" w:rsidTr="0006743B">
        <w:tc>
          <w:tcPr>
            <w:tcW w:w="1161" w:type="dxa"/>
          </w:tcPr>
          <w:p w:rsidR="00786914" w:rsidRPr="00D62B55" w:rsidRDefault="00786914" w:rsidP="0006743B">
            <w:pPr>
              <w:pStyle w:val="TableText"/>
            </w:pPr>
            <w:r w:rsidRPr="00D62B55">
              <w:t>25</w:t>
            </w:r>
          </w:p>
        </w:tc>
        <w:tc>
          <w:tcPr>
            <w:tcW w:w="8161" w:type="dxa"/>
          </w:tcPr>
          <w:p w:rsidR="00786914" w:rsidRPr="00D62B55" w:rsidRDefault="00786914" w:rsidP="0006743B">
            <w:pPr>
              <w:pStyle w:val="TableText"/>
            </w:pPr>
            <w:r w:rsidRPr="00D62B55">
              <w:t>Review.pt and medline.tw</w:t>
            </w:r>
          </w:p>
        </w:tc>
      </w:tr>
      <w:tr w:rsidR="00786914" w:rsidRPr="00D43AD3" w:rsidTr="0006743B">
        <w:tc>
          <w:tcPr>
            <w:tcW w:w="1161" w:type="dxa"/>
          </w:tcPr>
          <w:p w:rsidR="00786914" w:rsidRPr="00D62B55" w:rsidRDefault="00786914" w:rsidP="0006743B">
            <w:pPr>
              <w:pStyle w:val="TableText"/>
            </w:pPr>
            <w:r w:rsidRPr="00D62B55">
              <w:t>26</w:t>
            </w:r>
          </w:p>
        </w:tc>
        <w:tc>
          <w:tcPr>
            <w:tcW w:w="8161" w:type="dxa"/>
          </w:tcPr>
          <w:p w:rsidR="00786914" w:rsidRPr="00D62B55" w:rsidRDefault="00786914" w:rsidP="0006743B">
            <w:pPr>
              <w:pStyle w:val="TableText"/>
            </w:pPr>
            <w:r>
              <w:t>Meta-analysis</w:t>
            </w:r>
            <w:r w:rsidRPr="00D62B55">
              <w:t>.pt</w:t>
            </w:r>
          </w:p>
        </w:tc>
      </w:tr>
      <w:tr w:rsidR="00786914" w:rsidRPr="00D43AD3" w:rsidTr="0006743B">
        <w:tc>
          <w:tcPr>
            <w:tcW w:w="1161" w:type="dxa"/>
          </w:tcPr>
          <w:p w:rsidR="00786914" w:rsidRPr="00D62B55" w:rsidRDefault="00786914" w:rsidP="0006743B">
            <w:pPr>
              <w:pStyle w:val="TableText"/>
            </w:pPr>
            <w:r w:rsidRPr="00D62B55">
              <w:t>27</w:t>
            </w:r>
          </w:p>
        </w:tc>
        <w:tc>
          <w:tcPr>
            <w:tcW w:w="8161" w:type="dxa"/>
          </w:tcPr>
          <w:p w:rsidR="00786914" w:rsidRPr="00D62B55" w:rsidRDefault="00786914" w:rsidP="0006743B">
            <w:pPr>
              <w:pStyle w:val="TableText"/>
            </w:pPr>
            <w:r w:rsidRPr="00D62B55">
              <w:t>Systematic$.tw and (review$ or overview$).tw</w:t>
            </w:r>
          </w:p>
        </w:tc>
      </w:tr>
      <w:tr w:rsidR="00786914" w:rsidRPr="00D43AD3" w:rsidTr="0006743B">
        <w:tc>
          <w:tcPr>
            <w:tcW w:w="1161" w:type="dxa"/>
          </w:tcPr>
          <w:p w:rsidR="00786914" w:rsidRPr="00D62B55" w:rsidRDefault="00786914" w:rsidP="0006743B">
            <w:pPr>
              <w:pStyle w:val="TableText"/>
            </w:pPr>
            <w:r w:rsidRPr="00D62B55">
              <w:t>28</w:t>
            </w:r>
          </w:p>
        </w:tc>
        <w:tc>
          <w:tcPr>
            <w:tcW w:w="8161" w:type="dxa"/>
          </w:tcPr>
          <w:p w:rsidR="00786914" w:rsidRPr="00D62B55" w:rsidRDefault="00786914" w:rsidP="0006743B">
            <w:pPr>
              <w:pStyle w:val="TableText"/>
            </w:pPr>
            <w:r w:rsidRPr="00D62B55">
              <w:t>Meta?analy$.tw</w:t>
            </w:r>
          </w:p>
        </w:tc>
      </w:tr>
      <w:tr w:rsidR="00786914" w:rsidRPr="004B5180" w:rsidTr="0006743B">
        <w:tc>
          <w:tcPr>
            <w:tcW w:w="1161" w:type="dxa"/>
          </w:tcPr>
          <w:p w:rsidR="00786914" w:rsidRPr="00D62B55" w:rsidRDefault="00786914" w:rsidP="0006743B">
            <w:pPr>
              <w:pStyle w:val="TableText"/>
            </w:pPr>
            <w:r w:rsidRPr="00D62B55">
              <w:t>29</w:t>
            </w:r>
          </w:p>
        </w:tc>
        <w:tc>
          <w:tcPr>
            <w:tcW w:w="8161" w:type="dxa"/>
          </w:tcPr>
          <w:p w:rsidR="00786914" w:rsidRPr="00D62B55" w:rsidRDefault="00786914" w:rsidP="0006743B">
            <w:pPr>
              <w:pStyle w:val="TableText"/>
            </w:pPr>
            <w:r w:rsidRPr="00D62B55">
              <w:t>Meta analy$.tw</w:t>
            </w:r>
          </w:p>
        </w:tc>
      </w:tr>
      <w:tr w:rsidR="00786914" w:rsidRPr="004B5180" w:rsidTr="0006743B">
        <w:tc>
          <w:tcPr>
            <w:tcW w:w="1161" w:type="dxa"/>
          </w:tcPr>
          <w:p w:rsidR="00786914" w:rsidRPr="00D62B55" w:rsidRDefault="00786914" w:rsidP="0006743B">
            <w:pPr>
              <w:pStyle w:val="TableText"/>
            </w:pPr>
            <w:r w:rsidRPr="00D62B55">
              <w:t>30</w:t>
            </w:r>
          </w:p>
        </w:tc>
        <w:tc>
          <w:tcPr>
            <w:tcW w:w="8161" w:type="dxa"/>
          </w:tcPr>
          <w:p w:rsidR="00786914" w:rsidRPr="00D62B55" w:rsidRDefault="00786914" w:rsidP="0006743B">
            <w:pPr>
              <w:pStyle w:val="TableText"/>
            </w:pPr>
            <w:r w:rsidRPr="00D62B55">
              <w:t>25 or 26 or 27 or 28 or 29 or 30</w:t>
            </w:r>
          </w:p>
        </w:tc>
      </w:tr>
      <w:tr w:rsidR="00786914" w:rsidRPr="004B5180" w:rsidTr="0006743B">
        <w:trPr>
          <w:trHeight w:val="307"/>
        </w:trPr>
        <w:tc>
          <w:tcPr>
            <w:tcW w:w="1161" w:type="dxa"/>
          </w:tcPr>
          <w:p w:rsidR="00786914" w:rsidRPr="00D62B55" w:rsidRDefault="00786914" w:rsidP="0006743B">
            <w:pPr>
              <w:pStyle w:val="TableText"/>
            </w:pPr>
            <w:r w:rsidRPr="00D62B55">
              <w:t>31</w:t>
            </w:r>
          </w:p>
        </w:tc>
        <w:tc>
          <w:tcPr>
            <w:tcW w:w="8161" w:type="dxa"/>
          </w:tcPr>
          <w:p w:rsidR="00786914" w:rsidRPr="00D62B55" w:rsidRDefault="00786914" w:rsidP="0006743B">
            <w:pPr>
              <w:pStyle w:val="TableText"/>
            </w:pPr>
            <w:r w:rsidRPr="00D62B55">
              <w:t>30 and 13</w:t>
            </w:r>
          </w:p>
        </w:tc>
      </w:tr>
      <w:tr w:rsidR="00786914" w:rsidRPr="004B5180" w:rsidTr="0006743B">
        <w:trPr>
          <w:trHeight w:val="307"/>
        </w:trPr>
        <w:tc>
          <w:tcPr>
            <w:tcW w:w="1161" w:type="dxa"/>
          </w:tcPr>
          <w:p w:rsidR="00786914" w:rsidRPr="00D62B55" w:rsidRDefault="00786914" w:rsidP="0006743B">
            <w:pPr>
              <w:pStyle w:val="TableText"/>
            </w:pPr>
            <w:r w:rsidRPr="00D62B55">
              <w:t>32</w:t>
            </w:r>
          </w:p>
        </w:tc>
        <w:tc>
          <w:tcPr>
            <w:tcW w:w="8161" w:type="dxa"/>
          </w:tcPr>
          <w:p w:rsidR="00786914" w:rsidRPr="00D62B55" w:rsidRDefault="00786914" w:rsidP="0006743B">
            <w:pPr>
              <w:pStyle w:val="TableText"/>
            </w:pPr>
            <w:r w:rsidRPr="00D62B55">
              <w:rPr>
                <w:color w:val="0A0905"/>
              </w:rPr>
              <w:t>limit 31 to yr="2006 - 2012"</w:t>
            </w:r>
          </w:p>
        </w:tc>
      </w:tr>
      <w:tr w:rsidR="00786914" w:rsidRPr="004B5180" w:rsidTr="0006743B">
        <w:trPr>
          <w:trHeight w:val="307"/>
        </w:trPr>
        <w:tc>
          <w:tcPr>
            <w:tcW w:w="1161" w:type="dxa"/>
          </w:tcPr>
          <w:p w:rsidR="00786914" w:rsidRPr="00D62B55" w:rsidRDefault="00786914" w:rsidP="0006743B">
            <w:pPr>
              <w:pStyle w:val="TableText"/>
            </w:pPr>
            <w:r w:rsidRPr="00D62B55">
              <w:t>33</w:t>
            </w:r>
          </w:p>
        </w:tc>
        <w:tc>
          <w:tcPr>
            <w:tcW w:w="8161" w:type="dxa"/>
          </w:tcPr>
          <w:p w:rsidR="00786914" w:rsidRPr="00D62B55" w:rsidRDefault="00786914" w:rsidP="0006743B">
            <w:pPr>
              <w:pStyle w:val="TableText"/>
            </w:pPr>
            <w:r w:rsidRPr="00D62B55">
              <w:t xml:space="preserve">Economics/  </w:t>
            </w:r>
          </w:p>
        </w:tc>
      </w:tr>
      <w:tr w:rsidR="00786914" w:rsidRPr="004B5180" w:rsidTr="0006743B">
        <w:trPr>
          <w:trHeight w:val="307"/>
        </w:trPr>
        <w:tc>
          <w:tcPr>
            <w:tcW w:w="1161" w:type="dxa"/>
          </w:tcPr>
          <w:p w:rsidR="00786914" w:rsidRPr="00D62B55" w:rsidRDefault="00786914" w:rsidP="0006743B">
            <w:pPr>
              <w:pStyle w:val="TableText"/>
            </w:pPr>
            <w:r w:rsidRPr="00D62B55">
              <w:t>34</w:t>
            </w:r>
          </w:p>
        </w:tc>
        <w:tc>
          <w:tcPr>
            <w:tcW w:w="8161" w:type="dxa"/>
          </w:tcPr>
          <w:p w:rsidR="00786914" w:rsidRPr="00D62B55" w:rsidRDefault="00786914" w:rsidP="0006743B">
            <w:pPr>
              <w:pStyle w:val="TableText"/>
            </w:pPr>
            <w:r w:rsidRPr="00D62B55">
              <w:t>costs and cost analysis/</w:t>
            </w:r>
          </w:p>
        </w:tc>
      </w:tr>
      <w:tr w:rsidR="00786914" w:rsidRPr="004B5180" w:rsidTr="0006743B">
        <w:trPr>
          <w:trHeight w:val="307"/>
        </w:trPr>
        <w:tc>
          <w:tcPr>
            <w:tcW w:w="1161" w:type="dxa"/>
          </w:tcPr>
          <w:p w:rsidR="00786914" w:rsidRPr="00D62B55" w:rsidRDefault="00786914" w:rsidP="0006743B">
            <w:pPr>
              <w:pStyle w:val="TableText"/>
            </w:pPr>
            <w:r w:rsidRPr="00D62B55">
              <w:t>35</w:t>
            </w:r>
          </w:p>
        </w:tc>
        <w:tc>
          <w:tcPr>
            <w:tcW w:w="8161" w:type="dxa"/>
          </w:tcPr>
          <w:p w:rsidR="00786914" w:rsidRPr="00D62B55" w:rsidRDefault="00786914" w:rsidP="0006743B">
            <w:pPr>
              <w:pStyle w:val="TableText"/>
            </w:pPr>
            <w:r w:rsidRPr="00D62B55">
              <w:t>Cost allocation/</w:t>
            </w:r>
          </w:p>
        </w:tc>
      </w:tr>
      <w:tr w:rsidR="00786914" w:rsidRPr="004B5180" w:rsidTr="0006743B">
        <w:trPr>
          <w:trHeight w:val="307"/>
        </w:trPr>
        <w:tc>
          <w:tcPr>
            <w:tcW w:w="1161" w:type="dxa"/>
          </w:tcPr>
          <w:p w:rsidR="00786914" w:rsidRPr="00D62B55" w:rsidRDefault="00786914" w:rsidP="0006743B">
            <w:pPr>
              <w:pStyle w:val="TableText"/>
            </w:pPr>
            <w:r w:rsidRPr="00D62B55">
              <w:t>36</w:t>
            </w:r>
          </w:p>
        </w:tc>
        <w:tc>
          <w:tcPr>
            <w:tcW w:w="8161" w:type="dxa"/>
          </w:tcPr>
          <w:p w:rsidR="00786914" w:rsidRPr="00D62B55" w:rsidRDefault="00786914" w:rsidP="0006743B">
            <w:pPr>
              <w:pStyle w:val="TableText"/>
            </w:pPr>
            <w:r w:rsidRPr="00D62B55">
              <w:t>Cost-benefit analysis/</w:t>
            </w:r>
          </w:p>
        </w:tc>
      </w:tr>
      <w:tr w:rsidR="00786914" w:rsidRPr="004B5180" w:rsidTr="0006743B">
        <w:trPr>
          <w:trHeight w:val="307"/>
        </w:trPr>
        <w:tc>
          <w:tcPr>
            <w:tcW w:w="1161" w:type="dxa"/>
          </w:tcPr>
          <w:p w:rsidR="00786914" w:rsidRPr="00D62B55" w:rsidRDefault="00786914" w:rsidP="0006743B">
            <w:pPr>
              <w:pStyle w:val="TableText"/>
            </w:pPr>
            <w:r w:rsidRPr="00D62B55">
              <w:t>37</w:t>
            </w:r>
          </w:p>
        </w:tc>
        <w:tc>
          <w:tcPr>
            <w:tcW w:w="8161" w:type="dxa"/>
          </w:tcPr>
          <w:p w:rsidR="00786914" w:rsidRPr="00D62B55" w:rsidRDefault="00786914" w:rsidP="0006743B">
            <w:pPr>
              <w:pStyle w:val="TableText"/>
            </w:pPr>
            <w:r w:rsidRPr="00D62B55">
              <w:t>Cost control/</w:t>
            </w:r>
          </w:p>
        </w:tc>
      </w:tr>
      <w:tr w:rsidR="00786914" w:rsidRPr="004B5180" w:rsidTr="0006743B">
        <w:trPr>
          <w:trHeight w:val="307"/>
        </w:trPr>
        <w:tc>
          <w:tcPr>
            <w:tcW w:w="1161" w:type="dxa"/>
          </w:tcPr>
          <w:p w:rsidR="00786914" w:rsidRPr="00D62B55" w:rsidRDefault="00786914" w:rsidP="0006743B">
            <w:pPr>
              <w:pStyle w:val="TableText"/>
            </w:pPr>
            <w:r w:rsidRPr="00D62B55">
              <w:t>38</w:t>
            </w:r>
          </w:p>
        </w:tc>
        <w:tc>
          <w:tcPr>
            <w:tcW w:w="8161" w:type="dxa"/>
          </w:tcPr>
          <w:p w:rsidR="00786914" w:rsidRPr="00D62B55" w:rsidRDefault="00786914" w:rsidP="0006743B">
            <w:pPr>
              <w:pStyle w:val="TableText"/>
            </w:pPr>
            <w:r w:rsidRPr="00D62B55">
              <w:t>Cost savings/</w:t>
            </w:r>
          </w:p>
        </w:tc>
      </w:tr>
      <w:tr w:rsidR="00786914" w:rsidRPr="004B5180" w:rsidTr="0006743B">
        <w:trPr>
          <w:trHeight w:val="307"/>
        </w:trPr>
        <w:tc>
          <w:tcPr>
            <w:tcW w:w="1161" w:type="dxa"/>
          </w:tcPr>
          <w:p w:rsidR="00786914" w:rsidRPr="00D62B55" w:rsidRDefault="00786914" w:rsidP="0006743B">
            <w:pPr>
              <w:pStyle w:val="TableText"/>
            </w:pPr>
            <w:r w:rsidRPr="00D62B55">
              <w:t>39</w:t>
            </w:r>
          </w:p>
        </w:tc>
        <w:tc>
          <w:tcPr>
            <w:tcW w:w="8161" w:type="dxa"/>
          </w:tcPr>
          <w:p w:rsidR="00786914" w:rsidRPr="00D62B55" w:rsidRDefault="00786914" w:rsidP="0006743B">
            <w:pPr>
              <w:pStyle w:val="TableText"/>
            </w:pPr>
            <w:r w:rsidRPr="00D62B55">
              <w:t>Cost of illness/</w:t>
            </w:r>
          </w:p>
        </w:tc>
      </w:tr>
      <w:tr w:rsidR="00786914" w:rsidRPr="004B5180" w:rsidTr="0006743B">
        <w:trPr>
          <w:trHeight w:val="307"/>
        </w:trPr>
        <w:tc>
          <w:tcPr>
            <w:tcW w:w="1161" w:type="dxa"/>
          </w:tcPr>
          <w:p w:rsidR="00786914" w:rsidRPr="00D62B55" w:rsidRDefault="00786914" w:rsidP="0006743B">
            <w:pPr>
              <w:pStyle w:val="TableText"/>
            </w:pPr>
            <w:r w:rsidRPr="00D62B55">
              <w:t>40</w:t>
            </w:r>
          </w:p>
        </w:tc>
        <w:tc>
          <w:tcPr>
            <w:tcW w:w="8161" w:type="dxa"/>
          </w:tcPr>
          <w:p w:rsidR="00786914" w:rsidRPr="00D62B55" w:rsidRDefault="00786914" w:rsidP="0006743B">
            <w:pPr>
              <w:pStyle w:val="TableText"/>
            </w:pPr>
            <w:r w:rsidRPr="00D62B55">
              <w:t>Cost sharing/</w:t>
            </w:r>
          </w:p>
        </w:tc>
      </w:tr>
      <w:tr w:rsidR="00786914" w:rsidRPr="004B5180" w:rsidTr="0006743B">
        <w:trPr>
          <w:trHeight w:val="307"/>
        </w:trPr>
        <w:tc>
          <w:tcPr>
            <w:tcW w:w="1161" w:type="dxa"/>
          </w:tcPr>
          <w:p w:rsidR="00786914" w:rsidRPr="00D62B55" w:rsidRDefault="00786914" w:rsidP="0006743B">
            <w:pPr>
              <w:pStyle w:val="TableText"/>
            </w:pPr>
            <w:r w:rsidRPr="00D62B55">
              <w:t>41</w:t>
            </w:r>
          </w:p>
        </w:tc>
        <w:tc>
          <w:tcPr>
            <w:tcW w:w="8161" w:type="dxa"/>
          </w:tcPr>
          <w:p w:rsidR="00786914" w:rsidRPr="00D62B55" w:rsidRDefault="00786914" w:rsidP="0006743B">
            <w:pPr>
              <w:pStyle w:val="TableText"/>
            </w:pPr>
            <w:r w:rsidRPr="00D62B55">
              <w:t>deductibles and coinsurance/</w:t>
            </w:r>
          </w:p>
        </w:tc>
      </w:tr>
      <w:tr w:rsidR="00786914" w:rsidRPr="004B5180" w:rsidTr="0006743B">
        <w:trPr>
          <w:trHeight w:val="307"/>
        </w:trPr>
        <w:tc>
          <w:tcPr>
            <w:tcW w:w="1161" w:type="dxa"/>
          </w:tcPr>
          <w:p w:rsidR="00786914" w:rsidRPr="00D62B55" w:rsidRDefault="00786914" w:rsidP="0006743B">
            <w:pPr>
              <w:pStyle w:val="TableText"/>
            </w:pPr>
            <w:r w:rsidRPr="00D62B55">
              <w:t>42</w:t>
            </w:r>
          </w:p>
        </w:tc>
        <w:tc>
          <w:tcPr>
            <w:tcW w:w="8161" w:type="dxa"/>
          </w:tcPr>
          <w:p w:rsidR="00786914" w:rsidRPr="00D62B55" w:rsidRDefault="00786914" w:rsidP="0006743B">
            <w:pPr>
              <w:pStyle w:val="TableText"/>
            </w:pPr>
            <w:r w:rsidRPr="00D62B55">
              <w:t>Medical savings accounts/</w:t>
            </w:r>
          </w:p>
        </w:tc>
      </w:tr>
      <w:tr w:rsidR="00786914" w:rsidRPr="004B5180" w:rsidTr="0006743B">
        <w:trPr>
          <w:trHeight w:val="307"/>
        </w:trPr>
        <w:tc>
          <w:tcPr>
            <w:tcW w:w="1161" w:type="dxa"/>
          </w:tcPr>
          <w:p w:rsidR="00786914" w:rsidRPr="00D62B55" w:rsidRDefault="00786914" w:rsidP="0006743B">
            <w:pPr>
              <w:pStyle w:val="TableText"/>
            </w:pPr>
            <w:r w:rsidRPr="00D62B55">
              <w:t>43</w:t>
            </w:r>
          </w:p>
        </w:tc>
        <w:tc>
          <w:tcPr>
            <w:tcW w:w="8161" w:type="dxa"/>
          </w:tcPr>
          <w:p w:rsidR="00786914" w:rsidRPr="00D62B55" w:rsidRDefault="00786914" w:rsidP="0006743B">
            <w:pPr>
              <w:pStyle w:val="TableText"/>
            </w:pPr>
            <w:r w:rsidRPr="00D62B55">
              <w:t>Health care costs/</w:t>
            </w:r>
          </w:p>
        </w:tc>
      </w:tr>
      <w:tr w:rsidR="00786914" w:rsidRPr="004B5180" w:rsidTr="0006743B">
        <w:trPr>
          <w:trHeight w:val="307"/>
        </w:trPr>
        <w:tc>
          <w:tcPr>
            <w:tcW w:w="1161" w:type="dxa"/>
          </w:tcPr>
          <w:p w:rsidR="00786914" w:rsidRPr="00D62B55" w:rsidRDefault="00786914" w:rsidP="0006743B">
            <w:pPr>
              <w:pStyle w:val="TableText"/>
            </w:pPr>
            <w:r w:rsidRPr="00D62B55">
              <w:t>44</w:t>
            </w:r>
          </w:p>
        </w:tc>
        <w:tc>
          <w:tcPr>
            <w:tcW w:w="8161" w:type="dxa"/>
          </w:tcPr>
          <w:p w:rsidR="00786914" w:rsidRPr="00D62B55" w:rsidRDefault="00786914" w:rsidP="0006743B">
            <w:pPr>
              <w:pStyle w:val="TableText"/>
            </w:pPr>
            <w:r w:rsidRPr="00D62B55">
              <w:t>Direct service costs/</w:t>
            </w:r>
          </w:p>
        </w:tc>
      </w:tr>
      <w:tr w:rsidR="00786914" w:rsidRPr="004B5180" w:rsidTr="0006743B">
        <w:trPr>
          <w:trHeight w:val="307"/>
        </w:trPr>
        <w:tc>
          <w:tcPr>
            <w:tcW w:w="1161" w:type="dxa"/>
          </w:tcPr>
          <w:p w:rsidR="00786914" w:rsidRPr="00D62B55" w:rsidRDefault="00786914" w:rsidP="0006743B">
            <w:pPr>
              <w:pStyle w:val="TableText"/>
            </w:pPr>
            <w:r w:rsidRPr="00D62B55">
              <w:t>45</w:t>
            </w:r>
          </w:p>
        </w:tc>
        <w:tc>
          <w:tcPr>
            <w:tcW w:w="8161" w:type="dxa"/>
          </w:tcPr>
          <w:p w:rsidR="00786914" w:rsidRPr="00D62B55" w:rsidRDefault="00786914" w:rsidP="0006743B">
            <w:pPr>
              <w:pStyle w:val="TableText"/>
            </w:pPr>
            <w:r w:rsidRPr="00D62B55">
              <w:t>Drug costs/</w:t>
            </w:r>
          </w:p>
        </w:tc>
      </w:tr>
      <w:tr w:rsidR="00786914" w:rsidRPr="004B5180" w:rsidTr="0006743B">
        <w:trPr>
          <w:trHeight w:val="307"/>
        </w:trPr>
        <w:tc>
          <w:tcPr>
            <w:tcW w:w="1161" w:type="dxa"/>
          </w:tcPr>
          <w:p w:rsidR="00786914" w:rsidRPr="00D62B55" w:rsidRDefault="00786914" w:rsidP="0006743B">
            <w:pPr>
              <w:pStyle w:val="TableText"/>
            </w:pPr>
            <w:r w:rsidRPr="00D62B55">
              <w:t>46</w:t>
            </w:r>
          </w:p>
        </w:tc>
        <w:tc>
          <w:tcPr>
            <w:tcW w:w="8161" w:type="dxa"/>
          </w:tcPr>
          <w:p w:rsidR="00786914" w:rsidRPr="00D62B55" w:rsidRDefault="00786914" w:rsidP="0006743B">
            <w:pPr>
              <w:pStyle w:val="TableText"/>
            </w:pPr>
            <w:r w:rsidRPr="00D62B55">
              <w:t>Employer health costs/</w:t>
            </w:r>
          </w:p>
        </w:tc>
      </w:tr>
      <w:tr w:rsidR="00786914" w:rsidRPr="004B5180" w:rsidTr="0006743B">
        <w:trPr>
          <w:trHeight w:val="307"/>
        </w:trPr>
        <w:tc>
          <w:tcPr>
            <w:tcW w:w="1161" w:type="dxa"/>
          </w:tcPr>
          <w:p w:rsidR="00786914" w:rsidRPr="00D62B55" w:rsidRDefault="00786914" w:rsidP="0006743B">
            <w:pPr>
              <w:pStyle w:val="TableText"/>
            </w:pPr>
            <w:r w:rsidRPr="00D62B55">
              <w:lastRenderedPageBreak/>
              <w:t>47</w:t>
            </w:r>
          </w:p>
        </w:tc>
        <w:tc>
          <w:tcPr>
            <w:tcW w:w="8161" w:type="dxa"/>
          </w:tcPr>
          <w:p w:rsidR="00786914" w:rsidRPr="00D62B55" w:rsidRDefault="00786914" w:rsidP="0006743B">
            <w:pPr>
              <w:pStyle w:val="TableText"/>
            </w:pPr>
            <w:r w:rsidRPr="00D62B55">
              <w:t>Hospital costs/</w:t>
            </w:r>
          </w:p>
        </w:tc>
      </w:tr>
      <w:tr w:rsidR="00786914" w:rsidRPr="004B5180" w:rsidTr="0006743B">
        <w:trPr>
          <w:trHeight w:val="307"/>
        </w:trPr>
        <w:tc>
          <w:tcPr>
            <w:tcW w:w="1161" w:type="dxa"/>
          </w:tcPr>
          <w:p w:rsidR="00786914" w:rsidRPr="00D62B55" w:rsidRDefault="00786914" w:rsidP="0006743B">
            <w:pPr>
              <w:pStyle w:val="TableText"/>
            </w:pPr>
            <w:r w:rsidRPr="00D62B55">
              <w:t>48</w:t>
            </w:r>
          </w:p>
        </w:tc>
        <w:tc>
          <w:tcPr>
            <w:tcW w:w="8161" w:type="dxa"/>
          </w:tcPr>
          <w:p w:rsidR="00786914" w:rsidRPr="00D62B55" w:rsidRDefault="00786914" w:rsidP="0006743B">
            <w:pPr>
              <w:pStyle w:val="TableText"/>
            </w:pPr>
            <w:r w:rsidRPr="00D62B55">
              <w:t>Health expenditures/</w:t>
            </w:r>
          </w:p>
        </w:tc>
      </w:tr>
      <w:tr w:rsidR="00786914" w:rsidRPr="004B5180" w:rsidTr="0006743B">
        <w:trPr>
          <w:trHeight w:val="307"/>
        </w:trPr>
        <w:tc>
          <w:tcPr>
            <w:tcW w:w="1161" w:type="dxa"/>
          </w:tcPr>
          <w:p w:rsidR="00786914" w:rsidRPr="00D62B55" w:rsidRDefault="00786914" w:rsidP="0006743B">
            <w:pPr>
              <w:pStyle w:val="TableText"/>
            </w:pPr>
            <w:r w:rsidRPr="00D62B55">
              <w:t>49</w:t>
            </w:r>
          </w:p>
        </w:tc>
        <w:tc>
          <w:tcPr>
            <w:tcW w:w="8161" w:type="dxa"/>
          </w:tcPr>
          <w:p w:rsidR="00786914" w:rsidRPr="00D62B55" w:rsidRDefault="00786914" w:rsidP="0006743B">
            <w:pPr>
              <w:pStyle w:val="TableText"/>
            </w:pPr>
            <w:r w:rsidRPr="00D62B55">
              <w:t>Capital expenditures/</w:t>
            </w:r>
          </w:p>
        </w:tc>
      </w:tr>
      <w:tr w:rsidR="00786914" w:rsidRPr="004B5180" w:rsidTr="0006743B">
        <w:trPr>
          <w:trHeight w:val="307"/>
        </w:trPr>
        <w:tc>
          <w:tcPr>
            <w:tcW w:w="1161" w:type="dxa"/>
          </w:tcPr>
          <w:p w:rsidR="00786914" w:rsidRPr="00D62B55" w:rsidRDefault="00786914" w:rsidP="0006743B">
            <w:pPr>
              <w:pStyle w:val="TableText"/>
            </w:pPr>
            <w:r w:rsidRPr="00D62B55">
              <w:t>50</w:t>
            </w:r>
          </w:p>
        </w:tc>
        <w:tc>
          <w:tcPr>
            <w:tcW w:w="8161" w:type="dxa"/>
          </w:tcPr>
          <w:p w:rsidR="00786914" w:rsidRPr="00D62B55" w:rsidRDefault="00786914" w:rsidP="0006743B">
            <w:pPr>
              <w:pStyle w:val="TableText"/>
            </w:pPr>
            <w:r w:rsidRPr="00D62B55">
              <w:t>Value of life/</w:t>
            </w:r>
          </w:p>
        </w:tc>
      </w:tr>
      <w:tr w:rsidR="00786914" w:rsidRPr="004B5180" w:rsidTr="0006743B">
        <w:trPr>
          <w:trHeight w:val="307"/>
        </w:trPr>
        <w:tc>
          <w:tcPr>
            <w:tcW w:w="1161" w:type="dxa"/>
          </w:tcPr>
          <w:p w:rsidR="00786914" w:rsidRPr="00D62B55" w:rsidRDefault="00786914" w:rsidP="0006743B">
            <w:pPr>
              <w:pStyle w:val="TableText"/>
            </w:pPr>
            <w:r w:rsidRPr="00D62B55">
              <w:t>51</w:t>
            </w:r>
          </w:p>
        </w:tc>
        <w:tc>
          <w:tcPr>
            <w:tcW w:w="8161" w:type="dxa"/>
          </w:tcPr>
          <w:p w:rsidR="00786914" w:rsidRPr="00D62B55" w:rsidRDefault="00786914" w:rsidP="0006743B">
            <w:pPr>
              <w:pStyle w:val="TableText"/>
            </w:pPr>
            <w:r w:rsidRPr="00D62B55">
              <w:t>Exp economics, hospital/</w:t>
            </w:r>
          </w:p>
        </w:tc>
      </w:tr>
      <w:tr w:rsidR="00786914" w:rsidRPr="004B5180" w:rsidTr="0006743B">
        <w:trPr>
          <w:trHeight w:val="307"/>
        </w:trPr>
        <w:tc>
          <w:tcPr>
            <w:tcW w:w="1161" w:type="dxa"/>
          </w:tcPr>
          <w:p w:rsidR="00786914" w:rsidRPr="00D62B55" w:rsidRDefault="00786914" w:rsidP="0006743B">
            <w:pPr>
              <w:pStyle w:val="TableText"/>
            </w:pPr>
            <w:r w:rsidRPr="00D62B55">
              <w:t>52</w:t>
            </w:r>
          </w:p>
        </w:tc>
        <w:tc>
          <w:tcPr>
            <w:tcW w:w="8161" w:type="dxa"/>
          </w:tcPr>
          <w:p w:rsidR="00786914" w:rsidRPr="00D62B55" w:rsidRDefault="00786914" w:rsidP="0006743B">
            <w:pPr>
              <w:pStyle w:val="TableText"/>
            </w:pPr>
            <w:r w:rsidRPr="00D62B55">
              <w:t>Exp economics, medical/</w:t>
            </w:r>
          </w:p>
        </w:tc>
      </w:tr>
      <w:tr w:rsidR="00786914" w:rsidRPr="004B5180" w:rsidTr="0006743B">
        <w:trPr>
          <w:trHeight w:val="307"/>
        </w:trPr>
        <w:tc>
          <w:tcPr>
            <w:tcW w:w="1161" w:type="dxa"/>
          </w:tcPr>
          <w:p w:rsidR="00786914" w:rsidRPr="00D62B55" w:rsidRDefault="00786914" w:rsidP="0006743B">
            <w:pPr>
              <w:pStyle w:val="TableText"/>
            </w:pPr>
            <w:r w:rsidRPr="00D62B55">
              <w:t>53</w:t>
            </w:r>
          </w:p>
        </w:tc>
        <w:tc>
          <w:tcPr>
            <w:tcW w:w="8161" w:type="dxa"/>
          </w:tcPr>
          <w:p w:rsidR="00786914" w:rsidRPr="00D62B55" w:rsidRDefault="00786914" w:rsidP="0006743B">
            <w:pPr>
              <w:pStyle w:val="TableText"/>
            </w:pPr>
            <w:r w:rsidRPr="00D62B55">
              <w:t>Economics, nursing/</w:t>
            </w:r>
          </w:p>
        </w:tc>
      </w:tr>
      <w:tr w:rsidR="00786914" w:rsidRPr="004B5180" w:rsidTr="0006743B">
        <w:trPr>
          <w:trHeight w:val="307"/>
        </w:trPr>
        <w:tc>
          <w:tcPr>
            <w:tcW w:w="1161" w:type="dxa"/>
          </w:tcPr>
          <w:p w:rsidR="00786914" w:rsidRPr="00D62B55" w:rsidRDefault="00786914" w:rsidP="0006743B">
            <w:pPr>
              <w:pStyle w:val="TableText"/>
            </w:pPr>
            <w:r w:rsidRPr="00D62B55">
              <w:t>54</w:t>
            </w:r>
          </w:p>
        </w:tc>
        <w:tc>
          <w:tcPr>
            <w:tcW w:w="8161" w:type="dxa"/>
          </w:tcPr>
          <w:p w:rsidR="00786914" w:rsidRPr="00D62B55" w:rsidRDefault="00786914" w:rsidP="0006743B">
            <w:pPr>
              <w:pStyle w:val="TableText"/>
            </w:pPr>
            <w:r w:rsidRPr="00D62B55">
              <w:t>Economics, pharmaceutical/</w:t>
            </w:r>
          </w:p>
        </w:tc>
      </w:tr>
      <w:tr w:rsidR="00786914" w:rsidRPr="004B5180" w:rsidTr="0006743B">
        <w:trPr>
          <w:trHeight w:val="307"/>
        </w:trPr>
        <w:tc>
          <w:tcPr>
            <w:tcW w:w="1161" w:type="dxa"/>
          </w:tcPr>
          <w:p w:rsidR="00786914" w:rsidRPr="00D62B55" w:rsidRDefault="00786914" w:rsidP="0006743B">
            <w:pPr>
              <w:pStyle w:val="TableText"/>
            </w:pPr>
            <w:r w:rsidRPr="00D62B55">
              <w:t>55</w:t>
            </w:r>
          </w:p>
        </w:tc>
        <w:tc>
          <w:tcPr>
            <w:tcW w:w="8161" w:type="dxa"/>
          </w:tcPr>
          <w:p w:rsidR="00786914" w:rsidRPr="00D62B55" w:rsidRDefault="00786914" w:rsidP="0006743B">
            <w:pPr>
              <w:pStyle w:val="TableText"/>
            </w:pPr>
            <w:r w:rsidRPr="00D62B55">
              <w:t>Exp fees/</w:t>
            </w:r>
          </w:p>
        </w:tc>
      </w:tr>
      <w:tr w:rsidR="00786914" w:rsidRPr="004B5180" w:rsidTr="0006743B">
        <w:trPr>
          <w:trHeight w:val="307"/>
        </w:trPr>
        <w:tc>
          <w:tcPr>
            <w:tcW w:w="1161" w:type="dxa"/>
          </w:tcPr>
          <w:p w:rsidR="00786914" w:rsidRPr="00D62B55" w:rsidRDefault="00786914" w:rsidP="0006743B">
            <w:pPr>
              <w:pStyle w:val="TableText"/>
            </w:pPr>
            <w:r w:rsidRPr="00D62B55">
              <w:t>56</w:t>
            </w:r>
          </w:p>
        </w:tc>
        <w:tc>
          <w:tcPr>
            <w:tcW w:w="8161" w:type="dxa"/>
          </w:tcPr>
          <w:p w:rsidR="00786914" w:rsidRPr="00D62B55" w:rsidRDefault="00786914" w:rsidP="0006743B">
            <w:pPr>
              <w:pStyle w:val="TableText"/>
            </w:pPr>
            <w:r w:rsidRPr="00D62B55">
              <w:t>Exp charges/</w:t>
            </w:r>
          </w:p>
        </w:tc>
      </w:tr>
      <w:tr w:rsidR="00786914" w:rsidRPr="004B5180" w:rsidTr="0006743B">
        <w:trPr>
          <w:trHeight w:val="307"/>
        </w:trPr>
        <w:tc>
          <w:tcPr>
            <w:tcW w:w="1161" w:type="dxa"/>
          </w:tcPr>
          <w:p w:rsidR="00786914" w:rsidRPr="00D62B55" w:rsidRDefault="00786914" w:rsidP="0006743B">
            <w:pPr>
              <w:pStyle w:val="TableText"/>
            </w:pPr>
            <w:r w:rsidRPr="00D62B55">
              <w:t>57</w:t>
            </w:r>
          </w:p>
        </w:tc>
        <w:tc>
          <w:tcPr>
            <w:tcW w:w="8161" w:type="dxa"/>
          </w:tcPr>
          <w:p w:rsidR="00786914" w:rsidRPr="00D62B55" w:rsidRDefault="00786914" w:rsidP="0006743B">
            <w:pPr>
              <w:pStyle w:val="TableText"/>
            </w:pPr>
            <w:r w:rsidRPr="00D62B55">
              <w:t>55 and 56</w:t>
            </w:r>
          </w:p>
        </w:tc>
      </w:tr>
      <w:tr w:rsidR="00786914" w:rsidRPr="004B5180" w:rsidTr="0006743B">
        <w:trPr>
          <w:trHeight w:val="307"/>
        </w:trPr>
        <w:tc>
          <w:tcPr>
            <w:tcW w:w="1161" w:type="dxa"/>
          </w:tcPr>
          <w:p w:rsidR="00786914" w:rsidRPr="00D62B55" w:rsidRDefault="00786914" w:rsidP="0006743B">
            <w:pPr>
              <w:pStyle w:val="TableText"/>
            </w:pPr>
            <w:r w:rsidRPr="00D62B55">
              <w:t>58</w:t>
            </w:r>
          </w:p>
        </w:tc>
        <w:tc>
          <w:tcPr>
            <w:tcW w:w="8161" w:type="dxa"/>
          </w:tcPr>
          <w:p w:rsidR="00786914" w:rsidRPr="00D62B55" w:rsidRDefault="00786914" w:rsidP="0006743B">
            <w:pPr>
              <w:pStyle w:val="TableText"/>
            </w:pPr>
            <w:r w:rsidRPr="00D62B55">
              <w:t>Exp budgets/</w:t>
            </w:r>
          </w:p>
        </w:tc>
      </w:tr>
      <w:tr w:rsidR="00786914" w:rsidRPr="004B5180" w:rsidTr="0006743B">
        <w:trPr>
          <w:trHeight w:val="307"/>
        </w:trPr>
        <w:tc>
          <w:tcPr>
            <w:tcW w:w="1161" w:type="dxa"/>
          </w:tcPr>
          <w:p w:rsidR="00786914" w:rsidRPr="00D62B55" w:rsidRDefault="00786914" w:rsidP="0006743B">
            <w:pPr>
              <w:pStyle w:val="TableText"/>
            </w:pPr>
            <w:r w:rsidRPr="00D62B55">
              <w:t>59</w:t>
            </w:r>
          </w:p>
        </w:tc>
        <w:tc>
          <w:tcPr>
            <w:tcW w:w="8161" w:type="dxa"/>
          </w:tcPr>
          <w:p w:rsidR="00786914" w:rsidRPr="00D62B55" w:rsidRDefault="00786914" w:rsidP="0006743B">
            <w:pPr>
              <w:pStyle w:val="TableText"/>
            </w:pPr>
            <w:r w:rsidRPr="00D62B55">
              <w:t>(low adj cost).mp</w:t>
            </w:r>
          </w:p>
        </w:tc>
      </w:tr>
      <w:tr w:rsidR="00786914" w:rsidRPr="004B5180" w:rsidTr="0006743B">
        <w:trPr>
          <w:trHeight w:val="307"/>
        </w:trPr>
        <w:tc>
          <w:tcPr>
            <w:tcW w:w="1161" w:type="dxa"/>
          </w:tcPr>
          <w:p w:rsidR="00786914" w:rsidRPr="00D62B55" w:rsidRDefault="00786914" w:rsidP="0006743B">
            <w:pPr>
              <w:pStyle w:val="TableText"/>
            </w:pPr>
            <w:r w:rsidRPr="00D62B55">
              <w:t>60</w:t>
            </w:r>
          </w:p>
        </w:tc>
        <w:tc>
          <w:tcPr>
            <w:tcW w:w="8161" w:type="dxa"/>
          </w:tcPr>
          <w:p w:rsidR="00786914" w:rsidRPr="00D62B55" w:rsidRDefault="00786914" w:rsidP="0006743B">
            <w:pPr>
              <w:pStyle w:val="TableText"/>
            </w:pPr>
            <w:r w:rsidRPr="00D62B55">
              <w:t>(high adj cost).mp</w:t>
            </w:r>
          </w:p>
        </w:tc>
      </w:tr>
      <w:tr w:rsidR="00786914" w:rsidRPr="004B5180" w:rsidTr="0006743B">
        <w:trPr>
          <w:trHeight w:val="307"/>
        </w:trPr>
        <w:tc>
          <w:tcPr>
            <w:tcW w:w="1161" w:type="dxa"/>
          </w:tcPr>
          <w:p w:rsidR="00786914" w:rsidRPr="00D62B55" w:rsidRDefault="00786914" w:rsidP="0006743B">
            <w:pPr>
              <w:pStyle w:val="TableText"/>
            </w:pPr>
            <w:r w:rsidRPr="00D62B55">
              <w:t>61</w:t>
            </w:r>
          </w:p>
        </w:tc>
        <w:tc>
          <w:tcPr>
            <w:tcW w:w="8161" w:type="dxa"/>
          </w:tcPr>
          <w:p w:rsidR="00786914" w:rsidRPr="00D62B55" w:rsidRDefault="00786914" w:rsidP="0006743B">
            <w:pPr>
              <w:pStyle w:val="TableText"/>
            </w:pPr>
            <w:r w:rsidRPr="00D62B55">
              <w:t>(health?careadj cost$).mp</w:t>
            </w:r>
          </w:p>
        </w:tc>
      </w:tr>
      <w:tr w:rsidR="00786914" w:rsidRPr="004B5180" w:rsidTr="0006743B">
        <w:trPr>
          <w:trHeight w:val="307"/>
        </w:trPr>
        <w:tc>
          <w:tcPr>
            <w:tcW w:w="1161" w:type="dxa"/>
          </w:tcPr>
          <w:p w:rsidR="00786914" w:rsidRPr="00D62B55" w:rsidRDefault="00786914" w:rsidP="0006743B">
            <w:pPr>
              <w:pStyle w:val="TableText"/>
            </w:pPr>
            <w:r w:rsidRPr="00D62B55">
              <w:t>62</w:t>
            </w:r>
          </w:p>
        </w:tc>
        <w:tc>
          <w:tcPr>
            <w:tcW w:w="8161" w:type="dxa"/>
          </w:tcPr>
          <w:p w:rsidR="00786914" w:rsidRPr="00D62B55" w:rsidRDefault="00786914" w:rsidP="0006743B">
            <w:pPr>
              <w:pStyle w:val="TableText"/>
            </w:pPr>
            <w:r w:rsidRPr="00D62B55">
              <w:t>(fiscal or funding or financial or finance).tw</w:t>
            </w:r>
          </w:p>
        </w:tc>
      </w:tr>
      <w:tr w:rsidR="00786914" w:rsidRPr="004B5180" w:rsidTr="0006743B">
        <w:trPr>
          <w:trHeight w:val="307"/>
        </w:trPr>
        <w:tc>
          <w:tcPr>
            <w:tcW w:w="1161" w:type="dxa"/>
          </w:tcPr>
          <w:p w:rsidR="00786914" w:rsidRPr="00D62B55" w:rsidRDefault="00786914" w:rsidP="0006743B">
            <w:pPr>
              <w:pStyle w:val="TableText"/>
            </w:pPr>
            <w:r w:rsidRPr="00D62B55">
              <w:t>63</w:t>
            </w:r>
          </w:p>
        </w:tc>
        <w:tc>
          <w:tcPr>
            <w:tcW w:w="8161" w:type="dxa"/>
          </w:tcPr>
          <w:p w:rsidR="00786914" w:rsidRPr="00D62B55" w:rsidRDefault="00786914" w:rsidP="0006743B">
            <w:pPr>
              <w:pStyle w:val="TableText"/>
            </w:pPr>
            <w:r w:rsidRPr="00D62B55">
              <w:t>(cost adj estimate$).mp</w:t>
            </w:r>
          </w:p>
        </w:tc>
      </w:tr>
      <w:tr w:rsidR="00786914" w:rsidRPr="004B5180" w:rsidTr="0006743B">
        <w:trPr>
          <w:trHeight w:val="307"/>
        </w:trPr>
        <w:tc>
          <w:tcPr>
            <w:tcW w:w="1161" w:type="dxa"/>
          </w:tcPr>
          <w:p w:rsidR="00786914" w:rsidRPr="00D62B55" w:rsidRDefault="00786914" w:rsidP="0006743B">
            <w:pPr>
              <w:pStyle w:val="TableText"/>
            </w:pPr>
            <w:r w:rsidRPr="00D62B55">
              <w:t>64</w:t>
            </w:r>
          </w:p>
        </w:tc>
        <w:tc>
          <w:tcPr>
            <w:tcW w:w="8161" w:type="dxa"/>
          </w:tcPr>
          <w:p w:rsidR="00786914" w:rsidRPr="00D62B55" w:rsidRDefault="00786914" w:rsidP="0006743B">
            <w:pPr>
              <w:pStyle w:val="TableText"/>
            </w:pPr>
            <w:r w:rsidRPr="00D62B55">
              <w:t>(cost adj variable).mp</w:t>
            </w:r>
          </w:p>
        </w:tc>
      </w:tr>
      <w:tr w:rsidR="00786914" w:rsidRPr="004B5180" w:rsidTr="0006743B">
        <w:trPr>
          <w:trHeight w:val="307"/>
        </w:trPr>
        <w:tc>
          <w:tcPr>
            <w:tcW w:w="1161" w:type="dxa"/>
          </w:tcPr>
          <w:p w:rsidR="00786914" w:rsidRPr="00D62B55" w:rsidRDefault="00786914" w:rsidP="0006743B">
            <w:pPr>
              <w:pStyle w:val="TableText"/>
            </w:pPr>
            <w:r w:rsidRPr="00D62B55">
              <w:t>65</w:t>
            </w:r>
          </w:p>
        </w:tc>
        <w:tc>
          <w:tcPr>
            <w:tcW w:w="8161" w:type="dxa"/>
          </w:tcPr>
          <w:p w:rsidR="00786914" w:rsidRPr="00D62B55" w:rsidRDefault="00786914" w:rsidP="0006743B">
            <w:pPr>
              <w:pStyle w:val="TableText"/>
            </w:pPr>
            <w:r w:rsidRPr="00D62B55">
              <w:t>(unit adj cost$).mp</w:t>
            </w:r>
          </w:p>
        </w:tc>
      </w:tr>
      <w:tr w:rsidR="00786914" w:rsidRPr="004B5180" w:rsidTr="0006743B">
        <w:trPr>
          <w:trHeight w:val="307"/>
        </w:trPr>
        <w:tc>
          <w:tcPr>
            <w:tcW w:w="1161" w:type="dxa"/>
          </w:tcPr>
          <w:p w:rsidR="00786914" w:rsidRPr="00D62B55" w:rsidRDefault="00786914" w:rsidP="0006743B">
            <w:pPr>
              <w:pStyle w:val="TableText"/>
            </w:pPr>
            <w:r w:rsidRPr="00D62B55">
              <w:t>66</w:t>
            </w:r>
          </w:p>
        </w:tc>
        <w:tc>
          <w:tcPr>
            <w:tcW w:w="8161" w:type="dxa"/>
          </w:tcPr>
          <w:p w:rsidR="00786914" w:rsidRPr="00D62B55" w:rsidRDefault="00786914" w:rsidP="0006743B">
            <w:pPr>
              <w:pStyle w:val="TableText"/>
            </w:pPr>
            <w:r w:rsidRPr="00D62B55">
              <w:t>(economic$ or pharmacoeconomic$ or price$ or pricing).tw</w:t>
            </w:r>
          </w:p>
        </w:tc>
      </w:tr>
      <w:tr w:rsidR="00786914" w:rsidRPr="004B5180" w:rsidTr="0006743B">
        <w:trPr>
          <w:trHeight w:val="307"/>
        </w:trPr>
        <w:tc>
          <w:tcPr>
            <w:tcW w:w="1161" w:type="dxa"/>
          </w:tcPr>
          <w:p w:rsidR="00786914" w:rsidRPr="00D62B55" w:rsidRDefault="00786914" w:rsidP="0006743B">
            <w:pPr>
              <w:pStyle w:val="TableText"/>
            </w:pPr>
            <w:r w:rsidRPr="00D62B55">
              <w:t>67</w:t>
            </w:r>
          </w:p>
        </w:tc>
        <w:tc>
          <w:tcPr>
            <w:tcW w:w="8161" w:type="dxa"/>
          </w:tcPr>
          <w:p w:rsidR="00786914" w:rsidRPr="00D62B55" w:rsidRDefault="00786914" w:rsidP="0006743B">
            <w:pPr>
              <w:pStyle w:val="TableText"/>
            </w:pPr>
            <w:r w:rsidRPr="00D62B55">
              <w:t>33 or 34 or 35 or 36 or 37 or 38 or 39 or 40 or 41 or 42 or 43 or 44 or 45 or 46 or 47 or 48 or 49 or 50 or 51 or 52 or 53 or 54 or 55 or 56 or 57 or 58 or 59 or 60 or 61 or 62 or 63 or 64 or 65 or 66</w:t>
            </w:r>
          </w:p>
        </w:tc>
      </w:tr>
      <w:tr w:rsidR="00786914" w:rsidRPr="004B5180" w:rsidTr="0006743B">
        <w:trPr>
          <w:trHeight w:val="307"/>
        </w:trPr>
        <w:tc>
          <w:tcPr>
            <w:tcW w:w="1161" w:type="dxa"/>
          </w:tcPr>
          <w:p w:rsidR="00786914" w:rsidRPr="00D62B55" w:rsidRDefault="00786914" w:rsidP="0006743B">
            <w:pPr>
              <w:pStyle w:val="TableText"/>
            </w:pPr>
            <w:r w:rsidRPr="00D62B55">
              <w:t>68</w:t>
            </w:r>
          </w:p>
        </w:tc>
        <w:tc>
          <w:tcPr>
            <w:tcW w:w="8161" w:type="dxa"/>
          </w:tcPr>
          <w:p w:rsidR="00786914" w:rsidRPr="00D62B55" w:rsidRDefault="00786914" w:rsidP="0006743B">
            <w:pPr>
              <w:pStyle w:val="TableText"/>
            </w:pPr>
            <w:r w:rsidRPr="00D62B55">
              <w:t>67 and 13</w:t>
            </w:r>
          </w:p>
        </w:tc>
      </w:tr>
      <w:tr w:rsidR="00786914" w:rsidRPr="004B5180" w:rsidTr="0006743B">
        <w:trPr>
          <w:trHeight w:val="307"/>
        </w:trPr>
        <w:tc>
          <w:tcPr>
            <w:tcW w:w="1161" w:type="dxa"/>
          </w:tcPr>
          <w:p w:rsidR="00786914" w:rsidRPr="00D62B55" w:rsidRDefault="00786914" w:rsidP="0006743B">
            <w:pPr>
              <w:pStyle w:val="TableText"/>
            </w:pPr>
            <w:r w:rsidRPr="00D62B55">
              <w:t>69</w:t>
            </w:r>
          </w:p>
        </w:tc>
        <w:tc>
          <w:tcPr>
            <w:tcW w:w="8161" w:type="dxa"/>
          </w:tcPr>
          <w:p w:rsidR="00786914" w:rsidRPr="00D62B55" w:rsidRDefault="00786914" w:rsidP="0006743B">
            <w:pPr>
              <w:pStyle w:val="TableText"/>
            </w:pPr>
            <w:r w:rsidRPr="00D62B55">
              <w:rPr>
                <w:color w:val="0A0905"/>
              </w:rPr>
              <w:t>limit 66 to yr="2006 - 2012"</w:t>
            </w:r>
          </w:p>
        </w:tc>
      </w:tr>
      <w:tr w:rsidR="00786914" w:rsidRPr="004B5180" w:rsidTr="0006743B">
        <w:trPr>
          <w:trHeight w:val="307"/>
        </w:trPr>
        <w:tc>
          <w:tcPr>
            <w:tcW w:w="1161" w:type="dxa"/>
          </w:tcPr>
          <w:p w:rsidR="00786914" w:rsidRPr="00D62B55" w:rsidRDefault="00786914" w:rsidP="0006743B">
            <w:pPr>
              <w:pStyle w:val="TableText"/>
            </w:pPr>
            <w:r w:rsidRPr="00D62B55">
              <w:t>70</w:t>
            </w:r>
          </w:p>
        </w:tc>
        <w:tc>
          <w:tcPr>
            <w:tcW w:w="8161" w:type="dxa"/>
          </w:tcPr>
          <w:p w:rsidR="00786914" w:rsidRPr="00D62B55" w:rsidRDefault="00786914" w:rsidP="0006743B">
            <w:pPr>
              <w:pStyle w:val="TableText"/>
            </w:pPr>
            <w:r w:rsidRPr="00D62B55">
              <w:t>24 or 32 or 69</w:t>
            </w:r>
          </w:p>
        </w:tc>
      </w:tr>
    </w:tbl>
    <w:p w:rsidR="00786914" w:rsidRDefault="00786914">
      <w:pPr>
        <w:spacing w:after="0"/>
        <w:ind w:left="0"/>
        <w:rPr>
          <w:rFonts w:ascii="Tahoma" w:hAnsi="Tahoma"/>
          <w:b/>
          <w:sz w:val="28"/>
        </w:rPr>
      </w:pPr>
      <w:bookmarkStart w:id="399" w:name="_Toc323642308"/>
      <w:r>
        <w:br w:type="page"/>
      </w:r>
    </w:p>
    <w:p w:rsidR="00786914" w:rsidRPr="00611E0E" w:rsidRDefault="00786914" w:rsidP="0006743B">
      <w:pPr>
        <w:pStyle w:val="Normalbold"/>
      </w:pPr>
      <w:bookmarkStart w:id="400" w:name="_Toc327877932"/>
      <w:r w:rsidRPr="00611E0E">
        <w:lastRenderedPageBreak/>
        <w:t>HTA agencies’ websites searched</w:t>
      </w:r>
      <w:bookmarkEnd w:id="399"/>
      <w:bookmarkEnd w:id="400"/>
    </w:p>
    <w:tbl>
      <w:tblPr>
        <w:tblStyle w:val="TableGrid"/>
        <w:tblW w:w="9308" w:type="dxa"/>
        <w:tblInd w:w="208" w:type="dxa"/>
        <w:tblLook w:val="04A0" w:firstRow="1" w:lastRow="0" w:firstColumn="1" w:lastColumn="0" w:noHBand="0" w:noVBand="1"/>
        <w:tblCaption w:val="Table 16: Health Technology Assessment Agency Websites"/>
        <w:tblDescription w:val="Table 16: Health Technology Assessment Agency Websites"/>
      </w:tblPr>
      <w:tblGrid>
        <w:gridCol w:w="3093"/>
        <w:gridCol w:w="6215"/>
      </w:tblGrid>
      <w:tr w:rsidR="001C0B02" w:rsidTr="001C0B02">
        <w:trPr>
          <w:tblHeader/>
        </w:trPr>
        <w:tc>
          <w:tcPr>
            <w:tcW w:w="3093" w:type="dxa"/>
          </w:tcPr>
          <w:p w:rsidR="001C0B02" w:rsidRDefault="001C0B02" w:rsidP="001C0B02">
            <w:r>
              <w:rPr>
                <w:spacing w:val="-1"/>
              </w:rPr>
              <w:t>A</w:t>
            </w:r>
            <w:r>
              <w:t>u</w:t>
            </w:r>
            <w:r>
              <w:rPr>
                <w:spacing w:val="1"/>
              </w:rPr>
              <w:t>s</w:t>
            </w:r>
            <w:r>
              <w:t>tra</w:t>
            </w:r>
            <w:r>
              <w:rPr>
                <w:spacing w:val="1"/>
              </w:rPr>
              <w:t>l</w:t>
            </w:r>
            <w:r>
              <w:rPr>
                <w:spacing w:val="-2"/>
              </w:rPr>
              <w:t>i</w:t>
            </w:r>
            <w:r>
              <w:t xml:space="preserve">an </w:t>
            </w:r>
            <w:r>
              <w:rPr>
                <w:spacing w:val="-1"/>
              </w:rPr>
              <w:t>S</w:t>
            </w:r>
            <w:r>
              <w:t>afe</w:t>
            </w:r>
            <w:r>
              <w:rPr>
                <w:spacing w:val="-2"/>
              </w:rPr>
              <w:t>t</w:t>
            </w:r>
            <w:r>
              <w:t>y</w:t>
            </w:r>
            <w:r>
              <w:rPr>
                <w:spacing w:val="1"/>
              </w:rPr>
              <w:t xml:space="preserve"> </w:t>
            </w:r>
            <w:r>
              <w:t xml:space="preserve">and </w:t>
            </w:r>
            <w:r>
              <w:rPr>
                <w:spacing w:val="-1"/>
              </w:rPr>
              <w:t>E</w:t>
            </w:r>
            <w:r>
              <w:t>f</w:t>
            </w:r>
            <w:r>
              <w:rPr>
                <w:spacing w:val="-2"/>
              </w:rPr>
              <w:t>f</w:t>
            </w:r>
            <w:r>
              <w:rPr>
                <w:spacing w:val="1"/>
              </w:rPr>
              <w:t>ic</w:t>
            </w:r>
            <w:r>
              <w:rPr>
                <w:spacing w:val="-2"/>
              </w:rPr>
              <w:t>a</w:t>
            </w:r>
            <w:r>
              <w:rPr>
                <w:spacing w:val="1"/>
              </w:rPr>
              <w:t>c</w:t>
            </w:r>
            <w:r>
              <w:t>y</w:t>
            </w:r>
            <w:r>
              <w:rPr>
                <w:spacing w:val="-2"/>
              </w:rPr>
              <w:t xml:space="preserve"> </w:t>
            </w:r>
            <w:r>
              <w:rPr>
                <w:spacing w:val="-1"/>
              </w:rPr>
              <w:t>R</w:t>
            </w:r>
            <w:r>
              <w:t>eg</w:t>
            </w:r>
            <w:r>
              <w:rPr>
                <w:spacing w:val="1"/>
              </w:rPr>
              <w:t>is</w:t>
            </w:r>
            <w:r>
              <w:t>ter of</w:t>
            </w:r>
            <w:r>
              <w:rPr>
                <w:spacing w:val="-2"/>
              </w:rPr>
              <w:t xml:space="preserve"> </w:t>
            </w:r>
            <w:r>
              <w:rPr>
                <w:spacing w:val="-1"/>
              </w:rPr>
              <w:t>N</w:t>
            </w:r>
            <w:r>
              <w:t>ew Inter</w:t>
            </w:r>
            <w:r>
              <w:rPr>
                <w:spacing w:val="1"/>
              </w:rPr>
              <w:t>v</w:t>
            </w:r>
            <w:r>
              <w:t>en</w:t>
            </w:r>
            <w:r>
              <w:rPr>
                <w:spacing w:val="-2"/>
              </w:rPr>
              <w:t>t</w:t>
            </w:r>
            <w:r>
              <w:rPr>
                <w:spacing w:val="1"/>
              </w:rPr>
              <w:t>i</w:t>
            </w:r>
            <w:r>
              <w:t>on</w:t>
            </w:r>
            <w:r>
              <w:rPr>
                <w:spacing w:val="-2"/>
              </w:rPr>
              <w:t>a</w:t>
            </w:r>
            <w:r>
              <w:t>l</w:t>
            </w:r>
            <w:r>
              <w:rPr>
                <w:spacing w:val="1"/>
              </w:rPr>
              <w:t xml:space="preserve"> </w:t>
            </w:r>
            <w:r>
              <w:rPr>
                <w:spacing w:val="-1"/>
              </w:rPr>
              <w:t>P</w:t>
            </w:r>
            <w:r>
              <w:t>ro</w:t>
            </w:r>
            <w:r>
              <w:rPr>
                <w:spacing w:val="1"/>
              </w:rPr>
              <w:t>c</w:t>
            </w:r>
            <w:r>
              <w:rPr>
                <w:spacing w:val="-2"/>
              </w:rPr>
              <w:t>e</w:t>
            </w:r>
            <w:r>
              <w:t>dures</w:t>
            </w:r>
            <w:r>
              <w:rPr>
                <w:spacing w:val="-1"/>
              </w:rPr>
              <w:t xml:space="preserve"> </w:t>
            </w:r>
            <w:r>
              <w:t xml:space="preserve">– </w:t>
            </w:r>
            <w:r>
              <w:rPr>
                <w:spacing w:val="-3"/>
              </w:rPr>
              <w:t>S</w:t>
            </w:r>
            <w:r>
              <w:t>urg</w:t>
            </w:r>
            <w:r>
              <w:rPr>
                <w:spacing w:val="1"/>
              </w:rPr>
              <w:t>ic</w:t>
            </w:r>
            <w:r>
              <w:rPr>
                <w:spacing w:val="-2"/>
              </w:rPr>
              <w:t>a</w:t>
            </w:r>
            <w:r>
              <w:t>l</w:t>
            </w:r>
            <w:r>
              <w:rPr>
                <w:spacing w:val="1"/>
              </w:rPr>
              <w:t xml:space="preserve"> </w:t>
            </w:r>
            <w:r>
              <w:t>(</w:t>
            </w:r>
            <w:r>
              <w:rPr>
                <w:spacing w:val="-1"/>
              </w:rPr>
              <w:t>ASERN</w:t>
            </w:r>
            <w:r>
              <w:t>IP-</w:t>
            </w:r>
            <w:r>
              <w:rPr>
                <w:spacing w:val="-1"/>
              </w:rPr>
              <w:t>S</w:t>
            </w:r>
            <w:r>
              <w:t>)</w:t>
            </w:r>
          </w:p>
        </w:tc>
        <w:tc>
          <w:tcPr>
            <w:tcW w:w="6215" w:type="dxa"/>
          </w:tcPr>
          <w:p w:rsidR="001C0B02" w:rsidRDefault="001C0B02" w:rsidP="001C0B02">
            <w:hyperlink r:id="rId41" w:tooltip="This is a link to Australian Safety and Efficacy Register of New Intervention Procedures " w:history="1">
              <w:r>
                <w:rPr>
                  <w:color w:val="0000FF"/>
                  <w:u w:val="single"/>
                </w:rPr>
                <w:t>http://</w:t>
              </w:r>
              <w:r>
                <w:rPr>
                  <w:color w:val="0000FF"/>
                  <w:spacing w:val="-1"/>
                  <w:u w:val="single"/>
                </w:rPr>
                <w:t>www</w:t>
              </w:r>
              <w:r>
                <w:rPr>
                  <w:color w:val="0000FF"/>
                  <w:u w:val="single"/>
                </w:rPr>
                <w:t>.</w:t>
              </w:r>
              <w:r>
                <w:rPr>
                  <w:color w:val="0000FF"/>
                  <w:spacing w:val="1"/>
                  <w:u w:val="single"/>
                </w:rPr>
                <w:t>s</w:t>
              </w:r>
              <w:r>
                <w:rPr>
                  <w:color w:val="0000FF"/>
                  <w:u w:val="single"/>
                </w:rPr>
                <w:t>urge</w:t>
              </w:r>
              <w:r>
                <w:rPr>
                  <w:color w:val="0000FF"/>
                  <w:spacing w:val="-2"/>
                  <w:u w:val="single"/>
                </w:rPr>
                <w:t>o</w:t>
              </w:r>
              <w:r>
                <w:rPr>
                  <w:color w:val="0000FF"/>
                  <w:u w:val="single"/>
                </w:rPr>
                <w:t>n</w:t>
              </w:r>
              <w:r>
                <w:rPr>
                  <w:color w:val="0000FF"/>
                  <w:spacing w:val="1"/>
                  <w:u w:val="single"/>
                </w:rPr>
                <w:t>s</w:t>
              </w:r>
              <w:r>
                <w:rPr>
                  <w:color w:val="0000FF"/>
                  <w:u w:val="single"/>
                </w:rPr>
                <w:t>.org/</w:t>
              </w:r>
              <w:r>
                <w:rPr>
                  <w:color w:val="0000FF"/>
                  <w:spacing w:val="-1"/>
                  <w:u w:val="single"/>
                </w:rPr>
                <w:t>C</w:t>
              </w:r>
              <w:r>
                <w:rPr>
                  <w:color w:val="0000FF"/>
                  <w:spacing w:val="-2"/>
                  <w:u w:val="single"/>
                </w:rPr>
                <w:t>o</w:t>
              </w:r>
              <w:r>
                <w:rPr>
                  <w:color w:val="0000FF"/>
                  <w:u w:val="single"/>
                </w:rPr>
                <w:t>n</w:t>
              </w:r>
              <w:r>
                <w:rPr>
                  <w:color w:val="0000FF"/>
                  <w:spacing w:val="-2"/>
                  <w:u w:val="single"/>
                </w:rPr>
                <w:t>t</w:t>
              </w:r>
              <w:r>
                <w:rPr>
                  <w:color w:val="0000FF"/>
                  <w:u w:val="single"/>
                </w:rPr>
                <w:t>ent/</w:t>
              </w:r>
              <w:r>
                <w:rPr>
                  <w:color w:val="0000FF"/>
                  <w:spacing w:val="-1"/>
                  <w:u w:val="single"/>
                </w:rPr>
                <w:t>N</w:t>
              </w:r>
              <w:r>
                <w:rPr>
                  <w:color w:val="0000FF"/>
                  <w:u w:val="single"/>
                </w:rPr>
                <w:t>a</w:t>
              </w:r>
              <w:r>
                <w:rPr>
                  <w:color w:val="0000FF"/>
                  <w:spacing w:val="1"/>
                  <w:u w:val="single"/>
                </w:rPr>
                <w:t>vi</w:t>
              </w:r>
              <w:r>
                <w:rPr>
                  <w:color w:val="0000FF"/>
                  <w:spacing w:val="-2"/>
                  <w:u w:val="single"/>
                </w:rPr>
                <w:t>g</w:t>
              </w:r>
              <w:r>
                <w:rPr>
                  <w:color w:val="0000FF"/>
                  <w:u w:val="single"/>
                </w:rPr>
                <w:t>at</w:t>
              </w:r>
              <w:r>
                <w:rPr>
                  <w:color w:val="0000FF"/>
                  <w:spacing w:val="1"/>
                  <w:u w:val="single"/>
                </w:rPr>
                <w:t>i</w:t>
              </w:r>
              <w:r>
                <w:rPr>
                  <w:color w:val="0000FF"/>
                  <w:u w:val="single"/>
                </w:rPr>
                <w:t>o</w:t>
              </w:r>
              <w:r>
                <w:rPr>
                  <w:color w:val="0000FF"/>
                  <w:spacing w:val="-2"/>
                  <w:u w:val="single"/>
                </w:rPr>
                <w:t>n</w:t>
              </w:r>
              <w:r>
                <w:rPr>
                  <w:color w:val="0000FF"/>
                  <w:u w:val="single"/>
                </w:rPr>
                <w:t>Menu/R</w:t>
              </w:r>
            </w:hyperlink>
          </w:p>
          <w:p w:rsidR="001C0B02" w:rsidRDefault="001C0B02" w:rsidP="001C0B02">
            <w:hyperlink r:id="rId42" w:history="1">
              <w:r>
                <w:rPr>
                  <w:color w:val="0000FF"/>
                  <w:u w:val="single"/>
                </w:rPr>
                <w:t>e</w:t>
              </w:r>
              <w:r>
                <w:rPr>
                  <w:color w:val="0000FF"/>
                  <w:spacing w:val="1"/>
                  <w:u w:val="single"/>
                </w:rPr>
                <w:t>s</w:t>
              </w:r>
              <w:r>
                <w:rPr>
                  <w:color w:val="0000FF"/>
                  <w:u w:val="single"/>
                </w:rPr>
                <w:t>ear</w:t>
              </w:r>
              <w:r>
                <w:rPr>
                  <w:color w:val="0000FF"/>
                  <w:spacing w:val="-2"/>
                  <w:u w:val="single"/>
                </w:rPr>
                <w:t>c</w:t>
              </w:r>
              <w:r>
                <w:rPr>
                  <w:color w:val="0000FF"/>
                  <w:u w:val="single"/>
                </w:rPr>
                <w:t>h/</w:t>
              </w:r>
              <w:r>
                <w:rPr>
                  <w:color w:val="0000FF"/>
                  <w:spacing w:val="-1"/>
                  <w:u w:val="single"/>
                </w:rPr>
                <w:t>ASERN</w:t>
              </w:r>
              <w:r>
                <w:rPr>
                  <w:color w:val="0000FF"/>
                  <w:u w:val="single"/>
                </w:rPr>
                <w:t>I</w:t>
              </w:r>
              <w:r>
                <w:rPr>
                  <w:color w:val="0000FF"/>
                  <w:spacing w:val="-1"/>
                  <w:u w:val="single"/>
                </w:rPr>
                <w:t>PS</w:t>
              </w:r>
              <w:r>
                <w:rPr>
                  <w:color w:val="0000FF"/>
                  <w:u w:val="single"/>
                </w:rPr>
                <w:t>/defau</w:t>
              </w:r>
              <w:r>
                <w:rPr>
                  <w:color w:val="0000FF"/>
                  <w:spacing w:val="1"/>
                  <w:u w:val="single"/>
                </w:rPr>
                <w:t>l</w:t>
              </w:r>
              <w:r>
                <w:rPr>
                  <w:color w:val="0000FF"/>
                  <w:u w:val="single"/>
                </w:rPr>
                <w:t>t.h</w:t>
              </w:r>
              <w:r>
                <w:rPr>
                  <w:color w:val="0000FF"/>
                  <w:spacing w:val="-2"/>
                  <w:u w:val="single"/>
                </w:rPr>
                <w:t>t</w:t>
              </w:r>
              <w:r>
                <w:rPr>
                  <w:color w:val="0000FF"/>
                  <w:u w:val="single"/>
                </w:rPr>
                <w:t>m</w:t>
              </w:r>
            </w:hyperlink>
          </w:p>
        </w:tc>
      </w:tr>
      <w:tr w:rsidR="001C0B02" w:rsidTr="001C0B02">
        <w:tc>
          <w:tcPr>
            <w:tcW w:w="3093" w:type="dxa"/>
          </w:tcPr>
          <w:p w:rsidR="001C0B02" w:rsidRDefault="001C0B02" w:rsidP="001C0B02">
            <w:r>
              <w:rPr>
                <w:spacing w:val="-1"/>
              </w:rPr>
              <w:t>C</w:t>
            </w:r>
            <w:r>
              <w:t xml:space="preserve">entre for </w:t>
            </w:r>
            <w:r>
              <w:rPr>
                <w:spacing w:val="-1"/>
              </w:rPr>
              <w:t>C</w:t>
            </w:r>
            <w:r>
              <w:rPr>
                <w:spacing w:val="1"/>
              </w:rPr>
              <w:t>li</w:t>
            </w:r>
            <w:r>
              <w:rPr>
                <w:spacing w:val="-2"/>
              </w:rPr>
              <w:t>n</w:t>
            </w:r>
            <w:r>
              <w:rPr>
                <w:spacing w:val="1"/>
              </w:rPr>
              <w:t>ic</w:t>
            </w:r>
            <w:r>
              <w:rPr>
                <w:spacing w:val="-2"/>
              </w:rPr>
              <w:t>a</w:t>
            </w:r>
            <w:r>
              <w:t>l</w:t>
            </w:r>
            <w:r>
              <w:rPr>
                <w:spacing w:val="1"/>
              </w:rPr>
              <w:t xml:space="preserve"> </w:t>
            </w:r>
            <w:r>
              <w:rPr>
                <w:spacing w:val="-1"/>
              </w:rPr>
              <w:t>E</w:t>
            </w:r>
            <w:r>
              <w:t>ffe</w:t>
            </w:r>
            <w:r>
              <w:rPr>
                <w:spacing w:val="1"/>
              </w:rPr>
              <w:t>c</w:t>
            </w:r>
            <w:r>
              <w:rPr>
                <w:spacing w:val="-2"/>
              </w:rPr>
              <w:t>t</w:t>
            </w:r>
            <w:r>
              <w:rPr>
                <w:spacing w:val="1"/>
              </w:rPr>
              <w:t>iv</w:t>
            </w:r>
            <w:r>
              <w:rPr>
                <w:spacing w:val="-2"/>
              </w:rPr>
              <w:t>e</w:t>
            </w:r>
            <w:r>
              <w:t>n</w:t>
            </w:r>
            <w:r>
              <w:rPr>
                <w:spacing w:val="-2"/>
              </w:rPr>
              <w:t>e</w:t>
            </w:r>
            <w:r>
              <w:rPr>
                <w:spacing w:val="1"/>
              </w:rPr>
              <w:t>ss</w:t>
            </w:r>
            <w:r>
              <w:t xml:space="preserve">, </w:t>
            </w:r>
            <w:r>
              <w:rPr>
                <w:spacing w:val="-2"/>
              </w:rPr>
              <w:t>M</w:t>
            </w:r>
            <w:r>
              <w:t>ona</w:t>
            </w:r>
            <w:r>
              <w:rPr>
                <w:spacing w:val="-2"/>
              </w:rPr>
              <w:t>s</w:t>
            </w:r>
            <w:r>
              <w:t>h</w:t>
            </w:r>
          </w:p>
          <w:p w:rsidR="001C0B02" w:rsidRDefault="001C0B02" w:rsidP="001C0B02">
            <w:r>
              <w:rPr>
                <w:spacing w:val="-1"/>
                <w:position w:val="-1"/>
              </w:rPr>
              <w:t>U</w:t>
            </w:r>
            <w:r>
              <w:rPr>
                <w:position w:val="-1"/>
              </w:rPr>
              <w:t>n</w:t>
            </w:r>
            <w:r>
              <w:rPr>
                <w:spacing w:val="1"/>
                <w:position w:val="-1"/>
              </w:rPr>
              <w:t>iv</w:t>
            </w:r>
            <w:r>
              <w:rPr>
                <w:position w:val="-1"/>
              </w:rPr>
              <w:t>er</w:t>
            </w:r>
            <w:r>
              <w:rPr>
                <w:spacing w:val="-2"/>
                <w:position w:val="-1"/>
              </w:rPr>
              <w:t>s</w:t>
            </w:r>
            <w:r>
              <w:rPr>
                <w:spacing w:val="1"/>
                <w:position w:val="-1"/>
              </w:rPr>
              <w:t>i</w:t>
            </w:r>
            <w:r>
              <w:rPr>
                <w:position w:val="-1"/>
              </w:rPr>
              <w:t>ty</w:t>
            </w:r>
          </w:p>
        </w:tc>
        <w:tc>
          <w:tcPr>
            <w:tcW w:w="6215" w:type="dxa"/>
          </w:tcPr>
          <w:p w:rsidR="001C0B02" w:rsidRDefault="001C0B02" w:rsidP="001C0B02">
            <w:hyperlink r:id="rId43" w:tooltip="Thi is a link to Monash University" w:history="1">
              <w:r>
                <w:rPr>
                  <w:color w:val="0000FF"/>
                  <w:u w:val="single"/>
                </w:rPr>
                <w:t>http://</w:t>
              </w:r>
              <w:r>
                <w:rPr>
                  <w:color w:val="0000FF"/>
                  <w:spacing w:val="-1"/>
                  <w:u w:val="single"/>
                </w:rPr>
                <w:t>www</w:t>
              </w:r>
              <w:r>
                <w:rPr>
                  <w:color w:val="0000FF"/>
                  <w:u w:val="single"/>
                </w:rPr>
                <w:t>.</w:t>
              </w:r>
              <w:r>
                <w:rPr>
                  <w:color w:val="0000FF"/>
                  <w:spacing w:val="1"/>
                  <w:u w:val="single"/>
                </w:rPr>
                <w:t>s</w:t>
              </w:r>
              <w:r>
                <w:rPr>
                  <w:color w:val="0000FF"/>
                  <w:u w:val="single"/>
                </w:rPr>
                <w:t>outhe</w:t>
              </w:r>
              <w:r>
                <w:rPr>
                  <w:color w:val="0000FF"/>
                  <w:spacing w:val="-3"/>
                  <w:u w:val="single"/>
                </w:rPr>
                <w:t>r</w:t>
              </w:r>
              <w:r>
                <w:rPr>
                  <w:color w:val="0000FF"/>
                  <w:u w:val="single"/>
                </w:rPr>
                <w:t>nhe</w:t>
              </w:r>
              <w:r>
                <w:rPr>
                  <w:color w:val="0000FF"/>
                  <w:spacing w:val="-2"/>
                  <w:u w:val="single"/>
                </w:rPr>
                <w:t>a</w:t>
              </w:r>
              <w:r>
                <w:rPr>
                  <w:color w:val="0000FF"/>
                  <w:spacing w:val="1"/>
                  <w:u w:val="single"/>
                </w:rPr>
                <w:t>l</w:t>
              </w:r>
              <w:r>
                <w:rPr>
                  <w:color w:val="0000FF"/>
                  <w:u w:val="single"/>
                </w:rPr>
                <w:t>th.org</w:t>
              </w:r>
              <w:r>
                <w:rPr>
                  <w:color w:val="0000FF"/>
                  <w:spacing w:val="-2"/>
                  <w:u w:val="single"/>
                </w:rPr>
                <w:t>.</w:t>
              </w:r>
              <w:r>
                <w:rPr>
                  <w:color w:val="0000FF"/>
                  <w:u w:val="single"/>
                </w:rPr>
                <w:t>au/page/</w:t>
              </w:r>
              <w:r>
                <w:rPr>
                  <w:color w:val="0000FF"/>
                  <w:spacing w:val="-1"/>
                  <w:u w:val="single"/>
                </w:rPr>
                <w:t>H</w:t>
              </w:r>
              <w:r>
                <w:rPr>
                  <w:color w:val="0000FF"/>
                  <w:u w:val="single"/>
                </w:rPr>
                <w:t>e</w:t>
              </w:r>
              <w:r>
                <w:rPr>
                  <w:color w:val="0000FF"/>
                  <w:spacing w:val="-2"/>
                  <w:u w:val="single"/>
                </w:rPr>
                <w:t>a</w:t>
              </w:r>
              <w:r>
                <w:rPr>
                  <w:color w:val="0000FF"/>
                  <w:spacing w:val="1"/>
                  <w:u w:val="single"/>
                </w:rPr>
                <w:t>l</w:t>
              </w:r>
              <w:r>
                <w:rPr>
                  <w:color w:val="0000FF"/>
                  <w:u w:val="single"/>
                </w:rPr>
                <w:t>th</w:t>
              </w:r>
              <w:r>
                <w:rPr>
                  <w:color w:val="0000FF"/>
                  <w:spacing w:val="2"/>
                  <w:u w:val="single"/>
                </w:rPr>
                <w:t>_</w:t>
              </w:r>
              <w:r>
                <w:rPr>
                  <w:color w:val="0000FF"/>
                  <w:spacing w:val="-1"/>
                  <w:u w:val="single"/>
                </w:rPr>
                <w:t>P</w:t>
              </w:r>
              <w:r>
                <w:rPr>
                  <w:color w:val="0000FF"/>
                  <w:u w:val="single"/>
                </w:rPr>
                <w:t>rof</w:t>
              </w:r>
              <w:r>
                <w:rPr>
                  <w:color w:val="0000FF"/>
                </w:rPr>
                <w:t xml:space="preserve"> </w:t>
              </w:r>
            </w:hyperlink>
            <w:hyperlink r:id="rId44" w:history="1">
              <w:r>
                <w:rPr>
                  <w:color w:val="0000FF"/>
                  <w:u w:val="single"/>
                </w:rPr>
                <w:t>e</w:t>
              </w:r>
              <w:r>
                <w:rPr>
                  <w:color w:val="0000FF"/>
                  <w:spacing w:val="1"/>
                  <w:u w:val="single"/>
                </w:rPr>
                <w:t>ssi</w:t>
              </w:r>
              <w:r>
                <w:rPr>
                  <w:color w:val="0000FF"/>
                  <w:spacing w:val="-2"/>
                  <w:u w:val="single"/>
                </w:rPr>
                <w:t>o</w:t>
              </w:r>
              <w:r>
                <w:rPr>
                  <w:color w:val="0000FF"/>
                  <w:u w:val="single"/>
                </w:rPr>
                <w:t>na</w:t>
              </w:r>
              <w:r>
                <w:rPr>
                  <w:color w:val="0000FF"/>
                  <w:spacing w:val="-2"/>
                  <w:u w:val="single"/>
                </w:rPr>
                <w:t>l</w:t>
              </w:r>
              <w:r>
                <w:rPr>
                  <w:color w:val="0000FF"/>
                  <w:spacing w:val="1"/>
                  <w:u w:val="single"/>
                </w:rPr>
                <w:t>s</w:t>
              </w:r>
              <w:r>
                <w:rPr>
                  <w:color w:val="0000FF"/>
                  <w:u w:val="single"/>
                </w:rPr>
                <w:t>/</w:t>
              </w:r>
              <w:r>
                <w:rPr>
                  <w:color w:val="0000FF"/>
                  <w:spacing w:val="-1"/>
                  <w:u w:val="single"/>
                </w:rPr>
                <w:t>CCE</w:t>
              </w:r>
              <w:r>
                <w:rPr>
                  <w:color w:val="0000FF"/>
                  <w:u w:val="single"/>
                </w:rPr>
                <w:t>/</w:t>
              </w:r>
            </w:hyperlink>
          </w:p>
        </w:tc>
      </w:tr>
      <w:tr w:rsidR="001C0B02" w:rsidTr="001C0B02">
        <w:tc>
          <w:tcPr>
            <w:tcW w:w="3093" w:type="dxa"/>
          </w:tcPr>
          <w:p w:rsidR="001C0B02" w:rsidRDefault="001C0B02" w:rsidP="001C0B02">
            <w:pPr>
              <w:rPr>
                <w:spacing w:val="-1"/>
              </w:rPr>
            </w:pPr>
            <w:r>
              <w:rPr>
                <w:spacing w:val="-1"/>
              </w:rPr>
              <w:t>C</w:t>
            </w:r>
            <w:r>
              <w:t xml:space="preserve">entre for </w:t>
            </w:r>
            <w:r>
              <w:rPr>
                <w:spacing w:val="-1"/>
              </w:rPr>
              <w:t>H</w:t>
            </w:r>
            <w:r>
              <w:t>ea</w:t>
            </w:r>
            <w:r>
              <w:rPr>
                <w:spacing w:val="1"/>
              </w:rPr>
              <w:t>l</w:t>
            </w:r>
            <w:r>
              <w:rPr>
                <w:spacing w:val="-2"/>
              </w:rPr>
              <w:t>t</w:t>
            </w:r>
            <w:r>
              <w:t xml:space="preserve">h </w:t>
            </w:r>
            <w:r>
              <w:rPr>
                <w:spacing w:val="-1"/>
              </w:rPr>
              <w:t>E</w:t>
            </w:r>
            <w:r>
              <w:rPr>
                <w:spacing w:val="1"/>
              </w:rPr>
              <w:t>c</w:t>
            </w:r>
            <w:r>
              <w:t>o</w:t>
            </w:r>
            <w:r>
              <w:rPr>
                <w:spacing w:val="-2"/>
              </w:rPr>
              <w:t>n</w:t>
            </w:r>
            <w:r>
              <w:t>om</w:t>
            </w:r>
            <w:r>
              <w:rPr>
                <w:spacing w:val="-2"/>
              </w:rPr>
              <w:t>i</w:t>
            </w:r>
            <w:r>
              <w:rPr>
                <w:spacing w:val="1"/>
              </w:rPr>
              <w:t>cs</w:t>
            </w:r>
            <w:r>
              <w:t>,</w:t>
            </w:r>
            <w:r>
              <w:rPr>
                <w:spacing w:val="-2"/>
              </w:rPr>
              <w:t xml:space="preserve"> </w:t>
            </w:r>
            <w:r>
              <w:t>Mona</w:t>
            </w:r>
            <w:r>
              <w:rPr>
                <w:spacing w:val="-2"/>
              </w:rPr>
              <w:t>s</w:t>
            </w:r>
            <w:r>
              <w:t xml:space="preserve">h </w:t>
            </w:r>
            <w:r>
              <w:rPr>
                <w:spacing w:val="-1"/>
              </w:rPr>
              <w:t>U</w:t>
            </w:r>
            <w:r>
              <w:t>n</w:t>
            </w:r>
            <w:r>
              <w:rPr>
                <w:spacing w:val="1"/>
              </w:rPr>
              <w:t>iv</w:t>
            </w:r>
            <w:r>
              <w:t>e</w:t>
            </w:r>
            <w:r>
              <w:rPr>
                <w:spacing w:val="-3"/>
              </w:rPr>
              <w:t>r</w:t>
            </w:r>
            <w:r>
              <w:rPr>
                <w:spacing w:val="1"/>
              </w:rPr>
              <w:t>si</w:t>
            </w:r>
            <w:r>
              <w:rPr>
                <w:spacing w:val="-2"/>
              </w:rPr>
              <w:t>t</w:t>
            </w:r>
            <w:r>
              <w:t>y</w:t>
            </w:r>
          </w:p>
        </w:tc>
        <w:tc>
          <w:tcPr>
            <w:tcW w:w="6215" w:type="dxa"/>
          </w:tcPr>
          <w:p w:rsidR="001C0B02" w:rsidRDefault="001C0B02" w:rsidP="001C0B02">
            <w:hyperlink r:id="rId45" w:tooltip="This is a link to Monash University" w:history="1">
              <w:r>
                <w:rPr>
                  <w:color w:val="0000FF"/>
                  <w:u w:val="single"/>
                </w:rPr>
                <w:t>http://</w:t>
              </w:r>
              <w:r>
                <w:rPr>
                  <w:color w:val="0000FF"/>
                  <w:spacing w:val="-1"/>
                  <w:u w:val="single"/>
                </w:rPr>
                <w:t>www</w:t>
              </w:r>
              <w:r>
                <w:rPr>
                  <w:color w:val="0000FF"/>
                  <w:u w:val="single"/>
                </w:rPr>
                <w:t>.bu</w:t>
              </w:r>
              <w:r>
                <w:rPr>
                  <w:color w:val="0000FF"/>
                  <w:spacing w:val="1"/>
                  <w:u w:val="single"/>
                </w:rPr>
                <w:t>s</w:t>
              </w:r>
              <w:r>
                <w:rPr>
                  <w:color w:val="0000FF"/>
                  <w:spacing w:val="-2"/>
                  <w:u w:val="single"/>
                </w:rPr>
                <w:t>e</w:t>
              </w:r>
              <w:r>
                <w:rPr>
                  <w:color w:val="0000FF"/>
                  <w:spacing w:val="1"/>
                  <w:u w:val="single"/>
                </w:rPr>
                <w:t>c</w:t>
              </w:r>
              <w:r>
                <w:rPr>
                  <w:color w:val="0000FF"/>
                  <w:u w:val="single"/>
                </w:rPr>
                <w:t>o.m</w:t>
              </w:r>
              <w:r>
                <w:rPr>
                  <w:color w:val="0000FF"/>
                  <w:spacing w:val="-2"/>
                  <w:u w:val="single"/>
                </w:rPr>
                <w:t>o</w:t>
              </w:r>
              <w:r>
                <w:rPr>
                  <w:color w:val="0000FF"/>
                  <w:u w:val="single"/>
                </w:rPr>
                <w:t>na</w:t>
              </w:r>
              <w:r>
                <w:rPr>
                  <w:color w:val="0000FF"/>
                  <w:spacing w:val="1"/>
                  <w:u w:val="single"/>
                </w:rPr>
                <w:t>s</w:t>
              </w:r>
              <w:r>
                <w:rPr>
                  <w:color w:val="0000FF"/>
                  <w:spacing w:val="-2"/>
                  <w:u w:val="single"/>
                </w:rPr>
                <w:t>h</w:t>
              </w:r>
              <w:r>
                <w:rPr>
                  <w:color w:val="0000FF"/>
                  <w:u w:val="single"/>
                </w:rPr>
                <w:t>.e</w:t>
              </w:r>
              <w:r>
                <w:rPr>
                  <w:color w:val="0000FF"/>
                  <w:spacing w:val="-2"/>
                  <w:u w:val="single"/>
                </w:rPr>
                <w:t>d</w:t>
              </w:r>
              <w:r>
                <w:rPr>
                  <w:color w:val="0000FF"/>
                  <w:u w:val="single"/>
                </w:rPr>
                <w:t>u.au/</w:t>
              </w:r>
              <w:r>
                <w:rPr>
                  <w:color w:val="0000FF"/>
                  <w:spacing w:val="1"/>
                  <w:u w:val="single"/>
                </w:rPr>
                <w:t>c</w:t>
              </w:r>
              <w:r>
                <w:rPr>
                  <w:color w:val="0000FF"/>
                  <w:spacing w:val="-2"/>
                  <w:u w:val="single"/>
                </w:rPr>
                <w:t>e</w:t>
              </w:r>
              <w:r>
                <w:rPr>
                  <w:color w:val="0000FF"/>
                  <w:u w:val="single"/>
                </w:rPr>
                <w:t>ntre</w:t>
              </w:r>
              <w:r>
                <w:rPr>
                  <w:color w:val="0000FF"/>
                  <w:spacing w:val="1"/>
                  <w:u w:val="single"/>
                </w:rPr>
                <w:t>s</w:t>
              </w:r>
              <w:r>
                <w:rPr>
                  <w:color w:val="0000FF"/>
                  <w:spacing w:val="-2"/>
                  <w:u w:val="single"/>
                </w:rPr>
                <w:t>/</w:t>
              </w:r>
              <w:r>
                <w:rPr>
                  <w:color w:val="0000FF"/>
                  <w:spacing w:val="1"/>
                  <w:u w:val="single"/>
                </w:rPr>
                <w:t>c</w:t>
              </w:r>
              <w:r>
                <w:rPr>
                  <w:color w:val="0000FF"/>
                  <w:u w:val="single"/>
                </w:rPr>
                <w:t>he/</w:t>
              </w:r>
            </w:hyperlink>
          </w:p>
          <w:p w:rsidR="001C0B02" w:rsidRDefault="001C0B02" w:rsidP="001C0B02"/>
        </w:tc>
      </w:tr>
      <w:tr w:rsidR="001C0B02" w:rsidTr="001C0B02">
        <w:tc>
          <w:tcPr>
            <w:tcW w:w="3093" w:type="dxa"/>
          </w:tcPr>
          <w:p w:rsidR="001C0B02" w:rsidRDefault="001C0B02" w:rsidP="001C0B02">
            <w:pPr>
              <w:rPr>
                <w:spacing w:val="-1"/>
              </w:rPr>
            </w:pPr>
            <w:r>
              <w:t>In</w:t>
            </w:r>
            <w:r>
              <w:rPr>
                <w:spacing w:val="1"/>
              </w:rPr>
              <w:t>s</w:t>
            </w:r>
            <w:r>
              <w:t>t</w:t>
            </w:r>
            <w:r>
              <w:rPr>
                <w:spacing w:val="1"/>
              </w:rPr>
              <w:t>i</w:t>
            </w:r>
            <w:r>
              <w:t>tu</w:t>
            </w:r>
            <w:r>
              <w:rPr>
                <w:spacing w:val="-2"/>
              </w:rPr>
              <w:t>t</w:t>
            </w:r>
            <w:r>
              <w:t>e of T</w:t>
            </w:r>
            <w:r>
              <w:rPr>
                <w:spacing w:val="-2"/>
              </w:rPr>
              <w:t>e</w:t>
            </w:r>
            <w:r>
              <w:rPr>
                <w:spacing w:val="1"/>
              </w:rPr>
              <w:t>c</w:t>
            </w:r>
            <w:r>
              <w:t>hn</w:t>
            </w:r>
            <w:r>
              <w:rPr>
                <w:spacing w:val="-2"/>
              </w:rPr>
              <w:t>o</w:t>
            </w:r>
            <w:r>
              <w:rPr>
                <w:spacing w:val="1"/>
              </w:rPr>
              <w:t>l</w:t>
            </w:r>
            <w:r>
              <w:t>ogy</w:t>
            </w:r>
            <w:r>
              <w:rPr>
                <w:spacing w:val="-2"/>
              </w:rPr>
              <w:t xml:space="preserve"> </w:t>
            </w:r>
            <w:r>
              <w:rPr>
                <w:spacing w:val="-1"/>
              </w:rPr>
              <w:t>A</w:t>
            </w:r>
            <w:r>
              <w:rPr>
                <w:spacing w:val="1"/>
              </w:rPr>
              <w:t>ss</w:t>
            </w:r>
            <w:r>
              <w:rPr>
                <w:spacing w:val="-2"/>
              </w:rPr>
              <w:t>e</w:t>
            </w:r>
            <w:r>
              <w:rPr>
                <w:spacing w:val="1"/>
              </w:rPr>
              <w:t>s</w:t>
            </w:r>
            <w:r>
              <w:rPr>
                <w:spacing w:val="-2"/>
              </w:rPr>
              <w:t>s</w:t>
            </w:r>
            <w:r>
              <w:t xml:space="preserve">ment / </w:t>
            </w:r>
            <w:r>
              <w:rPr>
                <w:spacing w:val="-1"/>
              </w:rPr>
              <w:t>H</w:t>
            </w:r>
            <w:r>
              <w:t>TA</w:t>
            </w:r>
            <w:r>
              <w:rPr>
                <w:spacing w:val="-1"/>
              </w:rPr>
              <w:t xml:space="preserve"> </w:t>
            </w:r>
            <w:r>
              <w:t>u</w:t>
            </w:r>
            <w:r>
              <w:rPr>
                <w:spacing w:val="-2"/>
              </w:rPr>
              <w:t>n</w:t>
            </w:r>
            <w:r>
              <w:rPr>
                <w:spacing w:val="1"/>
              </w:rPr>
              <w:t>i</w:t>
            </w:r>
            <w:r>
              <w:t>t</w:t>
            </w:r>
          </w:p>
        </w:tc>
        <w:tc>
          <w:tcPr>
            <w:tcW w:w="6215" w:type="dxa"/>
          </w:tcPr>
          <w:p w:rsidR="001C0B02" w:rsidRDefault="001C0B02" w:rsidP="001C0B02">
            <w:hyperlink r:id="rId46" w:tooltip="This is a link to Institute of Technology Assessment / HTA unit" w:history="1">
              <w:r>
                <w:rPr>
                  <w:color w:val="0000FF"/>
                  <w:u w:val="single"/>
                </w:rPr>
                <w:t>http://</w:t>
              </w:r>
              <w:r>
                <w:rPr>
                  <w:color w:val="0000FF"/>
                  <w:spacing w:val="-1"/>
                  <w:u w:val="single"/>
                </w:rPr>
                <w:t>www</w:t>
              </w:r>
              <w:r>
                <w:rPr>
                  <w:color w:val="0000FF"/>
                  <w:u w:val="single"/>
                </w:rPr>
                <w:t>.oea</w:t>
              </w:r>
              <w:r>
                <w:rPr>
                  <w:color w:val="0000FF"/>
                  <w:spacing w:val="-1"/>
                  <w:u w:val="single"/>
                </w:rPr>
                <w:t>w</w:t>
              </w:r>
              <w:r>
                <w:rPr>
                  <w:color w:val="0000FF"/>
                  <w:u w:val="single"/>
                </w:rPr>
                <w:t>.a</w:t>
              </w:r>
              <w:r>
                <w:rPr>
                  <w:color w:val="0000FF"/>
                  <w:spacing w:val="1"/>
                  <w:u w:val="single"/>
                </w:rPr>
                <w:t>c</w:t>
              </w:r>
              <w:r>
                <w:rPr>
                  <w:color w:val="0000FF"/>
                  <w:u w:val="single"/>
                </w:rPr>
                <w:t>.</w:t>
              </w:r>
              <w:r>
                <w:rPr>
                  <w:color w:val="0000FF"/>
                  <w:spacing w:val="-2"/>
                  <w:u w:val="single"/>
                </w:rPr>
                <w:t>a</w:t>
              </w:r>
              <w:r>
                <w:rPr>
                  <w:color w:val="0000FF"/>
                  <w:u w:val="single"/>
                </w:rPr>
                <w:t>t/</w:t>
              </w:r>
              <w:r>
                <w:rPr>
                  <w:color w:val="0000FF"/>
                  <w:spacing w:val="1"/>
                  <w:u w:val="single"/>
                </w:rPr>
                <w:t>i</w:t>
              </w:r>
              <w:r>
                <w:rPr>
                  <w:color w:val="0000FF"/>
                  <w:u w:val="single"/>
                </w:rPr>
                <w:t>ta</w:t>
              </w:r>
            </w:hyperlink>
          </w:p>
        </w:tc>
      </w:tr>
      <w:tr w:rsidR="001C0B02" w:rsidTr="001C0B02">
        <w:tc>
          <w:tcPr>
            <w:tcW w:w="3093" w:type="dxa"/>
          </w:tcPr>
          <w:p w:rsidR="001C0B02" w:rsidRDefault="001C0B02" w:rsidP="001C0B02">
            <w:r>
              <w:rPr>
                <w:spacing w:val="-1"/>
              </w:rPr>
              <w:t>A</w:t>
            </w:r>
            <w:r>
              <w:t>gen</w:t>
            </w:r>
            <w:r>
              <w:rPr>
                <w:spacing w:val="1"/>
              </w:rPr>
              <w:t>c</w:t>
            </w:r>
            <w:r>
              <w:t xml:space="preserve">e </w:t>
            </w:r>
            <w:r>
              <w:rPr>
                <w:spacing w:val="-2"/>
              </w:rPr>
              <w:t>d</w:t>
            </w:r>
            <w:r>
              <w:rPr>
                <w:spacing w:val="1"/>
              </w:rPr>
              <w:t>’</w:t>
            </w:r>
            <w:r>
              <w:rPr>
                <w:spacing w:val="-1"/>
              </w:rPr>
              <w:t>E</w:t>
            </w:r>
            <w:r>
              <w:rPr>
                <w:spacing w:val="1"/>
              </w:rPr>
              <w:t>v</w:t>
            </w:r>
            <w:r>
              <w:t>a</w:t>
            </w:r>
            <w:r>
              <w:rPr>
                <w:spacing w:val="-2"/>
              </w:rPr>
              <w:t>l</w:t>
            </w:r>
            <w:r>
              <w:t>uat</w:t>
            </w:r>
            <w:r>
              <w:rPr>
                <w:spacing w:val="1"/>
              </w:rPr>
              <w:t>i</w:t>
            </w:r>
            <w:r>
              <w:rPr>
                <w:spacing w:val="-2"/>
              </w:rPr>
              <w:t>o</w:t>
            </w:r>
            <w:r>
              <w:t>n des</w:t>
            </w:r>
            <w:r>
              <w:rPr>
                <w:spacing w:val="-2"/>
              </w:rPr>
              <w:t xml:space="preserve"> </w:t>
            </w:r>
            <w:r>
              <w:t>Te</w:t>
            </w:r>
            <w:r>
              <w:rPr>
                <w:spacing w:val="1"/>
              </w:rPr>
              <w:t>c</w:t>
            </w:r>
            <w:r>
              <w:rPr>
                <w:spacing w:val="-2"/>
              </w:rPr>
              <w:t>h</w:t>
            </w:r>
            <w:r>
              <w:t>no</w:t>
            </w:r>
            <w:r>
              <w:rPr>
                <w:spacing w:val="1"/>
              </w:rPr>
              <w:t>l</w:t>
            </w:r>
            <w:r>
              <w:t>og</w:t>
            </w:r>
            <w:r>
              <w:rPr>
                <w:spacing w:val="-2"/>
              </w:rPr>
              <w:t>i</w:t>
            </w:r>
            <w:r>
              <w:t>es</w:t>
            </w:r>
            <w:r>
              <w:rPr>
                <w:spacing w:val="1"/>
              </w:rPr>
              <w:t xml:space="preserve"> </w:t>
            </w:r>
            <w:r>
              <w:t>et</w:t>
            </w:r>
            <w:r>
              <w:rPr>
                <w:spacing w:val="-2"/>
              </w:rPr>
              <w:t xml:space="preserve"> </w:t>
            </w:r>
            <w:r>
              <w:t>des Modes</w:t>
            </w:r>
            <w:r>
              <w:rPr>
                <w:spacing w:val="-2"/>
              </w:rPr>
              <w:t xml:space="preserve"> </w:t>
            </w:r>
            <w:r>
              <w:t>d</w:t>
            </w:r>
            <w:r>
              <w:rPr>
                <w:spacing w:val="1"/>
              </w:rPr>
              <w:t>’</w:t>
            </w:r>
            <w:r>
              <w:t>In</w:t>
            </w:r>
            <w:r>
              <w:rPr>
                <w:spacing w:val="-2"/>
              </w:rPr>
              <w:t>t</w:t>
            </w:r>
            <w:r>
              <w:t>er</w:t>
            </w:r>
            <w:r>
              <w:rPr>
                <w:spacing w:val="1"/>
              </w:rPr>
              <w:t>v</w:t>
            </w:r>
            <w:r>
              <w:t>en</w:t>
            </w:r>
            <w:r>
              <w:rPr>
                <w:spacing w:val="-2"/>
              </w:rPr>
              <w:t>t</w:t>
            </w:r>
            <w:r>
              <w:rPr>
                <w:spacing w:val="1"/>
              </w:rPr>
              <w:t>i</w:t>
            </w:r>
            <w:r>
              <w:t xml:space="preserve">on </w:t>
            </w:r>
            <w:r>
              <w:rPr>
                <w:spacing w:val="-2"/>
              </w:rPr>
              <w:t>e</w:t>
            </w:r>
            <w:r>
              <w:t xml:space="preserve">n </w:t>
            </w:r>
            <w:r>
              <w:rPr>
                <w:spacing w:val="-1"/>
              </w:rPr>
              <w:t>S</w:t>
            </w:r>
            <w:r>
              <w:t>anté</w:t>
            </w:r>
            <w:r>
              <w:rPr>
                <w:spacing w:val="-2"/>
              </w:rPr>
              <w:t xml:space="preserve"> </w:t>
            </w:r>
            <w:r>
              <w:t>(</w:t>
            </w:r>
            <w:r>
              <w:rPr>
                <w:spacing w:val="-1"/>
              </w:rPr>
              <w:t>AE</w:t>
            </w:r>
            <w:r>
              <w:t>TMI</w:t>
            </w:r>
            <w:r>
              <w:rPr>
                <w:spacing w:val="-1"/>
              </w:rPr>
              <w:t>S</w:t>
            </w:r>
            <w:r>
              <w:t>)</w:t>
            </w:r>
          </w:p>
        </w:tc>
        <w:tc>
          <w:tcPr>
            <w:tcW w:w="6215" w:type="dxa"/>
          </w:tcPr>
          <w:p w:rsidR="001C0B02" w:rsidRDefault="001C0B02" w:rsidP="001C0B02">
            <w:hyperlink r:id="rId47" w:tooltip="This is a link to the AETMIS website" w:history="1">
              <w:r>
                <w:rPr>
                  <w:color w:val="0000FF"/>
                  <w:u w:val="single"/>
                </w:rPr>
                <w:t>http://</w:t>
              </w:r>
              <w:r>
                <w:rPr>
                  <w:color w:val="0000FF"/>
                  <w:spacing w:val="-1"/>
                  <w:u w:val="single"/>
                </w:rPr>
                <w:t>www</w:t>
              </w:r>
              <w:r>
                <w:rPr>
                  <w:color w:val="0000FF"/>
                  <w:u w:val="single"/>
                </w:rPr>
                <w:t>.aetm</w:t>
              </w:r>
              <w:r>
                <w:rPr>
                  <w:color w:val="0000FF"/>
                  <w:spacing w:val="-2"/>
                  <w:u w:val="single"/>
                </w:rPr>
                <w:t>i</w:t>
              </w:r>
              <w:r>
                <w:rPr>
                  <w:color w:val="0000FF"/>
                  <w:spacing w:val="1"/>
                  <w:u w:val="single"/>
                </w:rPr>
                <w:t>s</w:t>
              </w:r>
              <w:r>
                <w:rPr>
                  <w:color w:val="0000FF"/>
                  <w:u w:val="single"/>
                </w:rPr>
                <w:t>.go</w:t>
              </w:r>
              <w:r>
                <w:rPr>
                  <w:color w:val="0000FF"/>
                  <w:spacing w:val="-2"/>
                  <w:u w:val="single"/>
                </w:rPr>
                <w:t>u</w:t>
              </w:r>
              <w:r>
                <w:rPr>
                  <w:color w:val="0000FF"/>
                  <w:spacing w:val="1"/>
                  <w:u w:val="single"/>
                </w:rPr>
                <w:t>v</w:t>
              </w:r>
              <w:r>
                <w:rPr>
                  <w:color w:val="0000FF"/>
                  <w:u w:val="single"/>
                </w:rPr>
                <w:t>.</w:t>
              </w:r>
              <w:r>
                <w:rPr>
                  <w:color w:val="0000FF"/>
                  <w:spacing w:val="-2"/>
                  <w:u w:val="single"/>
                </w:rPr>
                <w:t>q</w:t>
              </w:r>
              <w:r>
                <w:rPr>
                  <w:color w:val="0000FF"/>
                  <w:spacing w:val="1"/>
                  <w:u w:val="single"/>
                </w:rPr>
                <w:t>c</w:t>
              </w:r>
              <w:r>
                <w:rPr>
                  <w:color w:val="0000FF"/>
                  <w:u w:val="single"/>
                </w:rPr>
                <w:t>.</w:t>
              </w:r>
              <w:r>
                <w:rPr>
                  <w:color w:val="0000FF"/>
                  <w:spacing w:val="1"/>
                  <w:u w:val="single"/>
                </w:rPr>
                <w:t>c</w:t>
              </w:r>
              <w:r>
                <w:rPr>
                  <w:color w:val="0000FF"/>
                  <w:u w:val="single"/>
                </w:rPr>
                <w:t>a</w:t>
              </w:r>
              <w:r>
                <w:rPr>
                  <w:color w:val="0000FF"/>
                  <w:spacing w:val="-2"/>
                  <w:u w:val="single"/>
                </w:rPr>
                <w:t>/</w:t>
              </w:r>
              <w:r>
                <w:rPr>
                  <w:color w:val="0000FF"/>
                  <w:spacing w:val="1"/>
                  <w:u w:val="single"/>
                </w:rPr>
                <w:t>si</w:t>
              </w:r>
              <w:r>
                <w:rPr>
                  <w:color w:val="0000FF"/>
                  <w:u w:val="single"/>
                </w:rPr>
                <w:t>te/h</w:t>
              </w:r>
              <w:r>
                <w:rPr>
                  <w:color w:val="0000FF"/>
                  <w:spacing w:val="-2"/>
                  <w:u w:val="single"/>
                </w:rPr>
                <w:t>o</w:t>
              </w:r>
              <w:r>
                <w:rPr>
                  <w:color w:val="0000FF"/>
                  <w:u w:val="single"/>
                </w:rPr>
                <w:t>me.</w:t>
              </w:r>
              <w:r>
                <w:rPr>
                  <w:color w:val="0000FF"/>
                  <w:spacing w:val="-2"/>
                  <w:u w:val="single"/>
                </w:rPr>
                <w:t>p</w:t>
              </w:r>
              <w:r>
                <w:rPr>
                  <w:color w:val="0000FF"/>
                  <w:u w:val="single"/>
                </w:rPr>
                <w:t>htm</w:t>
              </w:r>
              <w:r>
                <w:rPr>
                  <w:color w:val="0000FF"/>
                </w:rPr>
                <w:t>l</w:t>
              </w:r>
            </w:hyperlink>
          </w:p>
          <w:p w:rsidR="001C0B02" w:rsidRDefault="001C0B02" w:rsidP="001C0B02"/>
        </w:tc>
      </w:tr>
      <w:tr w:rsidR="001C0B02" w:rsidTr="001C0B02">
        <w:tc>
          <w:tcPr>
            <w:tcW w:w="3093" w:type="dxa"/>
          </w:tcPr>
          <w:p w:rsidR="001C0B02" w:rsidRDefault="001C0B02" w:rsidP="001C0B02">
            <w:r>
              <w:rPr>
                <w:spacing w:val="-1"/>
              </w:rPr>
              <w:t>A</w:t>
            </w:r>
            <w:r>
              <w:rPr>
                <w:spacing w:val="1"/>
              </w:rPr>
              <w:t>l</w:t>
            </w:r>
            <w:r>
              <w:t xml:space="preserve">berta </w:t>
            </w:r>
            <w:r>
              <w:rPr>
                <w:spacing w:val="-1"/>
              </w:rPr>
              <w:t>H</w:t>
            </w:r>
            <w:r>
              <w:t>er</w:t>
            </w:r>
            <w:r>
              <w:rPr>
                <w:spacing w:val="1"/>
              </w:rPr>
              <w:t>i</w:t>
            </w:r>
            <w:r>
              <w:t>t</w:t>
            </w:r>
            <w:r>
              <w:rPr>
                <w:spacing w:val="-2"/>
              </w:rPr>
              <w:t>a</w:t>
            </w:r>
            <w:r>
              <w:t>ge Fo</w:t>
            </w:r>
            <w:r>
              <w:rPr>
                <w:spacing w:val="-2"/>
              </w:rPr>
              <w:t>u</w:t>
            </w:r>
            <w:r>
              <w:t>ndat</w:t>
            </w:r>
            <w:r>
              <w:rPr>
                <w:spacing w:val="-2"/>
              </w:rPr>
              <w:t>i</w:t>
            </w:r>
            <w:r>
              <w:t xml:space="preserve">on </w:t>
            </w:r>
            <w:r>
              <w:rPr>
                <w:spacing w:val="-2"/>
              </w:rPr>
              <w:t>f</w:t>
            </w:r>
            <w:r>
              <w:t>or Med</w:t>
            </w:r>
            <w:r>
              <w:rPr>
                <w:spacing w:val="-2"/>
              </w:rPr>
              <w:t>i</w:t>
            </w:r>
            <w:r>
              <w:rPr>
                <w:spacing w:val="1"/>
              </w:rPr>
              <w:t>c</w:t>
            </w:r>
            <w:r>
              <w:t>al</w:t>
            </w:r>
            <w:r>
              <w:rPr>
                <w:spacing w:val="1"/>
              </w:rPr>
              <w:t xml:space="preserve"> </w:t>
            </w:r>
            <w:r>
              <w:rPr>
                <w:spacing w:val="-1"/>
              </w:rPr>
              <w:t>R</w:t>
            </w:r>
            <w:r>
              <w:rPr>
                <w:spacing w:val="-2"/>
              </w:rPr>
              <w:t>e</w:t>
            </w:r>
            <w:r>
              <w:rPr>
                <w:spacing w:val="1"/>
              </w:rPr>
              <w:t>s</w:t>
            </w:r>
            <w:r>
              <w:t>ear</w:t>
            </w:r>
            <w:r>
              <w:rPr>
                <w:spacing w:val="-2"/>
              </w:rPr>
              <w:t>c</w:t>
            </w:r>
            <w:r>
              <w:t xml:space="preserve">h </w:t>
            </w:r>
            <w:r>
              <w:rPr>
                <w:position w:val="-1"/>
              </w:rPr>
              <w:t>(</w:t>
            </w:r>
            <w:r>
              <w:rPr>
                <w:spacing w:val="-1"/>
                <w:position w:val="-1"/>
              </w:rPr>
              <w:t>AH</w:t>
            </w:r>
            <w:r>
              <w:rPr>
                <w:position w:val="-1"/>
              </w:rPr>
              <w:t>FM</w:t>
            </w:r>
            <w:r>
              <w:rPr>
                <w:spacing w:val="-1"/>
                <w:position w:val="-1"/>
              </w:rPr>
              <w:t>R</w:t>
            </w:r>
            <w:r>
              <w:rPr>
                <w:position w:val="-1"/>
              </w:rPr>
              <w:t>)</w:t>
            </w:r>
          </w:p>
        </w:tc>
        <w:tc>
          <w:tcPr>
            <w:tcW w:w="6215" w:type="dxa"/>
          </w:tcPr>
          <w:p w:rsidR="001C0B02" w:rsidRDefault="001C0B02" w:rsidP="001C0B02">
            <w:hyperlink r:id="rId48" w:tooltip="This is a link to Alberta Heritage Foundation for Medical Research" w:history="1">
              <w:r>
                <w:rPr>
                  <w:color w:val="0000FF"/>
                  <w:u w:val="single"/>
                </w:rPr>
                <w:t>http://</w:t>
              </w:r>
              <w:r>
                <w:rPr>
                  <w:color w:val="0000FF"/>
                  <w:spacing w:val="-1"/>
                  <w:u w:val="single"/>
                </w:rPr>
                <w:t>www</w:t>
              </w:r>
              <w:r>
                <w:rPr>
                  <w:color w:val="0000FF"/>
                  <w:u w:val="single"/>
                </w:rPr>
                <w:t>.ahfmr.</w:t>
              </w:r>
              <w:r>
                <w:rPr>
                  <w:color w:val="0000FF"/>
                  <w:spacing w:val="-2"/>
                  <w:u w:val="single"/>
                </w:rPr>
                <w:t>a</w:t>
              </w:r>
              <w:r>
                <w:rPr>
                  <w:color w:val="0000FF"/>
                  <w:u w:val="single"/>
                </w:rPr>
                <w:t>b.</w:t>
              </w:r>
              <w:r>
                <w:rPr>
                  <w:color w:val="0000FF"/>
                  <w:spacing w:val="1"/>
                  <w:u w:val="single"/>
                </w:rPr>
                <w:t>c</w:t>
              </w:r>
              <w:r>
                <w:rPr>
                  <w:color w:val="0000FF"/>
                  <w:u w:val="single"/>
                </w:rPr>
                <w:t>a/</w:t>
              </w:r>
              <w:r>
                <w:rPr>
                  <w:color w:val="0000FF"/>
                  <w:spacing w:val="-2"/>
                  <w:u w:val="single"/>
                </w:rPr>
                <w:t>p</w:t>
              </w:r>
              <w:r>
                <w:rPr>
                  <w:color w:val="0000FF"/>
                  <w:u w:val="single"/>
                </w:rPr>
                <w:t>ub</w:t>
              </w:r>
              <w:r>
                <w:rPr>
                  <w:color w:val="0000FF"/>
                  <w:spacing w:val="1"/>
                  <w:u w:val="single"/>
                </w:rPr>
                <w:t>l</w:t>
              </w:r>
              <w:r>
                <w:rPr>
                  <w:color w:val="0000FF"/>
                  <w:spacing w:val="-2"/>
                  <w:u w:val="single"/>
                </w:rPr>
                <w:t>ic</w:t>
              </w:r>
              <w:r>
                <w:rPr>
                  <w:color w:val="0000FF"/>
                  <w:u w:val="single"/>
                </w:rPr>
                <w:t>at</w:t>
              </w:r>
              <w:r>
                <w:rPr>
                  <w:color w:val="0000FF"/>
                  <w:spacing w:val="1"/>
                  <w:u w:val="single"/>
                </w:rPr>
                <w:t>i</w:t>
              </w:r>
              <w:r>
                <w:rPr>
                  <w:color w:val="0000FF"/>
                  <w:u w:val="single"/>
                </w:rPr>
                <w:t>on</w:t>
              </w:r>
              <w:r>
                <w:rPr>
                  <w:color w:val="0000FF"/>
                  <w:spacing w:val="1"/>
                  <w:u w:val="single"/>
                </w:rPr>
                <w:t>s</w:t>
              </w:r>
              <w:r>
                <w:rPr>
                  <w:color w:val="0000FF"/>
                  <w:u w:val="single"/>
                </w:rPr>
                <w:t>/</w:t>
              </w:r>
            </w:hyperlink>
          </w:p>
          <w:p w:rsidR="001C0B02" w:rsidRDefault="001C0B02" w:rsidP="001C0B02"/>
        </w:tc>
      </w:tr>
      <w:tr w:rsidR="001C0B02" w:rsidTr="001C0B02">
        <w:tc>
          <w:tcPr>
            <w:tcW w:w="3093" w:type="dxa"/>
          </w:tcPr>
          <w:p w:rsidR="001C0B02" w:rsidRDefault="001C0B02" w:rsidP="001C0B02">
            <w:r>
              <w:rPr>
                <w:spacing w:val="-1"/>
                <w:position w:val="-1"/>
              </w:rPr>
              <w:t>A</w:t>
            </w:r>
            <w:r>
              <w:rPr>
                <w:spacing w:val="1"/>
                <w:position w:val="-1"/>
              </w:rPr>
              <w:t>l</w:t>
            </w:r>
            <w:r>
              <w:rPr>
                <w:position w:val="-1"/>
              </w:rPr>
              <w:t>berta I</w:t>
            </w:r>
            <w:r>
              <w:rPr>
                <w:spacing w:val="-2"/>
                <w:position w:val="-1"/>
              </w:rPr>
              <w:t>n</w:t>
            </w:r>
            <w:r>
              <w:rPr>
                <w:spacing w:val="1"/>
                <w:position w:val="-1"/>
              </w:rPr>
              <w:t>s</w:t>
            </w:r>
            <w:r>
              <w:rPr>
                <w:position w:val="-1"/>
              </w:rPr>
              <w:t>t</w:t>
            </w:r>
            <w:r>
              <w:rPr>
                <w:spacing w:val="1"/>
                <w:position w:val="-1"/>
              </w:rPr>
              <w:t>i</w:t>
            </w:r>
            <w:r>
              <w:rPr>
                <w:position w:val="-1"/>
              </w:rPr>
              <w:t>tu</w:t>
            </w:r>
            <w:r>
              <w:rPr>
                <w:spacing w:val="-2"/>
                <w:position w:val="-1"/>
              </w:rPr>
              <w:t>t</w:t>
            </w:r>
            <w:r>
              <w:rPr>
                <w:position w:val="-1"/>
              </w:rPr>
              <w:t xml:space="preserve">e of </w:t>
            </w:r>
            <w:r>
              <w:rPr>
                <w:spacing w:val="-1"/>
                <w:position w:val="-1"/>
              </w:rPr>
              <w:t>H</w:t>
            </w:r>
            <w:r>
              <w:rPr>
                <w:position w:val="-1"/>
              </w:rPr>
              <w:t>ea</w:t>
            </w:r>
            <w:r>
              <w:rPr>
                <w:spacing w:val="-2"/>
                <w:position w:val="-1"/>
              </w:rPr>
              <w:t>l</w:t>
            </w:r>
            <w:r>
              <w:rPr>
                <w:position w:val="-1"/>
              </w:rPr>
              <w:t xml:space="preserve">th </w:t>
            </w:r>
            <w:r>
              <w:rPr>
                <w:spacing w:val="-1"/>
                <w:position w:val="-1"/>
              </w:rPr>
              <w:t>E</w:t>
            </w:r>
            <w:r>
              <w:rPr>
                <w:spacing w:val="1"/>
                <w:position w:val="-1"/>
              </w:rPr>
              <w:t>c</w:t>
            </w:r>
            <w:r>
              <w:rPr>
                <w:spacing w:val="-2"/>
                <w:position w:val="-1"/>
              </w:rPr>
              <w:t>o</w:t>
            </w:r>
            <w:r>
              <w:rPr>
                <w:position w:val="-1"/>
              </w:rPr>
              <w:t>nom</w:t>
            </w:r>
            <w:r>
              <w:rPr>
                <w:spacing w:val="1"/>
                <w:position w:val="-1"/>
              </w:rPr>
              <w:t>i</w:t>
            </w:r>
            <w:r>
              <w:rPr>
                <w:spacing w:val="-2"/>
                <w:position w:val="-1"/>
              </w:rPr>
              <w:t>c</w:t>
            </w:r>
            <w:r>
              <w:rPr>
                <w:position w:val="-1"/>
              </w:rPr>
              <w:t>s</w:t>
            </w:r>
          </w:p>
        </w:tc>
        <w:tc>
          <w:tcPr>
            <w:tcW w:w="6215" w:type="dxa"/>
          </w:tcPr>
          <w:p w:rsidR="001C0B02" w:rsidRDefault="001C0B02" w:rsidP="001C0B02">
            <w:hyperlink r:id="rId49" w:tooltip="Alberta Institute of Health Economics" w:history="1">
              <w:r>
                <w:rPr>
                  <w:color w:val="0000FF"/>
                  <w:position w:val="-1"/>
                  <w:u w:val="single"/>
                </w:rPr>
                <w:t>http://</w:t>
              </w:r>
              <w:r>
                <w:rPr>
                  <w:color w:val="0000FF"/>
                  <w:spacing w:val="-1"/>
                  <w:position w:val="-1"/>
                  <w:u w:val="single"/>
                </w:rPr>
                <w:t>www</w:t>
              </w:r>
              <w:r>
                <w:rPr>
                  <w:color w:val="0000FF"/>
                  <w:position w:val="-1"/>
                  <w:u w:val="single"/>
                </w:rPr>
                <w:t>.</w:t>
              </w:r>
              <w:r>
                <w:rPr>
                  <w:color w:val="0000FF"/>
                  <w:spacing w:val="1"/>
                  <w:position w:val="-1"/>
                  <w:u w:val="single"/>
                </w:rPr>
                <w:t>i</w:t>
              </w:r>
              <w:r>
                <w:rPr>
                  <w:color w:val="0000FF"/>
                  <w:position w:val="-1"/>
                  <w:u w:val="single"/>
                </w:rPr>
                <w:t>he.</w:t>
              </w:r>
              <w:r>
                <w:rPr>
                  <w:color w:val="0000FF"/>
                  <w:spacing w:val="-2"/>
                  <w:position w:val="-1"/>
                  <w:u w:val="single"/>
                </w:rPr>
                <w:t>c</w:t>
              </w:r>
              <w:r>
                <w:rPr>
                  <w:color w:val="0000FF"/>
                  <w:position w:val="-1"/>
                  <w:u w:val="single"/>
                </w:rPr>
                <w:t>a/</w:t>
              </w:r>
            </w:hyperlink>
          </w:p>
        </w:tc>
      </w:tr>
      <w:tr w:rsidR="001C0B02" w:rsidTr="001C0B02">
        <w:tc>
          <w:tcPr>
            <w:tcW w:w="3093" w:type="dxa"/>
          </w:tcPr>
          <w:p w:rsidR="001C0B02" w:rsidRDefault="001C0B02" w:rsidP="001C0B02">
            <w:r>
              <w:t xml:space="preserve">The </w:t>
            </w:r>
            <w:r>
              <w:rPr>
                <w:spacing w:val="-1"/>
              </w:rPr>
              <w:t>C</w:t>
            </w:r>
            <w:r>
              <w:t>anad</w:t>
            </w:r>
            <w:r>
              <w:rPr>
                <w:spacing w:val="-2"/>
              </w:rPr>
              <w:t>i</w:t>
            </w:r>
            <w:r>
              <w:t xml:space="preserve">an </w:t>
            </w:r>
            <w:r>
              <w:rPr>
                <w:spacing w:val="-1"/>
              </w:rPr>
              <w:t>A</w:t>
            </w:r>
            <w:r>
              <w:t>ge</w:t>
            </w:r>
            <w:r>
              <w:rPr>
                <w:spacing w:val="-2"/>
              </w:rPr>
              <w:t>n</w:t>
            </w:r>
            <w:r>
              <w:rPr>
                <w:spacing w:val="1"/>
              </w:rPr>
              <w:t>c</w:t>
            </w:r>
            <w:r>
              <w:t>y</w:t>
            </w:r>
            <w:r>
              <w:rPr>
                <w:spacing w:val="2"/>
              </w:rPr>
              <w:t xml:space="preserve"> </w:t>
            </w:r>
            <w:r>
              <w:t>for</w:t>
            </w:r>
            <w:r>
              <w:rPr>
                <w:spacing w:val="-2"/>
              </w:rPr>
              <w:t xml:space="preserve"> </w:t>
            </w:r>
            <w:r>
              <w:rPr>
                <w:spacing w:val="-1"/>
              </w:rPr>
              <w:t>D</w:t>
            </w:r>
            <w:r>
              <w:t>rugs</w:t>
            </w:r>
            <w:r>
              <w:rPr>
                <w:spacing w:val="1"/>
              </w:rPr>
              <w:t xml:space="preserve"> </w:t>
            </w:r>
            <w:r>
              <w:rPr>
                <w:spacing w:val="-1"/>
              </w:rPr>
              <w:t>A</w:t>
            </w:r>
            <w:r>
              <w:t>nd T</w:t>
            </w:r>
            <w:r>
              <w:rPr>
                <w:spacing w:val="-2"/>
              </w:rPr>
              <w:t>e</w:t>
            </w:r>
            <w:r>
              <w:rPr>
                <w:spacing w:val="1"/>
              </w:rPr>
              <w:t>c</w:t>
            </w:r>
            <w:r>
              <w:t>hn</w:t>
            </w:r>
            <w:r>
              <w:rPr>
                <w:spacing w:val="-2"/>
              </w:rPr>
              <w:t>o</w:t>
            </w:r>
            <w:r>
              <w:rPr>
                <w:spacing w:val="1"/>
              </w:rPr>
              <w:t>l</w:t>
            </w:r>
            <w:r>
              <w:t>og</w:t>
            </w:r>
            <w:r>
              <w:rPr>
                <w:spacing w:val="1"/>
              </w:rPr>
              <w:t>i</w:t>
            </w:r>
            <w:r>
              <w:rPr>
                <w:spacing w:val="-2"/>
              </w:rPr>
              <w:t>e</w:t>
            </w:r>
            <w:r>
              <w:t xml:space="preserve">s </w:t>
            </w:r>
            <w:r>
              <w:rPr>
                <w:spacing w:val="1"/>
              </w:rPr>
              <w:t>i</w:t>
            </w:r>
            <w:r>
              <w:t xml:space="preserve">n </w:t>
            </w:r>
            <w:r>
              <w:rPr>
                <w:spacing w:val="-1"/>
              </w:rPr>
              <w:t>H</w:t>
            </w:r>
            <w:r>
              <w:t>ea</w:t>
            </w:r>
            <w:r>
              <w:rPr>
                <w:spacing w:val="1"/>
              </w:rPr>
              <w:t>l</w:t>
            </w:r>
            <w:r>
              <w:t>th (</w:t>
            </w:r>
            <w:r>
              <w:rPr>
                <w:spacing w:val="-1"/>
              </w:rPr>
              <w:t>CAD</w:t>
            </w:r>
            <w:r>
              <w:t>T</w:t>
            </w:r>
            <w:r>
              <w:rPr>
                <w:spacing w:val="-1"/>
              </w:rPr>
              <w:t>H)</w:t>
            </w:r>
          </w:p>
        </w:tc>
        <w:tc>
          <w:tcPr>
            <w:tcW w:w="6215" w:type="dxa"/>
          </w:tcPr>
          <w:p w:rsidR="001C0B02" w:rsidRDefault="001C0B02" w:rsidP="001C0B02">
            <w:hyperlink r:id="rId50" w:tooltip="The Canadian Agency for Drugs And Technologies in Health" w:history="1">
              <w:r>
                <w:rPr>
                  <w:color w:val="0000FF"/>
                  <w:u w:val="single"/>
                </w:rPr>
                <w:t>http://</w:t>
              </w:r>
              <w:r>
                <w:rPr>
                  <w:color w:val="0000FF"/>
                  <w:spacing w:val="-1"/>
                  <w:u w:val="single"/>
                </w:rPr>
                <w:t>www</w:t>
              </w:r>
              <w:r>
                <w:rPr>
                  <w:color w:val="0000FF"/>
                  <w:u w:val="single"/>
                </w:rPr>
                <w:t>.</w:t>
              </w:r>
              <w:r>
                <w:rPr>
                  <w:color w:val="0000FF"/>
                  <w:spacing w:val="1"/>
                  <w:u w:val="single"/>
                </w:rPr>
                <w:t>c</w:t>
              </w:r>
              <w:r>
                <w:rPr>
                  <w:color w:val="0000FF"/>
                  <w:u w:val="single"/>
                </w:rPr>
                <w:t>adth</w:t>
              </w:r>
              <w:r>
                <w:rPr>
                  <w:color w:val="0000FF"/>
                  <w:spacing w:val="-2"/>
                  <w:u w:val="single"/>
                </w:rPr>
                <w:t>.</w:t>
              </w:r>
              <w:r>
                <w:rPr>
                  <w:color w:val="0000FF"/>
                  <w:spacing w:val="1"/>
                  <w:u w:val="single"/>
                </w:rPr>
                <w:t>c</w:t>
              </w:r>
              <w:r>
                <w:rPr>
                  <w:color w:val="0000FF"/>
                  <w:u w:val="single"/>
                </w:rPr>
                <w:t>a/</w:t>
              </w:r>
              <w:r>
                <w:rPr>
                  <w:color w:val="0000FF"/>
                  <w:spacing w:val="-2"/>
                  <w:u w:val="single"/>
                </w:rPr>
                <w:t>i</w:t>
              </w:r>
              <w:r>
                <w:rPr>
                  <w:color w:val="0000FF"/>
                  <w:u w:val="single"/>
                </w:rPr>
                <w:t>nde</w:t>
              </w:r>
              <w:r>
                <w:rPr>
                  <w:color w:val="0000FF"/>
                  <w:spacing w:val="1"/>
                  <w:u w:val="single"/>
                </w:rPr>
                <w:t>x</w:t>
              </w:r>
              <w:r>
                <w:rPr>
                  <w:color w:val="0000FF"/>
                  <w:spacing w:val="-2"/>
                  <w:u w:val="single"/>
                </w:rPr>
                <w:t>.</w:t>
              </w:r>
              <w:r>
                <w:rPr>
                  <w:color w:val="0000FF"/>
                  <w:u w:val="single"/>
                </w:rPr>
                <w:t>ph</w:t>
              </w:r>
              <w:r>
                <w:rPr>
                  <w:color w:val="0000FF"/>
                  <w:spacing w:val="-2"/>
                  <w:u w:val="single"/>
                </w:rPr>
                <w:t>p</w:t>
              </w:r>
              <w:r>
                <w:rPr>
                  <w:color w:val="0000FF"/>
                  <w:u w:val="single"/>
                </w:rPr>
                <w:t>/en/</w:t>
              </w:r>
            </w:hyperlink>
          </w:p>
          <w:p w:rsidR="001C0B02" w:rsidRDefault="001C0B02" w:rsidP="001C0B02"/>
        </w:tc>
      </w:tr>
      <w:tr w:rsidR="001C0B02" w:rsidTr="001C0B02">
        <w:tc>
          <w:tcPr>
            <w:tcW w:w="3093" w:type="dxa"/>
          </w:tcPr>
          <w:p w:rsidR="001C0B02" w:rsidRDefault="001C0B02" w:rsidP="001C0B02">
            <w:r>
              <w:rPr>
                <w:spacing w:val="-1"/>
              </w:rPr>
              <w:t>C</w:t>
            </w:r>
            <w:r>
              <w:t>anad</w:t>
            </w:r>
            <w:r>
              <w:rPr>
                <w:spacing w:val="1"/>
              </w:rPr>
              <w:t>i</w:t>
            </w:r>
            <w:r>
              <w:t xml:space="preserve">an </w:t>
            </w:r>
            <w:r>
              <w:rPr>
                <w:spacing w:val="-1"/>
              </w:rPr>
              <w:t>H</w:t>
            </w:r>
            <w:r>
              <w:t>e</w:t>
            </w:r>
            <w:r>
              <w:rPr>
                <w:spacing w:val="-2"/>
              </w:rPr>
              <w:t>a</w:t>
            </w:r>
            <w:r>
              <w:rPr>
                <w:spacing w:val="1"/>
              </w:rPr>
              <w:t>l</w:t>
            </w:r>
            <w:r>
              <w:t xml:space="preserve">th </w:t>
            </w:r>
            <w:r>
              <w:rPr>
                <w:spacing w:val="-1"/>
              </w:rPr>
              <w:t>E</w:t>
            </w:r>
            <w:r>
              <w:rPr>
                <w:spacing w:val="-2"/>
              </w:rPr>
              <w:t>c</w:t>
            </w:r>
            <w:r>
              <w:t>ono</w:t>
            </w:r>
            <w:r>
              <w:rPr>
                <w:spacing w:val="-2"/>
              </w:rPr>
              <w:t>m</w:t>
            </w:r>
            <w:r>
              <w:rPr>
                <w:spacing w:val="1"/>
              </w:rPr>
              <w:t>ic</w:t>
            </w:r>
            <w:r>
              <w:t>s</w:t>
            </w:r>
            <w:r>
              <w:rPr>
                <w:spacing w:val="-4"/>
              </w:rPr>
              <w:t xml:space="preserve"> </w:t>
            </w:r>
            <w:r>
              <w:rPr>
                <w:spacing w:val="-1"/>
              </w:rPr>
              <w:t>R</w:t>
            </w:r>
            <w:r>
              <w:t>e</w:t>
            </w:r>
            <w:r>
              <w:rPr>
                <w:spacing w:val="1"/>
              </w:rPr>
              <w:t>s</w:t>
            </w:r>
            <w:r>
              <w:t>ear</w:t>
            </w:r>
            <w:r>
              <w:rPr>
                <w:spacing w:val="1"/>
              </w:rPr>
              <w:t>c</w:t>
            </w:r>
            <w:r>
              <w:t xml:space="preserve">h </w:t>
            </w:r>
            <w:r>
              <w:rPr>
                <w:spacing w:val="-3"/>
              </w:rPr>
              <w:t>A</w:t>
            </w:r>
            <w:r>
              <w:rPr>
                <w:spacing w:val="1"/>
              </w:rPr>
              <w:t>ss</w:t>
            </w:r>
            <w:r>
              <w:rPr>
                <w:spacing w:val="-2"/>
              </w:rPr>
              <w:t>o</w:t>
            </w:r>
            <w:r>
              <w:rPr>
                <w:spacing w:val="1"/>
              </w:rPr>
              <w:t>ci</w:t>
            </w:r>
            <w:r>
              <w:t>a</w:t>
            </w:r>
            <w:r>
              <w:rPr>
                <w:spacing w:val="-2"/>
              </w:rPr>
              <w:t>t</w:t>
            </w:r>
            <w:r>
              <w:rPr>
                <w:spacing w:val="1"/>
              </w:rPr>
              <w:t>i</w:t>
            </w:r>
            <w:r>
              <w:t>on (</w:t>
            </w:r>
            <w:r>
              <w:rPr>
                <w:spacing w:val="-1"/>
              </w:rPr>
              <w:t>CHERA</w:t>
            </w:r>
            <w:r>
              <w:t>/</w:t>
            </w:r>
            <w:r>
              <w:rPr>
                <w:spacing w:val="-1"/>
              </w:rPr>
              <w:t>A</w:t>
            </w:r>
            <w:r>
              <w:rPr>
                <w:spacing w:val="1"/>
              </w:rPr>
              <w:t>C</w:t>
            </w:r>
            <w:r>
              <w:rPr>
                <w:spacing w:val="-1"/>
              </w:rPr>
              <w:t>RES</w:t>
            </w:r>
            <w:r>
              <w:t xml:space="preserve">) – </w:t>
            </w:r>
            <w:r>
              <w:rPr>
                <w:spacing w:val="-1"/>
              </w:rPr>
              <w:t>C</w:t>
            </w:r>
            <w:r>
              <w:t>abot databa</w:t>
            </w:r>
            <w:r>
              <w:rPr>
                <w:spacing w:val="1"/>
              </w:rPr>
              <w:t>s</w:t>
            </w:r>
            <w:r>
              <w:t>e</w:t>
            </w:r>
          </w:p>
        </w:tc>
        <w:tc>
          <w:tcPr>
            <w:tcW w:w="6215" w:type="dxa"/>
          </w:tcPr>
          <w:p w:rsidR="001C0B02" w:rsidRDefault="001C0B02" w:rsidP="001C0B02">
            <w:hyperlink r:id="rId51" w:tooltip="Canadian Health Economics Research Association" w:history="1">
              <w:r>
                <w:rPr>
                  <w:color w:val="0000FF"/>
                  <w:u w:val="single"/>
                </w:rPr>
                <w:t>http://</w:t>
              </w:r>
              <w:r>
                <w:rPr>
                  <w:color w:val="0000FF"/>
                  <w:spacing w:val="-1"/>
                  <w:u w:val="single"/>
                </w:rPr>
                <w:t>www</w:t>
              </w:r>
              <w:r>
                <w:rPr>
                  <w:color w:val="0000FF"/>
                  <w:u w:val="single"/>
                </w:rPr>
                <w:t>.r</w:t>
              </w:r>
              <w:r>
                <w:rPr>
                  <w:color w:val="0000FF"/>
                  <w:spacing w:val="1"/>
                  <w:u w:val="single"/>
                </w:rPr>
                <w:t>y</w:t>
              </w:r>
              <w:r>
                <w:rPr>
                  <w:color w:val="0000FF"/>
                  <w:u w:val="single"/>
                </w:rPr>
                <w:t>er</w:t>
              </w:r>
              <w:r>
                <w:rPr>
                  <w:color w:val="0000FF"/>
                  <w:spacing w:val="1"/>
                  <w:u w:val="single"/>
                </w:rPr>
                <w:t>s</w:t>
              </w:r>
              <w:r>
                <w:rPr>
                  <w:color w:val="0000FF"/>
                  <w:spacing w:val="-2"/>
                  <w:u w:val="single"/>
                </w:rPr>
                <w:t>o</w:t>
              </w:r>
              <w:r>
                <w:rPr>
                  <w:color w:val="0000FF"/>
                  <w:u w:val="single"/>
                </w:rPr>
                <w:t>n.</w:t>
              </w:r>
              <w:r>
                <w:rPr>
                  <w:color w:val="0000FF"/>
                  <w:spacing w:val="1"/>
                  <w:u w:val="single"/>
                </w:rPr>
                <w:t>c</w:t>
              </w:r>
              <w:r>
                <w:rPr>
                  <w:color w:val="0000FF"/>
                  <w:u w:val="single"/>
                </w:rPr>
                <w:t>a</w:t>
              </w:r>
              <w:r>
                <w:rPr>
                  <w:color w:val="0000FF"/>
                  <w:spacing w:val="-2"/>
                  <w:u w:val="single"/>
                </w:rPr>
                <w:t>/</w:t>
              </w:r>
              <w:r>
                <w:rPr>
                  <w:color w:val="0000FF"/>
                  <w:spacing w:val="1"/>
                  <w:u w:val="single"/>
                </w:rPr>
                <w:t>li</w:t>
              </w:r>
              <w:r>
                <w:rPr>
                  <w:color w:val="0000FF"/>
                  <w:u w:val="single"/>
                </w:rPr>
                <w:t>bra</w:t>
              </w:r>
              <w:r>
                <w:rPr>
                  <w:color w:val="0000FF"/>
                  <w:spacing w:val="-3"/>
                  <w:u w:val="single"/>
                </w:rPr>
                <w:t>r</w:t>
              </w:r>
              <w:r>
                <w:rPr>
                  <w:color w:val="0000FF"/>
                  <w:spacing w:val="1"/>
                  <w:u w:val="single"/>
                </w:rPr>
                <w:t>y</w:t>
              </w:r>
              <w:r>
                <w:rPr>
                  <w:color w:val="0000FF"/>
                  <w:u w:val="single"/>
                </w:rPr>
                <w:t>/</w:t>
              </w:r>
              <w:r>
                <w:rPr>
                  <w:color w:val="0000FF"/>
                  <w:spacing w:val="-2"/>
                  <w:u w:val="single"/>
                </w:rPr>
                <w:t>i</w:t>
              </w:r>
              <w:r>
                <w:rPr>
                  <w:color w:val="0000FF"/>
                  <w:u w:val="single"/>
                </w:rPr>
                <w:t>nfo/data</w:t>
              </w:r>
              <w:r>
                <w:rPr>
                  <w:color w:val="0000FF"/>
                  <w:spacing w:val="-2"/>
                  <w:u w:val="single"/>
                </w:rPr>
                <w:t>b</w:t>
              </w:r>
              <w:r>
                <w:rPr>
                  <w:color w:val="0000FF"/>
                  <w:u w:val="single"/>
                </w:rPr>
                <w:t>a</w:t>
              </w:r>
              <w:r>
                <w:rPr>
                  <w:color w:val="0000FF"/>
                  <w:spacing w:val="1"/>
                  <w:u w:val="single"/>
                </w:rPr>
                <w:t>s</w:t>
              </w:r>
              <w:r>
                <w:rPr>
                  <w:color w:val="0000FF"/>
                  <w:spacing w:val="-2"/>
                  <w:u w:val="single"/>
                </w:rPr>
                <w:t>e</w:t>
              </w:r>
              <w:r>
                <w:rPr>
                  <w:color w:val="0000FF"/>
                  <w:spacing w:val="1"/>
                  <w:u w:val="single"/>
                </w:rPr>
                <w:t>s</w:t>
              </w:r>
              <w:r>
                <w:rPr>
                  <w:color w:val="0000FF"/>
                  <w:u w:val="single"/>
                </w:rPr>
                <w:t>/</w:t>
              </w:r>
              <w:r>
                <w:rPr>
                  <w:color w:val="0000FF"/>
                  <w:spacing w:val="1"/>
                  <w:u w:val="single"/>
                </w:rPr>
                <w:t>c</w:t>
              </w:r>
              <w:r>
                <w:rPr>
                  <w:color w:val="0000FF"/>
                  <w:u w:val="single"/>
                </w:rPr>
                <w:t>a</w:t>
              </w:r>
              <w:r>
                <w:rPr>
                  <w:color w:val="0000FF"/>
                  <w:spacing w:val="-2"/>
                  <w:u w:val="single"/>
                </w:rPr>
                <w:t>b</w:t>
              </w:r>
              <w:r>
                <w:rPr>
                  <w:color w:val="0000FF"/>
                  <w:u w:val="single"/>
                </w:rPr>
                <w:t>ot.h</w:t>
              </w:r>
              <w:r>
                <w:rPr>
                  <w:color w:val="0000FF"/>
                </w:rPr>
                <w:t xml:space="preserve"> </w:t>
              </w:r>
            </w:hyperlink>
            <w:hyperlink r:id="rId52" w:history="1">
              <w:r>
                <w:rPr>
                  <w:color w:val="0000FF"/>
                  <w:u w:val="single"/>
                </w:rPr>
                <w:t>tm</w:t>
              </w:r>
              <w:r>
                <w:rPr>
                  <w:color w:val="0000FF"/>
                </w:rPr>
                <w:t>l</w:t>
              </w:r>
            </w:hyperlink>
          </w:p>
          <w:p w:rsidR="001C0B02" w:rsidRDefault="001C0B02" w:rsidP="001C0B02"/>
        </w:tc>
      </w:tr>
      <w:tr w:rsidR="001C0B02" w:rsidTr="001C0B02">
        <w:tc>
          <w:tcPr>
            <w:tcW w:w="3093" w:type="dxa"/>
          </w:tcPr>
          <w:p w:rsidR="001C0B02" w:rsidRPr="004E760F" w:rsidRDefault="001C0B02" w:rsidP="001C0B02">
            <w:r>
              <w:rPr>
                <w:spacing w:val="-1"/>
              </w:rPr>
              <w:t>C</w:t>
            </w:r>
            <w:r>
              <w:t xml:space="preserve">entre for </w:t>
            </w:r>
            <w:r>
              <w:rPr>
                <w:spacing w:val="-1"/>
              </w:rPr>
              <w:t>H</w:t>
            </w:r>
            <w:r>
              <w:t>ea</w:t>
            </w:r>
            <w:r>
              <w:rPr>
                <w:spacing w:val="1"/>
              </w:rPr>
              <w:t>l</w:t>
            </w:r>
            <w:r>
              <w:rPr>
                <w:spacing w:val="-2"/>
              </w:rPr>
              <w:t>t</w:t>
            </w:r>
            <w:r>
              <w:t xml:space="preserve">h </w:t>
            </w:r>
            <w:r>
              <w:rPr>
                <w:spacing w:val="-1"/>
              </w:rPr>
              <w:t>E</w:t>
            </w:r>
            <w:r>
              <w:rPr>
                <w:spacing w:val="1"/>
              </w:rPr>
              <w:t>c</w:t>
            </w:r>
            <w:r>
              <w:t>o</w:t>
            </w:r>
            <w:r>
              <w:rPr>
                <w:spacing w:val="-2"/>
              </w:rPr>
              <w:t>n</w:t>
            </w:r>
            <w:r>
              <w:t>om</w:t>
            </w:r>
            <w:r>
              <w:rPr>
                <w:spacing w:val="-2"/>
              </w:rPr>
              <w:t>i</w:t>
            </w:r>
            <w:r>
              <w:rPr>
                <w:spacing w:val="1"/>
              </w:rPr>
              <w:t>c</w:t>
            </w:r>
            <w:r>
              <w:t>s</w:t>
            </w:r>
            <w:r>
              <w:rPr>
                <w:spacing w:val="-2"/>
              </w:rPr>
              <w:t xml:space="preserve"> </w:t>
            </w:r>
            <w:r>
              <w:t xml:space="preserve">and </w:t>
            </w:r>
            <w:r>
              <w:rPr>
                <w:spacing w:val="-1"/>
              </w:rPr>
              <w:t>P</w:t>
            </w:r>
            <w:r>
              <w:t>o</w:t>
            </w:r>
            <w:r>
              <w:rPr>
                <w:spacing w:val="1"/>
              </w:rPr>
              <w:t>l</w:t>
            </w:r>
            <w:r>
              <w:rPr>
                <w:spacing w:val="-2"/>
              </w:rPr>
              <w:t>i</w:t>
            </w:r>
            <w:r>
              <w:rPr>
                <w:spacing w:val="1"/>
              </w:rPr>
              <w:t>c</w:t>
            </w:r>
            <w:r>
              <w:t>y</w:t>
            </w:r>
            <w:r>
              <w:rPr>
                <w:spacing w:val="1"/>
              </w:rPr>
              <w:t xml:space="preserve"> </w:t>
            </w:r>
            <w:r>
              <w:rPr>
                <w:spacing w:val="-1"/>
              </w:rPr>
              <w:t>A</w:t>
            </w:r>
            <w:r>
              <w:t>n</w:t>
            </w:r>
            <w:r>
              <w:rPr>
                <w:spacing w:val="-2"/>
              </w:rPr>
              <w:t>a</w:t>
            </w:r>
            <w:r>
              <w:rPr>
                <w:spacing w:val="1"/>
              </w:rPr>
              <w:t>l</w:t>
            </w:r>
            <w:r>
              <w:rPr>
                <w:spacing w:val="-2"/>
              </w:rPr>
              <w:t>y</w:t>
            </w:r>
            <w:r>
              <w:rPr>
                <w:spacing w:val="1"/>
              </w:rPr>
              <w:t>si</w:t>
            </w:r>
            <w:r>
              <w:t>s (</w:t>
            </w:r>
            <w:r>
              <w:rPr>
                <w:spacing w:val="-1"/>
              </w:rPr>
              <w:t>CHEPA</w:t>
            </w:r>
            <w:r>
              <w:t xml:space="preserve">), </w:t>
            </w:r>
            <w:r>
              <w:lastRenderedPageBreak/>
              <w:t>M</w:t>
            </w:r>
            <w:r>
              <w:rPr>
                <w:spacing w:val="1"/>
              </w:rPr>
              <w:t>c</w:t>
            </w:r>
            <w:r>
              <w:t>Ma</w:t>
            </w:r>
            <w:r>
              <w:rPr>
                <w:spacing w:val="1"/>
              </w:rPr>
              <w:t>s</w:t>
            </w:r>
            <w:r>
              <w:t xml:space="preserve">ter </w:t>
            </w:r>
            <w:r>
              <w:rPr>
                <w:spacing w:val="-1"/>
              </w:rPr>
              <w:t>U</w:t>
            </w:r>
            <w:r>
              <w:rPr>
                <w:spacing w:val="-2"/>
              </w:rPr>
              <w:t>n</w:t>
            </w:r>
            <w:r>
              <w:rPr>
                <w:spacing w:val="1"/>
              </w:rPr>
              <w:t>iv</w:t>
            </w:r>
            <w:r>
              <w:t>e</w:t>
            </w:r>
            <w:r>
              <w:rPr>
                <w:spacing w:val="-3"/>
              </w:rPr>
              <w:t>r</w:t>
            </w:r>
            <w:r>
              <w:rPr>
                <w:spacing w:val="1"/>
              </w:rPr>
              <w:t>si</w:t>
            </w:r>
            <w:r>
              <w:rPr>
                <w:spacing w:val="-2"/>
              </w:rPr>
              <w:t>t</w:t>
            </w:r>
            <w:r>
              <w:t>y</w:t>
            </w:r>
          </w:p>
        </w:tc>
        <w:tc>
          <w:tcPr>
            <w:tcW w:w="6215" w:type="dxa"/>
          </w:tcPr>
          <w:p w:rsidR="001C0B02" w:rsidRDefault="001C0B02" w:rsidP="001C0B02">
            <w:hyperlink r:id="rId53" w:tooltip="Centre for Health Economics and Policy Analysis" w:history="1">
              <w:r>
                <w:rPr>
                  <w:color w:val="0000FF"/>
                  <w:u w:val="single"/>
                </w:rPr>
                <w:t>http://</w:t>
              </w:r>
              <w:r>
                <w:rPr>
                  <w:color w:val="0000FF"/>
                  <w:spacing w:val="-1"/>
                  <w:u w:val="single"/>
                </w:rPr>
                <w:t>www</w:t>
              </w:r>
              <w:r>
                <w:rPr>
                  <w:color w:val="0000FF"/>
                  <w:u w:val="single"/>
                </w:rPr>
                <w:t>.</w:t>
              </w:r>
              <w:r>
                <w:rPr>
                  <w:color w:val="0000FF"/>
                  <w:spacing w:val="1"/>
                  <w:u w:val="single"/>
                </w:rPr>
                <w:t>c</w:t>
              </w:r>
              <w:r>
                <w:rPr>
                  <w:color w:val="0000FF"/>
                  <w:u w:val="single"/>
                </w:rPr>
                <w:t>hepa</w:t>
              </w:r>
              <w:r>
                <w:rPr>
                  <w:color w:val="0000FF"/>
                  <w:spacing w:val="-2"/>
                  <w:u w:val="single"/>
                </w:rPr>
                <w:t>.</w:t>
              </w:r>
              <w:r>
                <w:rPr>
                  <w:color w:val="0000FF"/>
                  <w:u w:val="single"/>
                </w:rPr>
                <w:t>org</w:t>
              </w:r>
            </w:hyperlink>
          </w:p>
          <w:p w:rsidR="001C0B02" w:rsidRDefault="001C0B02" w:rsidP="001C0B02"/>
        </w:tc>
      </w:tr>
      <w:tr w:rsidR="001C0B02" w:rsidTr="001C0B02">
        <w:tc>
          <w:tcPr>
            <w:tcW w:w="3093" w:type="dxa"/>
          </w:tcPr>
          <w:p w:rsidR="001C0B02" w:rsidRDefault="001C0B02" w:rsidP="001C0B02">
            <w:pPr>
              <w:rPr>
                <w:spacing w:val="-1"/>
              </w:rPr>
            </w:pPr>
            <w:r>
              <w:rPr>
                <w:spacing w:val="-1"/>
              </w:rPr>
              <w:lastRenderedPageBreak/>
              <w:t>C</w:t>
            </w:r>
            <w:r>
              <w:t xml:space="preserve">entre for </w:t>
            </w:r>
            <w:r>
              <w:rPr>
                <w:spacing w:val="-1"/>
              </w:rPr>
              <w:t>H</w:t>
            </w:r>
            <w:r>
              <w:t>ea</w:t>
            </w:r>
            <w:r>
              <w:rPr>
                <w:spacing w:val="1"/>
              </w:rPr>
              <w:t>l</w:t>
            </w:r>
            <w:r>
              <w:rPr>
                <w:spacing w:val="-2"/>
              </w:rPr>
              <w:t>t</w:t>
            </w:r>
            <w:r>
              <w:t xml:space="preserve">h </w:t>
            </w:r>
            <w:r>
              <w:rPr>
                <w:spacing w:val="-1"/>
              </w:rPr>
              <w:t>S</w:t>
            </w:r>
            <w:r>
              <w:t>er</w:t>
            </w:r>
            <w:r>
              <w:rPr>
                <w:spacing w:val="1"/>
              </w:rPr>
              <w:t>v</w:t>
            </w:r>
            <w:r>
              <w:rPr>
                <w:spacing w:val="-2"/>
              </w:rPr>
              <w:t>i</w:t>
            </w:r>
            <w:r>
              <w:rPr>
                <w:spacing w:val="1"/>
              </w:rPr>
              <w:t>c</w:t>
            </w:r>
            <w:r>
              <w:t>es</w:t>
            </w:r>
            <w:r>
              <w:rPr>
                <w:spacing w:val="-2"/>
              </w:rPr>
              <w:t xml:space="preserve"> </w:t>
            </w:r>
            <w:r>
              <w:t>a</w:t>
            </w:r>
            <w:r>
              <w:rPr>
                <w:spacing w:val="-2"/>
              </w:rPr>
              <w:t>n</w:t>
            </w:r>
            <w:r>
              <w:t xml:space="preserve">d </w:t>
            </w:r>
            <w:r>
              <w:rPr>
                <w:spacing w:val="-1"/>
              </w:rPr>
              <w:t>P</w:t>
            </w:r>
            <w:r>
              <w:t>o</w:t>
            </w:r>
            <w:r>
              <w:rPr>
                <w:spacing w:val="1"/>
              </w:rPr>
              <w:t>li</w:t>
            </w:r>
            <w:r>
              <w:rPr>
                <w:spacing w:val="-2"/>
              </w:rPr>
              <w:t>c</w:t>
            </w:r>
            <w:r>
              <w:t>y</w:t>
            </w:r>
            <w:r>
              <w:rPr>
                <w:spacing w:val="1"/>
              </w:rPr>
              <w:t xml:space="preserve"> </w:t>
            </w:r>
            <w:r>
              <w:rPr>
                <w:spacing w:val="-1"/>
              </w:rPr>
              <w:t>R</w:t>
            </w:r>
            <w:r>
              <w:t>e</w:t>
            </w:r>
            <w:r>
              <w:rPr>
                <w:spacing w:val="1"/>
              </w:rPr>
              <w:t>s</w:t>
            </w:r>
            <w:r>
              <w:rPr>
                <w:spacing w:val="-2"/>
              </w:rPr>
              <w:t>e</w:t>
            </w:r>
            <w:r>
              <w:t>ar</w:t>
            </w:r>
            <w:r>
              <w:rPr>
                <w:spacing w:val="1"/>
              </w:rPr>
              <w:t xml:space="preserve">ch </w:t>
            </w:r>
            <w:r>
              <w:rPr>
                <w:position w:val="-1"/>
              </w:rPr>
              <w:t>(</w:t>
            </w:r>
            <w:r>
              <w:rPr>
                <w:spacing w:val="-1"/>
                <w:position w:val="-1"/>
              </w:rPr>
              <w:t>CHSPR</w:t>
            </w:r>
            <w:r>
              <w:rPr>
                <w:position w:val="-1"/>
              </w:rPr>
              <w:t xml:space="preserve">), </w:t>
            </w:r>
            <w:r>
              <w:rPr>
                <w:spacing w:val="-1"/>
                <w:position w:val="-1"/>
              </w:rPr>
              <w:t>U</w:t>
            </w:r>
            <w:r>
              <w:rPr>
                <w:position w:val="-1"/>
              </w:rPr>
              <w:t>n</w:t>
            </w:r>
            <w:r>
              <w:rPr>
                <w:spacing w:val="1"/>
                <w:position w:val="-1"/>
              </w:rPr>
              <w:t>iv</w:t>
            </w:r>
            <w:r>
              <w:rPr>
                <w:position w:val="-1"/>
              </w:rPr>
              <w:t>er</w:t>
            </w:r>
            <w:r>
              <w:rPr>
                <w:spacing w:val="1"/>
                <w:position w:val="-1"/>
              </w:rPr>
              <w:t>si</w:t>
            </w:r>
            <w:r>
              <w:rPr>
                <w:position w:val="-1"/>
              </w:rPr>
              <w:t>ty</w:t>
            </w:r>
            <w:r>
              <w:rPr>
                <w:spacing w:val="1"/>
                <w:position w:val="-1"/>
              </w:rPr>
              <w:t xml:space="preserve"> </w:t>
            </w:r>
            <w:r>
              <w:rPr>
                <w:spacing w:val="-2"/>
                <w:position w:val="-1"/>
              </w:rPr>
              <w:t>o</w:t>
            </w:r>
            <w:r>
              <w:rPr>
                <w:position w:val="-1"/>
              </w:rPr>
              <w:t xml:space="preserve">f </w:t>
            </w:r>
            <w:r>
              <w:rPr>
                <w:spacing w:val="-1"/>
                <w:position w:val="-1"/>
              </w:rPr>
              <w:t>B</w:t>
            </w:r>
            <w:r>
              <w:rPr>
                <w:position w:val="-1"/>
              </w:rPr>
              <w:t>r</w:t>
            </w:r>
            <w:r>
              <w:rPr>
                <w:spacing w:val="1"/>
                <w:position w:val="-1"/>
              </w:rPr>
              <w:t>i</w:t>
            </w:r>
            <w:r>
              <w:rPr>
                <w:position w:val="-1"/>
              </w:rPr>
              <w:t>t</w:t>
            </w:r>
            <w:r>
              <w:rPr>
                <w:spacing w:val="-2"/>
                <w:position w:val="-1"/>
              </w:rPr>
              <w:t>i</w:t>
            </w:r>
            <w:r>
              <w:rPr>
                <w:spacing w:val="1"/>
                <w:position w:val="-1"/>
              </w:rPr>
              <w:t>s</w:t>
            </w:r>
            <w:r>
              <w:rPr>
                <w:position w:val="-1"/>
              </w:rPr>
              <w:t>h</w:t>
            </w:r>
            <w:r>
              <w:rPr>
                <w:spacing w:val="-2"/>
                <w:position w:val="-1"/>
              </w:rPr>
              <w:t xml:space="preserve"> </w:t>
            </w:r>
            <w:r>
              <w:rPr>
                <w:spacing w:val="-1"/>
                <w:position w:val="-1"/>
              </w:rPr>
              <w:t>C</w:t>
            </w:r>
            <w:r>
              <w:rPr>
                <w:position w:val="-1"/>
              </w:rPr>
              <w:t>o</w:t>
            </w:r>
            <w:r>
              <w:rPr>
                <w:spacing w:val="1"/>
                <w:position w:val="-1"/>
              </w:rPr>
              <w:t>l</w:t>
            </w:r>
            <w:r>
              <w:rPr>
                <w:position w:val="-1"/>
              </w:rPr>
              <w:t>umb</w:t>
            </w:r>
            <w:r>
              <w:rPr>
                <w:spacing w:val="1"/>
                <w:position w:val="-1"/>
              </w:rPr>
              <w:t>ia</w:t>
            </w:r>
          </w:p>
        </w:tc>
        <w:tc>
          <w:tcPr>
            <w:tcW w:w="6215" w:type="dxa"/>
          </w:tcPr>
          <w:p w:rsidR="001C0B02" w:rsidRDefault="001C0B02" w:rsidP="001C0B02">
            <w:pPr>
              <w:pStyle w:val="Default"/>
            </w:pPr>
            <w:hyperlink r:id="rId54" w:tooltip="Centre for Health Services and Policy Research (CHSPR), University of British Columbia" w:history="1">
              <w:r w:rsidRPr="00AF0420">
                <w:rPr>
                  <w:rStyle w:val="Hyperlink"/>
                  <w:sz w:val="22"/>
                  <w:szCs w:val="22"/>
                </w:rPr>
                <w:t>http://www.chspr.ubc.ca</w:t>
              </w:r>
            </w:hyperlink>
            <w:r>
              <w:rPr>
                <w:color w:val="0000FF"/>
                <w:sz w:val="22"/>
                <w:szCs w:val="22"/>
              </w:rPr>
              <w:t xml:space="preserve"> </w:t>
            </w:r>
          </w:p>
          <w:p w:rsidR="001C0B02" w:rsidRDefault="001C0B02" w:rsidP="001C0B02"/>
        </w:tc>
      </w:tr>
      <w:tr w:rsidR="001C0B02" w:rsidTr="001C0B02">
        <w:tc>
          <w:tcPr>
            <w:tcW w:w="3093" w:type="dxa"/>
          </w:tcPr>
          <w:p w:rsidR="001C0B02" w:rsidRDefault="001C0B02" w:rsidP="001C0B02">
            <w:pPr>
              <w:rPr>
                <w:spacing w:val="-1"/>
              </w:rPr>
            </w:pPr>
            <w:r>
              <w:rPr>
                <w:spacing w:val="-1"/>
              </w:rPr>
              <w:t>H</w:t>
            </w:r>
            <w:r>
              <w:t>ea</w:t>
            </w:r>
            <w:r>
              <w:rPr>
                <w:spacing w:val="1"/>
              </w:rPr>
              <w:t>l</w:t>
            </w:r>
            <w:r>
              <w:t xml:space="preserve">th </w:t>
            </w:r>
            <w:r>
              <w:rPr>
                <w:spacing w:val="-1"/>
              </w:rPr>
              <w:t>U</w:t>
            </w:r>
            <w:r>
              <w:t>t</w:t>
            </w:r>
            <w:r>
              <w:rPr>
                <w:spacing w:val="1"/>
              </w:rPr>
              <w:t>i</w:t>
            </w:r>
            <w:r>
              <w:rPr>
                <w:spacing w:val="-2"/>
              </w:rPr>
              <w:t>l</w:t>
            </w:r>
            <w:r>
              <w:rPr>
                <w:spacing w:val="1"/>
              </w:rPr>
              <w:t>i</w:t>
            </w:r>
            <w:r>
              <w:t>t</w:t>
            </w:r>
            <w:r>
              <w:rPr>
                <w:spacing w:val="1"/>
              </w:rPr>
              <w:t>i</w:t>
            </w:r>
            <w:r>
              <w:rPr>
                <w:spacing w:val="-2"/>
              </w:rPr>
              <w:t>e</w:t>
            </w:r>
            <w:r>
              <w:t>s</w:t>
            </w:r>
            <w:r>
              <w:rPr>
                <w:spacing w:val="1"/>
              </w:rPr>
              <w:t xml:space="preserve"> </w:t>
            </w:r>
            <w:r>
              <w:t>Ind</w:t>
            </w:r>
            <w:r>
              <w:rPr>
                <w:spacing w:val="-2"/>
              </w:rPr>
              <w:t>e</w:t>
            </w:r>
            <w:r>
              <w:t>x</w:t>
            </w:r>
            <w:r>
              <w:rPr>
                <w:spacing w:val="1"/>
              </w:rPr>
              <w:t xml:space="preserve"> </w:t>
            </w:r>
            <w:r>
              <w:t>(</w:t>
            </w:r>
            <w:r>
              <w:rPr>
                <w:spacing w:val="-1"/>
              </w:rPr>
              <w:t>HU</w:t>
            </w:r>
            <w:r>
              <w:t xml:space="preserve">I) </w:t>
            </w:r>
          </w:p>
        </w:tc>
        <w:tc>
          <w:tcPr>
            <w:tcW w:w="6215" w:type="dxa"/>
          </w:tcPr>
          <w:p w:rsidR="001C0B02" w:rsidRDefault="001C0B02" w:rsidP="001C0B02">
            <w:hyperlink r:id="rId55" w:tooltip="Centre for Health Services and Policy Research" w:history="1">
              <w:r>
                <w:rPr>
                  <w:color w:val="0000FF"/>
                  <w:u w:val="single"/>
                </w:rPr>
                <w:t>http://</w:t>
              </w:r>
              <w:r>
                <w:rPr>
                  <w:color w:val="0000FF"/>
                  <w:spacing w:val="-1"/>
                  <w:u w:val="single"/>
                </w:rPr>
                <w:t>www</w:t>
              </w:r>
              <w:r>
                <w:rPr>
                  <w:color w:val="0000FF"/>
                  <w:u w:val="single"/>
                </w:rPr>
                <w:t>.fh</w:t>
              </w:r>
              <w:r>
                <w:rPr>
                  <w:color w:val="0000FF"/>
                  <w:spacing w:val="1"/>
                  <w:u w:val="single"/>
                </w:rPr>
                <w:t>s</w:t>
              </w:r>
              <w:r>
                <w:rPr>
                  <w:color w:val="0000FF"/>
                  <w:u w:val="single"/>
                </w:rPr>
                <w:t>.</w:t>
              </w:r>
              <w:r>
                <w:rPr>
                  <w:color w:val="0000FF"/>
                  <w:spacing w:val="-2"/>
                  <w:u w:val="single"/>
                </w:rPr>
                <w:t>m</w:t>
              </w:r>
              <w:r>
                <w:rPr>
                  <w:color w:val="0000FF"/>
                  <w:spacing w:val="1"/>
                  <w:u w:val="single"/>
                </w:rPr>
                <w:t>c</w:t>
              </w:r>
              <w:r>
                <w:rPr>
                  <w:color w:val="0000FF"/>
                  <w:u w:val="single"/>
                </w:rPr>
                <w:t>m</w:t>
              </w:r>
              <w:r>
                <w:rPr>
                  <w:color w:val="0000FF"/>
                  <w:spacing w:val="-2"/>
                  <w:u w:val="single"/>
                </w:rPr>
                <w:t>a</w:t>
              </w:r>
              <w:r>
                <w:rPr>
                  <w:color w:val="0000FF"/>
                  <w:spacing w:val="1"/>
                  <w:u w:val="single"/>
                </w:rPr>
                <w:t>s</w:t>
              </w:r>
              <w:r>
                <w:rPr>
                  <w:color w:val="0000FF"/>
                  <w:u w:val="single"/>
                </w:rPr>
                <w:t>ter.</w:t>
              </w:r>
              <w:r>
                <w:rPr>
                  <w:color w:val="0000FF"/>
                  <w:spacing w:val="-2"/>
                  <w:u w:val="single"/>
                </w:rPr>
                <w:t>c</w:t>
              </w:r>
              <w:r>
                <w:rPr>
                  <w:color w:val="0000FF"/>
                  <w:u w:val="single"/>
                </w:rPr>
                <w:t>a/</w:t>
              </w:r>
              <w:r>
                <w:rPr>
                  <w:color w:val="0000FF"/>
                  <w:spacing w:val="-2"/>
                  <w:u w:val="single"/>
                </w:rPr>
                <w:t>h</w:t>
              </w:r>
              <w:r>
                <w:rPr>
                  <w:color w:val="0000FF"/>
                  <w:u w:val="single"/>
                </w:rPr>
                <w:t>ug/</w:t>
              </w:r>
              <w:r>
                <w:rPr>
                  <w:color w:val="0000FF"/>
                  <w:spacing w:val="1"/>
                  <w:u w:val="single"/>
                </w:rPr>
                <w:t>i</w:t>
              </w:r>
              <w:r>
                <w:rPr>
                  <w:color w:val="0000FF"/>
                  <w:u w:val="single"/>
                </w:rPr>
                <w:t>nd</w:t>
              </w:r>
              <w:r>
                <w:rPr>
                  <w:color w:val="0000FF"/>
                  <w:spacing w:val="-2"/>
                  <w:u w:val="single"/>
                </w:rPr>
                <w:t>e</w:t>
              </w:r>
              <w:r>
                <w:rPr>
                  <w:color w:val="0000FF"/>
                  <w:spacing w:val="1"/>
                  <w:u w:val="single"/>
                </w:rPr>
                <w:t>x</w:t>
              </w:r>
              <w:r>
                <w:rPr>
                  <w:color w:val="0000FF"/>
                  <w:u w:val="single"/>
                </w:rPr>
                <w:t>.h</w:t>
              </w:r>
              <w:r>
                <w:rPr>
                  <w:color w:val="0000FF"/>
                  <w:spacing w:val="-2"/>
                  <w:u w:val="single"/>
                </w:rPr>
                <w:t>t</w:t>
              </w:r>
              <w:r>
                <w:rPr>
                  <w:color w:val="0000FF"/>
                  <w:u w:val="single"/>
                </w:rPr>
                <w:t>m</w:t>
              </w:r>
            </w:hyperlink>
          </w:p>
          <w:p w:rsidR="001C0B02" w:rsidRDefault="001C0B02" w:rsidP="001C0B02"/>
        </w:tc>
      </w:tr>
      <w:tr w:rsidR="001C0B02" w:rsidTr="001C0B02">
        <w:tc>
          <w:tcPr>
            <w:tcW w:w="3093" w:type="dxa"/>
          </w:tcPr>
          <w:p w:rsidR="001C0B02" w:rsidRDefault="001C0B02" w:rsidP="001C0B02">
            <w:pPr>
              <w:rPr>
                <w:spacing w:val="-1"/>
              </w:rPr>
            </w:pPr>
            <w:r>
              <w:t>In</w:t>
            </w:r>
            <w:r>
              <w:rPr>
                <w:spacing w:val="1"/>
              </w:rPr>
              <w:t>s</w:t>
            </w:r>
            <w:r>
              <w:t>t</w:t>
            </w:r>
            <w:r>
              <w:rPr>
                <w:spacing w:val="1"/>
              </w:rPr>
              <w:t>i</w:t>
            </w:r>
            <w:r>
              <w:t>tu</w:t>
            </w:r>
            <w:r>
              <w:rPr>
                <w:spacing w:val="-2"/>
              </w:rPr>
              <w:t>t</w:t>
            </w:r>
            <w:r>
              <w:t xml:space="preserve">e for </w:t>
            </w:r>
            <w:r>
              <w:rPr>
                <w:spacing w:val="-1"/>
              </w:rPr>
              <w:t>C</w:t>
            </w:r>
            <w:r>
              <w:rPr>
                <w:spacing w:val="1"/>
              </w:rPr>
              <w:t>l</w:t>
            </w:r>
            <w:r>
              <w:rPr>
                <w:spacing w:val="-2"/>
              </w:rPr>
              <w:t>i</w:t>
            </w:r>
            <w:r>
              <w:t>n</w:t>
            </w:r>
            <w:r>
              <w:rPr>
                <w:spacing w:val="1"/>
              </w:rPr>
              <w:t>i</w:t>
            </w:r>
            <w:r>
              <w:rPr>
                <w:spacing w:val="-2"/>
              </w:rPr>
              <w:t>c</w:t>
            </w:r>
            <w:r>
              <w:t>al</w:t>
            </w:r>
            <w:r>
              <w:rPr>
                <w:spacing w:val="1"/>
              </w:rPr>
              <w:t xml:space="preserve"> </w:t>
            </w:r>
            <w:r>
              <w:t>a</w:t>
            </w:r>
            <w:r>
              <w:rPr>
                <w:spacing w:val="-2"/>
              </w:rPr>
              <w:t>n</w:t>
            </w:r>
            <w:r>
              <w:t xml:space="preserve">d </w:t>
            </w:r>
            <w:r>
              <w:rPr>
                <w:spacing w:val="-1"/>
              </w:rPr>
              <w:t>E</w:t>
            </w:r>
            <w:r>
              <w:rPr>
                <w:spacing w:val="1"/>
              </w:rPr>
              <w:t>v</w:t>
            </w:r>
            <w:r>
              <w:t>a</w:t>
            </w:r>
            <w:r>
              <w:rPr>
                <w:spacing w:val="-2"/>
              </w:rPr>
              <w:t>lu</w:t>
            </w:r>
            <w:r>
              <w:t>at</w:t>
            </w:r>
            <w:r>
              <w:rPr>
                <w:spacing w:val="1"/>
              </w:rPr>
              <w:t>iv</w:t>
            </w:r>
            <w:r>
              <w:t xml:space="preserve">e </w:t>
            </w:r>
            <w:r>
              <w:rPr>
                <w:spacing w:val="-1"/>
              </w:rPr>
              <w:t>S</w:t>
            </w:r>
            <w:r>
              <w:t>t</w:t>
            </w:r>
            <w:r>
              <w:rPr>
                <w:spacing w:val="-2"/>
              </w:rPr>
              <w:t>u</w:t>
            </w:r>
            <w:r>
              <w:t>d</w:t>
            </w:r>
            <w:r>
              <w:rPr>
                <w:spacing w:val="1"/>
              </w:rPr>
              <w:t>i</w:t>
            </w:r>
            <w:r>
              <w:rPr>
                <w:spacing w:val="-2"/>
              </w:rPr>
              <w:t>e</w:t>
            </w:r>
            <w:r>
              <w:t>s</w:t>
            </w:r>
            <w:r>
              <w:rPr>
                <w:spacing w:val="1"/>
              </w:rPr>
              <w:t xml:space="preserve"> </w:t>
            </w:r>
            <w:r>
              <w:t>(I</w:t>
            </w:r>
            <w:r>
              <w:rPr>
                <w:spacing w:val="-1"/>
              </w:rPr>
              <w:t>CES</w:t>
            </w:r>
            <w:r>
              <w:t>)</w:t>
            </w:r>
          </w:p>
        </w:tc>
        <w:tc>
          <w:tcPr>
            <w:tcW w:w="6215" w:type="dxa"/>
          </w:tcPr>
          <w:p w:rsidR="001C0B02" w:rsidRDefault="001C0B02" w:rsidP="001C0B02">
            <w:hyperlink r:id="rId56" w:tooltip="Institute for Clinical and Evaluative Studies" w:history="1">
              <w:r>
                <w:rPr>
                  <w:color w:val="0000FF"/>
                  <w:u w:val="single"/>
                </w:rPr>
                <w:t>http://</w:t>
              </w:r>
              <w:r>
                <w:rPr>
                  <w:color w:val="0000FF"/>
                  <w:spacing w:val="-1"/>
                  <w:u w:val="single"/>
                </w:rPr>
                <w:t>www</w:t>
              </w:r>
              <w:r>
                <w:rPr>
                  <w:color w:val="0000FF"/>
                  <w:u w:val="single"/>
                </w:rPr>
                <w:t>.</w:t>
              </w:r>
              <w:r>
                <w:rPr>
                  <w:color w:val="0000FF"/>
                  <w:spacing w:val="1"/>
                  <w:u w:val="single"/>
                </w:rPr>
                <w:t>ic</w:t>
              </w:r>
              <w:r>
                <w:rPr>
                  <w:color w:val="0000FF"/>
                  <w:u w:val="single"/>
                </w:rPr>
                <w:t>e</w:t>
              </w:r>
              <w:r>
                <w:rPr>
                  <w:color w:val="0000FF"/>
                  <w:spacing w:val="-2"/>
                  <w:u w:val="single"/>
                </w:rPr>
                <w:t>s</w:t>
              </w:r>
              <w:r>
                <w:rPr>
                  <w:color w:val="0000FF"/>
                  <w:u w:val="single"/>
                </w:rPr>
                <w:t>.on.</w:t>
              </w:r>
              <w:r>
                <w:rPr>
                  <w:color w:val="0000FF"/>
                  <w:spacing w:val="-2"/>
                  <w:u w:val="single"/>
                </w:rPr>
                <w:t>c</w:t>
              </w:r>
              <w:r>
                <w:rPr>
                  <w:color w:val="0000FF"/>
                  <w:u w:val="single"/>
                </w:rPr>
                <w:t>a</w:t>
              </w:r>
              <w:r>
                <w:rPr>
                  <w:color w:val="0000FF"/>
                </w:rPr>
                <w:t xml:space="preserve"> </w:t>
              </w:r>
            </w:hyperlink>
          </w:p>
        </w:tc>
      </w:tr>
      <w:tr w:rsidR="001C0B02" w:rsidTr="001C0B02">
        <w:tc>
          <w:tcPr>
            <w:tcW w:w="3093" w:type="dxa"/>
          </w:tcPr>
          <w:p w:rsidR="001C0B02" w:rsidRDefault="001C0B02" w:rsidP="001C0B02">
            <w:pPr>
              <w:rPr>
                <w:spacing w:val="-1"/>
              </w:rPr>
            </w:pPr>
            <w:r>
              <w:rPr>
                <w:spacing w:val="-1"/>
              </w:rPr>
              <w:t>S</w:t>
            </w:r>
            <w:r>
              <w:t>a</w:t>
            </w:r>
            <w:r>
              <w:rPr>
                <w:spacing w:val="1"/>
              </w:rPr>
              <w:t>sk</w:t>
            </w:r>
            <w:r>
              <w:t>a</w:t>
            </w:r>
            <w:r>
              <w:rPr>
                <w:spacing w:val="-2"/>
              </w:rPr>
              <w:t>t</w:t>
            </w:r>
            <w:r>
              <w:rPr>
                <w:spacing w:val="1"/>
              </w:rPr>
              <w:t>c</w:t>
            </w:r>
            <w:r>
              <w:t>he</w:t>
            </w:r>
            <w:r>
              <w:rPr>
                <w:spacing w:val="-1"/>
              </w:rPr>
              <w:t>w</w:t>
            </w:r>
            <w:r>
              <w:t xml:space="preserve">an </w:t>
            </w:r>
            <w:r>
              <w:rPr>
                <w:spacing w:val="-1"/>
              </w:rPr>
              <w:t>H</w:t>
            </w:r>
            <w:r>
              <w:t>e</w:t>
            </w:r>
            <w:r>
              <w:rPr>
                <w:spacing w:val="-2"/>
              </w:rPr>
              <w:t>a</w:t>
            </w:r>
            <w:r>
              <w:rPr>
                <w:spacing w:val="1"/>
              </w:rPr>
              <w:t>l</w:t>
            </w:r>
            <w:r>
              <w:t xml:space="preserve">th </w:t>
            </w:r>
            <w:r>
              <w:rPr>
                <w:spacing w:val="-2"/>
              </w:rPr>
              <w:t>Q</w:t>
            </w:r>
            <w:r>
              <w:t>ua</w:t>
            </w:r>
            <w:r>
              <w:rPr>
                <w:spacing w:val="1"/>
              </w:rPr>
              <w:t>l</w:t>
            </w:r>
            <w:r>
              <w:rPr>
                <w:spacing w:val="-2"/>
              </w:rPr>
              <w:t>i</w:t>
            </w:r>
            <w:r>
              <w:t>ty</w:t>
            </w:r>
            <w:r>
              <w:rPr>
                <w:spacing w:val="-2"/>
              </w:rPr>
              <w:t xml:space="preserve"> </w:t>
            </w:r>
            <w:r>
              <w:rPr>
                <w:spacing w:val="-1"/>
              </w:rPr>
              <w:t>C</w:t>
            </w:r>
            <w:r>
              <w:t>oun</w:t>
            </w:r>
            <w:r>
              <w:rPr>
                <w:spacing w:val="1"/>
              </w:rPr>
              <w:t>ci</w:t>
            </w:r>
            <w:r>
              <w:t>l</w:t>
            </w:r>
            <w:r>
              <w:rPr>
                <w:spacing w:val="1"/>
              </w:rPr>
              <w:t xml:space="preserve"> </w:t>
            </w:r>
            <w:r>
              <w:t>(</w:t>
            </w:r>
            <w:r>
              <w:rPr>
                <w:spacing w:val="-1"/>
              </w:rPr>
              <w:t>C</w:t>
            </w:r>
            <w:r>
              <w:rPr>
                <w:spacing w:val="-2"/>
              </w:rPr>
              <w:t>a</w:t>
            </w:r>
            <w:r>
              <w:t xml:space="preserve">nada)  </w:t>
            </w:r>
          </w:p>
        </w:tc>
        <w:tc>
          <w:tcPr>
            <w:tcW w:w="6215" w:type="dxa"/>
          </w:tcPr>
          <w:p w:rsidR="001C0B02" w:rsidRDefault="001C0B02" w:rsidP="001C0B02">
            <w:hyperlink r:id="rId57" w:tooltip="Saskatchewan Health Quality Council" w:history="1">
              <w:r>
                <w:rPr>
                  <w:color w:val="0000FF"/>
                  <w:u w:val="single"/>
                </w:rPr>
                <w:t>http://</w:t>
              </w:r>
              <w:r>
                <w:rPr>
                  <w:color w:val="0000FF"/>
                  <w:spacing w:val="-1"/>
                  <w:u w:val="single"/>
                </w:rPr>
                <w:t>www</w:t>
              </w:r>
              <w:r>
                <w:rPr>
                  <w:color w:val="0000FF"/>
                  <w:u w:val="single"/>
                </w:rPr>
                <w:t>.hq</w:t>
              </w:r>
              <w:r>
                <w:rPr>
                  <w:color w:val="0000FF"/>
                  <w:spacing w:val="1"/>
                  <w:u w:val="single"/>
                </w:rPr>
                <w:t>c</w:t>
              </w:r>
              <w:r>
                <w:rPr>
                  <w:color w:val="0000FF"/>
                  <w:u w:val="single"/>
                </w:rPr>
                <w:t>.</w:t>
              </w:r>
              <w:r>
                <w:rPr>
                  <w:color w:val="0000FF"/>
                  <w:spacing w:val="-2"/>
                  <w:u w:val="single"/>
                </w:rPr>
                <w:t>s</w:t>
              </w:r>
              <w:r>
                <w:rPr>
                  <w:color w:val="0000FF"/>
                  <w:spacing w:val="1"/>
                  <w:u w:val="single"/>
                </w:rPr>
                <w:t>k</w:t>
              </w:r>
              <w:r>
                <w:rPr>
                  <w:color w:val="0000FF"/>
                  <w:u w:val="single"/>
                </w:rPr>
                <w:t>.</w:t>
              </w:r>
              <w:r>
                <w:rPr>
                  <w:color w:val="0000FF"/>
                  <w:spacing w:val="-2"/>
                  <w:u w:val="single"/>
                </w:rPr>
                <w:t>c</w:t>
              </w:r>
              <w:r>
                <w:rPr>
                  <w:color w:val="0000FF"/>
                  <w:u w:val="single"/>
                </w:rPr>
                <w:t>a</w:t>
              </w:r>
              <w:r>
                <w:rPr>
                  <w:color w:val="0000FF"/>
                </w:rPr>
                <w:t xml:space="preserve"> </w:t>
              </w:r>
            </w:hyperlink>
          </w:p>
        </w:tc>
      </w:tr>
      <w:tr w:rsidR="001C0B02" w:rsidTr="001C0B02">
        <w:tc>
          <w:tcPr>
            <w:tcW w:w="3093" w:type="dxa"/>
          </w:tcPr>
          <w:p w:rsidR="001C0B02" w:rsidRDefault="001C0B02" w:rsidP="001C0B02">
            <w:r>
              <w:rPr>
                <w:spacing w:val="-1"/>
              </w:rPr>
              <w:t>D</w:t>
            </w:r>
            <w:r>
              <w:t>an</w:t>
            </w:r>
            <w:r>
              <w:rPr>
                <w:spacing w:val="1"/>
              </w:rPr>
              <w:t>is</w:t>
            </w:r>
            <w:r>
              <w:t xml:space="preserve">h </w:t>
            </w:r>
            <w:r>
              <w:rPr>
                <w:spacing w:val="-1"/>
              </w:rPr>
              <w:t>C</w:t>
            </w:r>
            <w:r>
              <w:t>ent</w:t>
            </w:r>
            <w:r>
              <w:rPr>
                <w:spacing w:val="-3"/>
              </w:rPr>
              <w:t>r</w:t>
            </w:r>
            <w:r>
              <w:t xml:space="preserve">e for </w:t>
            </w:r>
            <w:r>
              <w:rPr>
                <w:spacing w:val="-1"/>
              </w:rPr>
              <w:t>E</w:t>
            </w:r>
            <w:r>
              <w:rPr>
                <w:spacing w:val="1"/>
              </w:rPr>
              <w:t>v</w:t>
            </w:r>
            <w:r>
              <w:rPr>
                <w:spacing w:val="-2"/>
              </w:rPr>
              <w:t>a</w:t>
            </w:r>
            <w:r>
              <w:rPr>
                <w:spacing w:val="1"/>
              </w:rPr>
              <w:t>l</w:t>
            </w:r>
            <w:r>
              <w:t>ua</w:t>
            </w:r>
            <w:r>
              <w:rPr>
                <w:spacing w:val="-2"/>
              </w:rPr>
              <w:t>t</w:t>
            </w:r>
            <w:r>
              <w:rPr>
                <w:spacing w:val="1"/>
              </w:rPr>
              <w:t>i</w:t>
            </w:r>
            <w:r>
              <w:t>on</w:t>
            </w:r>
            <w:r>
              <w:rPr>
                <w:spacing w:val="-2"/>
              </w:rPr>
              <w:t xml:space="preserve"> </w:t>
            </w:r>
            <w:r>
              <w:t xml:space="preserve">and </w:t>
            </w:r>
            <w:r>
              <w:rPr>
                <w:spacing w:val="-1"/>
              </w:rPr>
              <w:t>H</w:t>
            </w:r>
            <w:r>
              <w:t>ea</w:t>
            </w:r>
            <w:r>
              <w:rPr>
                <w:spacing w:val="1"/>
              </w:rPr>
              <w:t>l</w:t>
            </w:r>
            <w:r>
              <w:t>th</w:t>
            </w:r>
          </w:p>
          <w:p w:rsidR="001C0B02" w:rsidRDefault="001C0B02" w:rsidP="001C0B02">
            <w:pPr>
              <w:rPr>
                <w:spacing w:val="-1"/>
              </w:rPr>
            </w:pPr>
            <w:r>
              <w:rPr>
                <w:position w:val="-1"/>
              </w:rPr>
              <w:t>Te</w:t>
            </w:r>
            <w:r>
              <w:rPr>
                <w:spacing w:val="1"/>
                <w:position w:val="-1"/>
              </w:rPr>
              <w:t>c</w:t>
            </w:r>
            <w:r>
              <w:rPr>
                <w:position w:val="-1"/>
              </w:rPr>
              <w:t>hn</w:t>
            </w:r>
            <w:r>
              <w:rPr>
                <w:spacing w:val="-2"/>
                <w:position w:val="-1"/>
              </w:rPr>
              <w:t>o</w:t>
            </w:r>
            <w:r>
              <w:rPr>
                <w:spacing w:val="1"/>
                <w:position w:val="-1"/>
              </w:rPr>
              <w:t>l</w:t>
            </w:r>
            <w:r>
              <w:rPr>
                <w:position w:val="-1"/>
              </w:rPr>
              <w:t>ogy</w:t>
            </w:r>
            <w:r>
              <w:rPr>
                <w:spacing w:val="1"/>
                <w:position w:val="-1"/>
              </w:rPr>
              <w:t xml:space="preserve"> </w:t>
            </w:r>
            <w:r>
              <w:rPr>
                <w:spacing w:val="-3"/>
                <w:position w:val="-1"/>
              </w:rPr>
              <w:t>A</w:t>
            </w:r>
            <w:r>
              <w:rPr>
                <w:spacing w:val="1"/>
                <w:position w:val="-1"/>
              </w:rPr>
              <w:t>ss</w:t>
            </w:r>
            <w:r>
              <w:rPr>
                <w:spacing w:val="-2"/>
                <w:position w:val="-1"/>
              </w:rPr>
              <w:t>e</w:t>
            </w:r>
            <w:r>
              <w:rPr>
                <w:spacing w:val="1"/>
                <w:position w:val="-1"/>
              </w:rPr>
              <w:t>ss</w:t>
            </w:r>
            <w:r>
              <w:rPr>
                <w:spacing w:val="-2"/>
                <w:position w:val="-1"/>
              </w:rPr>
              <w:t>m</w:t>
            </w:r>
            <w:r>
              <w:rPr>
                <w:position w:val="-1"/>
              </w:rPr>
              <w:t>ent (</w:t>
            </w:r>
            <w:r>
              <w:rPr>
                <w:spacing w:val="-1"/>
                <w:position w:val="-1"/>
              </w:rPr>
              <w:t>D</w:t>
            </w:r>
            <w:r>
              <w:rPr>
                <w:spacing w:val="-3"/>
                <w:position w:val="-1"/>
              </w:rPr>
              <w:t>A</w:t>
            </w:r>
            <w:r>
              <w:rPr>
                <w:spacing w:val="-1"/>
                <w:position w:val="-1"/>
              </w:rPr>
              <w:t>CEH</w:t>
            </w:r>
            <w:r>
              <w:rPr>
                <w:position w:val="-1"/>
              </w:rPr>
              <w:t>T</w:t>
            </w:r>
            <w:r>
              <w:rPr>
                <w:spacing w:val="-1"/>
                <w:position w:val="-1"/>
              </w:rPr>
              <w:t>A</w:t>
            </w:r>
            <w:r>
              <w:rPr>
                <w:position w:val="-1"/>
              </w:rPr>
              <w:t>)</w:t>
            </w:r>
          </w:p>
        </w:tc>
        <w:tc>
          <w:tcPr>
            <w:tcW w:w="6215" w:type="dxa"/>
          </w:tcPr>
          <w:p w:rsidR="001C0B02" w:rsidRDefault="001C0B02" w:rsidP="001C0B02">
            <w:hyperlink r:id="rId58" w:tooltip="Danish Centre for Evaluation and Health" w:history="1">
              <w:r>
                <w:rPr>
                  <w:color w:val="0000FF"/>
                  <w:position w:val="12"/>
                  <w:u w:val="single"/>
                </w:rPr>
                <w:t>http://</w:t>
              </w:r>
              <w:r>
                <w:rPr>
                  <w:color w:val="0000FF"/>
                  <w:spacing w:val="-1"/>
                  <w:position w:val="12"/>
                  <w:u w:val="single"/>
                </w:rPr>
                <w:t>www</w:t>
              </w:r>
              <w:r>
                <w:rPr>
                  <w:color w:val="0000FF"/>
                  <w:position w:val="12"/>
                  <w:u w:val="single"/>
                </w:rPr>
                <w:t>.</w:t>
              </w:r>
              <w:r>
                <w:rPr>
                  <w:color w:val="0000FF"/>
                  <w:spacing w:val="1"/>
                  <w:position w:val="12"/>
                  <w:u w:val="single"/>
                </w:rPr>
                <w:t>ss</w:t>
              </w:r>
              <w:r>
                <w:rPr>
                  <w:color w:val="0000FF"/>
                  <w:position w:val="12"/>
                  <w:u w:val="single"/>
                </w:rPr>
                <w:t>t.</w:t>
              </w:r>
              <w:r>
                <w:rPr>
                  <w:color w:val="0000FF"/>
                  <w:spacing w:val="-2"/>
                  <w:position w:val="12"/>
                  <w:u w:val="single"/>
                </w:rPr>
                <w:t>d</w:t>
              </w:r>
              <w:r>
                <w:rPr>
                  <w:color w:val="0000FF"/>
                  <w:spacing w:val="1"/>
                  <w:position w:val="12"/>
                  <w:u w:val="single"/>
                </w:rPr>
                <w:t>k</w:t>
              </w:r>
              <w:r>
                <w:rPr>
                  <w:color w:val="0000FF"/>
                  <w:position w:val="12"/>
                  <w:u w:val="single"/>
                </w:rPr>
                <w:t>/en</w:t>
              </w:r>
              <w:r>
                <w:rPr>
                  <w:color w:val="0000FF"/>
                  <w:spacing w:val="-2"/>
                  <w:position w:val="12"/>
                  <w:u w:val="single"/>
                </w:rPr>
                <w:t>g</w:t>
              </w:r>
              <w:r>
                <w:rPr>
                  <w:color w:val="0000FF"/>
                  <w:spacing w:val="1"/>
                  <w:position w:val="12"/>
                  <w:u w:val="single"/>
                </w:rPr>
                <w:t>li</w:t>
              </w:r>
              <w:r>
                <w:rPr>
                  <w:color w:val="0000FF"/>
                  <w:spacing w:val="-2"/>
                  <w:position w:val="12"/>
                  <w:u w:val="single"/>
                </w:rPr>
                <w:t>s</w:t>
              </w:r>
              <w:r>
                <w:rPr>
                  <w:color w:val="0000FF"/>
                  <w:position w:val="12"/>
                  <w:u w:val="single"/>
                </w:rPr>
                <w:t>h/d</w:t>
              </w:r>
              <w:r>
                <w:rPr>
                  <w:color w:val="0000FF"/>
                  <w:spacing w:val="-2"/>
                  <w:position w:val="12"/>
                  <w:u w:val="single"/>
                </w:rPr>
                <w:t>a</w:t>
              </w:r>
              <w:r>
                <w:rPr>
                  <w:color w:val="0000FF"/>
                  <w:spacing w:val="1"/>
                  <w:position w:val="12"/>
                  <w:u w:val="single"/>
                </w:rPr>
                <w:t>c</w:t>
              </w:r>
              <w:r>
                <w:rPr>
                  <w:color w:val="0000FF"/>
                  <w:spacing w:val="-2"/>
                  <w:position w:val="12"/>
                  <w:u w:val="single"/>
                </w:rPr>
                <w:t>e</w:t>
              </w:r>
              <w:r>
                <w:rPr>
                  <w:color w:val="0000FF"/>
                  <w:position w:val="12"/>
                  <w:u w:val="single"/>
                </w:rPr>
                <w:t>hta.a</w:t>
              </w:r>
              <w:r>
                <w:rPr>
                  <w:color w:val="0000FF"/>
                  <w:spacing w:val="1"/>
                  <w:position w:val="12"/>
                  <w:u w:val="single"/>
                </w:rPr>
                <w:t>s</w:t>
              </w:r>
              <w:r>
                <w:rPr>
                  <w:color w:val="0000FF"/>
                  <w:spacing w:val="-2"/>
                  <w:position w:val="12"/>
                  <w:u w:val="single"/>
                </w:rPr>
                <w:t>p</w:t>
              </w:r>
              <w:r>
                <w:rPr>
                  <w:color w:val="0000FF"/>
                  <w:spacing w:val="1"/>
                  <w:position w:val="12"/>
                  <w:u w:val="single"/>
                </w:rPr>
                <w:t>x</w:t>
              </w:r>
              <w:r>
                <w:rPr>
                  <w:color w:val="0000FF"/>
                  <w:position w:val="12"/>
                  <w:u w:val="single"/>
                </w:rPr>
                <w:t>?</w:t>
              </w:r>
              <w:r>
                <w:rPr>
                  <w:color w:val="0000FF"/>
                  <w:spacing w:val="-2"/>
                  <w:position w:val="12"/>
                  <w:u w:val="single"/>
                </w:rPr>
                <w:t>s</w:t>
              </w:r>
              <w:r>
                <w:rPr>
                  <w:color w:val="0000FF"/>
                  <w:spacing w:val="1"/>
                  <w:position w:val="12"/>
                  <w:u w:val="single"/>
                </w:rPr>
                <w:t>c</w:t>
              </w:r>
              <w:r>
                <w:rPr>
                  <w:color w:val="0000FF"/>
                  <w:position w:val="12"/>
                  <w:u w:val="single"/>
                </w:rPr>
                <w:t>_</w:t>
              </w:r>
              <w:r>
                <w:rPr>
                  <w:color w:val="0000FF"/>
                  <w:spacing w:val="1"/>
                  <w:position w:val="12"/>
                  <w:u w:val="single"/>
                </w:rPr>
                <w:t>l</w:t>
              </w:r>
              <w:r>
                <w:rPr>
                  <w:color w:val="0000FF"/>
                  <w:spacing w:val="-2"/>
                  <w:position w:val="12"/>
                  <w:u w:val="single"/>
                </w:rPr>
                <w:t>a</w:t>
              </w:r>
              <w:r>
                <w:rPr>
                  <w:color w:val="0000FF"/>
                  <w:position w:val="12"/>
                  <w:u w:val="single"/>
                </w:rPr>
                <w:t>ng=en</w:t>
              </w:r>
            </w:hyperlink>
          </w:p>
          <w:p w:rsidR="001C0B02" w:rsidRDefault="001C0B02" w:rsidP="001C0B02"/>
        </w:tc>
      </w:tr>
      <w:tr w:rsidR="001C0B02" w:rsidTr="001C0B02">
        <w:tc>
          <w:tcPr>
            <w:tcW w:w="3093" w:type="dxa"/>
          </w:tcPr>
          <w:p w:rsidR="001C0B02" w:rsidRDefault="001C0B02" w:rsidP="001C0B02">
            <w:pPr>
              <w:rPr>
                <w:spacing w:val="-1"/>
              </w:rPr>
            </w:pPr>
            <w:r>
              <w:rPr>
                <w:spacing w:val="-1"/>
              </w:rPr>
              <w:t>D</w:t>
            </w:r>
            <w:r>
              <w:t>an</w:t>
            </w:r>
            <w:r>
              <w:rPr>
                <w:spacing w:val="1"/>
              </w:rPr>
              <w:t>is</w:t>
            </w:r>
            <w:r>
              <w:t>h I</w:t>
            </w:r>
            <w:r>
              <w:rPr>
                <w:spacing w:val="-2"/>
              </w:rPr>
              <w:t>n</w:t>
            </w:r>
            <w:r>
              <w:rPr>
                <w:spacing w:val="1"/>
              </w:rPr>
              <w:t>s</w:t>
            </w:r>
            <w:r>
              <w:t>t</w:t>
            </w:r>
            <w:r>
              <w:rPr>
                <w:spacing w:val="1"/>
              </w:rPr>
              <w:t>i</w:t>
            </w:r>
            <w:r>
              <w:t>t</w:t>
            </w:r>
            <w:r>
              <w:rPr>
                <w:spacing w:val="-2"/>
              </w:rPr>
              <w:t>u</w:t>
            </w:r>
            <w:r>
              <w:t xml:space="preserve">te for </w:t>
            </w:r>
            <w:r>
              <w:rPr>
                <w:spacing w:val="-1"/>
              </w:rPr>
              <w:t>H</w:t>
            </w:r>
            <w:r>
              <w:t>e</w:t>
            </w:r>
            <w:r>
              <w:rPr>
                <w:spacing w:val="-2"/>
              </w:rPr>
              <w:t>a</w:t>
            </w:r>
            <w:r>
              <w:rPr>
                <w:spacing w:val="1"/>
              </w:rPr>
              <w:t>l</w:t>
            </w:r>
            <w:r>
              <w:t xml:space="preserve">th </w:t>
            </w:r>
            <w:r>
              <w:rPr>
                <w:spacing w:val="-1"/>
              </w:rPr>
              <w:t>S</w:t>
            </w:r>
            <w:r>
              <w:t>e</w:t>
            </w:r>
            <w:r>
              <w:rPr>
                <w:spacing w:val="-3"/>
              </w:rPr>
              <w:t>r</w:t>
            </w:r>
            <w:r>
              <w:rPr>
                <w:spacing w:val="1"/>
              </w:rPr>
              <w:t>vic</w:t>
            </w:r>
            <w:r>
              <w:rPr>
                <w:spacing w:val="-2"/>
              </w:rPr>
              <w:t>e</w:t>
            </w:r>
            <w:r>
              <w:t>s</w:t>
            </w:r>
            <w:r>
              <w:rPr>
                <w:spacing w:val="1"/>
              </w:rPr>
              <w:t xml:space="preserve"> </w:t>
            </w:r>
            <w:r>
              <w:rPr>
                <w:spacing w:val="-1"/>
              </w:rPr>
              <w:t>R</w:t>
            </w:r>
            <w:r>
              <w:t>e</w:t>
            </w:r>
            <w:r>
              <w:rPr>
                <w:spacing w:val="1"/>
              </w:rPr>
              <w:t>s</w:t>
            </w:r>
            <w:r>
              <w:rPr>
                <w:spacing w:val="-2"/>
              </w:rPr>
              <w:t>e</w:t>
            </w:r>
            <w:r>
              <w:t>ar</w:t>
            </w:r>
            <w:r>
              <w:rPr>
                <w:spacing w:val="1"/>
              </w:rPr>
              <w:t>c</w:t>
            </w:r>
            <w:r>
              <w:t>h (</w:t>
            </w:r>
            <w:r>
              <w:rPr>
                <w:spacing w:val="-1"/>
              </w:rPr>
              <w:t>DS</w:t>
            </w:r>
            <w:r>
              <w:t>I)</w:t>
            </w:r>
          </w:p>
        </w:tc>
        <w:tc>
          <w:tcPr>
            <w:tcW w:w="6215" w:type="dxa"/>
          </w:tcPr>
          <w:p w:rsidR="001C0B02" w:rsidRDefault="001C0B02" w:rsidP="001C0B02">
            <w:hyperlink r:id="rId59" w:tooltip="Danish Institute for Health Services Research" w:history="1">
              <w:r>
                <w:rPr>
                  <w:color w:val="0000FF"/>
                  <w:u w:val="single"/>
                </w:rPr>
                <w:t>http://d</w:t>
              </w:r>
              <w:r>
                <w:rPr>
                  <w:color w:val="0000FF"/>
                  <w:spacing w:val="-2"/>
                  <w:u w:val="single"/>
                </w:rPr>
                <w:t>s</w:t>
              </w:r>
              <w:r>
                <w:rPr>
                  <w:color w:val="0000FF"/>
                  <w:spacing w:val="1"/>
                  <w:u w:val="single"/>
                </w:rPr>
                <w:t>i</w:t>
              </w:r>
              <w:r>
                <w:rPr>
                  <w:color w:val="0000FF"/>
                  <w:u w:val="single"/>
                </w:rPr>
                <w:t>.d</w:t>
              </w:r>
              <w:r>
                <w:rPr>
                  <w:color w:val="0000FF"/>
                  <w:spacing w:val="-2"/>
                  <w:u w:val="single"/>
                </w:rPr>
                <w:t>k/</w:t>
              </w:r>
            </w:hyperlink>
          </w:p>
          <w:p w:rsidR="001C0B02" w:rsidRDefault="001C0B02" w:rsidP="001C0B02"/>
        </w:tc>
      </w:tr>
      <w:tr w:rsidR="001C0B02" w:rsidTr="001C0B02">
        <w:tc>
          <w:tcPr>
            <w:tcW w:w="3093" w:type="dxa"/>
          </w:tcPr>
          <w:p w:rsidR="001C0B02" w:rsidRDefault="001C0B02" w:rsidP="001C0B02">
            <w:pPr>
              <w:rPr>
                <w:spacing w:val="-1"/>
              </w:rPr>
            </w:pPr>
            <w:r>
              <w:t>F</w:t>
            </w:r>
            <w:r>
              <w:rPr>
                <w:spacing w:val="1"/>
              </w:rPr>
              <w:t>i</w:t>
            </w:r>
            <w:r>
              <w:t>nn</w:t>
            </w:r>
            <w:r>
              <w:rPr>
                <w:spacing w:val="1"/>
              </w:rPr>
              <w:t>i</w:t>
            </w:r>
            <w:r>
              <w:rPr>
                <w:spacing w:val="-2"/>
              </w:rPr>
              <w:t>s</w:t>
            </w:r>
            <w:r>
              <w:t xml:space="preserve">h </w:t>
            </w:r>
            <w:r>
              <w:rPr>
                <w:spacing w:val="1"/>
              </w:rPr>
              <w:t>O</w:t>
            </w:r>
            <w:r>
              <w:t>f</w:t>
            </w:r>
            <w:r>
              <w:rPr>
                <w:spacing w:val="-2"/>
              </w:rPr>
              <w:t>f</w:t>
            </w:r>
            <w:r>
              <w:rPr>
                <w:spacing w:val="1"/>
              </w:rPr>
              <w:t>ic</w:t>
            </w:r>
            <w:r>
              <w:t>e</w:t>
            </w:r>
            <w:r>
              <w:rPr>
                <w:spacing w:val="-2"/>
              </w:rPr>
              <w:t xml:space="preserve"> </w:t>
            </w:r>
            <w:r>
              <w:t xml:space="preserve">for </w:t>
            </w:r>
            <w:r>
              <w:rPr>
                <w:spacing w:val="-1"/>
              </w:rPr>
              <w:t>H</w:t>
            </w:r>
            <w:r>
              <w:t>ea</w:t>
            </w:r>
            <w:r>
              <w:rPr>
                <w:spacing w:val="1"/>
              </w:rPr>
              <w:t>l</w:t>
            </w:r>
            <w:r>
              <w:rPr>
                <w:spacing w:val="-2"/>
              </w:rPr>
              <w:t>t</w:t>
            </w:r>
            <w:r>
              <w:t>h Te</w:t>
            </w:r>
            <w:r>
              <w:rPr>
                <w:spacing w:val="1"/>
              </w:rPr>
              <w:t>c</w:t>
            </w:r>
            <w:r>
              <w:rPr>
                <w:spacing w:val="-2"/>
              </w:rPr>
              <w:t>h</w:t>
            </w:r>
            <w:r>
              <w:t>no</w:t>
            </w:r>
            <w:r>
              <w:rPr>
                <w:spacing w:val="1"/>
              </w:rPr>
              <w:t>l</w:t>
            </w:r>
            <w:r>
              <w:t>ogy</w:t>
            </w:r>
            <w:r>
              <w:rPr>
                <w:spacing w:val="-2"/>
              </w:rPr>
              <w:t xml:space="preserve"> </w:t>
            </w:r>
            <w:r>
              <w:rPr>
                <w:spacing w:val="-1"/>
              </w:rPr>
              <w:t>A</w:t>
            </w:r>
            <w:r>
              <w:rPr>
                <w:spacing w:val="1"/>
              </w:rPr>
              <w:t>ss</w:t>
            </w:r>
            <w:r>
              <w:rPr>
                <w:spacing w:val="-2"/>
              </w:rPr>
              <w:t>e</w:t>
            </w:r>
            <w:r>
              <w:rPr>
                <w:spacing w:val="1"/>
              </w:rPr>
              <w:t>s</w:t>
            </w:r>
            <w:r>
              <w:rPr>
                <w:spacing w:val="-2"/>
              </w:rPr>
              <w:t>s</w:t>
            </w:r>
            <w:r>
              <w:t>ment (FI</w:t>
            </w:r>
            <w:r>
              <w:rPr>
                <w:spacing w:val="-1"/>
              </w:rPr>
              <w:t>N</w:t>
            </w:r>
            <w:r>
              <w:rPr>
                <w:spacing w:val="1"/>
              </w:rPr>
              <w:t>O</w:t>
            </w:r>
            <w:r>
              <w:rPr>
                <w:spacing w:val="-1"/>
              </w:rPr>
              <w:t>H</w:t>
            </w:r>
            <w:r>
              <w:t>T</w:t>
            </w:r>
            <w:r>
              <w:rPr>
                <w:spacing w:val="-1"/>
              </w:rPr>
              <w:t>A</w:t>
            </w:r>
            <w:r>
              <w:t>)</w:t>
            </w:r>
          </w:p>
        </w:tc>
        <w:tc>
          <w:tcPr>
            <w:tcW w:w="6215" w:type="dxa"/>
          </w:tcPr>
          <w:p w:rsidR="001C0B02" w:rsidRDefault="001C0B02" w:rsidP="001C0B02">
            <w:hyperlink r:id="rId60" w:tooltip="Finnish Office for Health Technology Assessment" w:history="1">
              <w:r>
                <w:rPr>
                  <w:color w:val="0000FF"/>
                  <w:u w:val="single"/>
                </w:rPr>
                <w:t>http://f</w:t>
              </w:r>
              <w:r>
                <w:rPr>
                  <w:color w:val="0000FF"/>
                  <w:spacing w:val="1"/>
                  <w:u w:val="single"/>
                </w:rPr>
                <w:t>i</w:t>
              </w:r>
              <w:r>
                <w:rPr>
                  <w:color w:val="0000FF"/>
                  <w:spacing w:val="-2"/>
                  <w:u w:val="single"/>
                </w:rPr>
                <w:t>n</w:t>
              </w:r>
              <w:r>
                <w:rPr>
                  <w:color w:val="0000FF"/>
                  <w:u w:val="single"/>
                </w:rPr>
                <w:t>ohta</w:t>
              </w:r>
              <w:r>
                <w:rPr>
                  <w:color w:val="0000FF"/>
                  <w:spacing w:val="-2"/>
                  <w:u w:val="single"/>
                </w:rPr>
                <w:t>.</w:t>
              </w:r>
              <w:r>
                <w:rPr>
                  <w:color w:val="0000FF"/>
                  <w:spacing w:val="1"/>
                  <w:u w:val="single"/>
                </w:rPr>
                <w:t>s</w:t>
              </w:r>
              <w:r>
                <w:rPr>
                  <w:color w:val="0000FF"/>
                  <w:u w:val="single"/>
                </w:rPr>
                <w:t>ta</w:t>
              </w:r>
              <w:r>
                <w:rPr>
                  <w:color w:val="0000FF"/>
                  <w:spacing w:val="1"/>
                  <w:u w:val="single"/>
                </w:rPr>
                <w:t>k</w:t>
              </w:r>
              <w:r>
                <w:rPr>
                  <w:color w:val="0000FF"/>
                  <w:spacing w:val="-2"/>
                  <w:u w:val="single"/>
                </w:rPr>
                <w:t>e</w:t>
              </w:r>
              <w:r>
                <w:rPr>
                  <w:color w:val="0000FF"/>
                  <w:spacing w:val="1"/>
                  <w:u w:val="single"/>
                </w:rPr>
                <w:t>s</w:t>
              </w:r>
              <w:r>
                <w:rPr>
                  <w:color w:val="0000FF"/>
                  <w:u w:val="single"/>
                </w:rPr>
                <w:t>.f</w:t>
              </w:r>
              <w:r>
                <w:rPr>
                  <w:color w:val="0000FF"/>
                  <w:spacing w:val="1"/>
                  <w:u w:val="single"/>
                </w:rPr>
                <w:t>i</w:t>
              </w:r>
              <w:r>
                <w:rPr>
                  <w:color w:val="0000FF"/>
                  <w:u w:val="single"/>
                </w:rPr>
                <w:t>/</w:t>
              </w:r>
              <w:r>
                <w:rPr>
                  <w:color w:val="0000FF"/>
                  <w:spacing w:val="-1"/>
                  <w:u w:val="single"/>
                </w:rPr>
                <w:t>EN</w:t>
              </w:r>
              <w:r>
                <w:rPr>
                  <w:color w:val="0000FF"/>
                  <w:spacing w:val="-2"/>
                  <w:u w:val="single"/>
                </w:rPr>
                <w:t>/</w:t>
              </w:r>
              <w:r>
                <w:rPr>
                  <w:color w:val="0000FF"/>
                  <w:spacing w:val="1"/>
                  <w:u w:val="single"/>
                </w:rPr>
                <w:t>i</w:t>
              </w:r>
              <w:r>
                <w:rPr>
                  <w:color w:val="0000FF"/>
                  <w:u w:val="single"/>
                </w:rPr>
                <w:t>nd</w:t>
              </w:r>
              <w:r>
                <w:rPr>
                  <w:color w:val="0000FF"/>
                  <w:spacing w:val="-2"/>
                  <w:u w:val="single"/>
                </w:rPr>
                <w:t>e</w:t>
              </w:r>
              <w:r>
                <w:rPr>
                  <w:color w:val="0000FF"/>
                  <w:spacing w:val="1"/>
                  <w:u w:val="single"/>
                </w:rPr>
                <w:t>x</w:t>
              </w:r>
              <w:r>
                <w:rPr>
                  <w:color w:val="0000FF"/>
                  <w:u w:val="single"/>
                </w:rPr>
                <w:t>.htm</w:t>
              </w:r>
            </w:hyperlink>
          </w:p>
          <w:p w:rsidR="001C0B02" w:rsidRDefault="001C0B02" w:rsidP="001C0B02"/>
        </w:tc>
      </w:tr>
      <w:tr w:rsidR="001C0B02" w:rsidTr="001C0B02">
        <w:tc>
          <w:tcPr>
            <w:tcW w:w="3093" w:type="dxa"/>
          </w:tcPr>
          <w:p w:rsidR="001C0B02" w:rsidRDefault="001C0B02" w:rsidP="001C0B02">
            <w:r>
              <w:t>L</w:t>
            </w:r>
            <w:r>
              <w:rPr>
                <w:spacing w:val="1"/>
              </w:rPr>
              <w:t>’</w:t>
            </w:r>
            <w:r>
              <w:rPr>
                <w:spacing w:val="-1"/>
              </w:rPr>
              <w:t>A</w:t>
            </w:r>
            <w:r>
              <w:t>gen</w:t>
            </w:r>
            <w:r>
              <w:rPr>
                <w:spacing w:val="-2"/>
              </w:rPr>
              <w:t>c</w:t>
            </w:r>
            <w:r>
              <w:t xml:space="preserve">e </w:t>
            </w:r>
            <w:r>
              <w:rPr>
                <w:spacing w:val="-1"/>
              </w:rPr>
              <w:t>N</w:t>
            </w:r>
            <w:r>
              <w:t>at</w:t>
            </w:r>
            <w:r>
              <w:rPr>
                <w:spacing w:val="1"/>
              </w:rPr>
              <w:t>i</w:t>
            </w:r>
            <w:r>
              <w:t>o</w:t>
            </w:r>
            <w:r>
              <w:rPr>
                <w:spacing w:val="-2"/>
              </w:rPr>
              <w:t>n</w:t>
            </w:r>
            <w:r>
              <w:t>a</w:t>
            </w:r>
            <w:r>
              <w:rPr>
                <w:spacing w:val="1"/>
              </w:rPr>
              <w:t>l</w:t>
            </w:r>
            <w:r>
              <w:t xml:space="preserve">e </w:t>
            </w:r>
            <w:r>
              <w:rPr>
                <w:spacing w:val="-2"/>
              </w:rPr>
              <w:t>d</w:t>
            </w:r>
            <w:r>
              <w:rPr>
                <w:spacing w:val="1"/>
              </w:rPr>
              <w:t>’</w:t>
            </w:r>
            <w:r>
              <w:rPr>
                <w:spacing w:val="-1"/>
              </w:rPr>
              <w:t>A</w:t>
            </w:r>
            <w:r>
              <w:rPr>
                <w:spacing w:val="1"/>
              </w:rPr>
              <w:t>cc</w:t>
            </w:r>
            <w:r>
              <w:t>r</w:t>
            </w:r>
            <w:r>
              <w:rPr>
                <w:spacing w:val="-2"/>
              </w:rPr>
              <w:t>é</w:t>
            </w:r>
            <w:r>
              <w:t>d</w:t>
            </w:r>
            <w:r>
              <w:rPr>
                <w:spacing w:val="1"/>
              </w:rPr>
              <w:t>i</w:t>
            </w:r>
            <w:r>
              <w:rPr>
                <w:spacing w:val="-2"/>
              </w:rPr>
              <w:t>t</w:t>
            </w:r>
            <w:r>
              <w:t>at</w:t>
            </w:r>
            <w:r>
              <w:rPr>
                <w:spacing w:val="1"/>
              </w:rPr>
              <w:t>i</w:t>
            </w:r>
            <w:r>
              <w:t>on et</w:t>
            </w:r>
            <w:r>
              <w:rPr>
                <w:spacing w:val="-2"/>
              </w:rPr>
              <w:t xml:space="preserve"> </w:t>
            </w:r>
            <w:r>
              <w:t>d</w:t>
            </w:r>
            <w:r>
              <w:rPr>
                <w:spacing w:val="1"/>
              </w:rPr>
              <w:t>’</w:t>
            </w:r>
            <w:r>
              <w:rPr>
                <w:spacing w:val="-1"/>
              </w:rPr>
              <w:t>E</w:t>
            </w:r>
            <w:r>
              <w:rPr>
                <w:spacing w:val="1"/>
              </w:rPr>
              <w:t>v</w:t>
            </w:r>
            <w:r>
              <w:rPr>
                <w:spacing w:val="-2"/>
              </w:rPr>
              <w:t>a</w:t>
            </w:r>
            <w:r>
              <w:rPr>
                <w:spacing w:val="1"/>
              </w:rPr>
              <w:t>l</w:t>
            </w:r>
            <w:r>
              <w:t>uat</w:t>
            </w:r>
            <w:r>
              <w:rPr>
                <w:spacing w:val="-2"/>
              </w:rPr>
              <w:t>i</w:t>
            </w:r>
            <w:r>
              <w:t xml:space="preserve">on en </w:t>
            </w:r>
            <w:r>
              <w:rPr>
                <w:spacing w:val="-1"/>
              </w:rPr>
              <w:t>S</w:t>
            </w:r>
            <w:r>
              <w:t>anté (</w:t>
            </w:r>
            <w:r>
              <w:rPr>
                <w:spacing w:val="-1"/>
              </w:rPr>
              <w:t>ANAES</w:t>
            </w:r>
            <w:r>
              <w:t>)</w:t>
            </w:r>
          </w:p>
        </w:tc>
        <w:tc>
          <w:tcPr>
            <w:tcW w:w="6215" w:type="dxa"/>
          </w:tcPr>
          <w:p w:rsidR="001C0B02" w:rsidRDefault="001C0B02" w:rsidP="001C0B02">
            <w:hyperlink r:id="rId61" w:tooltip="L’Agence Nationale d’Accréditation et d’Evaluation en Santé " w:history="1">
              <w:r>
                <w:rPr>
                  <w:color w:val="0000FF"/>
                  <w:u w:val="single"/>
                </w:rPr>
                <w:t>http://</w:t>
              </w:r>
              <w:r>
                <w:rPr>
                  <w:color w:val="0000FF"/>
                  <w:spacing w:val="-1"/>
                  <w:u w:val="single"/>
                </w:rPr>
                <w:t>www</w:t>
              </w:r>
              <w:r>
                <w:rPr>
                  <w:color w:val="0000FF"/>
                  <w:u w:val="single"/>
                </w:rPr>
                <w:t>.anae</w:t>
              </w:r>
              <w:r>
                <w:rPr>
                  <w:color w:val="0000FF"/>
                  <w:spacing w:val="1"/>
                  <w:u w:val="single"/>
                </w:rPr>
                <w:t>s</w:t>
              </w:r>
              <w:r>
                <w:rPr>
                  <w:color w:val="0000FF"/>
                  <w:spacing w:val="-2"/>
                  <w:u w:val="single"/>
                </w:rPr>
                <w:t>.</w:t>
              </w:r>
              <w:r>
                <w:rPr>
                  <w:color w:val="0000FF"/>
                  <w:u w:val="single"/>
                </w:rPr>
                <w:t>fr/</w:t>
              </w:r>
            </w:hyperlink>
          </w:p>
          <w:p w:rsidR="001C0B02" w:rsidRDefault="001C0B02" w:rsidP="001C0B02">
            <w:pPr>
              <w:rPr>
                <w:sz w:val="12"/>
                <w:szCs w:val="12"/>
              </w:rPr>
            </w:pPr>
          </w:p>
        </w:tc>
      </w:tr>
      <w:tr w:rsidR="001C0B02" w:rsidTr="001C0B02">
        <w:tc>
          <w:tcPr>
            <w:tcW w:w="3093" w:type="dxa"/>
          </w:tcPr>
          <w:p w:rsidR="001C0B02" w:rsidRDefault="001C0B02" w:rsidP="001C0B02">
            <w:r>
              <w:rPr>
                <w:spacing w:val="1"/>
              </w:rPr>
              <w:t>G</w:t>
            </w:r>
            <w:r>
              <w:t>erman</w:t>
            </w:r>
            <w:r>
              <w:rPr>
                <w:spacing w:val="-2"/>
              </w:rPr>
              <w:t xml:space="preserve"> </w:t>
            </w:r>
            <w:r>
              <w:t>In</w:t>
            </w:r>
            <w:r>
              <w:rPr>
                <w:spacing w:val="1"/>
              </w:rPr>
              <w:t>s</w:t>
            </w:r>
            <w:r>
              <w:rPr>
                <w:spacing w:val="-2"/>
              </w:rPr>
              <w:t>t</w:t>
            </w:r>
            <w:r>
              <w:rPr>
                <w:spacing w:val="1"/>
              </w:rPr>
              <w:t>i</w:t>
            </w:r>
            <w:r>
              <w:t xml:space="preserve">tute </w:t>
            </w:r>
            <w:r>
              <w:rPr>
                <w:spacing w:val="-2"/>
              </w:rPr>
              <w:t>f</w:t>
            </w:r>
            <w:r>
              <w:t>or Me</w:t>
            </w:r>
            <w:r>
              <w:rPr>
                <w:spacing w:val="-2"/>
              </w:rPr>
              <w:t>d</w:t>
            </w:r>
            <w:r>
              <w:rPr>
                <w:spacing w:val="1"/>
              </w:rPr>
              <w:t>ic</w:t>
            </w:r>
            <w:r>
              <w:rPr>
                <w:spacing w:val="-2"/>
              </w:rPr>
              <w:t>a</w:t>
            </w:r>
            <w:r>
              <w:t>l</w:t>
            </w:r>
            <w:r>
              <w:rPr>
                <w:spacing w:val="1"/>
              </w:rPr>
              <w:t xml:space="preserve">  </w:t>
            </w:r>
            <w:r>
              <w:rPr>
                <w:spacing w:val="-1"/>
              </w:rPr>
              <w:t>D</w:t>
            </w:r>
            <w:r>
              <w:t>o</w:t>
            </w:r>
            <w:r>
              <w:rPr>
                <w:spacing w:val="1"/>
              </w:rPr>
              <w:t>c</w:t>
            </w:r>
            <w:r>
              <w:t>um</w:t>
            </w:r>
            <w:r>
              <w:rPr>
                <w:spacing w:val="-2"/>
              </w:rPr>
              <w:t>e</w:t>
            </w:r>
            <w:r>
              <w:t>ntat</w:t>
            </w:r>
            <w:r>
              <w:rPr>
                <w:spacing w:val="1"/>
              </w:rPr>
              <w:t>i</w:t>
            </w:r>
            <w:r>
              <w:rPr>
                <w:spacing w:val="-2"/>
              </w:rPr>
              <w:t>o</w:t>
            </w:r>
            <w:r>
              <w:t>n and Informa</w:t>
            </w:r>
            <w:r>
              <w:rPr>
                <w:spacing w:val="-2"/>
              </w:rPr>
              <w:t>t</w:t>
            </w:r>
            <w:r>
              <w:rPr>
                <w:spacing w:val="1"/>
              </w:rPr>
              <w:t>i</w:t>
            </w:r>
            <w:r>
              <w:t>on (</w:t>
            </w:r>
            <w:r>
              <w:rPr>
                <w:spacing w:val="-1"/>
              </w:rPr>
              <w:t>D</w:t>
            </w:r>
            <w:r>
              <w:t>IM</w:t>
            </w:r>
            <w:r>
              <w:rPr>
                <w:spacing w:val="-1"/>
              </w:rPr>
              <w:t>D</w:t>
            </w:r>
            <w:r>
              <w:t xml:space="preserve">I) </w:t>
            </w:r>
            <w:r>
              <w:lastRenderedPageBreak/>
              <w:t xml:space="preserve">/ </w:t>
            </w:r>
            <w:r>
              <w:rPr>
                <w:spacing w:val="-1"/>
              </w:rPr>
              <w:t>H</w:t>
            </w:r>
            <w:r>
              <w:t>TA</w:t>
            </w:r>
          </w:p>
        </w:tc>
        <w:tc>
          <w:tcPr>
            <w:tcW w:w="6215" w:type="dxa"/>
          </w:tcPr>
          <w:p w:rsidR="001C0B02" w:rsidRDefault="001C0B02" w:rsidP="001C0B02">
            <w:pPr>
              <w:rPr>
                <w:sz w:val="20"/>
              </w:rPr>
            </w:pPr>
            <w:hyperlink r:id="rId62" w:tooltip="German Institute for Medical Documentation" w:history="1">
              <w:r>
                <w:rPr>
                  <w:color w:val="0000FF"/>
                  <w:u w:val="single"/>
                </w:rPr>
                <w:t>http://</w:t>
              </w:r>
              <w:r>
                <w:rPr>
                  <w:color w:val="0000FF"/>
                  <w:spacing w:val="-1"/>
                  <w:u w:val="single"/>
                </w:rPr>
                <w:t>www</w:t>
              </w:r>
              <w:r>
                <w:rPr>
                  <w:color w:val="0000FF"/>
                  <w:u w:val="single"/>
                </w:rPr>
                <w:t>.d</w:t>
              </w:r>
              <w:r>
                <w:rPr>
                  <w:color w:val="0000FF"/>
                  <w:spacing w:val="1"/>
                  <w:u w:val="single"/>
                </w:rPr>
                <w:t>i</w:t>
              </w:r>
              <w:r>
                <w:rPr>
                  <w:color w:val="0000FF"/>
                  <w:u w:val="single"/>
                </w:rPr>
                <w:t>m</w:t>
              </w:r>
              <w:r>
                <w:rPr>
                  <w:color w:val="0000FF"/>
                  <w:spacing w:val="-2"/>
                  <w:u w:val="single"/>
                </w:rPr>
                <w:t>d</w:t>
              </w:r>
              <w:r>
                <w:rPr>
                  <w:color w:val="0000FF"/>
                  <w:spacing w:val="1"/>
                  <w:u w:val="single"/>
                </w:rPr>
                <w:t>i</w:t>
              </w:r>
              <w:r>
                <w:rPr>
                  <w:color w:val="0000FF"/>
                  <w:u w:val="single"/>
                </w:rPr>
                <w:t>.de</w:t>
              </w:r>
              <w:r>
                <w:rPr>
                  <w:color w:val="0000FF"/>
                  <w:spacing w:val="-2"/>
                  <w:u w:val="single"/>
                </w:rPr>
                <w:t>/</w:t>
              </w:r>
              <w:r>
                <w:rPr>
                  <w:color w:val="0000FF"/>
                  <w:spacing w:val="1"/>
                  <w:u w:val="single"/>
                </w:rPr>
                <w:t>s</w:t>
              </w:r>
              <w:r>
                <w:rPr>
                  <w:color w:val="0000FF"/>
                  <w:u w:val="single"/>
                </w:rPr>
                <w:t>tat</w:t>
              </w:r>
              <w:r>
                <w:rPr>
                  <w:color w:val="0000FF"/>
                  <w:spacing w:val="-2"/>
                  <w:u w:val="single"/>
                </w:rPr>
                <w:t>i</w:t>
              </w:r>
              <w:r>
                <w:rPr>
                  <w:color w:val="0000FF"/>
                  <w:spacing w:val="1"/>
                  <w:u w:val="single"/>
                </w:rPr>
                <w:t>c</w:t>
              </w:r>
              <w:r>
                <w:rPr>
                  <w:color w:val="0000FF"/>
                  <w:u w:val="single"/>
                </w:rPr>
                <w:t>/en</w:t>
              </w:r>
              <w:r>
                <w:rPr>
                  <w:color w:val="0000FF"/>
                  <w:spacing w:val="-2"/>
                  <w:u w:val="single"/>
                </w:rPr>
                <w:t>/i</w:t>
              </w:r>
              <w:r>
                <w:rPr>
                  <w:color w:val="0000FF"/>
                  <w:u w:val="single"/>
                </w:rPr>
                <w:t>nde</w:t>
              </w:r>
              <w:r>
                <w:rPr>
                  <w:color w:val="0000FF"/>
                  <w:spacing w:val="1"/>
                  <w:u w:val="single"/>
                </w:rPr>
                <w:t>x</w:t>
              </w:r>
              <w:r>
                <w:rPr>
                  <w:color w:val="0000FF"/>
                  <w:u w:val="single"/>
                </w:rPr>
                <w:t>.h</w:t>
              </w:r>
              <w:r>
                <w:rPr>
                  <w:color w:val="0000FF"/>
                  <w:spacing w:val="-2"/>
                  <w:u w:val="single"/>
                </w:rPr>
                <w:t>t</w:t>
              </w:r>
              <w:r>
                <w:rPr>
                  <w:color w:val="0000FF"/>
                  <w:u w:val="single"/>
                </w:rPr>
                <w:t>m</w:t>
              </w:r>
              <w:r>
                <w:rPr>
                  <w:color w:val="0000FF"/>
                </w:rPr>
                <w:t>l</w:t>
              </w:r>
            </w:hyperlink>
          </w:p>
        </w:tc>
      </w:tr>
      <w:tr w:rsidR="001C0B02" w:rsidTr="001C0B02">
        <w:tc>
          <w:tcPr>
            <w:tcW w:w="3093" w:type="dxa"/>
          </w:tcPr>
          <w:p w:rsidR="001C0B02" w:rsidRPr="00B140CC" w:rsidRDefault="001C0B02" w:rsidP="001C0B02">
            <w:r w:rsidRPr="00B140CC">
              <w:rPr>
                <w:bCs/>
              </w:rPr>
              <w:lastRenderedPageBreak/>
              <w:t>Institute for</w:t>
            </w:r>
            <w:r w:rsidRPr="00B140CC">
              <w:rPr>
                <w:bCs/>
                <w:spacing w:val="-1"/>
              </w:rPr>
              <w:t xml:space="preserve"> </w:t>
            </w:r>
            <w:r w:rsidRPr="00B140CC">
              <w:rPr>
                <w:bCs/>
                <w:spacing w:val="1"/>
              </w:rPr>
              <w:t>Q</w:t>
            </w:r>
            <w:r w:rsidRPr="00B140CC">
              <w:rPr>
                <w:bCs/>
              </w:rPr>
              <w:t>u</w:t>
            </w:r>
            <w:r w:rsidRPr="00B140CC">
              <w:rPr>
                <w:bCs/>
                <w:spacing w:val="-2"/>
              </w:rPr>
              <w:t>a</w:t>
            </w:r>
            <w:r w:rsidRPr="00B140CC">
              <w:rPr>
                <w:bCs/>
              </w:rPr>
              <w:t xml:space="preserve">lity and </w:t>
            </w:r>
            <w:r w:rsidRPr="00B140CC">
              <w:rPr>
                <w:bCs/>
                <w:spacing w:val="-1"/>
              </w:rPr>
              <w:t>E</w:t>
            </w:r>
            <w:r w:rsidRPr="00B140CC">
              <w:rPr>
                <w:bCs/>
              </w:rPr>
              <w:t>ff</w:t>
            </w:r>
            <w:r w:rsidRPr="00B140CC">
              <w:rPr>
                <w:bCs/>
                <w:spacing w:val="-2"/>
              </w:rPr>
              <w:t>i</w:t>
            </w:r>
            <w:r w:rsidRPr="00B140CC">
              <w:rPr>
                <w:bCs/>
              </w:rPr>
              <w:t xml:space="preserve">ciency in </w:t>
            </w:r>
            <w:r w:rsidRPr="00B140CC">
              <w:rPr>
                <w:bCs/>
                <w:spacing w:val="-1"/>
              </w:rPr>
              <w:t>H</w:t>
            </w:r>
            <w:r w:rsidRPr="00B140CC">
              <w:rPr>
                <w:bCs/>
              </w:rPr>
              <w:t>e</w:t>
            </w:r>
            <w:r w:rsidRPr="00B140CC">
              <w:rPr>
                <w:bCs/>
                <w:spacing w:val="-2"/>
              </w:rPr>
              <w:t>a</w:t>
            </w:r>
            <w:r w:rsidRPr="00B140CC">
              <w:rPr>
                <w:bCs/>
              </w:rPr>
              <w:t>lth</w:t>
            </w:r>
          </w:p>
          <w:p w:rsidR="001C0B02" w:rsidRDefault="001C0B02" w:rsidP="001C0B02">
            <w:pPr>
              <w:rPr>
                <w:spacing w:val="1"/>
              </w:rPr>
            </w:pPr>
            <w:r w:rsidRPr="00B140CC">
              <w:rPr>
                <w:bCs/>
                <w:spacing w:val="-1"/>
              </w:rPr>
              <w:t>C</w:t>
            </w:r>
            <w:r w:rsidRPr="00B140CC">
              <w:rPr>
                <w:bCs/>
              </w:rPr>
              <w:t>a</w:t>
            </w:r>
            <w:r w:rsidRPr="00B140CC">
              <w:rPr>
                <w:bCs/>
                <w:spacing w:val="-1"/>
              </w:rPr>
              <w:t>r</w:t>
            </w:r>
            <w:r w:rsidRPr="00B140CC">
              <w:rPr>
                <w:bCs/>
              </w:rPr>
              <w:t>e (I</w:t>
            </w:r>
            <w:r w:rsidRPr="00B140CC">
              <w:rPr>
                <w:bCs/>
                <w:spacing w:val="1"/>
              </w:rPr>
              <w:t>Q</w:t>
            </w:r>
            <w:r w:rsidRPr="00B140CC">
              <w:rPr>
                <w:bCs/>
              </w:rPr>
              <w:t>Wi</w:t>
            </w:r>
            <w:r w:rsidRPr="00B140CC">
              <w:rPr>
                <w:bCs/>
                <w:spacing w:val="1"/>
              </w:rPr>
              <w:t>G</w:t>
            </w:r>
            <w:r w:rsidRPr="00B140CC">
              <w:rPr>
                <w:bCs/>
              </w:rPr>
              <w:t>)</w:t>
            </w:r>
          </w:p>
        </w:tc>
        <w:tc>
          <w:tcPr>
            <w:tcW w:w="6215" w:type="dxa"/>
          </w:tcPr>
          <w:p w:rsidR="001C0B02" w:rsidRDefault="001C0B02" w:rsidP="001C0B02">
            <w:hyperlink r:id="rId63" w:tooltip="Institute for Quality and Efficiency in Health" w:history="1">
              <w:r>
                <w:rPr>
                  <w:color w:val="0000FF"/>
                  <w:u w:val="single"/>
                </w:rPr>
                <w:t>http://</w:t>
              </w:r>
              <w:r>
                <w:rPr>
                  <w:color w:val="0000FF"/>
                  <w:spacing w:val="-1"/>
                  <w:u w:val="single"/>
                </w:rPr>
                <w:t>www</w:t>
              </w:r>
              <w:r>
                <w:rPr>
                  <w:color w:val="0000FF"/>
                  <w:u w:val="single"/>
                </w:rPr>
                <w:t>.</w:t>
              </w:r>
              <w:r>
                <w:rPr>
                  <w:color w:val="0000FF"/>
                  <w:spacing w:val="1"/>
                  <w:u w:val="single"/>
                </w:rPr>
                <w:t>i</w:t>
              </w:r>
              <w:r>
                <w:rPr>
                  <w:color w:val="0000FF"/>
                  <w:u w:val="single"/>
                </w:rPr>
                <w:t>q</w:t>
              </w:r>
              <w:r>
                <w:rPr>
                  <w:color w:val="0000FF"/>
                  <w:spacing w:val="-1"/>
                  <w:u w:val="single"/>
                </w:rPr>
                <w:t>w</w:t>
              </w:r>
              <w:r>
                <w:rPr>
                  <w:color w:val="0000FF"/>
                  <w:spacing w:val="1"/>
                  <w:u w:val="single"/>
                </w:rPr>
                <w:t>i</w:t>
              </w:r>
              <w:r>
                <w:rPr>
                  <w:color w:val="0000FF"/>
                  <w:u w:val="single"/>
                </w:rPr>
                <w:t>g.de</w:t>
              </w:r>
            </w:hyperlink>
          </w:p>
        </w:tc>
      </w:tr>
      <w:tr w:rsidR="001C0B02" w:rsidTr="001C0B02">
        <w:tc>
          <w:tcPr>
            <w:tcW w:w="3093" w:type="dxa"/>
          </w:tcPr>
          <w:p w:rsidR="001C0B02" w:rsidRDefault="001C0B02" w:rsidP="001C0B02">
            <w:r>
              <w:rPr>
                <w:spacing w:val="-1"/>
              </w:rPr>
              <w:t>H</w:t>
            </w:r>
            <w:r>
              <w:t>ea</w:t>
            </w:r>
            <w:r>
              <w:rPr>
                <w:spacing w:val="1"/>
              </w:rPr>
              <w:t>l</w:t>
            </w:r>
            <w:r>
              <w:t xml:space="preserve">th </w:t>
            </w:r>
            <w:r>
              <w:rPr>
                <w:spacing w:val="-1"/>
              </w:rPr>
              <w:t>C</w:t>
            </w:r>
            <w:r>
              <w:t>ou</w:t>
            </w:r>
            <w:r>
              <w:rPr>
                <w:spacing w:val="-2"/>
              </w:rPr>
              <w:t>n</w:t>
            </w:r>
            <w:r>
              <w:rPr>
                <w:spacing w:val="1"/>
              </w:rPr>
              <w:t>ci</w:t>
            </w:r>
            <w:r>
              <w:t>l</w:t>
            </w:r>
            <w:r>
              <w:rPr>
                <w:spacing w:val="1"/>
              </w:rPr>
              <w:t xml:space="preserve"> </w:t>
            </w:r>
            <w:r>
              <w:rPr>
                <w:spacing w:val="-2"/>
              </w:rPr>
              <w:t>o</w:t>
            </w:r>
            <w:r>
              <w:t xml:space="preserve">f the </w:t>
            </w:r>
            <w:r>
              <w:rPr>
                <w:spacing w:val="-1"/>
              </w:rPr>
              <w:t>N</w:t>
            </w:r>
            <w:r>
              <w:t>et</w:t>
            </w:r>
            <w:r>
              <w:rPr>
                <w:spacing w:val="-2"/>
              </w:rPr>
              <w:t>h</w:t>
            </w:r>
            <w:r>
              <w:t>er</w:t>
            </w:r>
            <w:r>
              <w:rPr>
                <w:spacing w:val="1"/>
              </w:rPr>
              <w:t>l</w:t>
            </w:r>
            <w:r>
              <w:rPr>
                <w:spacing w:val="-2"/>
              </w:rPr>
              <w:t>a</w:t>
            </w:r>
            <w:r>
              <w:t>nds</w:t>
            </w:r>
          </w:p>
          <w:p w:rsidR="001C0B02" w:rsidRDefault="001C0B02" w:rsidP="001C0B02">
            <w:pPr>
              <w:rPr>
                <w:rFonts w:ascii="Times New Roman" w:hAnsi="Times New Roman"/>
                <w:szCs w:val="24"/>
              </w:rPr>
            </w:pPr>
            <w:r>
              <w:rPr>
                <w:spacing w:val="1"/>
              </w:rPr>
              <w:t>G</w:t>
            </w:r>
            <w:r>
              <w:t>e</w:t>
            </w:r>
            <w:r>
              <w:rPr>
                <w:spacing w:val="1"/>
              </w:rPr>
              <w:t>z</w:t>
            </w:r>
            <w:r>
              <w:t>o</w:t>
            </w:r>
            <w:r>
              <w:rPr>
                <w:spacing w:val="-2"/>
              </w:rPr>
              <w:t>n</w:t>
            </w:r>
            <w:r>
              <w:t>dhe</w:t>
            </w:r>
            <w:r>
              <w:rPr>
                <w:spacing w:val="-2"/>
              </w:rPr>
              <w:t>i</w:t>
            </w:r>
            <w:r>
              <w:t>d</w:t>
            </w:r>
            <w:r>
              <w:rPr>
                <w:spacing w:val="1"/>
              </w:rPr>
              <w:t>s</w:t>
            </w:r>
            <w:r>
              <w:t>raad</w:t>
            </w:r>
          </w:p>
        </w:tc>
        <w:tc>
          <w:tcPr>
            <w:tcW w:w="6215" w:type="dxa"/>
          </w:tcPr>
          <w:p w:rsidR="001C0B02" w:rsidRDefault="001C0B02" w:rsidP="001C0B02">
            <w:pPr>
              <w:rPr>
                <w:rFonts w:ascii="Times New Roman" w:hAnsi="Times New Roman"/>
                <w:szCs w:val="24"/>
              </w:rPr>
            </w:pPr>
            <w:hyperlink r:id="rId64" w:tooltip="Health Council of the Netherlands" w:history="1">
              <w:r>
                <w:rPr>
                  <w:color w:val="0000FF"/>
                  <w:u w:val="single"/>
                </w:rPr>
                <w:t>http://</w:t>
              </w:r>
              <w:r>
                <w:rPr>
                  <w:color w:val="0000FF"/>
                  <w:spacing w:val="-1"/>
                  <w:u w:val="single"/>
                </w:rPr>
                <w:t>www</w:t>
              </w:r>
              <w:r>
                <w:rPr>
                  <w:color w:val="0000FF"/>
                  <w:u w:val="single"/>
                </w:rPr>
                <w:t>.ge</w:t>
              </w:r>
              <w:r>
                <w:rPr>
                  <w:color w:val="0000FF"/>
                  <w:spacing w:val="1"/>
                  <w:u w:val="single"/>
                </w:rPr>
                <w:t>z</w:t>
              </w:r>
              <w:r>
                <w:rPr>
                  <w:color w:val="0000FF"/>
                  <w:u w:val="single"/>
                </w:rPr>
                <w:t>o</w:t>
              </w:r>
              <w:r>
                <w:rPr>
                  <w:color w:val="0000FF"/>
                  <w:spacing w:val="-2"/>
                  <w:u w:val="single"/>
                </w:rPr>
                <w:t>n</w:t>
              </w:r>
              <w:r>
                <w:rPr>
                  <w:color w:val="0000FF"/>
                  <w:u w:val="single"/>
                </w:rPr>
                <w:t>dhe</w:t>
              </w:r>
              <w:r>
                <w:rPr>
                  <w:color w:val="0000FF"/>
                  <w:spacing w:val="1"/>
                  <w:u w:val="single"/>
                </w:rPr>
                <w:t>i</w:t>
              </w:r>
              <w:r>
                <w:rPr>
                  <w:color w:val="0000FF"/>
                  <w:spacing w:val="-2"/>
                  <w:u w:val="single"/>
                </w:rPr>
                <w:t>d</w:t>
              </w:r>
              <w:r>
                <w:rPr>
                  <w:color w:val="0000FF"/>
                  <w:spacing w:val="1"/>
                  <w:u w:val="single"/>
                </w:rPr>
                <w:t>s</w:t>
              </w:r>
              <w:r>
                <w:rPr>
                  <w:color w:val="0000FF"/>
                  <w:u w:val="single"/>
                </w:rPr>
                <w:t>raad</w:t>
              </w:r>
              <w:r>
                <w:rPr>
                  <w:color w:val="0000FF"/>
                  <w:spacing w:val="-2"/>
                  <w:u w:val="single"/>
                </w:rPr>
                <w:t>.n</w:t>
              </w:r>
              <w:r>
                <w:rPr>
                  <w:color w:val="0000FF"/>
                  <w:spacing w:val="1"/>
                  <w:u w:val="single"/>
                </w:rPr>
                <w:t>l</w:t>
              </w:r>
              <w:r>
                <w:rPr>
                  <w:color w:val="0000FF"/>
                  <w:u w:val="single"/>
                </w:rPr>
                <w:t>/en/</w:t>
              </w:r>
            </w:hyperlink>
          </w:p>
        </w:tc>
      </w:tr>
      <w:tr w:rsidR="001C0B02" w:rsidTr="001C0B02">
        <w:tc>
          <w:tcPr>
            <w:tcW w:w="3093" w:type="dxa"/>
          </w:tcPr>
          <w:p w:rsidR="001C0B02" w:rsidRDefault="001C0B02" w:rsidP="001C0B02">
            <w:pPr>
              <w:rPr>
                <w:rFonts w:ascii="Times New Roman" w:hAnsi="Times New Roman"/>
                <w:szCs w:val="24"/>
              </w:rPr>
            </w:pPr>
            <w:r>
              <w:t>In</w:t>
            </w:r>
            <w:r>
              <w:rPr>
                <w:spacing w:val="1"/>
              </w:rPr>
              <w:t>s</w:t>
            </w:r>
            <w:r>
              <w:t>t</w:t>
            </w:r>
            <w:r>
              <w:rPr>
                <w:spacing w:val="1"/>
              </w:rPr>
              <w:t>i</w:t>
            </w:r>
            <w:r>
              <w:t>tu</w:t>
            </w:r>
            <w:r>
              <w:rPr>
                <w:spacing w:val="-2"/>
              </w:rPr>
              <w:t>t</w:t>
            </w:r>
            <w:r>
              <w:t xml:space="preserve">e for </w:t>
            </w:r>
            <w:r>
              <w:rPr>
                <w:spacing w:val="-2"/>
              </w:rPr>
              <w:t>M</w:t>
            </w:r>
            <w:r>
              <w:t>ed</w:t>
            </w:r>
            <w:r>
              <w:rPr>
                <w:spacing w:val="-2"/>
              </w:rPr>
              <w:t>i</w:t>
            </w:r>
            <w:r>
              <w:rPr>
                <w:spacing w:val="1"/>
              </w:rPr>
              <w:t>c</w:t>
            </w:r>
            <w:r>
              <w:t>al</w:t>
            </w:r>
            <w:r>
              <w:rPr>
                <w:spacing w:val="1"/>
              </w:rPr>
              <w:t xml:space="preserve"> </w:t>
            </w:r>
            <w:r>
              <w:t>T</w:t>
            </w:r>
            <w:r>
              <w:rPr>
                <w:spacing w:val="-2"/>
              </w:rPr>
              <w:t>e</w:t>
            </w:r>
            <w:r>
              <w:rPr>
                <w:spacing w:val="1"/>
              </w:rPr>
              <w:t>c</w:t>
            </w:r>
            <w:r>
              <w:t>hn</w:t>
            </w:r>
            <w:r>
              <w:rPr>
                <w:spacing w:val="-2"/>
              </w:rPr>
              <w:t>o</w:t>
            </w:r>
            <w:r>
              <w:rPr>
                <w:spacing w:val="1"/>
              </w:rPr>
              <w:t>l</w:t>
            </w:r>
            <w:r>
              <w:rPr>
                <w:spacing w:val="-2"/>
              </w:rPr>
              <w:t>o</w:t>
            </w:r>
            <w:r>
              <w:t>gy</w:t>
            </w:r>
            <w:r>
              <w:rPr>
                <w:spacing w:val="1"/>
              </w:rPr>
              <w:t xml:space="preserve"> </w:t>
            </w:r>
            <w:r>
              <w:rPr>
                <w:spacing w:val="-1"/>
              </w:rPr>
              <w:t>A</w:t>
            </w:r>
            <w:r>
              <w:rPr>
                <w:spacing w:val="1"/>
              </w:rPr>
              <w:t>s</w:t>
            </w:r>
            <w:r>
              <w:rPr>
                <w:spacing w:val="-2"/>
              </w:rPr>
              <w:t>s</w:t>
            </w:r>
            <w:r>
              <w:t>e</w:t>
            </w:r>
            <w:r>
              <w:rPr>
                <w:spacing w:val="1"/>
              </w:rPr>
              <w:t>s</w:t>
            </w:r>
            <w:r>
              <w:rPr>
                <w:spacing w:val="-2"/>
              </w:rPr>
              <w:t>s</w:t>
            </w:r>
            <w:r>
              <w:t>ment (</w:t>
            </w:r>
            <w:r>
              <w:rPr>
                <w:spacing w:val="-1"/>
              </w:rPr>
              <w:t>N</w:t>
            </w:r>
            <w:r>
              <w:t>ether</w:t>
            </w:r>
            <w:r>
              <w:rPr>
                <w:spacing w:val="1"/>
              </w:rPr>
              <w:t>l</w:t>
            </w:r>
            <w:r>
              <w:t>an</w:t>
            </w:r>
            <w:r>
              <w:rPr>
                <w:spacing w:val="-2"/>
              </w:rPr>
              <w:t>d</w:t>
            </w:r>
            <w:r>
              <w:rPr>
                <w:spacing w:val="1"/>
              </w:rPr>
              <w:t>s</w:t>
            </w:r>
            <w:r>
              <w:t>)</w:t>
            </w:r>
          </w:p>
        </w:tc>
        <w:tc>
          <w:tcPr>
            <w:tcW w:w="6215" w:type="dxa"/>
          </w:tcPr>
          <w:p w:rsidR="001C0B02" w:rsidRDefault="001C0B02" w:rsidP="001C0B02">
            <w:pPr>
              <w:rPr>
                <w:rFonts w:ascii="Times New Roman" w:hAnsi="Times New Roman"/>
                <w:szCs w:val="24"/>
              </w:rPr>
            </w:pPr>
            <w:hyperlink r:id="rId65" w:tooltip="Institute for Medical Technology Assessment" w:history="1">
              <w:r>
                <w:rPr>
                  <w:color w:val="0000FF"/>
                  <w:u w:val="single"/>
                </w:rPr>
                <w:t>http://</w:t>
              </w:r>
              <w:r>
                <w:rPr>
                  <w:color w:val="0000FF"/>
                  <w:spacing w:val="-1"/>
                  <w:u w:val="single"/>
                </w:rPr>
                <w:t>www</w:t>
              </w:r>
              <w:r>
                <w:rPr>
                  <w:color w:val="0000FF"/>
                  <w:u w:val="single"/>
                </w:rPr>
                <w:t>.</w:t>
              </w:r>
              <w:r>
                <w:rPr>
                  <w:color w:val="0000FF"/>
                  <w:spacing w:val="1"/>
                  <w:u w:val="single"/>
                </w:rPr>
                <w:t>i</w:t>
              </w:r>
              <w:r>
                <w:rPr>
                  <w:color w:val="0000FF"/>
                  <w:u w:val="single"/>
                </w:rPr>
                <w:t>mta.</w:t>
              </w:r>
              <w:r>
                <w:rPr>
                  <w:color w:val="0000FF"/>
                  <w:spacing w:val="-2"/>
                  <w:u w:val="single"/>
                </w:rPr>
                <w:t>n</w:t>
              </w:r>
              <w:r>
                <w:rPr>
                  <w:color w:val="0000FF"/>
                  <w:spacing w:val="1"/>
                  <w:u w:val="single"/>
                </w:rPr>
                <w:t>l</w:t>
              </w:r>
              <w:r>
                <w:rPr>
                  <w:color w:val="0000FF"/>
                  <w:u w:val="single"/>
                </w:rPr>
                <w:t>/</w:t>
              </w:r>
            </w:hyperlink>
          </w:p>
        </w:tc>
      </w:tr>
      <w:tr w:rsidR="001C0B02" w:rsidTr="001C0B02">
        <w:tc>
          <w:tcPr>
            <w:tcW w:w="3093" w:type="dxa"/>
          </w:tcPr>
          <w:p w:rsidR="001C0B02" w:rsidRDefault="001C0B02" w:rsidP="001C0B02">
            <w:r>
              <w:rPr>
                <w:spacing w:val="-1"/>
              </w:rPr>
              <w:t>N</w:t>
            </w:r>
            <w:r>
              <w:t>ew</w:t>
            </w:r>
            <w:r>
              <w:rPr>
                <w:spacing w:val="-1"/>
              </w:rPr>
              <w:t xml:space="preserve"> </w:t>
            </w:r>
            <w:r>
              <w:t>Zea</w:t>
            </w:r>
            <w:r>
              <w:rPr>
                <w:spacing w:val="1"/>
              </w:rPr>
              <w:t>l</w:t>
            </w:r>
            <w:r>
              <w:t xml:space="preserve">and </w:t>
            </w:r>
            <w:r>
              <w:rPr>
                <w:spacing w:val="-1"/>
              </w:rPr>
              <w:t>H</w:t>
            </w:r>
            <w:r>
              <w:t>e</w:t>
            </w:r>
            <w:r>
              <w:rPr>
                <w:spacing w:val="-2"/>
              </w:rPr>
              <w:t>a</w:t>
            </w:r>
            <w:r>
              <w:rPr>
                <w:spacing w:val="1"/>
              </w:rPr>
              <w:t>l</w:t>
            </w:r>
            <w:r>
              <w:t>th T</w:t>
            </w:r>
            <w:r>
              <w:rPr>
                <w:spacing w:val="-2"/>
              </w:rPr>
              <w:t>e</w:t>
            </w:r>
            <w:r>
              <w:rPr>
                <w:spacing w:val="1"/>
              </w:rPr>
              <w:t>c</w:t>
            </w:r>
            <w:r>
              <w:t>hn</w:t>
            </w:r>
            <w:r>
              <w:rPr>
                <w:spacing w:val="-2"/>
              </w:rPr>
              <w:t>o</w:t>
            </w:r>
            <w:r>
              <w:rPr>
                <w:spacing w:val="1"/>
              </w:rPr>
              <w:t>l</w:t>
            </w:r>
            <w:r>
              <w:rPr>
                <w:spacing w:val="-2"/>
              </w:rPr>
              <w:t>o</w:t>
            </w:r>
            <w:r>
              <w:t>gy</w:t>
            </w:r>
            <w:r>
              <w:rPr>
                <w:spacing w:val="1"/>
              </w:rPr>
              <w:t xml:space="preserve"> </w:t>
            </w:r>
            <w:r>
              <w:rPr>
                <w:spacing w:val="-1"/>
              </w:rPr>
              <w:t>A</w:t>
            </w:r>
            <w:r>
              <w:rPr>
                <w:spacing w:val="1"/>
              </w:rPr>
              <w:t>s</w:t>
            </w:r>
            <w:r>
              <w:rPr>
                <w:spacing w:val="-2"/>
              </w:rPr>
              <w:t>s</w:t>
            </w:r>
            <w:r>
              <w:t>e</w:t>
            </w:r>
            <w:r>
              <w:rPr>
                <w:spacing w:val="1"/>
              </w:rPr>
              <w:t>s</w:t>
            </w:r>
            <w:r>
              <w:rPr>
                <w:spacing w:val="-2"/>
              </w:rPr>
              <w:t>s</w:t>
            </w:r>
            <w:r>
              <w:t>ment (</w:t>
            </w:r>
            <w:r>
              <w:rPr>
                <w:spacing w:val="-1"/>
              </w:rPr>
              <w:t>N</w:t>
            </w:r>
            <w:r>
              <w:t>Z</w:t>
            </w:r>
            <w:r>
              <w:rPr>
                <w:spacing w:val="-1"/>
              </w:rPr>
              <w:t>H</w:t>
            </w:r>
            <w:r>
              <w:t>T</w:t>
            </w:r>
            <w:r>
              <w:rPr>
                <w:spacing w:val="-1"/>
              </w:rPr>
              <w:t>A</w:t>
            </w:r>
            <w:r>
              <w:t>)</w:t>
            </w:r>
          </w:p>
        </w:tc>
        <w:tc>
          <w:tcPr>
            <w:tcW w:w="6215" w:type="dxa"/>
          </w:tcPr>
          <w:p w:rsidR="001C0B02" w:rsidRDefault="001C0B02" w:rsidP="001C0B02">
            <w:pPr>
              <w:rPr>
                <w:rFonts w:ascii="Times New Roman" w:hAnsi="Times New Roman"/>
                <w:sz w:val="17"/>
                <w:szCs w:val="17"/>
              </w:rPr>
            </w:pPr>
            <w:hyperlink r:id="rId66" w:tooltip="New Zealand Health Technology Assessment" w:history="1">
              <w:r>
                <w:rPr>
                  <w:color w:val="0000FF"/>
                  <w:u w:val="single"/>
                </w:rPr>
                <w:t>http://n</w:t>
              </w:r>
              <w:r>
                <w:rPr>
                  <w:color w:val="0000FF"/>
                  <w:spacing w:val="-2"/>
                  <w:u w:val="single"/>
                </w:rPr>
                <w:t>z</w:t>
              </w:r>
              <w:r>
                <w:rPr>
                  <w:color w:val="0000FF"/>
                  <w:u w:val="single"/>
                </w:rPr>
                <w:t>hta.</w:t>
              </w:r>
              <w:r>
                <w:rPr>
                  <w:color w:val="0000FF"/>
                  <w:spacing w:val="-2"/>
                  <w:u w:val="single"/>
                </w:rPr>
                <w:t>c</w:t>
              </w:r>
              <w:r>
                <w:rPr>
                  <w:color w:val="0000FF"/>
                  <w:u w:val="single"/>
                </w:rPr>
                <w:t>hme</w:t>
              </w:r>
              <w:r>
                <w:rPr>
                  <w:color w:val="0000FF"/>
                  <w:spacing w:val="-2"/>
                  <w:u w:val="single"/>
                </w:rPr>
                <w:t>d</w:t>
              </w:r>
              <w:r>
                <w:rPr>
                  <w:color w:val="0000FF"/>
                  <w:spacing w:val="1"/>
                  <w:u w:val="single"/>
                </w:rPr>
                <w:t>s</w:t>
              </w:r>
              <w:r>
                <w:rPr>
                  <w:color w:val="0000FF"/>
                  <w:u w:val="single"/>
                </w:rPr>
                <w:t>.a</w:t>
              </w:r>
              <w:r>
                <w:rPr>
                  <w:color w:val="0000FF"/>
                  <w:spacing w:val="-2"/>
                  <w:u w:val="single"/>
                </w:rPr>
                <w:t>c</w:t>
              </w:r>
              <w:r>
                <w:rPr>
                  <w:color w:val="0000FF"/>
                  <w:u w:val="single"/>
                </w:rPr>
                <w:t>.n</w:t>
              </w:r>
              <w:r>
                <w:rPr>
                  <w:color w:val="0000FF"/>
                  <w:spacing w:val="1"/>
                  <w:u w:val="single"/>
                </w:rPr>
                <w:t>z</w:t>
              </w:r>
              <w:r>
                <w:rPr>
                  <w:color w:val="0000FF"/>
                  <w:u w:val="single"/>
                </w:rPr>
                <w:t>/</w:t>
              </w:r>
            </w:hyperlink>
          </w:p>
        </w:tc>
      </w:tr>
      <w:tr w:rsidR="001C0B02" w:rsidTr="001C0B02">
        <w:tc>
          <w:tcPr>
            <w:tcW w:w="3093" w:type="dxa"/>
          </w:tcPr>
          <w:p w:rsidR="001C0B02" w:rsidRDefault="001C0B02" w:rsidP="001C0B02">
            <w:r>
              <w:rPr>
                <w:spacing w:val="-1"/>
              </w:rPr>
              <w:t>N</w:t>
            </w:r>
            <w:r>
              <w:t>or</w:t>
            </w:r>
            <w:r>
              <w:rPr>
                <w:spacing w:val="-1"/>
              </w:rPr>
              <w:t>w</w:t>
            </w:r>
            <w:r>
              <w:t>eg</w:t>
            </w:r>
            <w:r>
              <w:rPr>
                <w:spacing w:val="1"/>
              </w:rPr>
              <w:t>i</w:t>
            </w:r>
            <w:r>
              <w:t xml:space="preserve">an </w:t>
            </w:r>
            <w:r>
              <w:rPr>
                <w:spacing w:val="-1"/>
              </w:rPr>
              <w:t>K</w:t>
            </w:r>
            <w:r>
              <w:t>no</w:t>
            </w:r>
            <w:r>
              <w:rPr>
                <w:spacing w:val="-1"/>
              </w:rPr>
              <w:t>w</w:t>
            </w:r>
            <w:r>
              <w:rPr>
                <w:spacing w:val="1"/>
              </w:rPr>
              <w:t>l</w:t>
            </w:r>
            <w:r>
              <w:rPr>
                <w:spacing w:val="-2"/>
              </w:rPr>
              <w:t>e</w:t>
            </w:r>
            <w:r>
              <w:t xml:space="preserve">dge </w:t>
            </w:r>
            <w:r>
              <w:rPr>
                <w:spacing w:val="-1"/>
              </w:rPr>
              <w:t>C</w:t>
            </w:r>
            <w:r>
              <w:t>entre</w:t>
            </w:r>
            <w:r>
              <w:rPr>
                <w:spacing w:val="-2"/>
              </w:rPr>
              <w:t xml:space="preserve"> </w:t>
            </w:r>
            <w:r>
              <w:t xml:space="preserve">for the </w:t>
            </w:r>
            <w:r>
              <w:rPr>
                <w:spacing w:val="-1"/>
              </w:rPr>
              <w:t>H</w:t>
            </w:r>
            <w:r>
              <w:t>ea</w:t>
            </w:r>
            <w:r>
              <w:rPr>
                <w:spacing w:val="1"/>
              </w:rPr>
              <w:t>l</w:t>
            </w:r>
            <w:r>
              <w:rPr>
                <w:spacing w:val="-2"/>
              </w:rPr>
              <w:t>t</w:t>
            </w:r>
            <w:r>
              <w:t>h</w:t>
            </w:r>
          </w:p>
          <w:p w:rsidR="001C0B02" w:rsidRDefault="001C0B02" w:rsidP="001C0B02">
            <w:pPr>
              <w:rPr>
                <w:spacing w:val="-1"/>
              </w:rPr>
            </w:pPr>
            <w:r>
              <w:rPr>
                <w:spacing w:val="-1"/>
              </w:rPr>
              <w:t>S</w:t>
            </w:r>
            <w:r>
              <w:t>er</w:t>
            </w:r>
            <w:r>
              <w:rPr>
                <w:spacing w:val="1"/>
              </w:rPr>
              <w:t>vic</w:t>
            </w:r>
            <w:r>
              <w:rPr>
                <w:spacing w:val="-2"/>
              </w:rPr>
              <w:t>e</w:t>
            </w:r>
            <w:r>
              <w:t>s</w:t>
            </w:r>
          </w:p>
        </w:tc>
        <w:tc>
          <w:tcPr>
            <w:tcW w:w="6215" w:type="dxa"/>
          </w:tcPr>
          <w:p w:rsidR="001C0B02" w:rsidRDefault="001C0B02" w:rsidP="001C0B02">
            <w:hyperlink r:id="rId67" w:tooltip="Norwegian Knowledge Centre for the Health" w:history="1">
              <w:r>
                <w:rPr>
                  <w:color w:val="0000FF"/>
                  <w:u w:val="single"/>
                </w:rPr>
                <w:t>http://</w:t>
              </w:r>
              <w:r>
                <w:rPr>
                  <w:color w:val="0000FF"/>
                  <w:spacing w:val="-1"/>
                  <w:u w:val="single"/>
                </w:rPr>
                <w:t>www</w:t>
              </w:r>
              <w:r>
                <w:rPr>
                  <w:color w:val="0000FF"/>
                  <w:u w:val="single"/>
                </w:rPr>
                <w:t>.</w:t>
              </w:r>
              <w:r>
                <w:rPr>
                  <w:color w:val="0000FF"/>
                  <w:spacing w:val="1"/>
                  <w:u w:val="single"/>
                </w:rPr>
                <w:t>k</w:t>
              </w:r>
              <w:r>
                <w:rPr>
                  <w:color w:val="0000FF"/>
                  <w:u w:val="single"/>
                </w:rPr>
                <w:t>un</w:t>
              </w:r>
              <w:r>
                <w:rPr>
                  <w:color w:val="0000FF"/>
                  <w:spacing w:val="-2"/>
                  <w:u w:val="single"/>
                </w:rPr>
                <w:t>n</w:t>
              </w:r>
              <w:r>
                <w:rPr>
                  <w:color w:val="0000FF"/>
                  <w:spacing w:val="1"/>
                  <w:u w:val="single"/>
                </w:rPr>
                <w:t>sk</w:t>
              </w:r>
              <w:r>
                <w:rPr>
                  <w:color w:val="0000FF"/>
                  <w:u w:val="single"/>
                </w:rPr>
                <w:t>a</w:t>
              </w:r>
              <w:r>
                <w:rPr>
                  <w:color w:val="0000FF"/>
                  <w:spacing w:val="-2"/>
                  <w:u w:val="single"/>
                </w:rPr>
                <w:t>p</w:t>
              </w:r>
              <w:r>
                <w:rPr>
                  <w:color w:val="0000FF"/>
                  <w:spacing w:val="1"/>
                  <w:u w:val="single"/>
                </w:rPr>
                <w:t>ss</w:t>
              </w:r>
              <w:r>
                <w:rPr>
                  <w:color w:val="0000FF"/>
                  <w:spacing w:val="-2"/>
                  <w:u w:val="single"/>
                </w:rPr>
                <w:t>e</w:t>
              </w:r>
              <w:r>
                <w:rPr>
                  <w:color w:val="0000FF"/>
                  <w:u w:val="single"/>
                </w:rPr>
                <w:t>ntere</w:t>
              </w:r>
              <w:r>
                <w:rPr>
                  <w:color w:val="0000FF"/>
                  <w:spacing w:val="-2"/>
                  <w:u w:val="single"/>
                </w:rPr>
                <w:t>t</w:t>
              </w:r>
              <w:r>
                <w:rPr>
                  <w:color w:val="0000FF"/>
                  <w:u w:val="single"/>
                </w:rPr>
                <w:t>.no</w:t>
              </w:r>
            </w:hyperlink>
          </w:p>
        </w:tc>
      </w:tr>
      <w:tr w:rsidR="001C0B02" w:rsidTr="001C0B02">
        <w:tc>
          <w:tcPr>
            <w:tcW w:w="3093" w:type="dxa"/>
          </w:tcPr>
          <w:p w:rsidR="001C0B02" w:rsidRDefault="001C0B02" w:rsidP="001C0B02">
            <w:pPr>
              <w:rPr>
                <w:rFonts w:ascii="Times New Roman" w:hAnsi="Times New Roman"/>
                <w:szCs w:val="24"/>
              </w:rPr>
            </w:pPr>
            <w:r>
              <w:rPr>
                <w:spacing w:val="-1"/>
              </w:rPr>
              <w:t>A</w:t>
            </w:r>
            <w:r>
              <w:t>gen</w:t>
            </w:r>
            <w:r>
              <w:rPr>
                <w:spacing w:val="1"/>
              </w:rPr>
              <w:t>ci</w:t>
            </w:r>
            <w:r>
              <w:t>a</w:t>
            </w:r>
            <w:r>
              <w:rPr>
                <w:spacing w:val="-2"/>
              </w:rPr>
              <w:t xml:space="preserve"> </w:t>
            </w:r>
            <w:r>
              <w:t xml:space="preserve">de </w:t>
            </w:r>
            <w:r>
              <w:rPr>
                <w:spacing w:val="-1"/>
              </w:rPr>
              <w:t>E</w:t>
            </w:r>
            <w:r>
              <w:rPr>
                <w:spacing w:val="1"/>
              </w:rPr>
              <w:t>v</w:t>
            </w:r>
            <w:r>
              <w:rPr>
                <w:spacing w:val="-2"/>
              </w:rPr>
              <w:t>a</w:t>
            </w:r>
            <w:r>
              <w:rPr>
                <w:spacing w:val="1"/>
              </w:rPr>
              <w:t>l</w:t>
            </w:r>
            <w:r>
              <w:t>ua</w:t>
            </w:r>
            <w:r>
              <w:rPr>
                <w:spacing w:val="-2"/>
              </w:rPr>
              <w:t>c</w:t>
            </w:r>
            <w:r>
              <w:rPr>
                <w:spacing w:val="1"/>
              </w:rPr>
              <w:t>i</w:t>
            </w:r>
            <w:r>
              <w:t xml:space="preserve">ón </w:t>
            </w:r>
            <w:r>
              <w:rPr>
                <w:spacing w:val="-2"/>
              </w:rPr>
              <w:t>d</w:t>
            </w:r>
            <w:r>
              <w:t>e Te</w:t>
            </w:r>
            <w:r>
              <w:rPr>
                <w:spacing w:val="-2"/>
              </w:rPr>
              <w:t>c</w:t>
            </w:r>
            <w:r>
              <w:t>no</w:t>
            </w:r>
            <w:r>
              <w:rPr>
                <w:spacing w:val="1"/>
              </w:rPr>
              <w:t>l</w:t>
            </w:r>
            <w:r>
              <w:t>og</w:t>
            </w:r>
            <w:r>
              <w:rPr>
                <w:spacing w:val="-2"/>
              </w:rPr>
              <w:t>i</w:t>
            </w:r>
            <w:r>
              <w:t>as</w:t>
            </w:r>
            <w:r>
              <w:rPr>
                <w:spacing w:val="1"/>
              </w:rPr>
              <w:t xml:space="preserve"> </w:t>
            </w:r>
            <w:r>
              <w:rPr>
                <w:spacing w:val="-1"/>
              </w:rPr>
              <w:t>S</w:t>
            </w:r>
            <w:r>
              <w:t>a</w:t>
            </w:r>
            <w:r>
              <w:rPr>
                <w:spacing w:val="-2"/>
              </w:rPr>
              <w:t>n</w:t>
            </w:r>
            <w:r>
              <w:rPr>
                <w:spacing w:val="1"/>
              </w:rPr>
              <w:t>i</w:t>
            </w:r>
            <w:r>
              <w:t>tar</w:t>
            </w:r>
            <w:r>
              <w:rPr>
                <w:spacing w:val="1"/>
              </w:rPr>
              <w:t>i</w:t>
            </w:r>
            <w:r>
              <w:rPr>
                <w:spacing w:val="-2"/>
              </w:rPr>
              <w:t>a</w:t>
            </w:r>
            <w:r>
              <w:rPr>
                <w:spacing w:val="1"/>
              </w:rPr>
              <w:t>s</w:t>
            </w:r>
            <w:r>
              <w:t>, In</w:t>
            </w:r>
            <w:r>
              <w:rPr>
                <w:spacing w:val="1"/>
              </w:rPr>
              <w:t>s</w:t>
            </w:r>
            <w:r>
              <w:t>t</w:t>
            </w:r>
            <w:r>
              <w:rPr>
                <w:spacing w:val="1"/>
              </w:rPr>
              <w:t>i</w:t>
            </w:r>
            <w:r>
              <w:t>tu</w:t>
            </w:r>
            <w:r>
              <w:rPr>
                <w:spacing w:val="-2"/>
              </w:rPr>
              <w:t>t</w:t>
            </w:r>
            <w:r>
              <w:t xml:space="preserve">o de </w:t>
            </w:r>
            <w:r>
              <w:rPr>
                <w:spacing w:val="-1"/>
              </w:rPr>
              <w:t>S</w:t>
            </w:r>
            <w:r>
              <w:rPr>
                <w:spacing w:val="-2"/>
              </w:rPr>
              <w:t>a</w:t>
            </w:r>
            <w:r>
              <w:rPr>
                <w:spacing w:val="1"/>
              </w:rPr>
              <w:t>l</w:t>
            </w:r>
            <w:r>
              <w:t>ud “</w:t>
            </w:r>
            <w:r>
              <w:rPr>
                <w:spacing w:val="-1"/>
              </w:rPr>
              <w:t>C</w:t>
            </w:r>
            <w:r>
              <w:t>ar</w:t>
            </w:r>
            <w:r>
              <w:rPr>
                <w:spacing w:val="1"/>
              </w:rPr>
              <w:t>l</w:t>
            </w:r>
            <w:r>
              <w:rPr>
                <w:spacing w:val="-2"/>
              </w:rPr>
              <w:t>o</w:t>
            </w:r>
            <w:r>
              <w:t>s</w:t>
            </w:r>
            <w:r>
              <w:rPr>
                <w:spacing w:val="1"/>
              </w:rPr>
              <w:t xml:space="preserve"> </w:t>
            </w:r>
            <w:r>
              <w:t>III”I</w:t>
            </w:r>
            <w:r>
              <w:rPr>
                <w:spacing w:val="-2"/>
              </w:rPr>
              <w:t>/</w:t>
            </w:r>
            <w:r>
              <w:rPr>
                <w:spacing w:val="-1"/>
              </w:rPr>
              <w:t>H</w:t>
            </w:r>
            <w:r>
              <w:t>ea</w:t>
            </w:r>
            <w:r>
              <w:rPr>
                <w:spacing w:val="1"/>
              </w:rPr>
              <w:t>l</w:t>
            </w:r>
            <w:r>
              <w:t>th Te</w:t>
            </w:r>
            <w:r>
              <w:rPr>
                <w:spacing w:val="-2"/>
              </w:rPr>
              <w:t>c</w:t>
            </w:r>
            <w:r>
              <w:t>hno</w:t>
            </w:r>
            <w:r>
              <w:rPr>
                <w:spacing w:val="-2"/>
              </w:rPr>
              <w:t>l</w:t>
            </w:r>
            <w:r>
              <w:t xml:space="preserve">ogy </w:t>
            </w:r>
            <w:r>
              <w:rPr>
                <w:spacing w:val="-1"/>
              </w:rPr>
              <w:t>A</w:t>
            </w:r>
            <w:r>
              <w:rPr>
                <w:spacing w:val="1"/>
              </w:rPr>
              <w:t>ss</w:t>
            </w:r>
            <w:r>
              <w:t>e</w:t>
            </w:r>
            <w:r>
              <w:rPr>
                <w:spacing w:val="-2"/>
              </w:rPr>
              <w:t>s</w:t>
            </w:r>
            <w:r>
              <w:rPr>
                <w:spacing w:val="1"/>
              </w:rPr>
              <w:t>s</w:t>
            </w:r>
            <w:r>
              <w:t>me</w:t>
            </w:r>
            <w:r>
              <w:rPr>
                <w:spacing w:val="-2"/>
              </w:rPr>
              <w:t>n</w:t>
            </w:r>
            <w:r>
              <w:t xml:space="preserve">t </w:t>
            </w:r>
            <w:r>
              <w:rPr>
                <w:spacing w:val="-1"/>
              </w:rPr>
              <w:t>A</w:t>
            </w:r>
            <w:r>
              <w:t>gen</w:t>
            </w:r>
            <w:r>
              <w:rPr>
                <w:spacing w:val="-2"/>
              </w:rPr>
              <w:t>c</w:t>
            </w:r>
            <w:r>
              <w:t>y</w:t>
            </w:r>
            <w:r>
              <w:rPr>
                <w:spacing w:val="1"/>
              </w:rPr>
              <w:t xml:space="preserve"> </w:t>
            </w:r>
            <w:r>
              <w:t>(</w:t>
            </w:r>
            <w:r>
              <w:rPr>
                <w:spacing w:val="-1"/>
              </w:rPr>
              <w:t>AE</w:t>
            </w:r>
            <w:r>
              <w:t>T</w:t>
            </w:r>
            <w:r>
              <w:rPr>
                <w:spacing w:val="-1"/>
              </w:rPr>
              <w:t>S</w:t>
            </w:r>
            <w:r>
              <w:t>)</w:t>
            </w:r>
          </w:p>
        </w:tc>
        <w:tc>
          <w:tcPr>
            <w:tcW w:w="6215" w:type="dxa"/>
          </w:tcPr>
          <w:p w:rsidR="001C0B02" w:rsidRDefault="001C0B02" w:rsidP="001C0B02">
            <w:pPr>
              <w:rPr>
                <w:rFonts w:ascii="Times New Roman" w:hAnsi="Times New Roman"/>
                <w:szCs w:val="24"/>
              </w:rPr>
            </w:pPr>
            <w:hyperlink r:id="rId68" w:tooltip="Agencia de Evaluación de Tecnologias Sanitarias, Instituto de Salud " w:history="1">
              <w:r>
                <w:rPr>
                  <w:color w:val="0000FF"/>
                  <w:u w:val="single"/>
                </w:rPr>
                <w:t>http://</w:t>
              </w:r>
              <w:r>
                <w:rPr>
                  <w:color w:val="0000FF"/>
                  <w:spacing w:val="-1"/>
                  <w:u w:val="single"/>
                </w:rPr>
                <w:t>www</w:t>
              </w:r>
              <w:r>
                <w:rPr>
                  <w:color w:val="0000FF"/>
                  <w:u w:val="single"/>
                </w:rPr>
                <w:t>.</w:t>
              </w:r>
              <w:r>
                <w:rPr>
                  <w:color w:val="0000FF"/>
                  <w:spacing w:val="1"/>
                  <w:u w:val="single"/>
                </w:rPr>
                <w:t>is</w:t>
              </w:r>
              <w:r>
                <w:rPr>
                  <w:color w:val="0000FF"/>
                  <w:spacing w:val="-2"/>
                  <w:u w:val="single"/>
                </w:rPr>
                <w:t>c</w:t>
              </w:r>
              <w:r>
                <w:rPr>
                  <w:color w:val="0000FF"/>
                  <w:spacing w:val="1"/>
                  <w:u w:val="single"/>
                </w:rPr>
                <w:t>iii</w:t>
              </w:r>
              <w:r>
                <w:rPr>
                  <w:color w:val="0000FF"/>
                  <w:spacing w:val="-2"/>
                  <w:u w:val="single"/>
                </w:rPr>
                <w:t>.</w:t>
              </w:r>
              <w:r>
                <w:rPr>
                  <w:color w:val="0000FF"/>
                  <w:u w:val="single"/>
                </w:rPr>
                <w:t>e</w:t>
              </w:r>
              <w:r>
                <w:rPr>
                  <w:color w:val="0000FF"/>
                  <w:spacing w:val="1"/>
                  <w:u w:val="single"/>
                </w:rPr>
                <w:t>s</w:t>
              </w:r>
              <w:r>
                <w:rPr>
                  <w:color w:val="0000FF"/>
                  <w:u w:val="single"/>
                </w:rPr>
                <w:t>/</w:t>
              </w:r>
            </w:hyperlink>
          </w:p>
        </w:tc>
      </w:tr>
      <w:tr w:rsidR="001C0B02" w:rsidTr="001C0B02">
        <w:tc>
          <w:tcPr>
            <w:tcW w:w="3093" w:type="dxa"/>
          </w:tcPr>
          <w:p w:rsidR="001C0B02" w:rsidRDefault="001C0B02" w:rsidP="001C0B02">
            <w:r>
              <w:rPr>
                <w:spacing w:val="-1"/>
              </w:rPr>
              <w:t>A</w:t>
            </w:r>
            <w:r>
              <w:t>nda</w:t>
            </w:r>
            <w:r>
              <w:rPr>
                <w:spacing w:val="1"/>
              </w:rPr>
              <w:t>l</w:t>
            </w:r>
            <w:r>
              <w:t>u</w:t>
            </w:r>
            <w:r>
              <w:rPr>
                <w:spacing w:val="-2"/>
              </w:rPr>
              <w:t>s</w:t>
            </w:r>
            <w:r>
              <w:rPr>
                <w:spacing w:val="1"/>
              </w:rPr>
              <w:t>i</w:t>
            </w:r>
            <w:r>
              <w:t xml:space="preserve">an </w:t>
            </w:r>
            <w:r>
              <w:rPr>
                <w:spacing w:val="-1"/>
              </w:rPr>
              <w:t>A</w:t>
            </w:r>
            <w:r>
              <w:t>g</w:t>
            </w:r>
            <w:r>
              <w:rPr>
                <w:spacing w:val="-2"/>
              </w:rPr>
              <w:t>e</w:t>
            </w:r>
            <w:r>
              <w:t>n</w:t>
            </w:r>
            <w:r>
              <w:rPr>
                <w:spacing w:val="1"/>
              </w:rPr>
              <w:t>c</w:t>
            </w:r>
            <w:r>
              <w:t>y</w:t>
            </w:r>
            <w:r>
              <w:rPr>
                <w:spacing w:val="-2"/>
              </w:rPr>
              <w:t xml:space="preserve"> </w:t>
            </w:r>
            <w:r>
              <w:t xml:space="preserve">for </w:t>
            </w:r>
            <w:r>
              <w:rPr>
                <w:spacing w:val="-1"/>
              </w:rPr>
              <w:t>H</w:t>
            </w:r>
            <w:r>
              <w:t>ea</w:t>
            </w:r>
            <w:r>
              <w:rPr>
                <w:spacing w:val="1"/>
              </w:rPr>
              <w:t>l</w:t>
            </w:r>
            <w:r>
              <w:rPr>
                <w:spacing w:val="-2"/>
              </w:rPr>
              <w:t>t</w:t>
            </w:r>
            <w:r>
              <w:t>h</w:t>
            </w:r>
            <w:r>
              <w:rPr>
                <w:spacing w:val="-2"/>
              </w:rPr>
              <w:t xml:space="preserve"> </w:t>
            </w:r>
            <w:r>
              <w:t>Te</w:t>
            </w:r>
            <w:r>
              <w:rPr>
                <w:spacing w:val="1"/>
              </w:rPr>
              <w:t>c</w:t>
            </w:r>
            <w:r>
              <w:t>hn</w:t>
            </w:r>
            <w:r>
              <w:rPr>
                <w:spacing w:val="-2"/>
              </w:rPr>
              <w:t>o</w:t>
            </w:r>
            <w:r>
              <w:rPr>
                <w:spacing w:val="1"/>
              </w:rPr>
              <w:t>l</w:t>
            </w:r>
            <w:r>
              <w:t>ogy</w:t>
            </w:r>
          </w:p>
          <w:p w:rsidR="001C0B02" w:rsidRDefault="001C0B02" w:rsidP="001C0B02">
            <w:pPr>
              <w:rPr>
                <w:rFonts w:ascii="Times New Roman" w:hAnsi="Times New Roman"/>
                <w:szCs w:val="24"/>
              </w:rPr>
            </w:pPr>
            <w:r>
              <w:rPr>
                <w:spacing w:val="-1"/>
              </w:rPr>
              <w:t>A</w:t>
            </w:r>
            <w:r>
              <w:rPr>
                <w:spacing w:val="1"/>
              </w:rPr>
              <w:t>ss</w:t>
            </w:r>
            <w:r>
              <w:t>e</w:t>
            </w:r>
            <w:r>
              <w:rPr>
                <w:spacing w:val="-2"/>
              </w:rPr>
              <w:t>s</w:t>
            </w:r>
            <w:r>
              <w:rPr>
                <w:spacing w:val="1"/>
              </w:rPr>
              <w:t>s</w:t>
            </w:r>
            <w:r>
              <w:t>me</w:t>
            </w:r>
            <w:r>
              <w:rPr>
                <w:spacing w:val="-2"/>
              </w:rPr>
              <w:t>n</w:t>
            </w:r>
            <w:r>
              <w:t>t (</w:t>
            </w:r>
            <w:r>
              <w:rPr>
                <w:spacing w:val="-1"/>
              </w:rPr>
              <w:t>S</w:t>
            </w:r>
            <w:r>
              <w:t>pa</w:t>
            </w:r>
            <w:r>
              <w:rPr>
                <w:spacing w:val="1"/>
              </w:rPr>
              <w:t>i</w:t>
            </w:r>
            <w:r>
              <w:t>n)</w:t>
            </w:r>
          </w:p>
        </w:tc>
        <w:tc>
          <w:tcPr>
            <w:tcW w:w="6215" w:type="dxa"/>
          </w:tcPr>
          <w:p w:rsidR="001C0B02" w:rsidRDefault="001C0B02" w:rsidP="001C0B02">
            <w:pPr>
              <w:rPr>
                <w:rFonts w:ascii="Times New Roman" w:hAnsi="Times New Roman"/>
                <w:sz w:val="17"/>
                <w:szCs w:val="17"/>
              </w:rPr>
            </w:pPr>
          </w:p>
          <w:p w:rsidR="001C0B02" w:rsidRDefault="001C0B02" w:rsidP="001C0B02">
            <w:pPr>
              <w:rPr>
                <w:rFonts w:ascii="Times New Roman" w:hAnsi="Times New Roman"/>
                <w:szCs w:val="24"/>
              </w:rPr>
            </w:pPr>
            <w:hyperlink r:id="rId69" w:tooltip="Andalusian Agency for Health Technology" w:history="1">
              <w:r>
                <w:rPr>
                  <w:color w:val="0000FF"/>
                  <w:u w:val="single"/>
                </w:rPr>
                <w:t>http://</w:t>
              </w:r>
              <w:r>
                <w:rPr>
                  <w:color w:val="0000FF"/>
                  <w:spacing w:val="-1"/>
                  <w:u w:val="single"/>
                </w:rPr>
                <w:t>www</w:t>
              </w:r>
              <w:r>
                <w:rPr>
                  <w:color w:val="0000FF"/>
                  <w:u w:val="single"/>
                </w:rPr>
                <w:t>.</w:t>
              </w:r>
              <w:r>
                <w:rPr>
                  <w:color w:val="0000FF"/>
                  <w:spacing w:val="1"/>
                  <w:u w:val="single"/>
                </w:rPr>
                <w:t>j</w:t>
              </w:r>
              <w:r>
                <w:rPr>
                  <w:color w:val="0000FF"/>
                  <w:u w:val="single"/>
                </w:rPr>
                <w:t>unta</w:t>
              </w:r>
              <w:r>
                <w:rPr>
                  <w:color w:val="0000FF"/>
                  <w:spacing w:val="-2"/>
                  <w:u w:val="single"/>
                </w:rPr>
                <w:t>d</w:t>
              </w:r>
              <w:r>
                <w:rPr>
                  <w:color w:val="0000FF"/>
                  <w:u w:val="single"/>
                </w:rPr>
                <w:t>eand</w:t>
              </w:r>
              <w:r>
                <w:rPr>
                  <w:color w:val="0000FF"/>
                  <w:spacing w:val="-2"/>
                  <w:u w:val="single"/>
                </w:rPr>
                <w:t>a</w:t>
              </w:r>
              <w:r>
                <w:rPr>
                  <w:color w:val="0000FF"/>
                  <w:spacing w:val="1"/>
                  <w:u w:val="single"/>
                </w:rPr>
                <w:t>l</w:t>
              </w:r>
              <w:r>
                <w:rPr>
                  <w:color w:val="0000FF"/>
                  <w:u w:val="single"/>
                </w:rPr>
                <w:t>u</w:t>
              </w:r>
              <w:r>
                <w:rPr>
                  <w:color w:val="0000FF"/>
                  <w:spacing w:val="-2"/>
                  <w:u w:val="single"/>
                </w:rPr>
                <w:t>c</w:t>
              </w:r>
              <w:r>
                <w:rPr>
                  <w:color w:val="0000FF"/>
                  <w:spacing w:val="1"/>
                  <w:u w:val="single"/>
                </w:rPr>
                <w:t>i</w:t>
              </w:r>
              <w:r>
                <w:rPr>
                  <w:color w:val="0000FF"/>
                  <w:u w:val="single"/>
                </w:rPr>
                <w:t>a.</w:t>
              </w:r>
              <w:r>
                <w:rPr>
                  <w:color w:val="0000FF"/>
                  <w:spacing w:val="-2"/>
                  <w:u w:val="single"/>
                </w:rPr>
                <w:t>e</w:t>
              </w:r>
              <w:r>
                <w:rPr>
                  <w:color w:val="0000FF"/>
                  <w:spacing w:val="1"/>
                  <w:u w:val="single"/>
                </w:rPr>
                <w:t>s</w:t>
              </w:r>
              <w:r>
                <w:rPr>
                  <w:color w:val="0000FF"/>
                  <w:u w:val="single"/>
                </w:rPr>
                <w:t>/</w:t>
              </w:r>
            </w:hyperlink>
          </w:p>
        </w:tc>
      </w:tr>
      <w:tr w:rsidR="001C0B02" w:rsidTr="001C0B02">
        <w:tc>
          <w:tcPr>
            <w:tcW w:w="3093" w:type="dxa"/>
          </w:tcPr>
          <w:p w:rsidR="001C0B02" w:rsidRDefault="001C0B02" w:rsidP="001C0B02">
            <w:pPr>
              <w:rPr>
                <w:rFonts w:ascii="Times New Roman" w:hAnsi="Times New Roman"/>
                <w:szCs w:val="24"/>
              </w:rPr>
            </w:pPr>
            <w:r>
              <w:rPr>
                <w:spacing w:val="-1"/>
              </w:rPr>
              <w:t>C</w:t>
            </w:r>
            <w:r>
              <w:t>ata</w:t>
            </w:r>
            <w:r>
              <w:rPr>
                <w:spacing w:val="1"/>
              </w:rPr>
              <w:t>l</w:t>
            </w:r>
            <w:r>
              <w:t xml:space="preserve">an </w:t>
            </w:r>
            <w:r>
              <w:rPr>
                <w:spacing w:val="-1"/>
              </w:rPr>
              <w:t>A</w:t>
            </w:r>
            <w:r>
              <w:t>ge</w:t>
            </w:r>
            <w:r>
              <w:rPr>
                <w:spacing w:val="-2"/>
              </w:rPr>
              <w:t>n</w:t>
            </w:r>
            <w:r>
              <w:rPr>
                <w:spacing w:val="1"/>
              </w:rPr>
              <w:t>c</w:t>
            </w:r>
            <w:r>
              <w:t>y</w:t>
            </w:r>
            <w:r>
              <w:rPr>
                <w:spacing w:val="1"/>
              </w:rPr>
              <w:t xml:space="preserve"> </w:t>
            </w:r>
            <w:r>
              <w:rPr>
                <w:spacing w:val="-2"/>
              </w:rPr>
              <w:t>f</w:t>
            </w:r>
            <w:r>
              <w:t xml:space="preserve">or </w:t>
            </w:r>
            <w:r>
              <w:rPr>
                <w:spacing w:val="-1"/>
              </w:rPr>
              <w:t>H</w:t>
            </w:r>
            <w:r>
              <w:t>ea</w:t>
            </w:r>
            <w:r>
              <w:rPr>
                <w:spacing w:val="1"/>
              </w:rPr>
              <w:t>l</w:t>
            </w:r>
            <w:r>
              <w:t>th</w:t>
            </w:r>
            <w:r>
              <w:rPr>
                <w:spacing w:val="-2"/>
              </w:rPr>
              <w:t xml:space="preserve"> </w:t>
            </w:r>
            <w:r>
              <w:t>T</w:t>
            </w:r>
            <w:r>
              <w:rPr>
                <w:spacing w:val="-2"/>
              </w:rPr>
              <w:t>e</w:t>
            </w:r>
            <w:r>
              <w:rPr>
                <w:spacing w:val="1"/>
              </w:rPr>
              <w:t>c</w:t>
            </w:r>
            <w:r>
              <w:t>hno</w:t>
            </w:r>
            <w:r>
              <w:rPr>
                <w:spacing w:val="1"/>
              </w:rPr>
              <w:t>l</w:t>
            </w:r>
            <w:r>
              <w:rPr>
                <w:spacing w:val="-2"/>
              </w:rPr>
              <w:t>o</w:t>
            </w:r>
            <w:r>
              <w:t>gy</w:t>
            </w:r>
            <w:r>
              <w:rPr>
                <w:spacing w:val="1"/>
              </w:rPr>
              <w:t xml:space="preserve"> </w:t>
            </w:r>
            <w:r>
              <w:rPr>
                <w:spacing w:val="-1"/>
              </w:rPr>
              <w:t>A</w:t>
            </w:r>
            <w:r>
              <w:rPr>
                <w:spacing w:val="-2"/>
              </w:rPr>
              <w:t>s</w:t>
            </w:r>
            <w:r>
              <w:rPr>
                <w:spacing w:val="1"/>
              </w:rPr>
              <w:t>s</w:t>
            </w:r>
            <w:r>
              <w:t>e</w:t>
            </w:r>
            <w:r>
              <w:rPr>
                <w:spacing w:val="-2"/>
              </w:rPr>
              <w:t>s</w:t>
            </w:r>
            <w:r>
              <w:rPr>
                <w:spacing w:val="1"/>
              </w:rPr>
              <w:t>s</w:t>
            </w:r>
            <w:r>
              <w:t>m</w:t>
            </w:r>
            <w:r>
              <w:rPr>
                <w:spacing w:val="-2"/>
              </w:rPr>
              <w:t>e</w:t>
            </w:r>
            <w:r>
              <w:t>nt (</w:t>
            </w:r>
            <w:r>
              <w:rPr>
                <w:spacing w:val="-1"/>
              </w:rPr>
              <w:t>CAH</w:t>
            </w:r>
            <w:r>
              <w:t>T</w:t>
            </w:r>
            <w:r>
              <w:rPr>
                <w:spacing w:val="-1"/>
              </w:rPr>
              <w:t>A</w:t>
            </w:r>
            <w:r>
              <w:t>)</w:t>
            </w:r>
          </w:p>
        </w:tc>
        <w:tc>
          <w:tcPr>
            <w:tcW w:w="6215" w:type="dxa"/>
          </w:tcPr>
          <w:p w:rsidR="001C0B02" w:rsidRDefault="001C0B02" w:rsidP="001C0B02">
            <w:pPr>
              <w:rPr>
                <w:rFonts w:ascii="Times New Roman" w:hAnsi="Times New Roman"/>
                <w:szCs w:val="24"/>
              </w:rPr>
            </w:pPr>
            <w:hyperlink r:id="rId70" w:tooltip="Catalan Agency for Health Technology Assessment" w:history="1">
              <w:r>
                <w:rPr>
                  <w:color w:val="0000FF"/>
                  <w:u w:val="single"/>
                </w:rPr>
                <w:t>http://</w:t>
              </w:r>
              <w:r>
                <w:rPr>
                  <w:color w:val="0000FF"/>
                  <w:spacing w:val="-1"/>
                  <w:u w:val="single"/>
                </w:rPr>
                <w:t>www</w:t>
              </w:r>
              <w:r>
                <w:rPr>
                  <w:color w:val="0000FF"/>
                  <w:u w:val="single"/>
                </w:rPr>
                <w:t>.gen</w:t>
              </w:r>
              <w:r>
                <w:rPr>
                  <w:color w:val="0000FF"/>
                  <w:spacing w:val="1"/>
                  <w:u w:val="single"/>
                </w:rPr>
                <w:t>c</w:t>
              </w:r>
              <w:r>
                <w:rPr>
                  <w:color w:val="0000FF"/>
                  <w:u w:val="single"/>
                </w:rPr>
                <w:t>a</w:t>
              </w:r>
              <w:r>
                <w:rPr>
                  <w:color w:val="0000FF"/>
                  <w:spacing w:val="-2"/>
                  <w:u w:val="single"/>
                </w:rPr>
                <w:t>t</w:t>
              </w:r>
              <w:r>
                <w:rPr>
                  <w:color w:val="0000FF"/>
                  <w:u w:val="single"/>
                </w:rPr>
                <w:t>.</w:t>
              </w:r>
              <w:r>
                <w:rPr>
                  <w:color w:val="0000FF"/>
                  <w:spacing w:val="1"/>
                  <w:u w:val="single"/>
                </w:rPr>
                <w:t>c</w:t>
              </w:r>
              <w:r>
                <w:rPr>
                  <w:color w:val="0000FF"/>
                  <w:u w:val="single"/>
                </w:rPr>
                <w:t>at</w:t>
              </w:r>
            </w:hyperlink>
          </w:p>
        </w:tc>
      </w:tr>
      <w:tr w:rsidR="001C0B02" w:rsidTr="001C0B02">
        <w:tc>
          <w:tcPr>
            <w:tcW w:w="3093" w:type="dxa"/>
          </w:tcPr>
          <w:p w:rsidR="001C0B02" w:rsidRDefault="001C0B02" w:rsidP="001C0B02">
            <w:pPr>
              <w:rPr>
                <w:rFonts w:ascii="Times New Roman" w:hAnsi="Times New Roman"/>
                <w:szCs w:val="24"/>
              </w:rPr>
            </w:pPr>
            <w:r>
              <w:rPr>
                <w:spacing w:val="-1"/>
              </w:rPr>
              <w:lastRenderedPageBreak/>
              <w:t>C</w:t>
            </w:r>
            <w:r>
              <w:t>enter for M</w:t>
            </w:r>
            <w:r>
              <w:rPr>
                <w:spacing w:val="-2"/>
              </w:rPr>
              <w:t>e</w:t>
            </w:r>
            <w:r>
              <w:t>d</w:t>
            </w:r>
            <w:r>
              <w:rPr>
                <w:spacing w:val="1"/>
              </w:rPr>
              <w:t>i</w:t>
            </w:r>
            <w:r>
              <w:rPr>
                <w:spacing w:val="-2"/>
              </w:rPr>
              <w:t>c</w:t>
            </w:r>
            <w:r>
              <w:t>al</w:t>
            </w:r>
            <w:r>
              <w:rPr>
                <w:spacing w:val="1"/>
              </w:rPr>
              <w:t xml:space="preserve"> </w:t>
            </w:r>
            <w:r>
              <w:rPr>
                <w:spacing w:val="-1"/>
              </w:rPr>
              <w:t>H</w:t>
            </w:r>
            <w:r>
              <w:t>ea</w:t>
            </w:r>
            <w:r>
              <w:rPr>
                <w:spacing w:val="1"/>
              </w:rPr>
              <w:t>l</w:t>
            </w:r>
            <w:r>
              <w:rPr>
                <w:spacing w:val="-2"/>
              </w:rPr>
              <w:t>t</w:t>
            </w:r>
            <w:r>
              <w:t>h Te</w:t>
            </w:r>
            <w:r>
              <w:rPr>
                <w:spacing w:val="-2"/>
              </w:rPr>
              <w:t>c</w:t>
            </w:r>
            <w:r>
              <w:t>hno</w:t>
            </w:r>
            <w:r>
              <w:rPr>
                <w:spacing w:val="1"/>
              </w:rPr>
              <w:t>l</w:t>
            </w:r>
            <w:r>
              <w:t>o</w:t>
            </w:r>
            <w:r>
              <w:rPr>
                <w:spacing w:val="-2"/>
              </w:rPr>
              <w:t>g</w:t>
            </w:r>
            <w:r>
              <w:t>y</w:t>
            </w:r>
            <w:r>
              <w:rPr>
                <w:spacing w:val="1"/>
              </w:rPr>
              <w:t xml:space="preserve"> </w:t>
            </w:r>
            <w:r>
              <w:rPr>
                <w:spacing w:val="-1"/>
              </w:rPr>
              <w:t>A</w:t>
            </w:r>
            <w:r>
              <w:rPr>
                <w:spacing w:val="1"/>
              </w:rPr>
              <w:t>s</w:t>
            </w:r>
            <w:r>
              <w:rPr>
                <w:spacing w:val="-2"/>
              </w:rPr>
              <w:t>s</w:t>
            </w:r>
            <w:r>
              <w:t>e</w:t>
            </w:r>
            <w:r>
              <w:rPr>
                <w:spacing w:val="1"/>
              </w:rPr>
              <w:t>s</w:t>
            </w:r>
            <w:r>
              <w:rPr>
                <w:spacing w:val="-2"/>
              </w:rPr>
              <w:t>s</w:t>
            </w:r>
            <w:r>
              <w:t>ment</w:t>
            </w:r>
          </w:p>
        </w:tc>
        <w:tc>
          <w:tcPr>
            <w:tcW w:w="6215" w:type="dxa"/>
          </w:tcPr>
          <w:p w:rsidR="001C0B02" w:rsidRDefault="001C0B02" w:rsidP="001C0B02">
            <w:pPr>
              <w:rPr>
                <w:rFonts w:ascii="Times New Roman" w:hAnsi="Times New Roman"/>
                <w:szCs w:val="24"/>
              </w:rPr>
            </w:pPr>
            <w:hyperlink r:id="rId71" w:tooltip="Center for Medical Health Technology Assessment" w:history="1">
              <w:r>
                <w:rPr>
                  <w:color w:val="0000FF"/>
                  <w:u w:val="single"/>
                </w:rPr>
                <w:t>http://</w:t>
              </w:r>
              <w:r>
                <w:rPr>
                  <w:color w:val="0000FF"/>
                  <w:spacing w:val="-1"/>
                  <w:u w:val="single"/>
                </w:rPr>
                <w:t>www</w:t>
              </w:r>
              <w:r>
                <w:rPr>
                  <w:color w:val="0000FF"/>
                  <w:u w:val="single"/>
                </w:rPr>
                <w:t>.</w:t>
              </w:r>
              <w:r>
                <w:rPr>
                  <w:color w:val="0000FF"/>
                  <w:spacing w:val="1"/>
                  <w:u w:val="single"/>
                </w:rPr>
                <w:t>c</w:t>
              </w:r>
              <w:r>
                <w:rPr>
                  <w:color w:val="0000FF"/>
                  <w:u w:val="single"/>
                </w:rPr>
                <w:t>mt.</w:t>
              </w:r>
              <w:r>
                <w:rPr>
                  <w:color w:val="0000FF"/>
                  <w:spacing w:val="-2"/>
                  <w:u w:val="single"/>
                </w:rPr>
                <w:t>l</w:t>
              </w:r>
              <w:r>
                <w:rPr>
                  <w:color w:val="0000FF"/>
                  <w:spacing w:val="1"/>
                  <w:u w:val="single"/>
                </w:rPr>
                <w:t>i</w:t>
              </w:r>
              <w:r>
                <w:rPr>
                  <w:color w:val="0000FF"/>
                  <w:u w:val="single"/>
                </w:rPr>
                <w:t>u.</w:t>
              </w:r>
              <w:r>
                <w:rPr>
                  <w:color w:val="0000FF"/>
                  <w:spacing w:val="-2"/>
                  <w:u w:val="single"/>
                </w:rPr>
                <w:t>s</w:t>
              </w:r>
              <w:r>
                <w:rPr>
                  <w:color w:val="0000FF"/>
                  <w:u w:val="single"/>
                </w:rPr>
                <w:t>e/?</w:t>
              </w:r>
              <w:r>
                <w:rPr>
                  <w:color w:val="0000FF"/>
                  <w:spacing w:val="1"/>
                  <w:u w:val="single"/>
                </w:rPr>
                <w:t>l</w:t>
              </w:r>
              <w:r>
                <w:rPr>
                  <w:color w:val="0000FF"/>
                  <w:spacing w:val="-3"/>
                  <w:u w:val="single"/>
                </w:rPr>
                <w:t>=</w:t>
              </w:r>
              <w:r>
                <w:rPr>
                  <w:color w:val="0000FF"/>
                  <w:u w:val="single"/>
                </w:rPr>
                <w:t>en</w:t>
              </w:r>
              <w:r>
                <w:rPr>
                  <w:color w:val="0000FF"/>
                  <w:spacing w:val="-1"/>
                  <w:u w:val="single"/>
                </w:rPr>
                <w:t>&amp;</w:t>
              </w:r>
              <w:r>
                <w:rPr>
                  <w:color w:val="0000FF"/>
                  <w:spacing w:val="1"/>
                  <w:u w:val="single"/>
                </w:rPr>
                <w:t>s</w:t>
              </w:r>
              <w:r>
                <w:rPr>
                  <w:color w:val="0000FF"/>
                  <w:spacing w:val="-2"/>
                  <w:u w:val="single"/>
                </w:rPr>
                <w:t>c</w:t>
              </w:r>
              <w:r>
                <w:rPr>
                  <w:color w:val="0000FF"/>
                  <w:u w:val="single"/>
                </w:rPr>
                <w:t>=true</w:t>
              </w:r>
            </w:hyperlink>
          </w:p>
        </w:tc>
      </w:tr>
      <w:tr w:rsidR="001C0B02" w:rsidTr="001C0B02">
        <w:tc>
          <w:tcPr>
            <w:tcW w:w="3093" w:type="dxa"/>
          </w:tcPr>
          <w:p w:rsidR="001C0B02" w:rsidRDefault="001C0B02" w:rsidP="001C0B02">
            <w:pPr>
              <w:rPr>
                <w:rFonts w:ascii="Times New Roman" w:hAnsi="Times New Roman"/>
                <w:szCs w:val="24"/>
              </w:rPr>
            </w:pPr>
            <w:r>
              <w:rPr>
                <w:spacing w:val="-1"/>
              </w:rPr>
              <w:t>Sw</w:t>
            </w:r>
            <w:r>
              <w:t>ed</w:t>
            </w:r>
            <w:r>
              <w:rPr>
                <w:spacing w:val="1"/>
              </w:rPr>
              <w:t>is</w:t>
            </w:r>
            <w:r>
              <w:t xml:space="preserve">h </w:t>
            </w:r>
            <w:r>
              <w:rPr>
                <w:spacing w:val="-1"/>
              </w:rPr>
              <w:t>C</w:t>
            </w:r>
            <w:r>
              <w:t>ou</w:t>
            </w:r>
            <w:r>
              <w:rPr>
                <w:spacing w:val="-2"/>
              </w:rPr>
              <w:t>n</w:t>
            </w:r>
            <w:r>
              <w:rPr>
                <w:spacing w:val="1"/>
              </w:rPr>
              <w:t>ci</w:t>
            </w:r>
            <w:r>
              <w:t>l</w:t>
            </w:r>
            <w:r>
              <w:rPr>
                <w:spacing w:val="-2"/>
              </w:rPr>
              <w:t xml:space="preserve"> </w:t>
            </w:r>
            <w:r>
              <w:t>on T</w:t>
            </w:r>
            <w:r>
              <w:rPr>
                <w:spacing w:val="-2"/>
              </w:rPr>
              <w:t>e</w:t>
            </w:r>
            <w:r>
              <w:rPr>
                <w:spacing w:val="1"/>
              </w:rPr>
              <w:t>c</w:t>
            </w:r>
            <w:r>
              <w:t>hno</w:t>
            </w:r>
            <w:r>
              <w:rPr>
                <w:spacing w:val="-2"/>
              </w:rPr>
              <w:t>lo</w:t>
            </w:r>
            <w:r>
              <w:t>gy</w:t>
            </w:r>
            <w:r>
              <w:rPr>
                <w:spacing w:val="1"/>
              </w:rPr>
              <w:t xml:space="preserve"> </w:t>
            </w:r>
            <w:r>
              <w:rPr>
                <w:spacing w:val="-1"/>
              </w:rPr>
              <w:t>A</w:t>
            </w:r>
            <w:r>
              <w:rPr>
                <w:spacing w:val="1"/>
              </w:rPr>
              <w:t>s</w:t>
            </w:r>
            <w:r>
              <w:rPr>
                <w:spacing w:val="-2"/>
              </w:rPr>
              <w:t>s</w:t>
            </w:r>
            <w:r>
              <w:t>e</w:t>
            </w:r>
            <w:r>
              <w:rPr>
                <w:spacing w:val="1"/>
              </w:rPr>
              <w:t>s</w:t>
            </w:r>
            <w:r>
              <w:rPr>
                <w:spacing w:val="-2"/>
              </w:rPr>
              <w:t>s</w:t>
            </w:r>
            <w:r>
              <w:t>ment</w:t>
            </w:r>
            <w:r>
              <w:rPr>
                <w:spacing w:val="-1"/>
              </w:rPr>
              <w:t xml:space="preserve"> </w:t>
            </w:r>
            <w:r>
              <w:rPr>
                <w:spacing w:val="1"/>
              </w:rPr>
              <w:t>i</w:t>
            </w:r>
            <w:r>
              <w:t xml:space="preserve">n </w:t>
            </w:r>
            <w:r>
              <w:rPr>
                <w:spacing w:val="-1"/>
              </w:rPr>
              <w:t>H</w:t>
            </w:r>
            <w:r>
              <w:t>ea</w:t>
            </w:r>
            <w:r>
              <w:rPr>
                <w:spacing w:val="1"/>
              </w:rPr>
              <w:t>l</w:t>
            </w:r>
            <w:r>
              <w:t xml:space="preserve">th </w:t>
            </w:r>
            <w:r>
              <w:rPr>
                <w:spacing w:val="-1"/>
              </w:rPr>
              <w:t>C</w:t>
            </w:r>
            <w:r>
              <w:t>are (</w:t>
            </w:r>
            <w:r>
              <w:rPr>
                <w:spacing w:val="-1"/>
              </w:rPr>
              <w:t>SBU</w:t>
            </w:r>
            <w:r>
              <w:t>)</w:t>
            </w:r>
          </w:p>
        </w:tc>
        <w:tc>
          <w:tcPr>
            <w:tcW w:w="6215" w:type="dxa"/>
          </w:tcPr>
          <w:p w:rsidR="001C0B02" w:rsidRDefault="001C0B02" w:rsidP="001C0B02">
            <w:pPr>
              <w:rPr>
                <w:rFonts w:ascii="Times New Roman" w:hAnsi="Times New Roman"/>
                <w:szCs w:val="24"/>
              </w:rPr>
            </w:pPr>
            <w:hyperlink r:id="rId72" w:tooltip="Swedish Council on Technology Assessment in" w:history="1">
              <w:r>
                <w:rPr>
                  <w:color w:val="0000FF"/>
                  <w:u w:val="single"/>
                </w:rPr>
                <w:t>http://</w:t>
              </w:r>
              <w:r>
                <w:rPr>
                  <w:color w:val="0000FF"/>
                  <w:spacing w:val="-1"/>
                  <w:u w:val="single"/>
                </w:rPr>
                <w:t>www</w:t>
              </w:r>
              <w:r>
                <w:rPr>
                  <w:color w:val="0000FF"/>
                  <w:u w:val="single"/>
                </w:rPr>
                <w:t>.</w:t>
              </w:r>
              <w:r>
                <w:rPr>
                  <w:color w:val="0000FF"/>
                  <w:spacing w:val="1"/>
                  <w:u w:val="single"/>
                </w:rPr>
                <w:t>s</w:t>
              </w:r>
              <w:r>
                <w:rPr>
                  <w:color w:val="0000FF"/>
                  <w:u w:val="single"/>
                </w:rPr>
                <w:t>bu.</w:t>
              </w:r>
              <w:r>
                <w:rPr>
                  <w:color w:val="0000FF"/>
                  <w:spacing w:val="-2"/>
                  <w:u w:val="single"/>
                </w:rPr>
                <w:t>s</w:t>
              </w:r>
              <w:r>
                <w:rPr>
                  <w:color w:val="0000FF"/>
                  <w:u w:val="single"/>
                </w:rPr>
                <w:t>e/en/</w:t>
              </w:r>
            </w:hyperlink>
          </w:p>
        </w:tc>
      </w:tr>
      <w:tr w:rsidR="001C0B02" w:rsidTr="001C0B02">
        <w:tc>
          <w:tcPr>
            <w:tcW w:w="3093" w:type="dxa"/>
          </w:tcPr>
          <w:p w:rsidR="001C0B02" w:rsidRDefault="001C0B02" w:rsidP="001C0B02">
            <w:pPr>
              <w:rPr>
                <w:spacing w:val="-1"/>
              </w:rPr>
            </w:pPr>
            <w:r>
              <w:rPr>
                <w:spacing w:val="-1"/>
              </w:rPr>
              <w:t>Sw</w:t>
            </w:r>
            <w:r>
              <w:rPr>
                <w:spacing w:val="1"/>
              </w:rPr>
              <w:t>is</w:t>
            </w:r>
            <w:r>
              <w:t>s</w:t>
            </w:r>
            <w:r>
              <w:rPr>
                <w:spacing w:val="1"/>
              </w:rPr>
              <w:t xml:space="preserve"> </w:t>
            </w:r>
            <w:r>
              <w:rPr>
                <w:spacing w:val="-1"/>
              </w:rPr>
              <w:t>N</w:t>
            </w:r>
            <w:r>
              <w:t>et</w:t>
            </w:r>
            <w:r>
              <w:rPr>
                <w:spacing w:val="-1"/>
              </w:rPr>
              <w:t>w</w:t>
            </w:r>
            <w:r>
              <w:t>ork</w:t>
            </w:r>
            <w:r>
              <w:rPr>
                <w:spacing w:val="1"/>
              </w:rPr>
              <w:t xml:space="preserve"> </w:t>
            </w:r>
            <w:r>
              <w:rPr>
                <w:spacing w:val="-2"/>
              </w:rPr>
              <w:t>o</w:t>
            </w:r>
            <w:r>
              <w:t xml:space="preserve">n </w:t>
            </w:r>
            <w:r>
              <w:rPr>
                <w:spacing w:val="-1"/>
              </w:rPr>
              <w:t>H</w:t>
            </w:r>
            <w:r>
              <w:t>ea</w:t>
            </w:r>
            <w:r>
              <w:rPr>
                <w:spacing w:val="1"/>
              </w:rPr>
              <w:t>l</w:t>
            </w:r>
            <w:r>
              <w:t>th</w:t>
            </w:r>
            <w:r>
              <w:rPr>
                <w:spacing w:val="-2"/>
              </w:rPr>
              <w:t xml:space="preserve"> </w:t>
            </w:r>
            <w:r>
              <w:t>Te</w:t>
            </w:r>
            <w:r>
              <w:rPr>
                <w:spacing w:val="-2"/>
              </w:rPr>
              <w:t>c</w:t>
            </w:r>
            <w:r>
              <w:t>hno</w:t>
            </w:r>
            <w:r>
              <w:rPr>
                <w:spacing w:val="1"/>
              </w:rPr>
              <w:t>l</w:t>
            </w:r>
            <w:r>
              <w:t>o</w:t>
            </w:r>
            <w:r>
              <w:rPr>
                <w:spacing w:val="-2"/>
              </w:rPr>
              <w:t>g</w:t>
            </w:r>
            <w:r>
              <w:t>y</w:t>
            </w:r>
            <w:r>
              <w:rPr>
                <w:spacing w:val="1"/>
              </w:rPr>
              <w:t xml:space="preserve"> </w:t>
            </w:r>
            <w:r>
              <w:rPr>
                <w:spacing w:val="-1"/>
              </w:rPr>
              <w:t>A</w:t>
            </w:r>
            <w:r>
              <w:rPr>
                <w:spacing w:val="1"/>
              </w:rPr>
              <w:t>s</w:t>
            </w:r>
            <w:r>
              <w:rPr>
                <w:spacing w:val="-2"/>
              </w:rPr>
              <w:t>s</w:t>
            </w:r>
            <w:r>
              <w:t>e</w:t>
            </w:r>
            <w:r>
              <w:rPr>
                <w:spacing w:val="1"/>
              </w:rPr>
              <w:t>s</w:t>
            </w:r>
            <w:r>
              <w:rPr>
                <w:spacing w:val="-2"/>
              </w:rPr>
              <w:t>s</w:t>
            </w:r>
            <w:r>
              <w:t>ment (</w:t>
            </w:r>
            <w:r>
              <w:rPr>
                <w:spacing w:val="-1"/>
              </w:rPr>
              <w:t>SNH</w:t>
            </w:r>
            <w:r>
              <w:t>T</w:t>
            </w:r>
            <w:r>
              <w:rPr>
                <w:spacing w:val="-1"/>
              </w:rPr>
              <w:t>A</w:t>
            </w:r>
            <w:r>
              <w:t>)</w:t>
            </w:r>
          </w:p>
        </w:tc>
        <w:tc>
          <w:tcPr>
            <w:tcW w:w="6215" w:type="dxa"/>
          </w:tcPr>
          <w:p w:rsidR="001C0B02" w:rsidRDefault="001C0B02" w:rsidP="001C0B02">
            <w:hyperlink r:id="rId73" w:tooltip="Swiss Network on Health Technology Assessment" w:history="1">
              <w:r>
                <w:rPr>
                  <w:color w:val="0000FF"/>
                  <w:u w:val="single"/>
                </w:rPr>
                <w:t>http://</w:t>
              </w:r>
              <w:r>
                <w:rPr>
                  <w:color w:val="0000FF"/>
                  <w:spacing w:val="-1"/>
                  <w:u w:val="single"/>
                </w:rPr>
                <w:t>www</w:t>
              </w:r>
              <w:r>
                <w:rPr>
                  <w:color w:val="0000FF"/>
                  <w:u w:val="single"/>
                </w:rPr>
                <w:t>.</w:t>
              </w:r>
              <w:r>
                <w:rPr>
                  <w:color w:val="0000FF"/>
                  <w:spacing w:val="1"/>
                  <w:u w:val="single"/>
                </w:rPr>
                <w:t>s</w:t>
              </w:r>
              <w:r>
                <w:rPr>
                  <w:color w:val="0000FF"/>
                  <w:u w:val="single"/>
                </w:rPr>
                <w:t>nhta</w:t>
              </w:r>
              <w:r>
                <w:rPr>
                  <w:color w:val="0000FF"/>
                  <w:spacing w:val="-2"/>
                  <w:u w:val="single"/>
                </w:rPr>
                <w:t>.</w:t>
              </w:r>
              <w:r>
                <w:rPr>
                  <w:color w:val="0000FF"/>
                  <w:spacing w:val="1"/>
                  <w:u w:val="single"/>
                </w:rPr>
                <w:t>c</w:t>
              </w:r>
              <w:r>
                <w:rPr>
                  <w:color w:val="0000FF"/>
                  <w:u w:val="single"/>
                </w:rPr>
                <w:t>h/</w:t>
              </w:r>
            </w:hyperlink>
          </w:p>
        </w:tc>
      </w:tr>
      <w:tr w:rsidR="001C0B02" w:rsidTr="001C0B02">
        <w:tc>
          <w:tcPr>
            <w:tcW w:w="3093" w:type="dxa"/>
          </w:tcPr>
          <w:p w:rsidR="001C0B02" w:rsidRDefault="001C0B02" w:rsidP="001C0B02">
            <w:pPr>
              <w:rPr>
                <w:rFonts w:ascii="Times New Roman" w:hAnsi="Times New Roman"/>
                <w:szCs w:val="24"/>
              </w:rPr>
            </w:pPr>
            <w:r>
              <w:rPr>
                <w:spacing w:val="-1"/>
              </w:rPr>
              <w:t>N</w:t>
            </w:r>
            <w:r>
              <w:t>at</w:t>
            </w:r>
            <w:r>
              <w:rPr>
                <w:spacing w:val="1"/>
              </w:rPr>
              <w:t>i</w:t>
            </w:r>
            <w:r>
              <w:t>onal</w:t>
            </w:r>
            <w:r>
              <w:rPr>
                <w:spacing w:val="1"/>
              </w:rPr>
              <w:t xml:space="preserve"> </w:t>
            </w:r>
            <w:r>
              <w:rPr>
                <w:spacing w:val="-1"/>
              </w:rPr>
              <w:t>H</w:t>
            </w:r>
            <w:r>
              <w:t>e</w:t>
            </w:r>
            <w:r>
              <w:rPr>
                <w:spacing w:val="-2"/>
              </w:rPr>
              <w:t>a</w:t>
            </w:r>
            <w:r>
              <w:rPr>
                <w:spacing w:val="1"/>
              </w:rPr>
              <w:t>l</w:t>
            </w:r>
            <w:r>
              <w:t xml:space="preserve">th </w:t>
            </w:r>
            <w:r>
              <w:rPr>
                <w:spacing w:val="-1"/>
              </w:rPr>
              <w:t>S</w:t>
            </w:r>
            <w:r>
              <w:t>e</w:t>
            </w:r>
            <w:r>
              <w:rPr>
                <w:spacing w:val="-3"/>
              </w:rPr>
              <w:t>r</w:t>
            </w:r>
            <w:r>
              <w:rPr>
                <w:spacing w:val="1"/>
              </w:rPr>
              <w:t>vic</w:t>
            </w:r>
            <w:r>
              <w:t>e</w:t>
            </w:r>
            <w:r>
              <w:rPr>
                <w:spacing w:val="-2"/>
              </w:rPr>
              <w:t xml:space="preserve"> </w:t>
            </w:r>
            <w:r>
              <w:rPr>
                <w:spacing w:val="-1"/>
              </w:rPr>
              <w:t>H</w:t>
            </w:r>
            <w:r>
              <w:t>ea</w:t>
            </w:r>
            <w:r>
              <w:rPr>
                <w:spacing w:val="2"/>
              </w:rPr>
              <w:t>l</w:t>
            </w:r>
            <w:r>
              <w:rPr>
                <w:spacing w:val="-2"/>
              </w:rPr>
              <w:t>t</w:t>
            </w:r>
            <w:r>
              <w:t>h Te</w:t>
            </w:r>
            <w:r>
              <w:rPr>
                <w:spacing w:val="1"/>
              </w:rPr>
              <w:t>c</w:t>
            </w:r>
            <w:r>
              <w:t>h</w:t>
            </w:r>
            <w:r>
              <w:rPr>
                <w:spacing w:val="-2"/>
              </w:rPr>
              <w:t>n</w:t>
            </w:r>
            <w:r>
              <w:t>o</w:t>
            </w:r>
            <w:r>
              <w:rPr>
                <w:spacing w:val="1"/>
              </w:rPr>
              <w:t>l</w:t>
            </w:r>
            <w:r>
              <w:t>o</w:t>
            </w:r>
            <w:r>
              <w:rPr>
                <w:spacing w:val="-2"/>
              </w:rPr>
              <w:t>g</w:t>
            </w:r>
            <w:r>
              <w:t xml:space="preserve">y </w:t>
            </w:r>
            <w:r>
              <w:rPr>
                <w:spacing w:val="-1"/>
              </w:rPr>
              <w:t>A</w:t>
            </w:r>
            <w:r>
              <w:rPr>
                <w:spacing w:val="1"/>
              </w:rPr>
              <w:t>ss</w:t>
            </w:r>
            <w:r>
              <w:t>e</w:t>
            </w:r>
            <w:r>
              <w:rPr>
                <w:spacing w:val="-2"/>
              </w:rPr>
              <w:t>s</w:t>
            </w:r>
            <w:r>
              <w:rPr>
                <w:spacing w:val="1"/>
              </w:rPr>
              <w:t>s</w:t>
            </w:r>
            <w:r>
              <w:t>me</w:t>
            </w:r>
            <w:r>
              <w:rPr>
                <w:spacing w:val="-2"/>
              </w:rPr>
              <w:t>n</w:t>
            </w:r>
            <w:r>
              <w:t>t (</w:t>
            </w:r>
            <w:r>
              <w:rPr>
                <w:spacing w:val="-1"/>
              </w:rPr>
              <w:t>UK</w:t>
            </w:r>
            <w:r>
              <w:t xml:space="preserve">) / </w:t>
            </w:r>
            <w:r>
              <w:rPr>
                <w:spacing w:val="-1"/>
              </w:rPr>
              <w:t>N</w:t>
            </w:r>
            <w:r>
              <w:t>at</w:t>
            </w:r>
            <w:r>
              <w:rPr>
                <w:spacing w:val="1"/>
              </w:rPr>
              <w:t>i</w:t>
            </w:r>
            <w:r>
              <w:t>on</w:t>
            </w:r>
            <w:r>
              <w:rPr>
                <w:spacing w:val="-2"/>
              </w:rPr>
              <w:t>a</w:t>
            </w:r>
            <w:r>
              <w:t>l</w:t>
            </w:r>
            <w:r>
              <w:rPr>
                <w:spacing w:val="1"/>
              </w:rPr>
              <w:t xml:space="preserve"> </w:t>
            </w:r>
            <w:r>
              <w:rPr>
                <w:spacing w:val="-4"/>
              </w:rPr>
              <w:t>C</w:t>
            </w:r>
            <w:r>
              <w:t>oord</w:t>
            </w:r>
            <w:r>
              <w:rPr>
                <w:spacing w:val="1"/>
              </w:rPr>
              <w:t>i</w:t>
            </w:r>
            <w:r>
              <w:t>na</w:t>
            </w:r>
            <w:r>
              <w:rPr>
                <w:spacing w:val="-2"/>
              </w:rPr>
              <w:t>t</w:t>
            </w:r>
            <w:r>
              <w:rPr>
                <w:spacing w:val="1"/>
              </w:rPr>
              <w:t>i</w:t>
            </w:r>
            <w:r>
              <w:t xml:space="preserve">ng </w:t>
            </w:r>
            <w:r>
              <w:rPr>
                <w:spacing w:val="-1"/>
              </w:rPr>
              <w:t>C</w:t>
            </w:r>
            <w:r>
              <w:t>ent</w:t>
            </w:r>
            <w:r>
              <w:rPr>
                <w:spacing w:val="-3"/>
              </w:rPr>
              <w:t>r</w:t>
            </w:r>
            <w:r>
              <w:t xml:space="preserve">e for </w:t>
            </w:r>
            <w:r>
              <w:rPr>
                <w:spacing w:val="-1"/>
              </w:rPr>
              <w:t>H</w:t>
            </w:r>
            <w:r>
              <w:t>ea</w:t>
            </w:r>
            <w:r>
              <w:rPr>
                <w:spacing w:val="1"/>
              </w:rPr>
              <w:t>l</w:t>
            </w:r>
            <w:r>
              <w:t>th T</w:t>
            </w:r>
            <w:r>
              <w:rPr>
                <w:spacing w:val="-2"/>
              </w:rPr>
              <w:t>e</w:t>
            </w:r>
            <w:r>
              <w:rPr>
                <w:spacing w:val="1"/>
              </w:rPr>
              <w:t>c</w:t>
            </w:r>
            <w:r>
              <w:t>hn</w:t>
            </w:r>
            <w:r>
              <w:rPr>
                <w:spacing w:val="-2"/>
              </w:rPr>
              <w:t>o</w:t>
            </w:r>
            <w:r>
              <w:rPr>
                <w:spacing w:val="1"/>
              </w:rPr>
              <w:t>l</w:t>
            </w:r>
            <w:r>
              <w:t>o</w:t>
            </w:r>
            <w:r>
              <w:rPr>
                <w:spacing w:val="-2"/>
              </w:rPr>
              <w:t>g</w:t>
            </w:r>
            <w:r>
              <w:t>y</w:t>
            </w:r>
            <w:r>
              <w:rPr>
                <w:spacing w:val="1"/>
              </w:rPr>
              <w:t xml:space="preserve"> </w:t>
            </w:r>
            <w:r>
              <w:rPr>
                <w:spacing w:val="-1"/>
              </w:rPr>
              <w:t>A</w:t>
            </w:r>
            <w:r>
              <w:rPr>
                <w:spacing w:val="1"/>
              </w:rPr>
              <w:t>ss</w:t>
            </w:r>
            <w:r>
              <w:rPr>
                <w:spacing w:val="-2"/>
              </w:rPr>
              <w:t>e</w:t>
            </w:r>
            <w:r>
              <w:rPr>
                <w:spacing w:val="1"/>
              </w:rPr>
              <w:t>s</w:t>
            </w:r>
            <w:r>
              <w:rPr>
                <w:spacing w:val="-2"/>
              </w:rPr>
              <w:t>s</w:t>
            </w:r>
            <w:r>
              <w:t>ment (</w:t>
            </w:r>
            <w:r>
              <w:rPr>
                <w:spacing w:val="-1"/>
              </w:rPr>
              <w:t>NCCH</w:t>
            </w:r>
            <w:r>
              <w:t>T</w:t>
            </w:r>
            <w:r>
              <w:rPr>
                <w:spacing w:val="-1"/>
              </w:rPr>
              <w:t>A</w:t>
            </w:r>
            <w:r>
              <w:t>)</w:t>
            </w:r>
          </w:p>
        </w:tc>
        <w:tc>
          <w:tcPr>
            <w:tcW w:w="6215" w:type="dxa"/>
          </w:tcPr>
          <w:p w:rsidR="001C0B02" w:rsidRDefault="001C0B02" w:rsidP="001C0B02">
            <w:pPr>
              <w:rPr>
                <w:rFonts w:ascii="Times New Roman" w:hAnsi="Times New Roman"/>
                <w:szCs w:val="24"/>
              </w:rPr>
            </w:pPr>
            <w:hyperlink r:id="rId74" w:tooltip="National Health Service Health Technology Assessment (UK) / National Coordinating Centre for Health Technology Assessment (NCCHTA)" w:history="1">
              <w:r>
                <w:rPr>
                  <w:color w:val="0000FF"/>
                  <w:u w:val="single"/>
                </w:rPr>
                <w:t>http://</w:t>
              </w:r>
              <w:r>
                <w:rPr>
                  <w:color w:val="0000FF"/>
                  <w:spacing w:val="-1"/>
                  <w:u w:val="single"/>
                </w:rPr>
                <w:t>www</w:t>
              </w:r>
              <w:r>
                <w:rPr>
                  <w:color w:val="0000FF"/>
                  <w:u w:val="single"/>
                </w:rPr>
                <w:t>.hta.a</w:t>
              </w:r>
              <w:r>
                <w:rPr>
                  <w:color w:val="0000FF"/>
                  <w:spacing w:val="1"/>
                  <w:u w:val="single"/>
                </w:rPr>
                <w:t>c</w:t>
              </w:r>
              <w:r>
                <w:rPr>
                  <w:color w:val="0000FF"/>
                  <w:spacing w:val="-2"/>
                  <w:u w:val="single"/>
                </w:rPr>
                <w:t>.</w:t>
              </w:r>
              <w:r>
                <w:rPr>
                  <w:color w:val="0000FF"/>
                  <w:u w:val="single"/>
                </w:rPr>
                <w:t>u</w:t>
              </w:r>
              <w:r>
                <w:rPr>
                  <w:color w:val="0000FF"/>
                  <w:spacing w:val="1"/>
                  <w:u w:val="single"/>
                </w:rPr>
                <w:t>k</w:t>
              </w:r>
              <w:r>
                <w:rPr>
                  <w:color w:val="0000FF"/>
                  <w:u w:val="single"/>
                </w:rPr>
                <w:t>/</w:t>
              </w:r>
            </w:hyperlink>
          </w:p>
        </w:tc>
      </w:tr>
      <w:tr w:rsidR="001C0B02" w:rsidTr="001C0B02">
        <w:tc>
          <w:tcPr>
            <w:tcW w:w="3093" w:type="dxa"/>
          </w:tcPr>
          <w:p w:rsidR="001C0B02" w:rsidRDefault="001C0B02" w:rsidP="001C0B02">
            <w:pPr>
              <w:rPr>
                <w:rFonts w:ascii="Times New Roman" w:hAnsi="Times New Roman"/>
                <w:szCs w:val="24"/>
              </w:rPr>
            </w:pPr>
            <w:r>
              <w:rPr>
                <w:spacing w:val="-1"/>
              </w:rPr>
              <w:t>NH</w:t>
            </w:r>
            <w:r>
              <w:t>S</w:t>
            </w:r>
            <w:r>
              <w:rPr>
                <w:spacing w:val="-1"/>
              </w:rPr>
              <w:t xml:space="preserve"> </w:t>
            </w:r>
            <w:r>
              <w:rPr>
                <w:spacing w:val="1"/>
              </w:rPr>
              <w:t>Q</w:t>
            </w:r>
            <w:r>
              <w:t>ua</w:t>
            </w:r>
            <w:r>
              <w:rPr>
                <w:spacing w:val="1"/>
              </w:rPr>
              <w:t>li</w:t>
            </w:r>
            <w:r>
              <w:t>ty</w:t>
            </w:r>
            <w:r>
              <w:rPr>
                <w:spacing w:val="-2"/>
              </w:rPr>
              <w:t xml:space="preserve"> </w:t>
            </w:r>
            <w:r>
              <w:t>Impr</w:t>
            </w:r>
            <w:r>
              <w:rPr>
                <w:spacing w:val="-2"/>
              </w:rPr>
              <w:t>o</w:t>
            </w:r>
            <w:r>
              <w:rPr>
                <w:spacing w:val="1"/>
              </w:rPr>
              <w:t>v</w:t>
            </w:r>
            <w:r>
              <w:t>e</w:t>
            </w:r>
            <w:r>
              <w:rPr>
                <w:spacing w:val="-2"/>
              </w:rPr>
              <w:t>m</w:t>
            </w:r>
            <w:r>
              <w:t xml:space="preserve">ent </w:t>
            </w:r>
            <w:r>
              <w:rPr>
                <w:spacing w:val="-1"/>
              </w:rPr>
              <w:t>S</w:t>
            </w:r>
            <w:r>
              <w:rPr>
                <w:spacing w:val="-2"/>
              </w:rPr>
              <w:t>c</w:t>
            </w:r>
            <w:r>
              <w:t>ot</w:t>
            </w:r>
            <w:r>
              <w:rPr>
                <w:spacing w:val="1"/>
              </w:rPr>
              <w:t>l</w:t>
            </w:r>
            <w:r>
              <w:t>and</w:t>
            </w:r>
          </w:p>
        </w:tc>
        <w:tc>
          <w:tcPr>
            <w:tcW w:w="6215" w:type="dxa"/>
          </w:tcPr>
          <w:p w:rsidR="001C0B02" w:rsidRDefault="001C0B02" w:rsidP="001C0B02">
            <w:pPr>
              <w:rPr>
                <w:rFonts w:ascii="Times New Roman" w:hAnsi="Times New Roman"/>
                <w:szCs w:val="24"/>
              </w:rPr>
            </w:pPr>
            <w:hyperlink r:id="rId75" w:tooltip="NHS Quality Improvement Scotland" w:history="1">
              <w:r>
                <w:rPr>
                  <w:color w:val="0000FF"/>
                  <w:u w:val="single"/>
                </w:rPr>
                <w:t>http://</w:t>
              </w:r>
              <w:r>
                <w:rPr>
                  <w:color w:val="0000FF"/>
                  <w:spacing w:val="-1"/>
                  <w:u w:val="single"/>
                </w:rPr>
                <w:t>www</w:t>
              </w:r>
              <w:r>
                <w:rPr>
                  <w:color w:val="0000FF"/>
                  <w:u w:val="single"/>
                </w:rPr>
                <w:t>.nh</w:t>
              </w:r>
              <w:r>
                <w:rPr>
                  <w:color w:val="0000FF"/>
                  <w:spacing w:val="1"/>
                  <w:u w:val="single"/>
                </w:rPr>
                <w:t>s</w:t>
              </w:r>
              <w:r>
                <w:rPr>
                  <w:color w:val="0000FF"/>
                  <w:u w:val="single"/>
                </w:rPr>
                <w:t>h</w:t>
              </w:r>
              <w:r>
                <w:rPr>
                  <w:color w:val="0000FF"/>
                  <w:spacing w:val="-2"/>
                  <w:u w:val="single"/>
                </w:rPr>
                <w:t>e</w:t>
              </w:r>
              <w:r>
                <w:rPr>
                  <w:color w:val="0000FF"/>
                  <w:u w:val="single"/>
                </w:rPr>
                <w:t>a</w:t>
              </w:r>
              <w:r>
                <w:rPr>
                  <w:color w:val="0000FF"/>
                  <w:spacing w:val="1"/>
                  <w:u w:val="single"/>
                </w:rPr>
                <w:t>l</w:t>
              </w:r>
              <w:r>
                <w:rPr>
                  <w:color w:val="0000FF"/>
                  <w:u w:val="single"/>
                </w:rPr>
                <w:t>th</w:t>
              </w:r>
              <w:r>
                <w:rPr>
                  <w:color w:val="0000FF"/>
                  <w:spacing w:val="-2"/>
                  <w:u w:val="single"/>
                </w:rPr>
                <w:t>q</w:t>
              </w:r>
              <w:r>
                <w:rPr>
                  <w:color w:val="0000FF"/>
                  <w:u w:val="single"/>
                </w:rPr>
                <w:t>ua</w:t>
              </w:r>
              <w:r>
                <w:rPr>
                  <w:color w:val="0000FF"/>
                  <w:spacing w:val="1"/>
                  <w:u w:val="single"/>
                </w:rPr>
                <w:t>li</w:t>
              </w:r>
              <w:r>
                <w:rPr>
                  <w:color w:val="0000FF"/>
                  <w:spacing w:val="-2"/>
                  <w:u w:val="single"/>
                </w:rPr>
                <w:t>t</w:t>
              </w:r>
              <w:r>
                <w:rPr>
                  <w:color w:val="0000FF"/>
                  <w:spacing w:val="1"/>
                  <w:u w:val="single"/>
                </w:rPr>
                <w:t>y</w:t>
              </w:r>
              <w:r>
                <w:rPr>
                  <w:color w:val="0000FF"/>
                  <w:u w:val="single"/>
                </w:rPr>
                <w:t>.o</w:t>
              </w:r>
              <w:r>
                <w:rPr>
                  <w:color w:val="0000FF"/>
                  <w:spacing w:val="-3"/>
                  <w:u w:val="single"/>
                </w:rPr>
                <w:t>r</w:t>
              </w:r>
              <w:r>
                <w:rPr>
                  <w:color w:val="0000FF"/>
                  <w:u w:val="single"/>
                </w:rPr>
                <w:t>g/</w:t>
              </w:r>
            </w:hyperlink>
          </w:p>
        </w:tc>
      </w:tr>
      <w:tr w:rsidR="001C0B02" w:rsidTr="001C0B02">
        <w:tc>
          <w:tcPr>
            <w:tcW w:w="3093" w:type="dxa"/>
          </w:tcPr>
          <w:p w:rsidR="001C0B02" w:rsidRDefault="001C0B02" w:rsidP="001C0B02">
            <w:pPr>
              <w:rPr>
                <w:rFonts w:ascii="Times New Roman" w:hAnsi="Times New Roman"/>
                <w:szCs w:val="24"/>
              </w:rPr>
            </w:pPr>
            <w:r>
              <w:rPr>
                <w:spacing w:val="-1"/>
              </w:rPr>
              <w:t>N</w:t>
            </w:r>
            <w:r>
              <w:t>at</w:t>
            </w:r>
            <w:r>
              <w:rPr>
                <w:spacing w:val="1"/>
              </w:rPr>
              <w:t>i</w:t>
            </w:r>
            <w:r>
              <w:t>onal</w:t>
            </w:r>
            <w:r>
              <w:rPr>
                <w:spacing w:val="1"/>
              </w:rPr>
              <w:t xml:space="preserve"> </w:t>
            </w:r>
            <w:r>
              <w:rPr>
                <w:spacing w:val="-2"/>
              </w:rPr>
              <w:t>I</w:t>
            </w:r>
            <w:r>
              <w:t>n</w:t>
            </w:r>
            <w:r>
              <w:rPr>
                <w:spacing w:val="1"/>
              </w:rPr>
              <w:t>s</w:t>
            </w:r>
            <w:r>
              <w:t>t</w:t>
            </w:r>
            <w:r>
              <w:rPr>
                <w:spacing w:val="1"/>
              </w:rPr>
              <w:t>i</w:t>
            </w:r>
            <w:r>
              <w:rPr>
                <w:spacing w:val="-2"/>
              </w:rPr>
              <w:t>t</w:t>
            </w:r>
            <w:r>
              <w:t xml:space="preserve">ute for </w:t>
            </w:r>
            <w:r>
              <w:rPr>
                <w:spacing w:val="-1"/>
              </w:rPr>
              <w:t>C</w:t>
            </w:r>
            <w:r>
              <w:rPr>
                <w:spacing w:val="-2"/>
              </w:rPr>
              <w:t>l</w:t>
            </w:r>
            <w:r>
              <w:rPr>
                <w:spacing w:val="1"/>
              </w:rPr>
              <w:t>i</w:t>
            </w:r>
            <w:r>
              <w:t>n</w:t>
            </w:r>
            <w:r>
              <w:rPr>
                <w:spacing w:val="-2"/>
              </w:rPr>
              <w:t>i</w:t>
            </w:r>
            <w:r>
              <w:rPr>
                <w:spacing w:val="1"/>
              </w:rPr>
              <w:t>c</w:t>
            </w:r>
            <w:r>
              <w:t>al</w:t>
            </w:r>
            <w:r>
              <w:rPr>
                <w:spacing w:val="1"/>
              </w:rPr>
              <w:t xml:space="preserve"> </w:t>
            </w:r>
            <w:r>
              <w:rPr>
                <w:spacing w:val="-3"/>
              </w:rPr>
              <w:t>E</w:t>
            </w:r>
            <w:r>
              <w:rPr>
                <w:spacing w:val="1"/>
              </w:rPr>
              <w:t>xc</w:t>
            </w:r>
            <w:r>
              <w:t>e</w:t>
            </w:r>
            <w:r>
              <w:rPr>
                <w:spacing w:val="-2"/>
              </w:rPr>
              <w:t>l</w:t>
            </w:r>
            <w:r>
              <w:rPr>
                <w:spacing w:val="1"/>
              </w:rPr>
              <w:t>l</w:t>
            </w:r>
            <w:r>
              <w:t>en</w:t>
            </w:r>
            <w:r>
              <w:rPr>
                <w:spacing w:val="-2"/>
              </w:rPr>
              <w:t>c</w:t>
            </w:r>
            <w:r>
              <w:t>e (</w:t>
            </w:r>
            <w:r>
              <w:rPr>
                <w:spacing w:val="-1"/>
              </w:rPr>
              <w:t>N</w:t>
            </w:r>
            <w:r>
              <w:t>I</w:t>
            </w:r>
            <w:r>
              <w:rPr>
                <w:spacing w:val="-1"/>
              </w:rPr>
              <w:t>CE</w:t>
            </w:r>
            <w:r>
              <w:t>)</w:t>
            </w:r>
          </w:p>
        </w:tc>
        <w:tc>
          <w:tcPr>
            <w:tcW w:w="6215" w:type="dxa"/>
          </w:tcPr>
          <w:p w:rsidR="001C0B02" w:rsidRDefault="001C0B02" w:rsidP="001C0B02">
            <w:pPr>
              <w:rPr>
                <w:rFonts w:ascii="Times New Roman" w:hAnsi="Times New Roman"/>
                <w:szCs w:val="24"/>
              </w:rPr>
            </w:pPr>
            <w:hyperlink r:id="rId76" w:tooltip="National Institute for Clinical Excellence" w:history="1">
              <w:r>
                <w:rPr>
                  <w:color w:val="0000FF"/>
                  <w:u w:val="single"/>
                </w:rPr>
                <w:t>http://</w:t>
              </w:r>
              <w:r>
                <w:rPr>
                  <w:color w:val="0000FF"/>
                  <w:spacing w:val="-1"/>
                  <w:u w:val="single"/>
                </w:rPr>
                <w:t>www</w:t>
              </w:r>
              <w:r>
                <w:rPr>
                  <w:color w:val="0000FF"/>
                  <w:u w:val="single"/>
                </w:rPr>
                <w:t>.n</w:t>
              </w:r>
              <w:r>
                <w:rPr>
                  <w:color w:val="0000FF"/>
                  <w:spacing w:val="1"/>
                  <w:u w:val="single"/>
                </w:rPr>
                <w:t>ic</w:t>
              </w:r>
              <w:r>
                <w:rPr>
                  <w:color w:val="0000FF"/>
                  <w:u w:val="single"/>
                </w:rPr>
                <w:t>e</w:t>
              </w:r>
              <w:r>
                <w:rPr>
                  <w:color w:val="0000FF"/>
                  <w:spacing w:val="-2"/>
                  <w:u w:val="single"/>
                </w:rPr>
                <w:t>.</w:t>
              </w:r>
              <w:r>
                <w:rPr>
                  <w:color w:val="0000FF"/>
                  <w:u w:val="single"/>
                </w:rPr>
                <w:t>org.u</w:t>
              </w:r>
              <w:r>
                <w:rPr>
                  <w:color w:val="0000FF"/>
                  <w:spacing w:val="-2"/>
                  <w:u w:val="single"/>
                </w:rPr>
                <w:t>k</w:t>
              </w:r>
              <w:r>
                <w:rPr>
                  <w:color w:val="0000FF"/>
                  <w:u w:val="single"/>
                </w:rPr>
                <w:t>/</w:t>
              </w:r>
            </w:hyperlink>
          </w:p>
        </w:tc>
      </w:tr>
      <w:tr w:rsidR="001C0B02" w:rsidTr="001C0B02">
        <w:tc>
          <w:tcPr>
            <w:tcW w:w="3093" w:type="dxa"/>
          </w:tcPr>
          <w:p w:rsidR="001C0B02" w:rsidRDefault="001C0B02" w:rsidP="001C0B02">
            <w:pPr>
              <w:rPr>
                <w:rFonts w:ascii="Times New Roman" w:hAnsi="Times New Roman"/>
                <w:szCs w:val="24"/>
              </w:rPr>
            </w:pPr>
            <w:r>
              <w:rPr>
                <w:spacing w:val="-1"/>
              </w:rPr>
              <w:t>U</w:t>
            </w:r>
            <w:r>
              <w:t>n</w:t>
            </w:r>
            <w:r>
              <w:rPr>
                <w:spacing w:val="1"/>
              </w:rPr>
              <w:t>iv</w:t>
            </w:r>
            <w:r>
              <w:t>er</w:t>
            </w:r>
            <w:r>
              <w:rPr>
                <w:spacing w:val="-2"/>
              </w:rPr>
              <w:t>s</w:t>
            </w:r>
            <w:r>
              <w:rPr>
                <w:spacing w:val="1"/>
              </w:rPr>
              <w:t>i</w:t>
            </w:r>
            <w:r>
              <w:t>ty</w:t>
            </w:r>
            <w:r>
              <w:rPr>
                <w:spacing w:val="1"/>
              </w:rPr>
              <w:t xml:space="preserve"> </w:t>
            </w:r>
            <w:r>
              <w:t xml:space="preserve">of </w:t>
            </w:r>
            <w:r>
              <w:rPr>
                <w:spacing w:val="-3"/>
              </w:rPr>
              <w:t>Y</w:t>
            </w:r>
            <w:r>
              <w:t>ork</w:t>
            </w:r>
            <w:r>
              <w:rPr>
                <w:spacing w:val="1"/>
              </w:rPr>
              <w:t xml:space="preserve"> </w:t>
            </w:r>
            <w:r>
              <w:rPr>
                <w:spacing w:val="-1"/>
              </w:rPr>
              <w:t>NH</w:t>
            </w:r>
            <w:r>
              <w:t>S</w:t>
            </w:r>
            <w:r>
              <w:rPr>
                <w:spacing w:val="-1"/>
              </w:rPr>
              <w:t xml:space="preserve"> C</w:t>
            </w:r>
            <w:r>
              <w:t>entre</w:t>
            </w:r>
            <w:r>
              <w:rPr>
                <w:spacing w:val="-2"/>
              </w:rPr>
              <w:t xml:space="preserve"> </w:t>
            </w:r>
            <w:r>
              <w:t xml:space="preserve">for </w:t>
            </w:r>
            <w:r>
              <w:rPr>
                <w:spacing w:val="-1"/>
              </w:rPr>
              <w:t>R</w:t>
            </w:r>
            <w:r>
              <w:t>e</w:t>
            </w:r>
            <w:r>
              <w:rPr>
                <w:spacing w:val="1"/>
              </w:rPr>
              <w:t>vi</w:t>
            </w:r>
            <w:r>
              <w:t>e</w:t>
            </w:r>
            <w:r>
              <w:rPr>
                <w:spacing w:val="-1"/>
              </w:rPr>
              <w:t>w</w:t>
            </w:r>
            <w:r>
              <w:t>s</w:t>
            </w:r>
            <w:r>
              <w:rPr>
                <w:spacing w:val="-2"/>
              </w:rPr>
              <w:t xml:space="preserve"> </w:t>
            </w:r>
            <w:r>
              <w:t xml:space="preserve">and </w:t>
            </w:r>
            <w:r>
              <w:rPr>
                <w:spacing w:val="-1"/>
              </w:rPr>
              <w:t>D</w:t>
            </w:r>
            <w:r>
              <w:rPr>
                <w:spacing w:val="1"/>
              </w:rPr>
              <w:t>iss</w:t>
            </w:r>
            <w:r>
              <w:t>e</w:t>
            </w:r>
            <w:r>
              <w:rPr>
                <w:spacing w:val="-2"/>
              </w:rPr>
              <w:t>m</w:t>
            </w:r>
            <w:r>
              <w:rPr>
                <w:spacing w:val="1"/>
              </w:rPr>
              <w:t>i</w:t>
            </w:r>
            <w:r>
              <w:t>na</w:t>
            </w:r>
            <w:r>
              <w:rPr>
                <w:spacing w:val="-2"/>
              </w:rPr>
              <w:t>t</w:t>
            </w:r>
            <w:r>
              <w:rPr>
                <w:spacing w:val="1"/>
              </w:rPr>
              <w:t>i</w:t>
            </w:r>
            <w:r>
              <w:t>on (</w:t>
            </w:r>
            <w:r>
              <w:rPr>
                <w:spacing w:val="-1"/>
              </w:rPr>
              <w:t>NH</w:t>
            </w:r>
            <w:r>
              <w:t>S</w:t>
            </w:r>
            <w:r>
              <w:rPr>
                <w:spacing w:val="-1"/>
              </w:rPr>
              <w:t xml:space="preserve"> CRD)</w:t>
            </w:r>
          </w:p>
        </w:tc>
        <w:tc>
          <w:tcPr>
            <w:tcW w:w="6215" w:type="dxa"/>
          </w:tcPr>
          <w:p w:rsidR="001C0B02" w:rsidRDefault="001C0B02" w:rsidP="001C0B02">
            <w:pPr>
              <w:rPr>
                <w:rFonts w:ascii="Times New Roman" w:hAnsi="Times New Roman"/>
                <w:szCs w:val="24"/>
              </w:rPr>
            </w:pPr>
            <w:hyperlink r:id="rId77" w:tooltip="University of York NHS Centre for Reviews and" w:history="1">
              <w:r>
                <w:rPr>
                  <w:color w:val="0000FF"/>
                  <w:u w:val="single"/>
                </w:rPr>
                <w:t>http://</w:t>
              </w:r>
              <w:r>
                <w:rPr>
                  <w:color w:val="0000FF"/>
                  <w:spacing w:val="-1"/>
                  <w:u w:val="single"/>
                </w:rPr>
                <w:t>www</w:t>
              </w:r>
              <w:r>
                <w:rPr>
                  <w:color w:val="0000FF"/>
                  <w:u w:val="single"/>
                </w:rPr>
                <w:t>.</w:t>
              </w:r>
              <w:r>
                <w:rPr>
                  <w:color w:val="0000FF"/>
                  <w:spacing w:val="1"/>
                  <w:u w:val="single"/>
                </w:rPr>
                <w:t>y</w:t>
              </w:r>
              <w:r>
                <w:rPr>
                  <w:color w:val="0000FF"/>
                  <w:u w:val="single"/>
                </w:rPr>
                <w:t>or</w:t>
              </w:r>
              <w:r>
                <w:rPr>
                  <w:color w:val="0000FF"/>
                  <w:spacing w:val="1"/>
                  <w:u w:val="single"/>
                </w:rPr>
                <w:t>k</w:t>
              </w:r>
              <w:r>
                <w:rPr>
                  <w:color w:val="0000FF"/>
                  <w:u w:val="single"/>
                </w:rPr>
                <w:t>.</w:t>
              </w:r>
              <w:r>
                <w:rPr>
                  <w:color w:val="0000FF"/>
                  <w:spacing w:val="-2"/>
                  <w:u w:val="single"/>
                </w:rPr>
                <w:t>a</w:t>
              </w:r>
              <w:r>
                <w:rPr>
                  <w:color w:val="0000FF"/>
                  <w:spacing w:val="1"/>
                  <w:u w:val="single"/>
                </w:rPr>
                <w:t>c</w:t>
              </w:r>
              <w:r>
                <w:rPr>
                  <w:color w:val="0000FF"/>
                  <w:u w:val="single"/>
                </w:rPr>
                <w:t>.</w:t>
              </w:r>
              <w:r>
                <w:rPr>
                  <w:color w:val="0000FF"/>
                  <w:spacing w:val="-2"/>
                  <w:u w:val="single"/>
                </w:rPr>
                <w:t>u</w:t>
              </w:r>
              <w:r>
                <w:rPr>
                  <w:color w:val="0000FF"/>
                  <w:spacing w:val="1"/>
                  <w:u w:val="single"/>
                </w:rPr>
                <w:t>k</w:t>
              </w:r>
              <w:r>
                <w:rPr>
                  <w:color w:val="0000FF"/>
                  <w:u w:val="single"/>
                </w:rPr>
                <w:t>/</w:t>
              </w:r>
              <w:r>
                <w:rPr>
                  <w:color w:val="0000FF"/>
                  <w:spacing w:val="1"/>
                  <w:u w:val="single"/>
                </w:rPr>
                <w:t>i</w:t>
              </w:r>
              <w:r>
                <w:rPr>
                  <w:color w:val="0000FF"/>
                  <w:spacing w:val="-2"/>
                  <w:u w:val="single"/>
                </w:rPr>
                <w:t>n</w:t>
              </w:r>
              <w:r>
                <w:rPr>
                  <w:color w:val="0000FF"/>
                  <w:spacing w:val="1"/>
                  <w:u w:val="single"/>
                </w:rPr>
                <w:t>s</w:t>
              </w:r>
              <w:r>
                <w:rPr>
                  <w:color w:val="0000FF"/>
                  <w:u w:val="single"/>
                </w:rPr>
                <w:t>t/</w:t>
              </w:r>
              <w:r>
                <w:rPr>
                  <w:color w:val="0000FF"/>
                  <w:spacing w:val="1"/>
                  <w:u w:val="single"/>
                </w:rPr>
                <w:t>c</w:t>
              </w:r>
              <w:r>
                <w:rPr>
                  <w:color w:val="0000FF"/>
                  <w:u w:val="single"/>
                </w:rPr>
                <w:t>rd/</w:t>
              </w:r>
            </w:hyperlink>
          </w:p>
        </w:tc>
      </w:tr>
      <w:tr w:rsidR="001C0B02" w:rsidTr="001C0B02">
        <w:tc>
          <w:tcPr>
            <w:tcW w:w="3093" w:type="dxa"/>
          </w:tcPr>
          <w:p w:rsidR="001C0B02" w:rsidRDefault="001C0B02" w:rsidP="001C0B02">
            <w:pPr>
              <w:pStyle w:val="Default"/>
              <w:rPr>
                <w:spacing w:val="-1"/>
              </w:rPr>
            </w:pPr>
            <w:r>
              <w:rPr>
                <w:sz w:val="22"/>
                <w:szCs w:val="22"/>
              </w:rPr>
              <w:t>Agency for Healthcare Research and Quality (AHRQ)</w:t>
            </w:r>
          </w:p>
        </w:tc>
        <w:tc>
          <w:tcPr>
            <w:tcW w:w="6215" w:type="dxa"/>
          </w:tcPr>
          <w:p w:rsidR="001C0B02" w:rsidRDefault="001C0B02" w:rsidP="001C0B02">
            <w:hyperlink r:id="rId78" w:tooltip="Agency for Healthcare Research and Quality (AHRQ)" w:history="1">
              <w:r w:rsidRPr="00AF0420">
                <w:rPr>
                  <w:rStyle w:val="Hyperlink"/>
                </w:rPr>
                <w:t>http://www.ahrq.gov/clinic/techix.htm</w:t>
              </w:r>
            </w:hyperlink>
          </w:p>
        </w:tc>
      </w:tr>
      <w:tr w:rsidR="001C0B02" w:rsidTr="001C0B02">
        <w:tc>
          <w:tcPr>
            <w:tcW w:w="3093" w:type="dxa"/>
          </w:tcPr>
          <w:p w:rsidR="001C0B02" w:rsidRDefault="001C0B02" w:rsidP="001C0B02">
            <w:pPr>
              <w:rPr>
                <w:spacing w:val="-1"/>
              </w:rPr>
            </w:pPr>
            <w:r>
              <w:rPr>
                <w:spacing w:val="-1"/>
              </w:rPr>
              <w:t>H</w:t>
            </w:r>
            <w:r>
              <w:t>ar</w:t>
            </w:r>
            <w:r>
              <w:rPr>
                <w:spacing w:val="1"/>
              </w:rPr>
              <w:t>v</w:t>
            </w:r>
            <w:r>
              <w:t xml:space="preserve">ard </w:t>
            </w:r>
            <w:r>
              <w:rPr>
                <w:spacing w:val="-1"/>
              </w:rPr>
              <w:t>S</w:t>
            </w:r>
            <w:r>
              <w:rPr>
                <w:spacing w:val="1"/>
              </w:rPr>
              <w:t>c</w:t>
            </w:r>
            <w:r>
              <w:t>h</w:t>
            </w:r>
            <w:r>
              <w:rPr>
                <w:spacing w:val="-2"/>
              </w:rPr>
              <w:t>o</w:t>
            </w:r>
            <w:r>
              <w:t>ol</w:t>
            </w:r>
            <w:r>
              <w:rPr>
                <w:spacing w:val="1"/>
              </w:rPr>
              <w:t xml:space="preserve"> </w:t>
            </w:r>
            <w:r>
              <w:t xml:space="preserve">of </w:t>
            </w:r>
            <w:r>
              <w:rPr>
                <w:spacing w:val="-1"/>
              </w:rPr>
              <w:t>P</w:t>
            </w:r>
            <w:r>
              <w:rPr>
                <w:spacing w:val="-2"/>
              </w:rPr>
              <w:t>u</w:t>
            </w:r>
            <w:r>
              <w:t>b</w:t>
            </w:r>
            <w:r>
              <w:rPr>
                <w:spacing w:val="1"/>
              </w:rPr>
              <w:t>l</w:t>
            </w:r>
            <w:r>
              <w:rPr>
                <w:spacing w:val="-2"/>
              </w:rPr>
              <w:t>i</w:t>
            </w:r>
            <w:r>
              <w:t>c</w:t>
            </w:r>
            <w:r>
              <w:rPr>
                <w:spacing w:val="1"/>
              </w:rPr>
              <w:t xml:space="preserve"> </w:t>
            </w:r>
            <w:r>
              <w:rPr>
                <w:spacing w:val="-1"/>
              </w:rPr>
              <w:t>H</w:t>
            </w:r>
            <w:r>
              <w:t>ea</w:t>
            </w:r>
            <w:r>
              <w:rPr>
                <w:spacing w:val="-2"/>
              </w:rPr>
              <w:t>l</w:t>
            </w:r>
            <w:r>
              <w:t>th –</w:t>
            </w:r>
            <w:r>
              <w:rPr>
                <w:spacing w:val="2"/>
              </w:rPr>
              <w:t xml:space="preserve"> </w:t>
            </w:r>
            <w:r>
              <w:rPr>
                <w:spacing w:val="-1"/>
              </w:rPr>
              <w:t>C</w:t>
            </w:r>
            <w:r>
              <w:t>o</w:t>
            </w:r>
            <w:r>
              <w:rPr>
                <w:spacing w:val="1"/>
              </w:rPr>
              <w:t>s</w:t>
            </w:r>
            <w:r>
              <w:t>t-</w:t>
            </w:r>
            <w:r>
              <w:rPr>
                <w:spacing w:val="-1"/>
              </w:rPr>
              <w:t>U</w:t>
            </w:r>
            <w:r>
              <w:t>t</w:t>
            </w:r>
            <w:r>
              <w:rPr>
                <w:spacing w:val="-2"/>
              </w:rPr>
              <w:t>i</w:t>
            </w:r>
            <w:r>
              <w:rPr>
                <w:spacing w:val="1"/>
              </w:rPr>
              <w:t>li</w:t>
            </w:r>
            <w:r>
              <w:t xml:space="preserve">ty </w:t>
            </w:r>
            <w:r>
              <w:rPr>
                <w:spacing w:val="-1"/>
              </w:rPr>
              <w:t>A</w:t>
            </w:r>
            <w:r>
              <w:t>na</w:t>
            </w:r>
            <w:r>
              <w:rPr>
                <w:spacing w:val="1"/>
              </w:rPr>
              <w:t>ly</w:t>
            </w:r>
            <w:r>
              <w:rPr>
                <w:spacing w:val="-2"/>
              </w:rPr>
              <w:t>s</w:t>
            </w:r>
            <w:r>
              <w:rPr>
                <w:spacing w:val="1"/>
              </w:rPr>
              <w:t>i</w:t>
            </w:r>
            <w:r>
              <w:t>s</w:t>
            </w:r>
            <w:r>
              <w:rPr>
                <w:spacing w:val="1"/>
              </w:rPr>
              <w:t xml:space="preserve"> </w:t>
            </w:r>
            <w:r>
              <w:rPr>
                <w:spacing w:val="-1"/>
              </w:rPr>
              <w:t>R</w:t>
            </w:r>
            <w:r>
              <w:t>e</w:t>
            </w:r>
            <w:r>
              <w:rPr>
                <w:spacing w:val="-2"/>
              </w:rPr>
              <w:t>g</w:t>
            </w:r>
            <w:r>
              <w:rPr>
                <w:spacing w:val="1"/>
              </w:rPr>
              <w:t>is</w:t>
            </w:r>
            <w:r>
              <w:t>try</w:t>
            </w:r>
            <w:r>
              <w:rPr>
                <w:spacing w:val="-2"/>
              </w:rPr>
              <w:t xml:space="preserve"> </w:t>
            </w:r>
            <w:r>
              <w:t>[note:</w:t>
            </w:r>
            <w:r>
              <w:rPr>
                <w:spacing w:val="-2"/>
              </w:rPr>
              <w:t xml:space="preserve"> </w:t>
            </w:r>
            <w:r>
              <w:rPr>
                <w:spacing w:val="1"/>
              </w:rPr>
              <w:t>c</w:t>
            </w:r>
            <w:r>
              <w:t>an</w:t>
            </w:r>
            <w:r>
              <w:rPr>
                <w:spacing w:val="-2"/>
              </w:rPr>
              <w:t>no</w:t>
            </w:r>
            <w:r>
              <w:t xml:space="preserve">t </w:t>
            </w:r>
            <w:r>
              <w:rPr>
                <w:spacing w:val="1"/>
              </w:rPr>
              <w:t>l</w:t>
            </w:r>
            <w:r>
              <w:t>o</w:t>
            </w:r>
            <w:r>
              <w:rPr>
                <w:spacing w:val="1"/>
              </w:rPr>
              <w:t>c</w:t>
            </w:r>
            <w:r>
              <w:t>a</w:t>
            </w:r>
            <w:r>
              <w:rPr>
                <w:spacing w:val="-2"/>
              </w:rPr>
              <w:t>t</w:t>
            </w:r>
            <w:r>
              <w:t>e th</w:t>
            </w:r>
            <w:r>
              <w:rPr>
                <w:spacing w:val="-2"/>
              </w:rPr>
              <w:t>i</w:t>
            </w:r>
            <w:r>
              <w:t xml:space="preserve">s </w:t>
            </w:r>
            <w:r>
              <w:lastRenderedPageBreak/>
              <w:t>[</w:t>
            </w:r>
            <w:r>
              <w:rPr>
                <w:position w:val="-1"/>
              </w:rPr>
              <w:t>9M</w:t>
            </w:r>
            <w:r>
              <w:rPr>
                <w:spacing w:val="-1"/>
                <w:position w:val="-1"/>
              </w:rPr>
              <w:t>AR</w:t>
            </w:r>
            <w:r>
              <w:rPr>
                <w:position w:val="-1"/>
              </w:rPr>
              <w:t>2010]</w:t>
            </w:r>
          </w:p>
        </w:tc>
        <w:tc>
          <w:tcPr>
            <w:tcW w:w="6215" w:type="dxa"/>
          </w:tcPr>
          <w:p w:rsidR="001C0B02" w:rsidRDefault="001C0B02" w:rsidP="001C0B02">
            <w:hyperlink r:id="rId79" w:tooltip="This link no linger works please visit Harvard School of Public Health" w:history="1">
              <w:r>
                <w:rPr>
                  <w:color w:val="0000FF"/>
                  <w:u w:val="single"/>
                </w:rPr>
                <w:t>http://</w:t>
              </w:r>
              <w:r>
                <w:rPr>
                  <w:color w:val="0000FF"/>
                  <w:spacing w:val="-1"/>
                  <w:u w:val="single"/>
                </w:rPr>
                <w:t>www</w:t>
              </w:r>
              <w:r>
                <w:rPr>
                  <w:color w:val="0000FF"/>
                  <w:u w:val="single"/>
                </w:rPr>
                <w:t>.tuft</w:t>
              </w:r>
              <w:r>
                <w:rPr>
                  <w:color w:val="0000FF"/>
                  <w:spacing w:val="1"/>
                  <w:u w:val="single"/>
                </w:rPr>
                <w:t>s</w:t>
              </w:r>
              <w:r>
                <w:rPr>
                  <w:color w:val="0000FF"/>
                  <w:u w:val="single"/>
                </w:rPr>
                <w:t>-n</w:t>
              </w:r>
              <w:r>
                <w:rPr>
                  <w:color w:val="0000FF"/>
                  <w:spacing w:val="-2"/>
                  <w:u w:val="single"/>
                </w:rPr>
                <w:t>e</w:t>
              </w:r>
              <w:r>
                <w:rPr>
                  <w:color w:val="0000FF"/>
                  <w:u w:val="single"/>
                </w:rPr>
                <w:t>m</w:t>
              </w:r>
              <w:r>
                <w:rPr>
                  <w:color w:val="0000FF"/>
                  <w:spacing w:val="1"/>
                  <w:u w:val="single"/>
                </w:rPr>
                <w:t>c</w:t>
              </w:r>
              <w:r>
                <w:rPr>
                  <w:color w:val="0000FF"/>
                  <w:spacing w:val="-2"/>
                  <w:u w:val="single"/>
                </w:rPr>
                <w:t>.</w:t>
              </w:r>
              <w:r>
                <w:rPr>
                  <w:color w:val="0000FF"/>
                  <w:u w:val="single"/>
                </w:rPr>
                <w:t>org/</w:t>
              </w:r>
              <w:r>
                <w:rPr>
                  <w:color w:val="0000FF"/>
                  <w:spacing w:val="1"/>
                  <w:u w:val="single"/>
                </w:rPr>
                <w:t>c</w:t>
              </w:r>
              <w:r>
                <w:rPr>
                  <w:color w:val="0000FF"/>
                  <w:spacing w:val="-2"/>
                  <w:u w:val="single"/>
                </w:rPr>
                <w:t>e</w:t>
              </w:r>
              <w:r>
                <w:rPr>
                  <w:color w:val="0000FF"/>
                  <w:u w:val="single"/>
                </w:rPr>
                <w:t>a</w:t>
              </w:r>
              <w:r>
                <w:rPr>
                  <w:color w:val="0000FF"/>
                  <w:spacing w:val="-3"/>
                  <w:u w:val="single"/>
                </w:rPr>
                <w:t>r</w:t>
              </w:r>
              <w:r>
                <w:rPr>
                  <w:color w:val="0000FF"/>
                  <w:u w:val="single"/>
                </w:rPr>
                <w:t>eg</w:t>
              </w:r>
              <w:r>
                <w:rPr>
                  <w:color w:val="0000FF"/>
                  <w:spacing w:val="1"/>
                  <w:u w:val="single"/>
                </w:rPr>
                <w:t>is</w:t>
              </w:r>
              <w:r>
                <w:rPr>
                  <w:color w:val="0000FF"/>
                  <w:u w:val="single"/>
                </w:rPr>
                <w:t>t</w:t>
              </w:r>
              <w:r>
                <w:rPr>
                  <w:color w:val="0000FF"/>
                  <w:spacing w:val="-3"/>
                  <w:u w:val="single"/>
                </w:rPr>
                <w:t>r</w:t>
              </w:r>
              <w:r>
                <w:rPr>
                  <w:color w:val="0000FF"/>
                  <w:spacing w:val="1"/>
                  <w:u w:val="single"/>
                </w:rPr>
                <w:t>y</w:t>
              </w:r>
              <w:r>
                <w:rPr>
                  <w:color w:val="0000FF"/>
                  <w:u w:val="single"/>
                </w:rPr>
                <w:t>/</w:t>
              </w:r>
              <w:r>
                <w:rPr>
                  <w:color w:val="0000FF"/>
                  <w:spacing w:val="1"/>
                  <w:u w:val="single"/>
                </w:rPr>
                <w:t>i</w:t>
              </w:r>
              <w:r>
                <w:rPr>
                  <w:color w:val="0000FF"/>
                  <w:u w:val="single"/>
                </w:rPr>
                <w:t>n</w:t>
              </w:r>
              <w:r>
                <w:rPr>
                  <w:color w:val="0000FF"/>
                  <w:spacing w:val="-2"/>
                  <w:u w:val="single"/>
                </w:rPr>
                <w:t>d</w:t>
              </w:r>
              <w:r>
                <w:rPr>
                  <w:color w:val="0000FF"/>
                  <w:u w:val="single"/>
                </w:rPr>
                <w:t>e</w:t>
              </w:r>
              <w:r>
                <w:rPr>
                  <w:color w:val="0000FF"/>
                  <w:spacing w:val="1"/>
                  <w:u w:val="single"/>
                </w:rPr>
                <w:t>x</w:t>
              </w:r>
              <w:r>
                <w:rPr>
                  <w:color w:val="0000FF"/>
                  <w:u w:val="single"/>
                </w:rPr>
                <w:t>.h</w:t>
              </w:r>
              <w:r>
                <w:rPr>
                  <w:color w:val="0000FF"/>
                  <w:spacing w:val="-2"/>
                  <w:u w:val="single"/>
                </w:rPr>
                <w:t>t</w:t>
              </w:r>
              <w:r>
                <w:rPr>
                  <w:color w:val="0000FF"/>
                  <w:u w:val="single"/>
                </w:rPr>
                <w:t>m</w:t>
              </w:r>
              <w:r>
                <w:rPr>
                  <w:color w:val="0000FF"/>
                </w:rPr>
                <w:t>l</w:t>
              </w:r>
            </w:hyperlink>
          </w:p>
          <w:p w:rsidR="001C0B02" w:rsidRDefault="001C0B02" w:rsidP="001C0B02"/>
        </w:tc>
      </w:tr>
      <w:tr w:rsidR="001C0B02" w:rsidTr="001C0B02">
        <w:tc>
          <w:tcPr>
            <w:tcW w:w="3093" w:type="dxa"/>
          </w:tcPr>
          <w:p w:rsidR="001C0B02" w:rsidRDefault="001C0B02" w:rsidP="001C0B02">
            <w:pPr>
              <w:rPr>
                <w:spacing w:val="-1"/>
              </w:rPr>
            </w:pPr>
            <w:r>
              <w:rPr>
                <w:spacing w:val="-1"/>
              </w:rPr>
              <w:lastRenderedPageBreak/>
              <w:t>H</w:t>
            </w:r>
            <w:r>
              <w:t>ar</w:t>
            </w:r>
            <w:r>
              <w:rPr>
                <w:spacing w:val="1"/>
              </w:rPr>
              <w:t>v</w:t>
            </w:r>
            <w:r>
              <w:t xml:space="preserve">ard </w:t>
            </w:r>
            <w:r>
              <w:rPr>
                <w:spacing w:val="-1"/>
              </w:rPr>
              <w:t>S</w:t>
            </w:r>
            <w:r>
              <w:rPr>
                <w:spacing w:val="1"/>
              </w:rPr>
              <w:t>c</w:t>
            </w:r>
            <w:r>
              <w:t>h</w:t>
            </w:r>
            <w:r>
              <w:rPr>
                <w:spacing w:val="-2"/>
              </w:rPr>
              <w:t>o</w:t>
            </w:r>
            <w:r>
              <w:t>ol</w:t>
            </w:r>
            <w:r>
              <w:rPr>
                <w:spacing w:val="1"/>
              </w:rPr>
              <w:t xml:space="preserve"> </w:t>
            </w:r>
            <w:r>
              <w:t xml:space="preserve">of </w:t>
            </w:r>
            <w:r>
              <w:rPr>
                <w:spacing w:val="-1"/>
              </w:rPr>
              <w:t>P</w:t>
            </w:r>
            <w:r>
              <w:rPr>
                <w:spacing w:val="-2"/>
              </w:rPr>
              <w:t>u</w:t>
            </w:r>
            <w:r>
              <w:t>b</w:t>
            </w:r>
            <w:r>
              <w:rPr>
                <w:spacing w:val="1"/>
              </w:rPr>
              <w:t>l</w:t>
            </w:r>
            <w:r>
              <w:rPr>
                <w:spacing w:val="-2"/>
              </w:rPr>
              <w:t>i</w:t>
            </w:r>
            <w:r>
              <w:t>c</w:t>
            </w:r>
            <w:r>
              <w:rPr>
                <w:spacing w:val="1"/>
              </w:rPr>
              <w:t xml:space="preserve"> </w:t>
            </w:r>
            <w:r>
              <w:rPr>
                <w:spacing w:val="-1"/>
              </w:rPr>
              <w:t>H</w:t>
            </w:r>
            <w:r>
              <w:t>ea</w:t>
            </w:r>
            <w:r>
              <w:rPr>
                <w:spacing w:val="-2"/>
              </w:rPr>
              <w:t>l</w:t>
            </w:r>
            <w:r>
              <w:t>th</w:t>
            </w:r>
          </w:p>
        </w:tc>
        <w:tc>
          <w:tcPr>
            <w:tcW w:w="6215" w:type="dxa"/>
          </w:tcPr>
          <w:p w:rsidR="001C0B02" w:rsidRDefault="001C0B02" w:rsidP="001C0B02">
            <w:hyperlink r:id="rId80" w:tooltip="Harvard School of Public Health" w:history="1">
              <w:r>
                <w:rPr>
                  <w:color w:val="0000FF"/>
                  <w:u w:val="single"/>
                </w:rPr>
                <w:t>http://</w:t>
              </w:r>
              <w:r>
                <w:rPr>
                  <w:color w:val="0000FF"/>
                  <w:spacing w:val="-1"/>
                  <w:u w:val="single"/>
                </w:rPr>
                <w:t>www</w:t>
              </w:r>
              <w:r>
                <w:rPr>
                  <w:color w:val="0000FF"/>
                  <w:u w:val="single"/>
                </w:rPr>
                <w:t>.h</w:t>
              </w:r>
              <w:r>
                <w:rPr>
                  <w:color w:val="0000FF"/>
                  <w:spacing w:val="1"/>
                  <w:u w:val="single"/>
                </w:rPr>
                <w:t>s</w:t>
              </w:r>
              <w:r>
                <w:rPr>
                  <w:color w:val="0000FF"/>
                  <w:u w:val="single"/>
                </w:rPr>
                <w:t>ph.</w:t>
              </w:r>
              <w:r>
                <w:rPr>
                  <w:color w:val="0000FF"/>
                  <w:spacing w:val="-2"/>
                  <w:u w:val="single"/>
                </w:rPr>
                <w:t>h</w:t>
              </w:r>
              <w:r>
                <w:rPr>
                  <w:color w:val="0000FF"/>
                  <w:u w:val="single"/>
                </w:rPr>
                <w:t>ar</w:t>
              </w:r>
              <w:r>
                <w:rPr>
                  <w:color w:val="0000FF"/>
                  <w:spacing w:val="1"/>
                  <w:u w:val="single"/>
                </w:rPr>
                <w:t>v</w:t>
              </w:r>
              <w:r>
                <w:rPr>
                  <w:color w:val="0000FF"/>
                  <w:u w:val="single"/>
                </w:rPr>
                <w:t>ard</w:t>
              </w:r>
              <w:r>
                <w:rPr>
                  <w:color w:val="0000FF"/>
                  <w:spacing w:val="-2"/>
                  <w:u w:val="single"/>
                </w:rPr>
                <w:t>.</w:t>
              </w:r>
              <w:r>
                <w:rPr>
                  <w:color w:val="0000FF"/>
                  <w:u w:val="single"/>
                </w:rPr>
                <w:t>edu/</w:t>
              </w:r>
              <w:r>
                <w:rPr>
                  <w:color w:val="0000FF"/>
                </w:rPr>
                <w:t xml:space="preserve"> </w:t>
              </w:r>
            </w:hyperlink>
          </w:p>
        </w:tc>
      </w:tr>
      <w:tr w:rsidR="001C0B02" w:rsidTr="001C0B02">
        <w:tc>
          <w:tcPr>
            <w:tcW w:w="3093" w:type="dxa"/>
          </w:tcPr>
          <w:p w:rsidR="001C0B02" w:rsidRDefault="001C0B02" w:rsidP="001C0B02">
            <w:pPr>
              <w:rPr>
                <w:spacing w:val="-1"/>
              </w:rPr>
            </w:pPr>
            <w:r>
              <w:t>In</w:t>
            </w:r>
            <w:r>
              <w:rPr>
                <w:spacing w:val="1"/>
              </w:rPr>
              <w:t>s</w:t>
            </w:r>
            <w:r>
              <w:t>t</w:t>
            </w:r>
            <w:r>
              <w:rPr>
                <w:spacing w:val="1"/>
              </w:rPr>
              <w:t>i</w:t>
            </w:r>
            <w:r>
              <w:t>tu</w:t>
            </w:r>
            <w:r>
              <w:rPr>
                <w:spacing w:val="-2"/>
              </w:rPr>
              <w:t>t</w:t>
            </w:r>
            <w:r>
              <w:t xml:space="preserve">e for </w:t>
            </w:r>
            <w:r>
              <w:rPr>
                <w:spacing w:val="-1"/>
              </w:rPr>
              <w:t>C</w:t>
            </w:r>
            <w:r>
              <w:rPr>
                <w:spacing w:val="1"/>
              </w:rPr>
              <w:t>l</w:t>
            </w:r>
            <w:r>
              <w:rPr>
                <w:spacing w:val="-2"/>
              </w:rPr>
              <w:t>i</w:t>
            </w:r>
            <w:r>
              <w:t>n</w:t>
            </w:r>
            <w:r>
              <w:rPr>
                <w:spacing w:val="1"/>
              </w:rPr>
              <w:t>i</w:t>
            </w:r>
            <w:r>
              <w:rPr>
                <w:spacing w:val="-2"/>
              </w:rPr>
              <w:t>c</w:t>
            </w:r>
            <w:r>
              <w:t>al</w:t>
            </w:r>
            <w:r>
              <w:rPr>
                <w:spacing w:val="1"/>
              </w:rPr>
              <w:t xml:space="preserve"> </w:t>
            </w:r>
            <w:r>
              <w:t>a</w:t>
            </w:r>
            <w:r>
              <w:rPr>
                <w:spacing w:val="-2"/>
              </w:rPr>
              <w:t>n</w:t>
            </w:r>
            <w:r>
              <w:t xml:space="preserve">d </w:t>
            </w:r>
            <w:r>
              <w:rPr>
                <w:spacing w:val="-1"/>
              </w:rPr>
              <w:t>E</w:t>
            </w:r>
            <w:r>
              <w:rPr>
                <w:spacing w:val="1"/>
              </w:rPr>
              <w:t>c</w:t>
            </w:r>
            <w:r>
              <w:t>on</w:t>
            </w:r>
            <w:r>
              <w:rPr>
                <w:spacing w:val="-2"/>
              </w:rPr>
              <w:t>o</w:t>
            </w:r>
            <w:r>
              <w:t>m</w:t>
            </w:r>
            <w:r>
              <w:rPr>
                <w:spacing w:val="1"/>
              </w:rPr>
              <w:t>i</w:t>
            </w:r>
            <w:r>
              <w:t>c</w:t>
            </w:r>
            <w:r>
              <w:rPr>
                <w:spacing w:val="1"/>
              </w:rPr>
              <w:t xml:space="preserve"> </w:t>
            </w:r>
            <w:r>
              <w:rPr>
                <w:spacing w:val="-1"/>
              </w:rPr>
              <w:t>R</w:t>
            </w:r>
            <w:r>
              <w:rPr>
                <w:spacing w:val="-2"/>
              </w:rPr>
              <w:t>e</w:t>
            </w:r>
            <w:r>
              <w:rPr>
                <w:spacing w:val="1"/>
              </w:rPr>
              <w:t>vi</w:t>
            </w:r>
            <w:r>
              <w:t>ew</w:t>
            </w:r>
            <w:r>
              <w:rPr>
                <w:spacing w:val="-1"/>
              </w:rPr>
              <w:t xml:space="preserve"> </w:t>
            </w:r>
            <w:r>
              <w:t>(I</w:t>
            </w:r>
            <w:r>
              <w:rPr>
                <w:spacing w:val="-1"/>
              </w:rPr>
              <w:t>CER</w:t>
            </w:r>
            <w:r>
              <w:t>)</w:t>
            </w:r>
          </w:p>
        </w:tc>
        <w:tc>
          <w:tcPr>
            <w:tcW w:w="6215" w:type="dxa"/>
          </w:tcPr>
          <w:p w:rsidR="001C0B02" w:rsidRDefault="001C0B02" w:rsidP="001C0B02">
            <w:pPr>
              <w:pStyle w:val="Default"/>
            </w:pPr>
            <w:hyperlink r:id="rId81" w:tooltip="Institute for Clinical and Economic Review (ICER)" w:history="1">
              <w:r w:rsidRPr="00AF0420">
                <w:rPr>
                  <w:rStyle w:val="Hyperlink"/>
                  <w:sz w:val="22"/>
                  <w:szCs w:val="22"/>
                </w:rPr>
                <w:t xml:space="preserve">http://www.icer-review.org/ </w:t>
              </w:r>
            </w:hyperlink>
          </w:p>
          <w:p w:rsidR="001C0B02" w:rsidRDefault="001C0B02" w:rsidP="001C0B02"/>
        </w:tc>
      </w:tr>
      <w:tr w:rsidR="001C0B02" w:rsidTr="001C0B02">
        <w:tc>
          <w:tcPr>
            <w:tcW w:w="3093" w:type="dxa"/>
          </w:tcPr>
          <w:p w:rsidR="001C0B02" w:rsidRDefault="001C0B02" w:rsidP="001C0B02">
            <w:r>
              <w:t>In</w:t>
            </w:r>
            <w:r>
              <w:rPr>
                <w:spacing w:val="1"/>
              </w:rPr>
              <w:t>s</w:t>
            </w:r>
            <w:r>
              <w:t>t</w:t>
            </w:r>
            <w:r>
              <w:rPr>
                <w:spacing w:val="1"/>
              </w:rPr>
              <w:t>i</w:t>
            </w:r>
            <w:r>
              <w:t>tu</w:t>
            </w:r>
            <w:r>
              <w:rPr>
                <w:spacing w:val="-2"/>
              </w:rPr>
              <w:t>t</w:t>
            </w:r>
            <w:r>
              <w:t xml:space="preserve">e for </w:t>
            </w:r>
            <w:r>
              <w:rPr>
                <w:spacing w:val="-1"/>
              </w:rPr>
              <w:t>C</w:t>
            </w:r>
            <w:r>
              <w:rPr>
                <w:spacing w:val="1"/>
              </w:rPr>
              <w:t>l</w:t>
            </w:r>
            <w:r>
              <w:rPr>
                <w:spacing w:val="-2"/>
              </w:rPr>
              <w:t>i</w:t>
            </w:r>
            <w:r>
              <w:t>n</w:t>
            </w:r>
            <w:r>
              <w:rPr>
                <w:spacing w:val="1"/>
              </w:rPr>
              <w:t>i</w:t>
            </w:r>
            <w:r>
              <w:rPr>
                <w:spacing w:val="-2"/>
              </w:rPr>
              <w:t>c</w:t>
            </w:r>
            <w:r>
              <w:t>al</w:t>
            </w:r>
            <w:r>
              <w:rPr>
                <w:spacing w:val="1"/>
              </w:rPr>
              <w:t xml:space="preserve"> </w:t>
            </w:r>
            <w:r>
              <w:rPr>
                <w:spacing w:val="-1"/>
              </w:rPr>
              <w:t>S</w:t>
            </w:r>
            <w:r>
              <w:rPr>
                <w:spacing w:val="-2"/>
              </w:rPr>
              <w:t>y</w:t>
            </w:r>
            <w:r>
              <w:rPr>
                <w:spacing w:val="1"/>
              </w:rPr>
              <w:t>s</w:t>
            </w:r>
            <w:r>
              <w:t>te</w:t>
            </w:r>
            <w:r>
              <w:rPr>
                <w:spacing w:val="-2"/>
              </w:rPr>
              <w:t>m</w:t>
            </w:r>
            <w:r>
              <w:t>s</w:t>
            </w:r>
            <w:r>
              <w:rPr>
                <w:spacing w:val="1"/>
              </w:rPr>
              <w:t xml:space="preserve"> </w:t>
            </w:r>
            <w:r>
              <w:rPr>
                <w:spacing w:val="-2"/>
              </w:rPr>
              <w:t>I</w:t>
            </w:r>
            <w:r>
              <w:t>mpro</w:t>
            </w:r>
            <w:r>
              <w:rPr>
                <w:spacing w:val="1"/>
              </w:rPr>
              <w:t>v</w:t>
            </w:r>
            <w:r>
              <w:rPr>
                <w:spacing w:val="-2"/>
              </w:rPr>
              <w:t>e</w:t>
            </w:r>
            <w:r>
              <w:t>ment (I</w:t>
            </w:r>
            <w:r>
              <w:rPr>
                <w:spacing w:val="-1"/>
              </w:rPr>
              <w:t>CS</w:t>
            </w:r>
            <w:r>
              <w:t>I)</w:t>
            </w:r>
          </w:p>
        </w:tc>
        <w:tc>
          <w:tcPr>
            <w:tcW w:w="6215" w:type="dxa"/>
          </w:tcPr>
          <w:p w:rsidR="001C0B02" w:rsidRDefault="001C0B02" w:rsidP="001C0B02">
            <w:hyperlink r:id="rId82" w:tooltip="Institute for Clinical Systems Improvement " w:history="1">
              <w:r>
                <w:rPr>
                  <w:color w:val="0000FF"/>
                  <w:u w:val="single"/>
                </w:rPr>
                <w:t>http://</w:t>
              </w:r>
              <w:r>
                <w:rPr>
                  <w:color w:val="0000FF"/>
                  <w:spacing w:val="-1"/>
                  <w:u w:val="single"/>
                </w:rPr>
                <w:t>www</w:t>
              </w:r>
              <w:r>
                <w:rPr>
                  <w:color w:val="0000FF"/>
                  <w:u w:val="single"/>
                </w:rPr>
                <w:t>.</w:t>
              </w:r>
              <w:r>
                <w:rPr>
                  <w:color w:val="0000FF"/>
                  <w:spacing w:val="1"/>
                  <w:u w:val="single"/>
                </w:rPr>
                <w:t>ic</w:t>
              </w:r>
              <w:r>
                <w:rPr>
                  <w:color w:val="0000FF"/>
                  <w:spacing w:val="-2"/>
                  <w:u w:val="single"/>
                </w:rPr>
                <w:t>s</w:t>
              </w:r>
              <w:r>
                <w:rPr>
                  <w:color w:val="0000FF"/>
                  <w:spacing w:val="1"/>
                  <w:u w:val="single"/>
                </w:rPr>
                <w:t>i</w:t>
              </w:r>
              <w:r>
                <w:rPr>
                  <w:color w:val="0000FF"/>
                  <w:u w:val="single"/>
                </w:rPr>
                <w:t>.org</w:t>
              </w:r>
            </w:hyperlink>
          </w:p>
          <w:p w:rsidR="001C0B02" w:rsidRPr="007F37BF" w:rsidRDefault="001C0B02" w:rsidP="001C0B02"/>
        </w:tc>
      </w:tr>
      <w:tr w:rsidR="001C0B02" w:rsidTr="001C0B02">
        <w:tc>
          <w:tcPr>
            <w:tcW w:w="3093" w:type="dxa"/>
          </w:tcPr>
          <w:p w:rsidR="001C0B02" w:rsidRDefault="001C0B02" w:rsidP="001C0B02">
            <w:r>
              <w:rPr>
                <w:position w:val="-1"/>
              </w:rPr>
              <w:t>M</w:t>
            </w:r>
            <w:r>
              <w:rPr>
                <w:spacing w:val="1"/>
                <w:position w:val="-1"/>
              </w:rPr>
              <w:t>i</w:t>
            </w:r>
            <w:r>
              <w:rPr>
                <w:position w:val="-1"/>
              </w:rPr>
              <w:t>nn</w:t>
            </w:r>
            <w:r>
              <w:rPr>
                <w:spacing w:val="-2"/>
                <w:position w:val="-1"/>
              </w:rPr>
              <w:t>e</w:t>
            </w:r>
            <w:r>
              <w:rPr>
                <w:spacing w:val="1"/>
                <w:position w:val="-1"/>
              </w:rPr>
              <w:t>s</w:t>
            </w:r>
            <w:r>
              <w:rPr>
                <w:position w:val="-1"/>
              </w:rPr>
              <w:t xml:space="preserve">ota </w:t>
            </w:r>
            <w:r>
              <w:rPr>
                <w:spacing w:val="-1"/>
                <w:position w:val="-1"/>
              </w:rPr>
              <w:t>D</w:t>
            </w:r>
            <w:r>
              <w:rPr>
                <w:position w:val="-1"/>
              </w:rPr>
              <w:t>e</w:t>
            </w:r>
            <w:r>
              <w:rPr>
                <w:spacing w:val="-2"/>
                <w:position w:val="-1"/>
              </w:rPr>
              <w:t>p</w:t>
            </w:r>
            <w:r>
              <w:rPr>
                <w:position w:val="-1"/>
              </w:rPr>
              <w:t>artment</w:t>
            </w:r>
            <w:r>
              <w:rPr>
                <w:spacing w:val="-2"/>
                <w:position w:val="-1"/>
              </w:rPr>
              <w:t xml:space="preserve"> </w:t>
            </w:r>
            <w:r>
              <w:rPr>
                <w:position w:val="-1"/>
              </w:rPr>
              <w:t xml:space="preserve">of </w:t>
            </w:r>
            <w:r>
              <w:rPr>
                <w:spacing w:val="-1"/>
                <w:position w:val="-1"/>
              </w:rPr>
              <w:t>H</w:t>
            </w:r>
            <w:r>
              <w:rPr>
                <w:position w:val="-1"/>
              </w:rPr>
              <w:t>ea</w:t>
            </w:r>
            <w:r>
              <w:rPr>
                <w:spacing w:val="-2"/>
                <w:position w:val="-1"/>
              </w:rPr>
              <w:t>l</w:t>
            </w:r>
            <w:r>
              <w:rPr>
                <w:position w:val="-1"/>
              </w:rPr>
              <w:t>th (</w:t>
            </w:r>
            <w:r>
              <w:rPr>
                <w:spacing w:val="-1"/>
                <w:position w:val="-1"/>
              </w:rPr>
              <w:t>US</w:t>
            </w:r>
            <w:r>
              <w:rPr>
                <w:position w:val="-1"/>
              </w:rPr>
              <w:t>)</w:t>
            </w:r>
          </w:p>
        </w:tc>
        <w:tc>
          <w:tcPr>
            <w:tcW w:w="6215" w:type="dxa"/>
          </w:tcPr>
          <w:p w:rsidR="001C0B02" w:rsidRDefault="001C0B02" w:rsidP="001C0B02">
            <w:hyperlink r:id="rId83" w:tooltip="Minnesota Department of Health " w:history="1">
              <w:r>
                <w:rPr>
                  <w:color w:val="0000FF"/>
                  <w:position w:val="-1"/>
                  <w:u w:val="single"/>
                </w:rPr>
                <w:t>http://</w:t>
              </w:r>
              <w:r>
                <w:rPr>
                  <w:color w:val="0000FF"/>
                  <w:spacing w:val="-1"/>
                  <w:position w:val="-1"/>
                  <w:u w:val="single"/>
                </w:rPr>
                <w:t>www</w:t>
              </w:r>
              <w:r>
                <w:rPr>
                  <w:color w:val="0000FF"/>
                  <w:position w:val="-1"/>
                  <w:u w:val="single"/>
                </w:rPr>
                <w:t>.hea</w:t>
              </w:r>
              <w:r>
                <w:rPr>
                  <w:color w:val="0000FF"/>
                  <w:spacing w:val="1"/>
                  <w:position w:val="-1"/>
                  <w:u w:val="single"/>
                </w:rPr>
                <w:t>l</w:t>
              </w:r>
              <w:r>
                <w:rPr>
                  <w:color w:val="0000FF"/>
                  <w:position w:val="-1"/>
                  <w:u w:val="single"/>
                </w:rPr>
                <w:t>th</w:t>
              </w:r>
              <w:r>
                <w:rPr>
                  <w:color w:val="0000FF"/>
                  <w:spacing w:val="-2"/>
                  <w:position w:val="-1"/>
                  <w:u w:val="single"/>
                </w:rPr>
                <w:t>.</w:t>
              </w:r>
              <w:r>
                <w:rPr>
                  <w:color w:val="0000FF"/>
                  <w:spacing w:val="1"/>
                  <w:position w:val="-1"/>
                  <w:u w:val="single"/>
                </w:rPr>
                <w:t>s</w:t>
              </w:r>
              <w:r>
                <w:rPr>
                  <w:color w:val="0000FF"/>
                  <w:position w:val="-1"/>
                  <w:u w:val="single"/>
                </w:rPr>
                <w:t>tat</w:t>
              </w:r>
              <w:r>
                <w:rPr>
                  <w:color w:val="0000FF"/>
                  <w:spacing w:val="-2"/>
                  <w:position w:val="-1"/>
                  <w:u w:val="single"/>
                </w:rPr>
                <w:t>e</w:t>
              </w:r>
              <w:r>
                <w:rPr>
                  <w:color w:val="0000FF"/>
                  <w:position w:val="-1"/>
                  <w:u w:val="single"/>
                </w:rPr>
                <w:t>.mn.</w:t>
              </w:r>
              <w:r>
                <w:rPr>
                  <w:color w:val="0000FF"/>
                  <w:spacing w:val="-2"/>
                  <w:position w:val="-1"/>
                  <w:u w:val="single"/>
                </w:rPr>
                <w:t>u</w:t>
              </w:r>
              <w:r>
                <w:rPr>
                  <w:color w:val="0000FF"/>
                  <w:spacing w:val="1"/>
                  <w:position w:val="-1"/>
                  <w:u w:val="single"/>
                </w:rPr>
                <w:t>s</w:t>
              </w:r>
              <w:r>
                <w:rPr>
                  <w:color w:val="0000FF"/>
                  <w:spacing w:val="-2"/>
                  <w:position w:val="-1"/>
                  <w:u w:val="single"/>
                </w:rPr>
                <w:t>/</w:t>
              </w:r>
              <w:r>
                <w:rPr>
                  <w:color w:val="0000FF"/>
                  <w:position w:val="-1"/>
                  <w:u w:val="single"/>
                </w:rPr>
                <w:t>hta</w:t>
              </w:r>
              <w:r>
                <w:rPr>
                  <w:color w:val="0000FF"/>
                  <w:spacing w:val="1"/>
                  <w:position w:val="-1"/>
                  <w:u w:val="single"/>
                </w:rPr>
                <w:t>c</w:t>
              </w:r>
              <w:r>
                <w:rPr>
                  <w:color w:val="0000FF"/>
                  <w:position w:val="-1"/>
                  <w:u w:val="single"/>
                </w:rPr>
                <w:t>/</w:t>
              </w:r>
              <w:r>
                <w:rPr>
                  <w:color w:val="0000FF"/>
                  <w:spacing w:val="1"/>
                  <w:position w:val="-1"/>
                  <w:u w:val="single"/>
                </w:rPr>
                <w:t>i</w:t>
              </w:r>
              <w:r>
                <w:rPr>
                  <w:color w:val="0000FF"/>
                  <w:spacing w:val="-2"/>
                  <w:position w:val="-1"/>
                  <w:u w:val="single"/>
                </w:rPr>
                <w:t>n</w:t>
              </w:r>
              <w:r>
                <w:rPr>
                  <w:color w:val="0000FF"/>
                  <w:position w:val="-1"/>
                  <w:u w:val="single"/>
                </w:rPr>
                <w:t>de</w:t>
              </w:r>
              <w:r>
                <w:rPr>
                  <w:color w:val="0000FF"/>
                  <w:spacing w:val="1"/>
                  <w:position w:val="-1"/>
                  <w:u w:val="single"/>
                </w:rPr>
                <w:t>x</w:t>
              </w:r>
              <w:r>
                <w:rPr>
                  <w:color w:val="0000FF"/>
                  <w:spacing w:val="-2"/>
                  <w:position w:val="-1"/>
                  <w:u w:val="single"/>
                </w:rPr>
                <w:t>.</w:t>
              </w:r>
              <w:r>
                <w:rPr>
                  <w:color w:val="0000FF"/>
                  <w:position w:val="-1"/>
                  <w:u w:val="single"/>
                </w:rPr>
                <w:t>htm</w:t>
              </w:r>
            </w:hyperlink>
          </w:p>
        </w:tc>
      </w:tr>
      <w:tr w:rsidR="001C0B02" w:rsidTr="001C0B02">
        <w:tc>
          <w:tcPr>
            <w:tcW w:w="3093" w:type="dxa"/>
          </w:tcPr>
          <w:p w:rsidR="001C0B02" w:rsidRDefault="001C0B02" w:rsidP="001C0B02">
            <w:r>
              <w:rPr>
                <w:spacing w:val="-1"/>
              </w:rPr>
              <w:t>N</w:t>
            </w:r>
            <w:r>
              <w:t>at</w:t>
            </w:r>
            <w:r>
              <w:rPr>
                <w:spacing w:val="1"/>
              </w:rPr>
              <w:t>i</w:t>
            </w:r>
            <w:r>
              <w:t>onal</w:t>
            </w:r>
            <w:r>
              <w:rPr>
                <w:spacing w:val="1"/>
              </w:rPr>
              <w:t xml:space="preserve"> </w:t>
            </w:r>
            <w:r>
              <w:rPr>
                <w:spacing w:val="-2"/>
              </w:rPr>
              <w:t>I</w:t>
            </w:r>
            <w:r>
              <w:t>nform</w:t>
            </w:r>
            <w:r>
              <w:rPr>
                <w:spacing w:val="-2"/>
              </w:rPr>
              <w:t>a</w:t>
            </w:r>
            <w:r>
              <w:t>t</w:t>
            </w:r>
            <w:r>
              <w:rPr>
                <w:spacing w:val="1"/>
              </w:rPr>
              <w:t>i</w:t>
            </w:r>
            <w:r>
              <w:t xml:space="preserve">on </w:t>
            </w:r>
            <w:r>
              <w:rPr>
                <w:spacing w:val="-1"/>
              </w:rPr>
              <w:t>C</w:t>
            </w:r>
            <w:r>
              <w:t>e</w:t>
            </w:r>
            <w:r>
              <w:rPr>
                <w:spacing w:val="-2"/>
              </w:rPr>
              <w:t>n</w:t>
            </w:r>
            <w:r>
              <w:t>tre of</w:t>
            </w:r>
            <w:r>
              <w:rPr>
                <w:spacing w:val="-2"/>
              </w:rPr>
              <w:t xml:space="preserve"> </w:t>
            </w:r>
            <w:r>
              <w:rPr>
                <w:spacing w:val="-1"/>
              </w:rPr>
              <w:t>H</w:t>
            </w:r>
            <w:r>
              <w:t>ea</w:t>
            </w:r>
            <w:r>
              <w:rPr>
                <w:spacing w:val="1"/>
              </w:rPr>
              <w:t>l</w:t>
            </w:r>
            <w:r>
              <w:t xml:space="preserve">th </w:t>
            </w:r>
            <w:r>
              <w:rPr>
                <w:spacing w:val="-1"/>
              </w:rPr>
              <w:t>S</w:t>
            </w:r>
            <w:r>
              <w:t>er</w:t>
            </w:r>
            <w:r>
              <w:rPr>
                <w:spacing w:val="-2"/>
              </w:rPr>
              <w:t>v</w:t>
            </w:r>
            <w:r>
              <w:rPr>
                <w:spacing w:val="1"/>
              </w:rPr>
              <w:t>ic</w:t>
            </w:r>
            <w:r>
              <w:rPr>
                <w:spacing w:val="-2"/>
              </w:rPr>
              <w:t>e</w:t>
            </w:r>
            <w:r>
              <w:t>s</w:t>
            </w:r>
          </w:p>
        </w:tc>
        <w:tc>
          <w:tcPr>
            <w:tcW w:w="6215" w:type="dxa"/>
          </w:tcPr>
          <w:p w:rsidR="001C0B02" w:rsidRDefault="001C0B02" w:rsidP="001C0B02">
            <w:pPr>
              <w:pStyle w:val="Default"/>
            </w:pPr>
            <w:hyperlink r:id="rId84" w:tooltip="Nationla Information Centre of Health Services" w:history="1">
              <w:r w:rsidRPr="00AF0420">
                <w:rPr>
                  <w:rStyle w:val="Hyperlink"/>
                  <w:sz w:val="22"/>
                  <w:szCs w:val="22"/>
                </w:rPr>
                <w:t xml:space="preserve">http://www.nlm.nih.gov/hsrph.html </w:t>
              </w:r>
            </w:hyperlink>
          </w:p>
          <w:p w:rsidR="001C0B02" w:rsidRDefault="001C0B02" w:rsidP="001C0B02"/>
        </w:tc>
      </w:tr>
      <w:tr w:rsidR="001C0B02" w:rsidTr="001C0B02">
        <w:tc>
          <w:tcPr>
            <w:tcW w:w="3093" w:type="dxa"/>
          </w:tcPr>
          <w:p w:rsidR="001C0B02" w:rsidRDefault="001C0B02" w:rsidP="001C0B02">
            <w:r>
              <w:rPr>
                <w:spacing w:val="-1"/>
                <w:position w:val="-1"/>
              </w:rPr>
              <w:t>R</w:t>
            </w:r>
            <w:r>
              <w:rPr>
                <w:position w:val="-1"/>
              </w:rPr>
              <w:t>e</w:t>
            </w:r>
            <w:r>
              <w:rPr>
                <w:spacing w:val="1"/>
                <w:position w:val="-1"/>
              </w:rPr>
              <w:t>s</w:t>
            </w:r>
            <w:r>
              <w:rPr>
                <w:position w:val="-1"/>
              </w:rPr>
              <w:t>ear</w:t>
            </w:r>
            <w:r>
              <w:rPr>
                <w:spacing w:val="1"/>
                <w:position w:val="-1"/>
              </w:rPr>
              <w:t>c</w:t>
            </w:r>
            <w:r>
              <w:rPr>
                <w:position w:val="-1"/>
              </w:rPr>
              <w:t>h</w:t>
            </w:r>
            <w:r>
              <w:rPr>
                <w:spacing w:val="-2"/>
                <w:position w:val="-1"/>
              </w:rPr>
              <w:t xml:space="preserve"> </w:t>
            </w:r>
            <w:r>
              <w:rPr>
                <w:position w:val="-1"/>
              </w:rPr>
              <w:t xml:space="preserve">and </w:t>
            </w:r>
            <w:r>
              <w:rPr>
                <w:spacing w:val="-1"/>
                <w:position w:val="-1"/>
              </w:rPr>
              <w:t>H</w:t>
            </w:r>
            <w:r>
              <w:rPr>
                <w:position w:val="-1"/>
              </w:rPr>
              <w:t>ea</w:t>
            </w:r>
            <w:r>
              <w:rPr>
                <w:spacing w:val="-2"/>
                <w:position w:val="-1"/>
              </w:rPr>
              <w:t>l</w:t>
            </w:r>
            <w:r>
              <w:rPr>
                <w:position w:val="-1"/>
              </w:rPr>
              <w:t xml:space="preserve">th </w:t>
            </w:r>
            <w:r>
              <w:rPr>
                <w:spacing w:val="-1"/>
                <w:position w:val="-1"/>
              </w:rPr>
              <w:t>C</w:t>
            </w:r>
            <w:r>
              <w:rPr>
                <w:position w:val="-1"/>
              </w:rPr>
              <w:t>are T</w:t>
            </w:r>
            <w:r>
              <w:rPr>
                <w:spacing w:val="-2"/>
                <w:position w:val="-1"/>
              </w:rPr>
              <w:t>e</w:t>
            </w:r>
            <w:r>
              <w:rPr>
                <w:spacing w:val="1"/>
                <w:position w:val="-1"/>
              </w:rPr>
              <w:t>c</w:t>
            </w:r>
            <w:r>
              <w:rPr>
                <w:position w:val="-1"/>
              </w:rPr>
              <w:t>hno</w:t>
            </w:r>
            <w:r>
              <w:rPr>
                <w:spacing w:val="1"/>
                <w:position w:val="-1"/>
              </w:rPr>
              <w:t>l</w:t>
            </w:r>
            <w:r>
              <w:rPr>
                <w:spacing w:val="-2"/>
                <w:position w:val="-1"/>
              </w:rPr>
              <w:t>o</w:t>
            </w:r>
            <w:r>
              <w:rPr>
                <w:position w:val="-1"/>
              </w:rPr>
              <w:t>gy</w:t>
            </w:r>
            <w:r>
              <w:rPr>
                <w:spacing w:val="1"/>
                <w:position w:val="-1"/>
              </w:rPr>
              <w:t xml:space="preserve"> </w:t>
            </w:r>
            <w:r>
              <w:rPr>
                <w:position w:val="-1"/>
              </w:rPr>
              <w:t>(</w:t>
            </w:r>
            <w:r>
              <w:rPr>
                <w:spacing w:val="-1"/>
                <w:position w:val="-1"/>
              </w:rPr>
              <w:t>US</w:t>
            </w:r>
            <w:r>
              <w:rPr>
                <w:position w:val="-1"/>
              </w:rPr>
              <w:t>)</w:t>
            </w:r>
          </w:p>
          <w:p w:rsidR="001C0B02" w:rsidRDefault="001C0B02" w:rsidP="001C0B02">
            <w:pPr>
              <w:rPr>
                <w:spacing w:val="-1"/>
              </w:rPr>
            </w:pPr>
          </w:p>
        </w:tc>
        <w:tc>
          <w:tcPr>
            <w:tcW w:w="6215" w:type="dxa"/>
          </w:tcPr>
          <w:p w:rsidR="001C0B02" w:rsidRDefault="001C0B02" w:rsidP="001C0B02">
            <w:hyperlink r:id="rId85" w:tooltip="Oregon Health Resources Commission" w:history="1">
              <w:r>
                <w:rPr>
                  <w:color w:val="0000FF"/>
                  <w:u w:val="single"/>
                </w:rPr>
                <w:t>http://eg</w:t>
              </w:r>
              <w:r>
                <w:rPr>
                  <w:color w:val="0000FF"/>
                  <w:spacing w:val="-2"/>
                  <w:u w:val="single"/>
                </w:rPr>
                <w:t>o</w:t>
              </w:r>
              <w:r>
                <w:rPr>
                  <w:color w:val="0000FF"/>
                  <w:spacing w:val="1"/>
                  <w:u w:val="single"/>
                </w:rPr>
                <w:t>v</w:t>
              </w:r>
              <w:r>
                <w:rPr>
                  <w:color w:val="0000FF"/>
                  <w:u w:val="single"/>
                </w:rPr>
                <w:t>.ore</w:t>
              </w:r>
              <w:r>
                <w:rPr>
                  <w:color w:val="0000FF"/>
                  <w:spacing w:val="-2"/>
                  <w:u w:val="single"/>
                </w:rPr>
                <w:t>g</w:t>
              </w:r>
              <w:r>
                <w:rPr>
                  <w:color w:val="0000FF"/>
                  <w:u w:val="single"/>
                </w:rPr>
                <w:t>on.g</w:t>
              </w:r>
              <w:r>
                <w:rPr>
                  <w:color w:val="0000FF"/>
                  <w:spacing w:val="-2"/>
                  <w:u w:val="single"/>
                </w:rPr>
                <w:t>o</w:t>
              </w:r>
              <w:r>
                <w:rPr>
                  <w:color w:val="0000FF"/>
                  <w:spacing w:val="1"/>
                  <w:u w:val="single"/>
                </w:rPr>
                <w:t>v</w:t>
              </w:r>
              <w:r>
                <w:rPr>
                  <w:color w:val="0000FF"/>
                  <w:u w:val="single"/>
                </w:rPr>
                <w:t>/</w:t>
              </w:r>
              <w:r>
                <w:rPr>
                  <w:color w:val="0000FF"/>
                  <w:spacing w:val="-1"/>
                  <w:u w:val="single"/>
                </w:rPr>
                <w:t>DAS</w:t>
              </w:r>
              <w:r>
                <w:rPr>
                  <w:color w:val="0000FF"/>
                  <w:u w:val="single"/>
                </w:rPr>
                <w:t>/</w:t>
              </w:r>
              <w:r>
                <w:rPr>
                  <w:color w:val="0000FF"/>
                  <w:spacing w:val="-2"/>
                  <w:u w:val="single"/>
                </w:rPr>
                <w:t>O</w:t>
              </w:r>
              <w:r>
                <w:rPr>
                  <w:color w:val="0000FF"/>
                  <w:spacing w:val="-1"/>
                  <w:u w:val="single"/>
                </w:rPr>
                <w:t>HPPR</w:t>
              </w:r>
              <w:r>
                <w:rPr>
                  <w:color w:val="0000FF"/>
                  <w:u w:val="single"/>
                </w:rPr>
                <w:t>/</w:t>
              </w:r>
              <w:r>
                <w:rPr>
                  <w:color w:val="0000FF"/>
                  <w:spacing w:val="-1"/>
                  <w:u w:val="single"/>
                </w:rPr>
                <w:t>HRC</w:t>
              </w:r>
              <w:r>
                <w:rPr>
                  <w:color w:val="0000FF"/>
                  <w:u w:val="single"/>
                </w:rPr>
                <w:t>/about_us</w:t>
              </w:r>
            </w:hyperlink>
          </w:p>
          <w:p w:rsidR="001C0B02" w:rsidRDefault="001C0B02" w:rsidP="001C0B02">
            <w:hyperlink r:id="rId86" w:history="1">
              <w:r>
                <w:rPr>
                  <w:color w:val="0000FF"/>
                  <w:position w:val="-1"/>
                  <w:u w:val="single"/>
                </w:rPr>
                <w:t>.</w:t>
              </w:r>
              <w:r>
                <w:rPr>
                  <w:color w:val="0000FF"/>
                  <w:spacing w:val="1"/>
                  <w:position w:val="-1"/>
                  <w:u w:val="single"/>
                </w:rPr>
                <w:t>s</w:t>
              </w:r>
              <w:r>
                <w:rPr>
                  <w:color w:val="0000FF"/>
                  <w:position w:val="-1"/>
                  <w:u w:val="single"/>
                </w:rPr>
                <w:t>htm</w:t>
              </w:r>
              <w:r>
                <w:rPr>
                  <w:color w:val="0000FF"/>
                  <w:position w:val="-1"/>
                </w:rPr>
                <w:t>l</w:t>
              </w:r>
            </w:hyperlink>
            <w:r>
              <w:rPr>
                <w:color w:val="0000FF"/>
                <w:position w:val="-1"/>
              </w:rPr>
              <w:t xml:space="preserve"> </w:t>
            </w:r>
          </w:p>
        </w:tc>
      </w:tr>
      <w:tr w:rsidR="001C0B02" w:rsidTr="001C0B02">
        <w:trPr>
          <w:trHeight w:val="292"/>
        </w:trPr>
        <w:tc>
          <w:tcPr>
            <w:tcW w:w="3093" w:type="dxa"/>
          </w:tcPr>
          <w:p w:rsidR="001C0B02" w:rsidRDefault="001C0B02" w:rsidP="001C0B02">
            <w:pPr>
              <w:rPr>
                <w:spacing w:val="-1"/>
                <w:position w:val="-1"/>
              </w:rPr>
            </w:pPr>
            <w:r>
              <w:rPr>
                <w:spacing w:val="1"/>
              </w:rPr>
              <w:t>O</w:t>
            </w:r>
            <w:r>
              <w:t xml:space="preserve">regon </w:t>
            </w:r>
            <w:r>
              <w:rPr>
                <w:spacing w:val="-1"/>
              </w:rPr>
              <w:t>H</w:t>
            </w:r>
            <w:r>
              <w:t>e</w:t>
            </w:r>
            <w:r>
              <w:rPr>
                <w:spacing w:val="-2"/>
              </w:rPr>
              <w:t>a</w:t>
            </w:r>
            <w:r>
              <w:rPr>
                <w:spacing w:val="1"/>
              </w:rPr>
              <w:t>l</w:t>
            </w:r>
            <w:r>
              <w:t xml:space="preserve">th </w:t>
            </w:r>
            <w:r>
              <w:rPr>
                <w:spacing w:val="-1"/>
              </w:rPr>
              <w:t>R</w:t>
            </w:r>
            <w:r>
              <w:t>e</w:t>
            </w:r>
            <w:r>
              <w:rPr>
                <w:spacing w:val="-2"/>
              </w:rPr>
              <w:t>s</w:t>
            </w:r>
            <w:r>
              <w:t>our</w:t>
            </w:r>
            <w:r>
              <w:rPr>
                <w:spacing w:val="1"/>
              </w:rPr>
              <w:t>c</w:t>
            </w:r>
            <w:r>
              <w:rPr>
                <w:spacing w:val="-2"/>
              </w:rPr>
              <w:t>e</w:t>
            </w:r>
            <w:r>
              <w:t>s</w:t>
            </w:r>
            <w:r>
              <w:rPr>
                <w:spacing w:val="1"/>
              </w:rPr>
              <w:t xml:space="preserve"> </w:t>
            </w:r>
            <w:r>
              <w:rPr>
                <w:spacing w:val="-1"/>
              </w:rPr>
              <w:t>C</w:t>
            </w:r>
            <w:r>
              <w:rPr>
                <w:spacing w:val="-2"/>
              </w:rPr>
              <w:t>o</w:t>
            </w:r>
            <w:r>
              <w:t>mm</w:t>
            </w:r>
            <w:r>
              <w:rPr>
                <w:spacing w:val="1"/>
              </w:rPr>
              <w:t>i</w:t>
            </w:r>
            <w:r>
              <w:rPr>
                <w:spacing w:val="-2"/>
              </w:rPr>
              <w:t>s</w:t>
            </w:r>
            <w:r>
              <w:rPr>
                <w:spacing w:val="1"/>
              </w:rPr>
              <w:t>si</w:t>
            </w:r>
            <w:r>
              <w:rPr>
                <w:spacing w:val="-2"/>
              </w:rPr>
              <w:t>o</w:t>
            </w:r>
            <w:r>
              <w:t>n (</w:t>
            </w:r>
            <w:r>
              <w:rPr>
                <w:spacing w:val="-1"/>
              </w:rPr>
              <w:t>US)</w:t>
            </w:r>
          </w:p>
        </w:tc>
        <w:tc>
          <w:tcPr>
            <w:tcW w:w="6215" w:type="dxa"/>
          </w:tcPr>
          <w:p w:rsidR="001C0B02" w:rsidRDefault="001C0B02" w:rsidP="001C0B02">
            <w:r>
              <w:rPr>
                <w:rFonts w:ascii="Arial Narrow" w:hAnsi="Arial Narrow" w:cs="Arial Narrow"/>
                <w:color w:val="000000"/>
                <w:position w:val="-1"/>
              </w:rPr>
              <w:t xml:space="preserve">  </w:t>
            </w:r>
            <w:hyperlink r:id="rId87" w:tooltip="National Information Centre of Health Services" w:history="1">
              <w:r>
                <w:rPr>
                  <w:rFonts w:ascii="Arial Narrow" w:hAnsi="Arial Narrow" w:cs="Arial Narrow"/>
                  <w:color w:val="0000FF"/>
                  <w:u w:val="single"/>
                </w:rPr>
                <w:t>http://</w:t>
              </w:r>
              <w:r>
                <w:rPr>
                  <w:rFonts w:ascii="Arial Narrow" w:hAnsi="Arial Narrow" w:cs="Arial Narrow"/>
                  <w:color w:val="0000FF"/>
                  <w:spacing w:val="-1"/>
                  <w:u w:val="single"/>
                </w:rPr>
                <w:t>www</w:t>
              </w:r>
              <w:r>
                <w:rPr>
                  <w:rFonts w:ascii="Arial Narrow" w:hAnsi="Arial Narrow" w:cs="Arial Narrow"/>
                  <w:color w:val="0000FF"/>
                  <w:u w:val="single"/>
                </w:rPr>
                <w:t>.n</w:t>
              </w:r>
              <w:r>
                <w:rPr>
                  <w:rFonts w:ascii="Arial Narrow" w:hAnsi="Arial Narrow" w:cs="Arial Narrow"/>
                  <w:color w:val="0000FF"/>
                  <w:spacing w:val="1"/>
                  <w:u w:val="single"/>
                </w:rPr>
                <w:t>l</w:t>
              </w:r>
              <w:r>
                <w:rPr>
                  <w:rFonts w:ascii="Arial Narrow" w:hAnsi="Arial Narrow" w:cs="Arial Narrow"/>
                  <w:color w:val="0000FF"/>
                  <w:u w:val="single"/>
                </w:rPr>
                <w:t>m.</w:t>
              </w:r>
              <w:r>
                <w:rPr>
                  <w:rFonts w:ascii="Arial Narrow" w:hAnsi="Arial Narrow" w:cs="Arial Narrow"/>
                  <w:color w:val="0000FF"/>
                  <w:spacing w:val="-2"/>
                  <w:u w:val="single"/>
                </w:rPr>
                <w:t>n</w:t>
              </w:r>
              <w:r>
                <w:rPr>
                  <w:rFonts w:ascii="Arial Narrow" w:hAnsi="Arial Narrow" w:cs="Arial Narrow"/>
                  <w:color w:val="0000FF"/>
                  <w:spacing w:val="1"/>
                  <w:u w:val="single"/>
                </w:rPr>
                <w:t>i</w:t>
              </w:r>
              <w:r>
                <w:rPr>
                  <w:rFonts w:ascii="Arial Narrow" w:hAnsi="Arial Narrow" w:cs="Arial Narrow"/>
                  <w:color w:val="0000FF"/>
                  <w:u w:val="single"/>
                </w:rPr>
                <w:t>h.g</w:t>
              </w:r>
              <w:r>
                <w:rPr>
                  <w:rFonts w:ascii="Arial Narrow" w:hAnsi="Arial Narrow" w:cs="Arial Narrow"/>
                  <w:color w:val="0000FF"/>
                  <w:spacing w:val="-2"/>
                  <w:u w:val="single"/>
                </w:rPr>
                <w:t>o</w:t>
              </w:r>
              <w:r>
                <w:rPr>
                  <w:rFonts w:ascii="Arial Narrow" w:hAnsi="Arial Narrow" w:cs="Arial Narrow"/>
                  <w:color w:val="0000FF"/>
                  <w:spacing w:val="1"/>
                  <w:u w:val="single"/>
                </w:rPr>
                <w:t>v</w:t>
              </w:r>
              <w:r>
                <w:rPr>
                  <w:rFonts w:ascii="Arial Narrow" w:hAnsi="Arial Narrow" w:cs="Arial Narrow"/>
                  <w:color w:val="0000FF"/>
                  <w:u w:val="single"/>
                </w:rPr>
                <w:t>/h</w:t>
              </w:r>
              <w:r>
                <w:rPr>
                  <w:rFonts w:ascii="Arial Narrow" w:hAnsi="Arial Narrow" w:cs="Arial Narrow"/>
                  <w:color w:val="0000FF"/>
                  <w:spacing w:val="1"/>
                  <w:u w:val="single"/>
                </w:rPr>
                <w:t>s</w:t>
              </w:r>
              <w:r>
                <w:rPr>
                  <w:rFonts w:ascii="Arial Narrow" w:hAnsi="Arial Narrow" w:cs="Arial Narrow"/>
                  <w:color w:val="0000FF"/>
                  <w:spacing w:val="-3"/>
                  <w:u w:val="single"/>
                </w:rPr>
                <w:t>r</w:t>
              </w:r>
              <w:r>
                <w:rPr>
                  <w:rFonts w:ascii="Arial Narrow" w:hAnsi="Arial Narrow" w:cs="Arial Narrow"/>
                  <w:color w:val="0000FF"/>
                  <w:u w:val="single"/>
                </w:rPr>
                <w:t>ph</w:t>
              </w:r>
              <w:r>
                <w:rPr>
                  <w:rFonts w:ascii="Arial Narrow" w:hAnsi="Arial Narrow" w:cs="Arial Narrow"/>
                  <w:color w:val="0000FF"/>
                  <w:spacing w:val="-2"/>
                  <w:u w:val="single"/>
                </w:rPr>
                <w:t>.</w:t>
              </w:r>
              <w:r>
                <w:rPr>
                  <w:rFonts w:ascii="Arial Narrow" w:hAnsi="Arial Narrow" w:cs="Arial Narrow"/>
                  <w:color w:val="0000FF"/>
                  <w:u w:val="single"/>
                </w:rPr>
                <w:t>htm</w:t>
              </w:r>
              <w:r>
                <w:rPr>
                  <w:rFonts w:ascii="Arial Narrow" w:hAnsi="Arial Narrow" w:cs="Arial Narrow"/>
                  <w:color w:val="0000FF"/>
                </w:rPr>
                <w:t>l</w:t>
              </w:r>
            </w:hyperlink>
          </w:p>
        </w:tc>
      </w:tr>
      <w:tr w:rsidR="001C0B02" w:rsidTr="001C0B02">
        <w:tc>
          <w:tcPr>
            <w:tcW w:w="3093" w:type="dxa"/>
          </w:tcPr>
          <w:p w:rsidR="001C0B02" w:rsidRDefault="001C0B02" w:rsidP="001C0B02">
            <w:pPr>
              <w:rPr>
                <w:spacing w:val="-1"/>
                <w:position w:val="-1"/>
              </w:rPr>
            </w:pPr>
            <w:r>
              <w:rPr>
                <w:spacing w:val="1"/>
              </w:rPr>
              <w:t>O</w:t>
            </w:r>
            <w:r>
              <w:t>ff</w:t>
            </w:r>
            <w:r>
              <w:rPr>
                <w:spacing w:val="1"/>
              </w:rPr>
              <w:t>i</w:t>
            </w:r>
            <w:r>
              <w:rPr>
                <w:spacing w:val="-2"/>
              </w:rPr>
              <w:t>c</w:t>
            </w:r>
            <w:r>
              <w:t xml:space="preserve">e of </w:t>
            </w:r>
            <w:r>
              <w:rPr>
                <w:spacing w:val="-1"/>
              </w:rPr>
              <w:t>H</w:t>
            </w:r>
            <w:r>
              <w:t>ea</w:t>
            </w:r>
            <w:r>
              <w:rPr>
                <w:spacing w:val="-2"/>
              </w:rPr>
              <w:t>l</w:t>
            </w:r>
            <w:r>
              <w:t>th T</w:t>
            </w:r>
            <w:r>
              <w:rPr>
                <w:spacing w:val="-2"/>
              </w:rPr>
              <w:t>e</w:t>
            </w:r>
            <w:r>
              <w:rPr>
                <w:spacing w:val="1"/>
              </w:rPr>
              <w:t>c</w:t>
            </w:r>
            <w:r>
              <w:t>hno</w:t>
            </w:r>
            <w:r>
              <w:rPr>
                <w:spacing w:val="-2"/>
              </w:rPr>
              <w:t>l</w:t>
            </w:r>
            <w:r>
              <w:t>ogy</w:t>
            </w:r>
            <w:r>
              <w:rPr>
                <w:spacing w:val="1"/>
              </w:rPr>
              <w:t xml:space="preserve"> </w:t>
            </w:r>
            <w:r>
              <w:rPr>
                <w:spacing w:val="-3"/>
              </w:rPr>
              <w:t>A</w:t>
            </w:r>
            <w:r>
              <w:rPr>
                <w:spacing w:val="1"/>
              </w:rPr>
              <w:t>ss</w:t>
            </w:r>
            <w:r>
              <w:t>e</w:t>
            </w:r>
            <w:r>
              <w:rPr>
                <w:spacing w:val="-2"/>
              </w:rPr>
              <w:t>s</w:t>
            </w:r>
            <w:r>
              <w:rPr>
                <w:spacing w:val="1"/>
              </w:rPr>
              <w:t>s</w:t>
            </w:r>
            <w:r>
              <w:t>m</w:t>
            </w:r>
            <w:r>
              <w:rPr>
                <w:spacing w:val="-2"/>
              </w:rPr>
              <w:t>e</w:t>
            </w:r>
            <w:r>
              <w:t xml:space="preserve">nt </w:t>
            </w:r>
            <w:r>
              <w:rPr>
                <w:spacing w:val="-1"/>
              </w:rPr>
              <w:t>A</w:t>
            </w:r>
            <w:r>
              <w:t>r</w:t>
            </w:r>
            <w:r>
              <w:rPr>
                <w:spacing w:val="1"/>
              </w:rPr>
              <w:t>c</w:t>
            </w:r>
            <w:r>
              <w:t>h</w:t>
            </w:r>
            <w:r>
              <w:rPr>
                <w:spacing w:val="-2"/>
              </w:rPr>
              <w:t>i</w:t>
            </w:r>
            <w:r>
              <w:rPr>
                <w:spacing w:val="1"/>
              </w:rPr>
              <w:t>v</w:t>
            </w:r>
            <w:r>
              <w:t>e (</w:t>
            </w:r>
            <w:r>
              <w:rPr>
                <w:spacing w:val="-1"/>
              </w:rPr>
              <w:t>US</w:t>
            </w:r>
            <w:r>
              <w:t>)</w:t>
            </w:r>
          </w:p>
        </w:tc>
        <w:tc>
          <w:tcPr>
            <w:tcW w:w="6215" w:type="dxa"/>
          </w:tcPr>
          <w:p w:rsidR="001C0B02" w:rsidRDefault="001C0B02" w:rsidP="001C0B02">
            <w:r w:rsidRPr="007F37BF">
              <w:t>http://fas.org/ota</w:t>
            </w:r>
          </w:p>
        </w:tc>
      </w:tr>
      <w:tr w:rsidR="001C0B02" w:rsidTr="001C0B02">
        <w:tc>
          <w:tcPr>
            <w:tcW w:w="3093" w:type="dxa"/>
          </w:tcPr>
          <w:p w:rsidR="001C0B02" w:rsidRDefault="001C0B02" w:rsidP="001C0B02">
            <w:r>
              <w:rPr>
                <w:spacing w:val="-1"/>
              </w:rPr>
              <w:t>U</w:t>
            </w:r>
            <w:r>
              <w:t>.</w:t>
            </w:r>
            <w:r>
              <w:rPr>
                <w:spacing w:val="-1"/>
              </w:rPr>
              <w:t>S</w:t>
            </w:r>
            <w:r>
              <w:t xml:space="preserve">. </w:t>
            </w:r>
            <w:r>
              <w:rPr>
                <w:spacing w:val="-1"/>
              </w:rPr>
              <w:t>B</w:t>
            </w:r>
            <w:r>
              <w:rPr>
                <w:spacing w:val="1"/>
              </w:rPr>
              <w:t>l</w:t>
            </w:r>
            <w:r>
              <w:t xml:space="preserve">ue </w:t>
            </w:r>
            <w:r>
              <w:rPr>
                <w:spacing w:val="-1"/>
              </w:rPr>
              <w:t>C</w:t>
            </w:r>
            <w:r>
              <w:t>ro</w:t>
            </w:r>
            <w:r>
              <w:rPr>
                <w:spacing w:val="1"/>
              </w:rPr>
              <w:t>ss</w:t>
            </w:r>
            <w:r>
              <w:t xml:space="preserve">/ </w:t>
            </w:r>
            <w:r>
              <w:rPr>
                <w:spacing w:val="-3"/>
              </w:rPr>
              <w:t>B</w:t>
            </w:r>
            <w:r>
              <w:rPr>
                <w:spacing w:val="1"/>
              </w:rPr>
              <w:t>l</w:t>
            </w:r>
            <w:r>
              <w:t xml:space="preserve">ue </w:t>
            </w:r>
            <w:r>
              <w:rPr>
                <w:spacing w:val="-1"/>
              </w:rPr>
              <w:t>S</w:t>
            </w:r>
            <w:r>
              <w:t>h</w:t>
            </w:r>
            <w:r>
              <w:rPr>
                <w:spacing w:val="-2"/>
              </w:rPr>
              <w:t>i</w:t>
            </w:r>
            <w:r>
              <w:t>e</w:t>
            </w:r>
            <w:r>
              <w:rPr>
                <w:spacing w:val="1"/>
              </w:rPr>
              <w:t>l</w:t>
            </w:r>
            <w:r>
              <w:t>d</w:t>
            </w:r>
            <w:r>
              <w:rPr>
                <w:spacing w:val="-2"/>
              </w:rPr>
              <w:t xml:space="preserve"> </w:t>
            </w:r>
            <w:r>
              <w:rPr>
                <w:spacing w:val="-1"/>
              </w:rPr>
              <w:t>A</w:t>
            </w:r>
            <w:r>
              <w:rPr>
                <w:spacing w:val="1"/>
              </w:rPr>
              <w:t>ss</w:t>
            </w:r>
            <w:r>
              <w:t>o</w:t>
            </w:r>
            <w:r>
              <w:rPr>
                <w:spacing w:val="-2"/>
              </w:rPr>
              <w:t>c</w:t>
            </w:r>
            <w:r>
              <w:rPr>
                <w:spacing w:val="1"/>
              </w:rPr>
              <w:t>i</w:t>
            </w:r>
            <w:r>
              <w:rPr>
                <w:spacing w:val="2"/>
              </w:rPr>
              <w:t>a</w:t>
            </w:r>
            <w:r>
              <w:t>t</w:t>
            </w:r>
            <w:r>
              <w:rPr>
                <w:spacing w:val="1"/>
              </w:rPr>
              <w:t>i</w:t>
            </w:r>
            <w:r>
              <w:rPr>
                <w:spacing w:val="-2"/>
              </w:rPr>
              <w:t>on</w:t>
            </w:r>
          </w:p>
          <w:p w:rsidR="001C0B02" w:rsidRDefault="001C0B02" w:rsidP="001C0B02">
            <w:pPr>
              <w:rPr>
                <w:spacing w:val="1"/>
              </w:rPr>
            </w:pPr>
            <w:r>
              <w:t>Te</w:t>
            </w:r>
            <w:r>
              <w:rPr>
                <w:spacing w:val="1"/>
              </w:rPr>
              <w:t>c</w:t>
            </w:r>
            <w:r>
              <w:t>hn</w:t>
            </w:r>
            <w:r>
              <w:rPr>
                <w:spacing w:val="-2"/>
              </w:rPr>
              <w:t>o</w:t>
            </w:r>
            <w:r>
              <w:rPr>
                <w:spacing w:val="1"/>
              </w:rPr>
              <w:t>l</w:t>
            </w:r>
            <w:r>
              <w:t>ogy</w:t>
            </w:r>
            <w:r>
              <w:rPr>
                <w:spacing w:val="1"/>
              </w:rPr>
              <w:t xml:space="preserve"> </w:t>
            </w:r>
            <w:r>
              <w:rPr>
                <w:spacing w:val="-3"/>
              </w:rPr>
              <w:t>E</w:t>
            </w:r>
            <w:r>
              <w:rPr>
                <w:spacing w:val="1"/>
              </w:rPr>
              <w:t>v</w:t>
            </w:r>
            <w:r>
              <w:t>a</w:t>
            </w:r>
            <w:r>
              <w:rPr>
                <w:spacing w:val="1"/>
              </w:rPr>
              <w:t>l</w:t>
            </w:r>
            <w:r>
              <w:rPr>
                <w:spacing w:val="-2"/>
              </w:rPr>
              <w:t>u</w:t>
            </w:r>
            <w:r>
              <w:t>at</w:t>
            </w:r>
            <w:r>
              <w:rPr>
                <w:spacing w:val="1"/>
              </w:rPr>
              <w:t>i</w:t>
            </w:r>
            <w:r>
              <w:t xml:space="preserve">on </w:t>
            </w:r>
            <w:r>
              <w:rPr>
                <w:spacing w:val="-1"/>
              </w:rPr>
              <w:t>C</w:t>
            </w:r>
            <w:r>
              <w:rPr>
                <w:spacing w:val="-2"/>
              </w:rPr>
              <w:t>e</w:t>
            </w:r>
            <w:r>
              <w:t>nter</w:t>
            </w:r>
            <w:r>
              <w:rPr>
                <w:spacing w:val="-2"/>
              </w:rPr>
              <w:t xml:space="preserve"> </w:t>
            </w:r>
            <w:r>
              <w:t>(Te</w:t>
            </w:r>
            <w:r>
              <w:rPr>
                <w:spacing w:val="1"/>
              </w:rPr>
              <w:t>c</w:t>
            </w:r>
            <w:r>
              <w:t>)</w:t>
            </w:r>
          </w:p>
        </w:tc>
        <w:tc>
          <w:tcPr>
            <w:tcW w:w="6215" w:type="dxa"/>
          </w:tcPr>
          <w:p w:rsidR="001C0B02" w:rsidRDefault="001C0B02" w:rsidP="001C0B02">
            <w:hyperlink r:id="rId88" w:tooltip="U.S. Blue Cross/ Blue Shield Association" w:history="1">
              <w:r>
                <w:rPr>
                  <w:color w:val="0000FF"/>
                  <w:u w:val="single"/>
                </w:rPr>
                <w:t>http://</w:t>
              </w:r>
              <w:r>
                <w:rPr>
                  <w:color w:val="0000FF"/>
                  <w:spacing w:val="-1"/>
                  <w:u w:val="single"/>
                </w:rPr>
                <w:t>www</w:t>
              </w:r>
              <w:r>
                <w:rPr>
                  <w:color w:val="0000FF"/>
                  <w:u w:val="single"/>
                </w:rPr>
                <w:t>.b</w:t>
              </w:r>
              <w:r>
                <w:rPr>
                  <w:color w:val="0000FF"/>
                  <w:spacing w:val="1"/>
                  <w:u w:val="single"/>
                </w:rPr>
                <w:t>c</w:t>
              </w:r>
              <w:r>
                <w:rPr>
                  <w:color w:val="0000FF"/>
                  <w:u w:val="single"/>
                </w:rPr>
                <w:t>b</w:t>
              </w:r>
              <w:r>
                <w:rPr>
                  <w:color w:val="0000FF"/>
                  <w:spacing w:val="1"/>
                  <w:u w:val="single"/>
                </w:rPr>
                <w:t>s</w:t>
              </w:r>
              <w:r>
                <w:rPr>
                  <w:color w:val="0000FF"/>
                  <w:spacing w:val="-2"/>
                  <w:u w:val="single"/>
                </w:rPr>
                <w:t>.</w:t>
              </w:r>
              <w:r>
                <w:rPr>
                  <w:color w:val="0000FF"/>
                  <w:spacing w:val="1"/>
                  <w:u w:val="single"/>
                </w:rPr>
                <w:t>c</w:t>
              </w:r>
              <w:r>
                <w:rPr>
                  <w:color w:val="0000FF"/>
                  <w:u w:val="single"/>
                </w:rPr>
                <w:t>o</w:t>
              </w:r>
              <w:r>
                <w:rPr>
                  <w:color w:val="0000FF"/>
                  <w:spacing w:val="-2"/>
                  <w:u w:val="single"/>
                </w:rPr>
                <w:t>m</w:t>
              </w:r>
              <w:r>
                <w:rPr>
                  <w:color w:val="0000FF"/>
                  <w:u w:val="single"/>
                </w:rPr>
                <w:t>/b</w:t>
              </w:r>
              <w:r>
                <w:rPr>
                  <w:color w:val="0000FF"/>
                  <w:spacing w:val="1"/>
                  <w:u w:val="single"/>
                </w:rPr>
                <w:t>l</w:t>
              </w:r>
              <w:r>
                <w:rPr>
                  <w:color w:val="0000FF"/>
                  <w:u w:val="single"/>
                </w:rPr>
                <w:t>ue</w:t>
              </w:r>
              <w:r>
                <w:rPr>
                  <w:color w:val="0000FF"/>
                  <w:spacing w:val="-3"/>
                  <w:u w:val="single"/>
                </w:rPr>
                <w:t>r</w:t>
              </w:r>
              <w:r>
                <w:rPr>
                  <w:color w:val="0000FF"/>
                  <w:u w:val="single"/>
                </w:rPr>
                <w:t>e</w:t>
              </w:r>
              <w:r>
                <w:rPr>
                  <w:color w:val="0000FF"/>
                  <w:spacing w:val="1"/>
                  <w:u w:val="single"/>
                </w:rPr>
                <w:t>s</w:t>
              </w:r>
              <w:r>
                <w:rPr>
                  <w:color w:val="0000FF"/>
                  <w:spacing w:val="-2"/>
                  <w:u w:val="single"/>
                </w:rPr>
                <w:t>o</w:t>
              </w:r>
              <w:r>
                <w:rPr>
                  <w:color w:val="0000FF"/>
                  <w:u w:val="single"/>
                </w:rPr>
                <w:t>ur</w:t>
              </w:r>
              <w:r>
                <w:rPr>
                  <w:color w:val="0000FF"/>
                  <w:spacing w:val="1"/>
                  <w:u w:val="single"/>
                </w:rPr>
                <w:t>c</w:t>
              </w:r>
              <w:r>
                <w:rPr>
                  <w:color w:val="0000FF"/>
                  <w:u w:val="single"/>
                </w:rPr>
                <w:t>e</w:t>
              </w:r>
              <w:r>
                <w:rPr>
                  <w:color w:val="0000FF"/>
                  <w:spacing w:val="1"/>
                  <w:u w:val="single"/>
                </w:rPr>
                <w:t>s</w:t>
              </w:r>
              <w:r>
                <w:rPr>
                  <w:color w:val="0000FF"/>
                  <w:u w:val="single"/>
                </w:rPr>
                <w:t>/</w:t>
              </w:r>
              <w:r>
                <w:rPr>
                  <w:color w:val="0000FF"/>
                  <w:spacing w:val="-2"/>
                  <w:u w:val="single"/>
                </w:rPr>
                <w:t>t</w:t>
              </w:r>
              <w:r>
                <w:rPr>
                  <w:color w:val="0000FF"/>
                  <w:u w:val="single"/>
                </w:rPr>
                <w:t>e</w:t>
              </w:r>
              <w:r>
                <w:rPr>
                  <w:color w:val="0000FF"/>
                  <w:spacing w:val="1"/>
                  <w:u w:val="single"/>
                </w:rPr>
                <w:t>c</w:t>
              </w:r>
              <w:r>
                <w:rPr>
                  <w:color w:val="0000FF"/>
                  <w:u w:val="single"/>
                </w:rPr>
                <w:t>/</w:t>
              </w:r>
              <w:r>
                <w:rPr>
                  <w:color w:val="0000FF"/>
                </w:rPr>
                <w:t xml:space="preserve"> </w:t>
              </w:r>
            </w:hyperlink>
          </w:p>
        </w:tc>
      </w:tr>
    </w:tbl>
    <w:p w:rsidR="00786914" w:rsidRDefault="00786914" w:rsidP="0006743B"/>
    <w:p w:rsidR="00786914" w:rsidRPr="00611E0E" w:rsidRDefault="00786914" w:rsidP="0006743B">
      <w:pPr>
        <w:pStyle w:val="Normalbold"/>
      </w:pPr>
      <w:bookmarkStart w:id="401" w:name="_Toc323642310"/>
      <w:bookmarkStart w:id="402" w:name="_Toc327877934"/>
      <w:r w:rsidRPr="00611E0E">
        <w:t>Additional search terms – economic evaluations</w:t>
      </w:r>
      <w:bookmarkEnd w:id="401"/>
      <w:bookmarkEnd w:id="4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0"/>
        <w:gridCol w:w="1337"/>
      </w:tblGrid>
      <w:tr w:rsidR="00786914" w:rsidRPr="00015A20" w:rsidTr="0006743B">
        <w:trPr>
          <w:tblHeader/>
        </w:trPr>
        <w:tc>
          <w:tcPr>
            <w:tcW w:w="2235" w:type="dxa"/>
          </w:tcPr>
          <w:p w:rsidR="00786914" w:rsidRPr="008072C7" w:rsidRDefault="00786914" w:rsidP="0006743B">
            <w:pPr>
              <w:pStyle w:val="Tableheading"/>
            </w:pPr>
            <w:r>
              <w:lastRenderedPageBreak/>
              <w:t>Searches were performed on 13 November 2011.</w:t>
            </w:r>
            <w:bookmarkStart w:id="403" w:name="_Ref170808567"/>
            <w:bookmarkStart w:id="404" w:name="_Toc460813781"/>
            <w:bookmarkStart w:id="405" w:name="_Ref170792604"/>
          </w:p>
        </w:tc>
        <w:tc>
          <w:tcPr>
            <w:tcW w:w="5670" w:type="dxa"/>
          </w:tcPr>
          <w:p w:rsidR="00786914" w:rsidRPr="00834C92" w:rsidRDefault="00786914" w:rsidP="0006743B">
            <w:pPr>
              <w:pStyle w:val="Tableheading"/>
            </w:pPr>
            <w:r w:rsidRPr="00834C92">
              <w:t>Embase searches</w:t>
            </w:r>
          </w:p>
        </w:tc>
        <w:tc>
          <w:tcPr>
            <w:tcW w:w="1337" w:type="dxa"/>
          </w:tcPr>
          <w:p w:rsidR="00786914" w:rsidRPr="00015A20" w:rsidRDefault="00786914" w:rsidP="0006743B">
            <w:pPr>
              <w:pStyle w:val="Tableheading"/>
            </w:pPr>
            <w:r>
              <w:t>Results</w:t>
            </w:r>
          </w:p>
        </w:tc>
      </w:tr>
      <w:tr w:rsidR="00786914" w:rsidRPr="008072C7" w:rsidTr="0006743B">
        <w:trPr>
          <w:trHeight w:val="463"/>
        </w:trPr>
        <w:tc>
          <w:tcPr>
            <w:tcW w:w="2235" w:type="dxa"/>
          </w:tcPr>
          <w:p w:rsidR="00786914" w:rsidRPr="00D62B55" w:rsidRDefault="00786914" w:rsidP="0006743B">
            <w:pPr>
              <w:pStyle w:val="TableText"/>
              <w:rPr>
                <w:sz w:val="20"/>
              </w:rPr>
            </w:pPr>
            <w:r w:rsidRPr="00D62B55">
              <w:rPr>
                <w:sz w:val="20"/>
              </w:rPr>
              <w:t>#economicspl-2 (#42)</w:t>
            </w:r>
          </w:p>
        </w:tc>
        <w:tc>
          <w:tcPr>
            <w:tcW w:w="5670" w:type="dxa"/>
          </w:tcPr>
          <w:p w:rsidR="00786914" w:rsidRPr="00D62B55" w:rsidRDefault="00786914" w:rsidP="0006743B">
            <w:pPr>
              <w:pStyle w:val="TableText"/>
              <w:rPr>
                <w:sz w:val="20"/>
              </w:rPr>
            </w:pPr>
            <w:r w:rsidRPr="00D62B55">
              <w:rPr>
                <w:sz w:val="20"/>
              </w:rPr>
              <w:t>#42.41 AND [2006-2012]/py</w:t>
            </w:r>
          </w:p>
        </w:tc>
        <w:tc>
          <w:tcPr>
            <w:tcW w:w="1337" w:type="dxa"/>
          </w:tcPr>
          <w:p w:rsidR="00786914" w:rsidRPr="00D62B55" w:rsidRDefault="00786914" w:rsidP="0006743B">
            <w:pPr>
              <w:pStyle w:val="TableText"/>
              <w:rPr>
                <w:sz w:val="20"/>
              </w:rPr>
            </w:pPr>
            <w:r w:rsidRPr="00D62B55">
              <w:rPr>
                <w:sz w:val="20"/>
              </w:rPr>
              <w:t>129</w:t>
            </w:r>
          </w:p>
        </w:tc>
      </w:tr>
      <w:tr w:rsidR="00786914" w:rsidRPr="008072C7" w:rsidTr="0006743B">
        <w:tc>
          <w:tcPr>
            <w:tcW w:w="2235" w:type="dxa"/>
          </w:tcPr>
          <w:p w:rsidR="00786914" w:rsidRPr="00D62B55" w:rsidRDefault="00786914" w:rsidP="0006743B">
            <w:pPr>
              <w:pStyle w:val="TableText"/>
              <w:rPr>
                <w:sz w:val="20"/>
              </w:rPr>
            </w:pPr>
            <w:r w:rsidRPr="00D62B55">
              <w:rPr>
                <w:sz w:val="20"/>
              </w:rPr>
              <w:t>#economicspl-1 (#41)</w:t>
            </w:r>
          </w:p>
        </w:tc>
        <w:tc>
          <w:tcPr>
            <w:tcW w:w="5670" w:type="dxa"/>
          </w:tcPr>
          <w:p w:rsidR="00786914" w:rsidRPr="00D62B55" w:rsidRDefault="00786914" w:rsidP="0006743B">
            <w:pPr>
              <w:pStyle w:val="TableText"/>
              <w:rPr>
                <w:sz w:val="20"/>
              </w:rPr>
            </w:pPr>
            <w:r w:rsidRPr="00D62B55">
              <w:rPr>
                <w:sz w:val="20"/>
              </w:rPr>
              <w:t>#41.26 AND #41.40</w:t>
            </w:r>
          </w:p>
        </w:tc>
        <w:tc>
          <w:tcPr>
            <w:tcW w:w="1337" w:type="dxa"/>
          </w:tcPr>
          <w:p w:rsidR="00786914" w:rsidRPr="00D62B55" w:rsidRDefault="00786914" w:rsidP="0006743B">
            <w:pPr>
              <w:pStyle w:val="TableText"/>
              <w:rPr>
                <w:sz w:val="20"/>
              </w:rPr>
            </w:pPr>
            <w:r w:rsidRPr="00D62B55">
              <w:rPr>
                <w:sz w:val="20"/>
              </w:rPr>
              <w:t>229</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#psectionandlsection-14 (#40)</w:t>
            </w:r>
          </w:p>
        </w:tc>
        <w:tc>
          <w:tcPr>
            <w:tcW w:w="5670" w:type="dxa"/>
          </w:tcPr>
          <w:p w:rsidR="00786914" w:rsidRPr="00D62B55" w:rsidRDefault="00786914" w:rsidP="0006743B">
            <w:pPr>
              <w:pStyle w:val="TableText"/>
              <w:rPr>
                <w:sz w:val="20"/>
              </w:rPr>
            </w:pPr>
            <w:r w:rsidRPr="00D62B55">
              <w:rPr>
                <w:sz w:val="20"/>
              </w:rPr>
              <w:t>#40.7 AND #40.13</w:t>
            </w:r>
          </w:p>
        </w:tc>
        <w:tc>
          <w:tcPr>
            <w:tcW w:w="1337" w:type="dxa"/>
          </w:tcPr>
          <w:p w:rsidR="00786914" w:rsidRPr="00D62B55" w:rsidRDefault="00786914" w:rsidP="0006743B">
            <w:pPr>
              <w:pStyle w:val="TableText"/>
              <w:rPr>
                <w:sz w:val="20"/>
              </w:rPr>
            </w:pPr>
            <w:r w:rsidRPr="00D62B55">
              <w:rPr>
                <w:sz w:val="20"/>
              </w:rPr>
              <w:t>880</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#psectionandlsection-13 (#39)</w:t>
            </w:r>
          </w:p>
        </w:tc>
        <w:tc>
          <w:tcPr>
            <w:tcW w:w="5670" w:type="dxa"/>
          </w:tcPr>
          <w:p w:rsidR="00786914" w:rsidRPr="00D62B55" w:rsidRDefault="00786914" w:rsidP="0006743B">
            <w:pPr>
              <w:pStyle w:val="TableText"/>
              <w:rPr>
                <w:sz w:val="20"/>
              </w:rPr>
            </w:pPr>
            <w:r w:rsidRPr="00D62B55">
              <w:rPr>
                <w:sz w:val="20"/>
              </w:rPr>
              <w:t>#39.1 OR #39.2 OR #39.3 OR #39.4 OR #39.5</w:t>
            </w:r>
          </w:p>
        </w:tc>
        <w:tc>
          <w:tcPr>
            <w:tcW w:w="1337" w:type="dxa"/>
          </w:tcPr>
          <w:p w:rsidR="00786914" w:rsidRPr="00D62B55" w:rsidRDefault="00786914" w:rsidP="0006743B">
            <w:pPr>
              <w:pStyle w:val="TableText"/>
              <w:rPr>
                <w:sz w:val="20"/>
              </w:rPr>
            </w:pPr>
            <w:r w:rsidRPr="00D62B55">
              <w:rPr>
                <w:sz w:val="20"/>
              </w:rPr>
              <w:t>15,992</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#psectionandlsection-12 (#38)</w:t>
            </w:r>
          </w:p>
        </w:tc>
        <w:tc>
          <w:tcPr>
            <w:tcW w:w="5670" w:type="dxa"/>
          </w:tcPr>
          <w:p w:rsidR="00786914" w:rsidRPr="00D62B55" w:rsidRDefault="00786914" w:rsidP="0006743B">
            <w:pPr>
              <w:pStyle w:val="TableText"/>
              <w:rPr>
                <w:sz w:val="20"/>
              </w:rPr>
            </w:pPr>
            <w:r w:rsidRPr="00D62B55">
              <w:rPr>
                <w:sz w:val="20"/>
              </w:rPr>
              <w:t>holep:ab,ti</w:t>
            </w:r>
          </w:p>
        </w:tc>
        <w:tc>
          <w:tcPr>
            <w:tcW w:w="1337" w:type="dxa"/>
          </w:tcPr>
          <w:p w:rsidR="00786914" w:rsidRPr="00D62B55" w:rsidRDefault="00786914" w:rsidP="0006743B">
            <w:pPr>
              <w:pStyle w:val="TableText"/>
              <w:rPr>
                <w:sz w:val="20"/>
              </w:rPr>
            </w:pPr>
            <w:r w:rsidRPr="00D62B55">
              <w:rPr>
                <w:sz w:val="20"/>
              </w:rPr>
              <w:t>232</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#psectionandlsection-11 (#37)</w:t>
            </w:r>
          </w:p>
        </w:tc>
        <w:tc>
          <w:tcPr>
            <w:tcW w:w="5670" w:type="dxa"/>
          </w:tcPr>
          <w:p w:rsidR="00786914" w:rsidRPr="00D62B55" w:rsidRDefault="00786914" w:rsidP="0006743B">
            <w:pPr>
              <w:pStyle w:val="TableText"/>
              <w:rPr>
                <w:sz w:val="20"/>
              </w:rPr>
            </w:pPr>
            <w:r w:rsidRPr="00D62B55">
              <w:rPr>
                <w:sz w:val="20"/>
              </w:rPr>
              <w:t>(laser NEAR/3 (enucleat* OR prostatect* OR resect* OR ablat*)):ab,ti</w:t>
            </w:r>
          </w:p>
        </w:tc>
        <w:tc>
          <w:tcPr>
            <w:tcW w:w="1337" w:type="dxa"/>
          </w:tcPr>
          <w:p w:rsidR="00786914" w:rsidRPr="00D62B55" w:rsidRDefault="00786914" w:rsidP="0006743B">
            <w:pPr>
              <w:pStyle w:val="TableText"/>
              <w:rPr>
                <w:sz w:val="20"/>
              </w:rPr>
            </w:pPr>
            <w:r w:rsidRPr="00D62B55">
              <w:rPr>
                <w:sz w:val="20"/>
              </w:rPr>
              <w:t>6,466</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#psectionandlsection-10 (#36)</w:t>
            </w:r>
          </w:p>
        </w:tc>
        <w:tc>
          <w:tcPr>
            <w:tcW w:w="5670" w:type="dxa"/>
          </w:tcPr>
          <w:p w:rsidR="00786914" w:rsidRPr="00D62B55" w:rsidRDefault="00786914" w:rsidP="0006743B">
            <w:pPr>
              <w:pStyle w:val="TableText"/>
              <w:rPr>
                <w:sz w:val="20"/>
              </w:rPr>
            </w:pPr>
            <w:r w:rsidRPr="00D62B55">
              <w:rPr>
                <w:sz w:val="20"/>
              </w:rPr>
              <w:t>'yag laser':ab,ti</w:t>
            </w:r>
          </w:p>
        </w:tc>
        <w:tc>
          <w:tcPr>
            <w:tcW w:w="1337" w:type="dxa"/>
          </w:tcPr>
          <w:p w:rsidR="00786914" w:rsidRPr="00D62B55" w:rsidRDefault="00786914" w:rsidP="0006743B">
            <w:pPr>
              <w:pStyle w:val="TableText"/>
              <w:rPr>
                <w:sz w:val="20"/>
              </w:rPr>
            </w:pPr>
            <w:r w:rsidRPr="00D62B55">
              <w:rPr>
                <w:sz w:val="20"/>
              </w:rPr>
              <w:t>9,571</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#psectionandlsection-9 (#35)</w:t>
            </w:r>
          </w:p>
        </w:tc>
        <w:tc>
          <w:tcPr>
            <w:tcW w:w="5670" w:type="dxa"/>
          </w:tcPr>
          <w:p w:rsidR="00786914" w:rsidRPr="00D62B55" w:rsidRDefault="00786914" w:rsidP="0006743B">
            <w:pPr>
              <w:pStyle w:val="TableText"/>
              <w:rPr>
                <w:sz w:val="20"/>
              </w:rPr>
            </w:pPr>
            <w:r w:rsidRPr="00D62B55">
              <w:rPr>
                <w:sz w:val="20"/>
              </w:rPr>
              <w:t>'holmium laser':ab,ti</w:t>
            </w:r>
          </w:p>
        </w:tc>
        <w:tc>
          <w:tcPr>
            <w:tcW w:w="1337" w:type="dxa"/>
          </w:tcPr>
          <w:p w:rsidR="00786914" w:rsidRPr="00D62B55" w:rsidRDefault="00786914" w:rsidP="0006743B">
            <w:pPr>
              <w:pStyle w:val="TableText"/>
              <w:rPr>
                <w:sz w:val="20"/>
              </w:rPr>
            </w:pPr>
            <w:r w:rsidRPr="00D62B55">
              <w:rPr>
                <w:sz w:val="20"/>
              </w:rPr>
              <w:t>1,038</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#psectionandlsection-8 (#34)</w:t>
            </w:r>
          </w:p>
        </w:tc>
        <w:tc>
          <w:tcPr>
            <w:tcW w:w="5670" w:type="dxa"/>
          </w:tcPr>
          <w:p w:rsidR="00786914" w:rsidRPr="00D62B55" w:rsidRDefault="00786914" w:rsidP="0006743B">
            <w:pPr>
              <w:pStyle w:val="TableText"/>
              <w:rPr>
                <w:sz w:val="20"/>
              </w:rPr>
            </w:pPr>
            <w:r w:rsidRPr="00D62B55">
              <w:rPr>
                <w:sz w:val="20"/>
              </w:rPr>
              <w:t>'holmium'/exp OR holmium AND laser:ab,ti</w:t>
            </w:r>
          </w:p>
        </w:tc>
        <w:tc>
          <w:tcPr>
            <w:tcW w:w="1337" w:type="dxa"/>
          </w:tcPr>
          <w:p w:rsidR="00786914" w:rsidRPr="00D62B55" w:rsidRDefault="00786914" w:rsidP="0006743B">
            <w:pPr>
              <w:pStyle w:val="TableText"/>
              <w:rPr>
                <w:sz w:val="20"/>
              </w:rPr>
            </w:pPr>
            <w:r w:rsidRPr="00D62B55">
              <w:rPr>
                <w:sz w:val="20"/>
              </w:rPr>
              <w:t>2,191</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#psectionandlsection-7 (#33)</w:t>
            </w:r>
          </w:p>
        </w:tc>
        <w:tc>
          <w:tcPr>
            <w:tcW w:w="5670" w:type="dxa"/>
          </w:tcPr>
          <w:p w:rsidR="00786914" w:rsidRPr="00D62B55" w:rsidRDefault="00786914" w:rsidP="0006743B">
            <w:pPr>
              <w:pStyle w:val="TableText"/>
              <w:rPr>
                <w:sz w:val="20"/>
              </w:rPr>
            </w:pPr>
            <w:r w:rsidRPr="00D62B55">
              <w:rPr>
                <w:sz w:val="20"/>
              </w:rPr>
              <w:t>#33.1 OR #33.2 OR #33.3 OR #33.4 OR #33.5 OR #33.6</w:t>
            </w:r>
          </w:p>
        </w:tc>
        <w:tc>
          <w:tcPr>
            <w:tcW w:w="1337" w:type="dxa"/>
          </w:tcPr>
          <w:p w:rsidR="00786914" w:rsidRPr="00D62B55" w:rsidRDefault="00786914" w:rsidP="0006743B">
            <w:pPr>
              <w:pStyle w:val="TableText"/>
              <w:rPr>
                <w:sz w:val="20"/>
              </w:rPr>
            </w:pPr>
            <w:r w:rsidRPr="00D62B55">
              <w:rPr>
                <w:sz w:val="20"/>
              </w:rPr>
              <w:t>29,781</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#psectionandlsection-6 (#32)</w:t>
            </w:r>
          </w:p>
        </w:tc>
        <w:tc>
          <w:tcPr>
            <w:tcW w:w="5670" w:type="dxa"/>
          </w:tcPr>
          <w:p w:rsidR="00786914" w:rsidRPr="00D62B55" w:rsidRDefault="00786914" w:rsidP="0006743B">
            <w:pPr>
              <w:pStyle w:val="TableText"/>
              <w:rPr>
                <w:sz w:val="20"/>
              </w:rPr>
            </w:pPr>
            <w:r w:rsidRPr="00D62B55">
              <w:rPr>
                <w:sz w:val="20"/>
              </w:rPr>
              <w:t>benign:ab,ti AND (prostat* NEXT/3 (enlarge* OR obstruct* OR disease)):ab,ti</w:t>
            </w:r>
          </w:p>
        </w:tc>
        <w:tc>
          <w:tcPr>
            <w:tcW w:w="1337" w:type="dxa"/>
          </w:tcPr>
          <w:p w:rsidR="00786914" w:rsidRPr="00D62B55" w:rsidRDefault="00786914" w:rsidP="0006743B">
            <w:pPr>
              <w:pStyle w:val="TableText"/>
              <w:rPr>
                <w:sz w:val="20"/>
              </w:rPr>
            </w:pPr>
            <w:r w:rsidRPr="00D62B55">
              <w:rPr>
                <w:sz w:val="20"/>
              </w:rPr>
              <w:t>1,729</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#psectionandlsection-5 (#31)</w:t>
            </w:r>
          </w:p>
        </w:tc>
        <w:tc>
          <w:tcPr>
            <w:tcW w:w="5670" w:type="dxa"/>
          </w:tcPr>
          <w:p w:rsidR="00786914" w:rsidRPr="00D62B55" w:rsidRDefault="00786914" w:rsidP="0006743B">
            <w:pPr>
              <w:pStyle w:val="TableText"/>
              <w:rPr>
                <w:sz w:val="20"/>
              </w:rPr>
            </w:pPr>
            <w:r w:rsidRPr="00D62B55">
              <w:rPr>
                <w:sz w:val="20"/>
              </w:rPr>
              <w:t>(prostat* NEXT/3 hyper*):ab,ti</w:t>
            </w:r>
          </w:p>
        </w:tc>
        <w:tc>
          <w:tcPr>
            <w:tcW w:w="1337" w:type="dxa"/>
          </w:tcPr>
          <w:p w:rsidR="00786914" w:rsidRPr="00D62B55" w:rsidRDefault="00786914" w:rsidP="0006743B">
            <w:pPr>
              <w:pStyle w:val="TableText"/>
              <w:rPr>
                <w:sz w:val="20"/>
              </w:rPr>
            </w:pPr>
            <w:r w:rsidRPr="00D62B55">
              <w:rPr>
                <w:sz w:val="20"/>
              </w:rPr>
              <w:t>16,182</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#psectionandlsection-4 (#30)</w:t>
            </w:r>
          </w:p>
        </w:tc>
        <w:tc>
          <w:tcPr>
            <w:tcW w:w="5670" w:type="dxa"/>
          </w:tcPr>
          <w:p w:rsidR="00786914" w:rsidRPr="00D62B55" w:rsidRDefault="00786914" w:rsidP="0006743B">
            <w:pPr>
              <w:pStyle w:val="TableText"/>
              <w:rPr>
                <w:sz w:val="20"/>
              </w:rPr>
            </w:pPr>
            <w:r w:rsidRPr="00D62B55">
              <w:rPr>
                <w:sz w:val="20"/>
              </w:rPr>
              <w:t>bpe:ab,ti</w:t>
            </w:r>
          </w:p>
        </w:tc>
        <w:tc>
          <w:tcPr>
            <w:tcW w:w="1337" w:type="dxa"/>
          </w:tcPr>
          <w:p w:rsidR="00786914" w:rsidRPr="00D62B55" w:rsidRDefault="00786914" w:rsidP="0006743B">
            <w:pPr>
              <w:pStyle w:val="TableText"/>
              <w:rPr>
                <w:sz w:val="20"/>
              </w:rPr>
            </w:pPr>
            <w:r w:rsidRPr="00D62B55">
              <w:rPr>
                <w:sz w:val="20"/>
              </w:rPr>
              <w:t>430</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#psectionandlsection-3 (#29)</w:t>
            </w:r>
          </w:p>
        </w:tc>
        <w:tc>
          <w:tcPr>
            <w:tcW w:w="5670" w:type="dxa"/>
          </w:tcPr>
          <w:p w:rsidR="00786914" w:rsidRPr="00D62B55" w:rsidRDefault="00786914" w:rsidP="0006743B">
            <w:pPr>
              <w:pStyle w:val="TableText"/>
              <w:rPr>
                <w:sz w:val="20"/>
              </w:rPr>
            </w:pPr>
            <w:r w:rsidRPr="00D62B55">
              <w:rPr>
                <w:sz w:val="20"/>
              </w:rPr>
              <w:t>bpo:ab,ti</w:t>
            </w:r>
          </w:p>
        </w:tc>
        <w:tc>
          <w:tcPr>
            <w:tcW w:w="1337" w:type="dxa"/>
          </w:tcPr>
          <w:p w:rsidR="00786914" w:rsidRPr="00D62B55" w:rsidRDefault="00786914" w:rsidP="0006743B">
            <w:pPr>
              <w:pStyle w:val="TableText"/>
              <w:rPr>
                <w:sz w:val="20"/>
              </w:rPr>
            </w:pPr>
            <w:r w:rsidRPr="00D62B55">
              <w:rPr>
                <w:sz w:val="20"/>
              </w:rPr>
              <w:t>710</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#psectionandlsection-2 (#28)</w:t>
            </w:r>
          </w:p>
        </w:tc>
        <w:tc>
          <w:tcPr>
            <w:tcW w:w="5670" w:type="dxa"/>
          </w:tcPr>
          <w:p w:rsidR="00786914" w:rsidRPr="00D62B55" w:rsidRDefault="00786914" w:rsidP="0006743B">
            <w:pPr>
              <w:pStyle w:val="TableText"/>
              <w:rPr>
                <w:sz w:val="20"/>
              </w:rPr>
            </w:pPr>
            <w:r w:rsidRPr="00D62B55">
              <w:rPr>
                <w:sz w:val="20"/>
              </w:rPr>
              <w:t>bph:ab,ti</w:t>
            </w:r>
          </w:p>
        </w:tc>
        <w:tc>
          <w:tcPr>
            <w:tcW w:w="1337" w:type="dxa"/>
          </w:tcPr>
          <w:p w:rsidR="00786914" w:rsidRPr="00D62B55" w:rsidRDefault="00786914" w:rsidP="0006743B">
            <w:pPr>
              <w:pStyle w:val="TableText"/>
              <w:rPr>
                <w:sz w:val="20"/>
              </w:rPr>
            </w:pPr>
            <w:r w:rsidRPr="00D62B55">
              <w:rPr>
                <w:sz w:val="20"/>
              </w:rPr>
              <w:t>9,411</w:t>
            </w:r>
          </w:p>
        </w:tc>
      </w:tr>
      <w:tr w:rsidR="00786914" w:rsidRPr="008072C7" w:rsidTr="0006743B">
        <w:tc>
          <w:tcPr>
            <w:tcW w:w="2235" w:type="dxa"/>
          </w:tcPr>
          <w:p w:rsidR="00786914" w:rsidRPr="00D62B55" w:rsidRDefault="00786914" w:rsidP="0006743B">
            <w:pPr>
              <w:pStyle w:val="TableText"/>
              <w:rPr>
                <w:sz w:val="20"/>
              </w:rPr>
            </w:pPr>
            <w:r w:rsidRPr="00D62B55">
              <w:rPr>
                <w:sz w:val="20"/>
              </w:rPr>
              <w:t>#psectionandlsection-1 (#27)</w:t>
            </w:r>
          </w:p>
        </w:tc>
        <w:tc>
          <w:tcPr>
            <w:tcW w:w="5670" w:type="dxa"/>
          </w:tcPr>
          <w:p w:rsidR="00786914" w:rsidRPr="00D62B55" w:rsidRDefault="00786914" w:rsidP="0006743B">
            <w:pPr>
              <w:pStyle w:val="TableText"/>
              <w:rPr>
                <w:sz w:val="20"/>
              </w:rPr>
            </w:pPr>
            <w:r w:rsidRPr="00D62B55">
              <w:rPr>
                <w:sz w:val="20"/>
              </w:rPr>
              <w:t>'prostate hypertrophy'/exp OR 'prostate hypertrophy'</w:t>
            </w:r>
          </w:p>
        </w:tc>
        <w:tc>
          <w:tcPr>
            <w:tcW w:w="1337" w:type="dxa"/>
          </w:tcPr>
          <w:p w:rsidR="00786914" w:rsidRPr="00D62B55" w:rsidRDefault="00786914" w:rsidP="0006743B">
            <w:pPr>
              <w:pStyle w:val="TableText"/>
              <w:rPr>
                <w:sz w:val="20"/>
              </w:rPr>
            </w:pPr>
            <w:r w:rsidRPr="00D62B55">
              <w:rPr>
                <w:sz w:val="20"/>
              </w:rPr>
              <w:t>24,615</w:t>
            </w:r>
          </w:p>
        </w:tc>
      </w:tr>
    </w:tbl>
    <w:p w:rsidR="0007070C" w:rsidRDefault="000707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
        <w:gridCol w:w="5647"/>
        <w:gridCol w:w="1337"/>
      </w:tblGrid>
      <w:tr w:rsidR="00786914" w:rsidRPr="008072C7" w:rsidTr="0006743B">
        <w:tc>
          <w:tcPr>
            <w:tcW w:w="2235" w:type="dxa"/>
          </w:tcPr>
          <w:p w:rsidR="00786914" w:rsidRPr="00D62B55" w:rsidRDefault="00786914" w:rsidP="0006743B">
            <w:pPr>
              <w:pStyle w:val="TableText"/>
              <w:rPr>
                <w:sz w:val="20"/>
              </w:rPr>
            </w:pPr>
            <w:r w:rsidRPr="00D62B55">
              <w:rPr>
                <w:sz w:val="20"/>
              </w:rPr>
              <w:lastRenderedPageBreak/>
              <w:t>#healtheconomicsfilter-26 (#26)</w:t>
            </w:r>
          </w:p>
        </w:tc>
        <w:tc>
          <w:tcPr>
            <w:tcW w:w="5670" w:type="dxa"/>
            <w:gridSpan w:val="2"/>
          </w:tcPr>
          <w:p w:rsidR="00786914" w:rsidRPr="00D62B55" w:rsidRDefault="00786914" w:rsidP="0006743B">
            <w:pPr>
              <w:pStyle w:val="TableText"/>
              <w:rPr>
                <w:sz w:val="20"/>
              </w:rPr>
            </w:pPr>
            <w:r w:rsidRPr="00D62B55">
              <w:rPr>
                <w:sz w:val="20"/>
              </w:rPr>
              <w:t>#26.1 OR #26.2 OR #26.3 OR #26.4 OR #26.5 OR #26.6 OR #26.7 OR #26.8 OR #26.9 OR #26.10 OR #26.11 OR #26.12 OR #26.13 OR#26.14 OR #26.15 OR #26.16 OR #26.17 OR #26.18 OR #26.19 OR #26.20 OR #26.21 OR #26.22 OR #26.23 OR #26.24 OR #26.25</w:t>
            </w:r>
          </w:p>
        </w:tc>
        <w:tc>
          <w:tcPr>
            <w:tcW w:w="1337" w:type="dxa"/>
          </w:tcPr>
          <w:p w:rsidR="00786914" w:rsidRPr="00D62B55" w:rsidRDefault="00786914" w:rsidP="0006743B">
            <w:pPr>
              <w:pStyle w:val="TableText"/>
              <w:rPr>
                <w:sz w:val="20"/>
              </w:rPr>
            </w:pPr>
            <w:r w:rsidRPr="00D62B55">
              <w:rPr>
                <w:sz w:val="20"/>
              </w:rPr>
              <w:t>1,547,543</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#healtheconomicsfilter-25 (#25)</w:t>
            </w:r>
          </w:p>
        </w:tc>
        <w:tc>
          <w:tcPr>
            <w:tcW w:w="5670" w:type="dxa"/>
            <w:gridSpan w:val="2"/>
          </w:tcPr>
          <w:p w:rsidR="00786914" w:rsidRPr="00D62B55" w:rsidRDefault="00786914" w:rsidP="0006743B">
            <w:pPr>
              <w:pStyle w:val="TableText"/>
              <w:rPr>
                <w:sz w:val="20"/>
              </w:rPr>
            </w:pPr>
            <w:r w:rsidRPr="00D62B55">
              <w:rPr>
                <w:sz w:val="20"/>
              </w:rPr>
              <w:t>managed NEXT/2 (care OR network?)</w:t>
            </w:r>
          </w:p>
        </w:tc>
        <w:tc>
          <w:tcPr>
            <w:tcW w:w="1337" w:type="dxa"/>
          </w:tcPr>
          <w:p w:rsidR="00786914" w:rsidRPr="00D62B55" w:rsidRDefault="00786914" w:rsidP="0006743B">
            <w:pPr>
              <w:pStyle w:val="TableText"/>
              <w:rPr>
                <w:sz w:val="20"/>
              </w:rPr>
            </w:pPr>
            <w:r w:rsidRPr="00D62B55">
              <w:rPr>
                <w:sz w:val="20"/>
              </w:rPr>
              <w:t>42,634</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#healtheconomicsfilter-24 (#24)</w:t>
            </w:r>
          </w:p>
        </w:tc>
        <w:tc>
          <w:tcPr>
            <w:tcW w:w="5670" w:type="dxa"/>
            <w:gridSpan w:val="2"/>
          </w:tcPr>
          <w:p w:rsidR="00786914" w:rsidRPr="00D62B55" w:rsidRDefault="00786914" w:rsidP="0006743B">
            <w:pPr>
              <w:pStyle w:val="TableText"/>
              <w:rPr>
                <w:sz w:val="20"/>
              </w:rPr>
            </w:pPr>
            <w:r w:rsidRPr="00D62B55">
              <w:rPr>
                <w:sz w:val="20"/>
              </w:rPr>
              <w:t>(clinical OR critical OR patient) NEXT/1 (path? OR pathway?)</w:t>
            </w:r>
          </w:p>
        </w:tc>
        <w:tc>
          <w:tcPr>
            <w:tcW w:w="1337" w:type="dxa"/>
          </w:tcPr>
          <w:p w:rsidR="00786914" w:rsidRPr="00D62B55" w:rsidRDefault="00786914" w:rsidP="0006743B">
            <w:pPr>
              <w:pStyle w:val="TableText"/>
              <w:rPr>
                <w:sz w:val="20"/>
              </w:rPr>
            </w:pPr>
            <w:r w:rsidRPr="00D62B55">
              <w:rPr>
                <w:sz w:val="20"/>
              </w:rPr>
              <w:t>102,251</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#healtheconomicsfilter-23 (#23)</w:t>
            </w:r>
          </w:p>
        </w:tc>
        <w:tc>
          <w:tcPr>
            <w:tcW w:w="5670" w:type="dxa"/>
            <w:gridSpan w:val="2"/>
          </w:tcPr>
          <w:p w:rsidR="00786914" w:rsidRPr="00D62B55" w:rsidRDefault="00786914" w:rsidP="0006743B">
            <w:pPr>
              <w:pStyle w:val="TableText"/>
              <w:rPr>
                <w:sz w:val="20"/>
              </w:rPr>
            </w:pPr>
            <w:r w:rsidRPr="00D62B55">
              <w:rPr>
                <w:sz w:val="20"/>
              </w:rPr>
              <w:t>decision NEXT/2 (tree$ OR analys$ OR model$)</w:t>
            </w:r>
          </w:p>
        </w:tc>
        <w:tc>
          <w:tcPr>
            <w:tcW w:w="1337" w:type="dxa"/>
          </w:tcPr>
          <w:p w:rsidR="00786914" w:rsidRPr="00D62B55" w:rsidRDefault="00786914" w:rsidP="0006743B">
            <w:pPr>
              <w:pStyle w:val="TableText"/>
              <w:rPr>
                <w:sz w:val="20"/>
              </w:rPr>
            </w:pPr>
            <w:r w:rsidRPr="00D62B55">
              <w:rPr>
                <w:sz w:val="20"/>
              </w:rPr>
              <w:t>9,339</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#healtheconomicsfilter-22 (#22)</w:t>
            </w:r>
          </w:p>
        </w:tc>
        <w:tc>
          <w:tcPr>
            <w:tcW w:w="5670" w:type="dxa"/>
            <w:gridSpan w:val="2"/>
          </w:tcPr>
          <w:p w:rsidR="00786914" w:rsidRPr="00D62B55" w:rsidRDefault="00786914" w:rsidP="0006743B">
            <w:pPr>
              <w:pStyle w:val="TableText"/>
              <w:rPr>
                <w:sz w:val="20"/>
              </w:rPr>
            </w:pPr>
            <w:r w:rsidRPr="00D62B55">
              <w:rPr>
                <w:sz w:val="20"/>
              </w:rPr>
              <w:t>monte AND carlo</w:t>
            </w:r>
          </w:p>
        </w:tc>
        <w:tc>
          <w:tcPr>
            <w:tcW w:w="1337" w:type="dxa"/>
          </w:tcPr>
          <w:p w:rsidR="00786914" w:rsidRPr="00D62B55" w:rsidRDefault="00786914" w:rsidP="0006743B">
            <w:pPr>
              <w:pStyle w:val="TableText"/>
              <w:rPr>
                <w:sz w:val="20"/>
              </w:rPr>
            </w:pPr>
            <w:r w:rsidRPr="00D62B55">
              <w:rPr>
                <w:sz w:val="20"/>
              </w:rPr>
              <w:t>25,635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#healtheconomicsfilter-21 (#21)</w:t>
            </w:r>
          </w:p>
        </w:tc>
        <w:tc>
          <w:tcPr>
            <w:tcW w:w="5670" w:type="dxa"/>
            <w:gridSpan w:val="2"/>
          </w:tcPr>
          <w:p w:rsidR="00786914" w:rsidRPr="00D62B55" w:rsidRDefault="00786914" w:rsidP="0006743B">
            <w:pPr>
              <w:pStyle w:val="TableText"/>
              <w:rPr>
                <w:sz w:val="20"/>
              </w:rPr>
            </w:pPr>
            <w:r w:rsidRPr="00D62B55">
              <w:rPr>
                <w:sz w:val="20"/>
              </w:rPr>
              <w:t>markov$</w:t>
            </w:r>
          </w:p>
        </w:tc>
        <w:tc>
          <w:tcPr>
            <w:tcW w:w="1337" w:type="dxa"/>
          </w:tcPr>
          <w:p w:rsidR="00786914" w:rsidRPr="00D62B55" w:rsidRDefault="00786914" w:rsidP="0006743B">
            <w:pPr>
              <w:pStyle w:val="TableText"/>
              <w:rPr>
                <w:sz w:val="20"/>
              </w:rPr>
            </w:pPr>
            <w:r w:rsidRPr="00D62B55">
              <w:rPr>
                <w:sz w:val="20"/>
              </w:rPr>
              <w:t>12,873</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#healtheconomicsfilter-20 (#20)</w:t>
            </w:r>
          </w:p>
        </w:tc>
        <w:tc>
          <w:tcPr>
            <w:tcW w:w="5670" w:type="dxa"/>
            <w:gridSpan w:val="2"/>
          </w:tcPr>
          <w:p w:rsidR="00786914" w:rsidRPr="00D62B55" w:rsidRDefault="00786914" w:rsidP="0006743B">
            <w:pPr>
              <w:pStyle w:val="TableText"/>
              <w:rPr>
                <w:sz w:val="20"/>
              </w:rPr>
            </w:pPr>
            <w:r w:rsidRPr="00D62B55">
              <w:rPr>
                <w:sz w:val="20"/>
              </w:rPr>
              <w:t>utilit$</w:t>
            </w:r>
          </w:p>
        </w:tc>
        <w:tc>
          <w:tcPr>
            <w:tcW w:w="1337" w:type="dxa"/>
          </w:tcPr>
          <w:p w:rsidR="00786914" w:rsidRPr="00D62B55" w:rsidRDefault="00786914" w:rsidP="0006743B">
            <w:pPr>
              <w:pStyle w:val="TableText"/>
              <w:rPr>
                <w:sz w:val="20"/>
              </w:rPr>
            </w:pPr>
            <w:r w:rsidRPr="00D62B55">
              <w:rPr>
                <w:sz w:val="20"/>
              </w:rPr>
              <w:t>61</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#healtheconomicsfilter-19 (#19)</w:t>
            </w:r>
          </w:p>
        </w:tc>
        <w:tc>
          <w:tcPr>
            <w:tcW w:w="5670" w:type="dxa"/>
            <w:gridSpan w:val="2"/>
          </w:tcPr>
          <w:p w:rsidR="00786914" w:rsidRPr="00D62B55" w:rsidRDefault="00786914" w:rsidP="0006743B">
            <w:pPr>
              <w:pStyle w:val="TableText"/>
              <w:rPr>
                <w:sz w:val="20"/>
              </w:rPr>
            </w:pPr>
            <w:r w:rsidRPr="00D62B55">
              <w:rPr>
                <w:sz w:val="20"/>
              </w:rPr>
              <w:t>cua</w:t>
            </w:r>
          </w:p>
        </w:tc>
        <w:tc>
          <w:tcPr>
            <w:tcW w:w="1337" w:type="dxa"/>
          </w:tcPr>
          <w:p w:rsidR="00786914" w:rsidRPr="00D62B55" w:rsidRDefault="00786914" w:rsidP="0006743B">
            <w:pPr>
              <w:pStyle w:val="TableText"/>
              <w:rPr>
                <w:sz w:val="20"/>
              </w:rPr>
            </w:pPr>
            <w:r w:rsidRPr="00D62B55">
              <w:rPr>
                <w:sz w:val="20"/>
              </w:rPr>
              <w:t>1,299</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#healtheconomicsfilter-18 (#18)</w:t>
            </w:r>
          </w:p>
        </w:tc>
        <w:tc>
          <w:tcPr>
            <w:tcW w:w="5670" w:type="dxa"/>
            <w:gridSpan w:val="2"/>
          </w:tcPr>
          <w:p w:rsidR="00786914" w:rsidRPr="00D62B55" w:rsidRDefault="00786914" w:rsidP="0006743B">
            <w:pPr>
              <w:pStyle w:val="TableText"/>
              <w:rPr>
                <w:sz w:val="20"/>
              </w:rPr>
            </w:pPr>
            <w:r w:rsidRPr="00D62B55">
              <w:rPr>
                <w:sz w:val="20"/>
              </w:rPr>
              <w:t>'cea'</w:t>
            </w:r>
          </w:p>
        </w:tc>
        <w:tc>
          <w:tcPr>
            <w:tcW w:w="1337" w:type="dxa"/>
          </w:tcPr>
          <w:p w:rsidR="00786914" w:rsidRPr="00D62B55" w:rsidRDefault="00786914" w:rsidP="0006743B">
            <w:pPr>
              <w:pStyle w:val="TableText"/>
              <w:rPr>
                <w:sz w:val="20"/>
              </w:rPr>
            </w:pPr>
            <w:r w:rsidRPr="00D62B55">
              <w:rPr>
                <w:sz w:val="20"/>
              </w:rPr>
              <w:t>32,332</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#healtheconomicsfilter-17 (#17)</w:t>
            </w:r>
          </w:p>
        </w:tc>
        <w:tc>
          <w:tcPr>
            <w:tcW w:w="5670" w:type="dxa"/>
            <w:gridSpan w:val="2"/>
          </w:tcPr>
          <w:p w:rsidR="00786914" w:rsidRPr="00D62B55" w:rsidRDefault="00786914" w:rsidP="0006743B">
            <w:pPr>
              <w:pStyle w:val="TableText"/>
              <w:rPr>
                <w:sz w:val="20"/>
              </w:rPr>
            </w:pPr>
            <w:r w:rsidRPr="00D62B55">
              <w:rPr>
                <w:sz w:val="20"/>
              </w:rPr>
              <w:t>cba</w:t>
            </w:r>
          </w:p>
        </w:tc>
        <w:tc>
          <w:tcPr>
            <w:tcW w:w="1337" w:type="dxa"/>
          </w:tcPr>
          <w:p w:rsidR="00786914" w:rsidRPr="00D62B55" w:rsidRDefault="00786914" w:rsidP="0006743B">
            <w:pPr>
              <w:pStyle w:val="TableText"/>
              <w:rPr>
                <w:sz w:val="20"/>
              </w:rPr>
            </w:pPr>
            <w:r w:rsidRPr="00D62B55">
              <w:rPr>
                <w:sz w:val="20"/>
              </w:rPr>
              <w:t>14,755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#healtheconomicsfilter-16 (#16)</w:t>
            </w:r>
          </w:p>
        </w:tc>
        <w:tc>
          <w:tcPr>
            <w:tcW w:w="5670" w:type="dxa"/>
            <w:gridSpan w:val="2"/>
          </w:tcPr>
          <w:p w:rsidR="00786914" w:rsidRPr="00D62B55" w:rsidRDefault="00786914" w:rsidP="0006743B">
            <w:pPr>
              <w:pStyle w:val="TableText"/>
              <w:rPr>
                <w:sz w:val="20"/>
              </w:rPr>
            </w:pPr>
            <w:r w:rsidRPr="00D62B55">
              <w:rPr>
                <w:sz w:val="20"/>
              </w:rPr>
              <w:t>qaly$</w:t>
            </w:r>
          </w:p>
        </w:tc>
        <w:tc>
          <w:tcPr>
            <w:tcW w:w="1337" w:type="dxa"/>
          </w:tcPr>
          <w:p w:rsidR="00786914" w:rsidRPr="00D62B55" w:rsidRDefault="00786914" w:rsidP="0006743B">
            <w:pPr>
              <w:pStyle w:val="TableText"/>
              <w:rPr>
                <w:sz w:val="20"/>
              </w:rPr>
            </w:pPr>
            <w:r w:rsidRPr="00D62B55">
              <w:rPr>
                <w:sz w:val="20"/>
              </w:rPr>
              <w:t>4,388</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#healtheconomicsfilter-15 (#15)</w:t>
            </w:r>
          </w:p>
        </w:tc>
        <w:tc>
          <w:tcPr>
            <w:tcW w:w="5670" w:type="dxa"/>
            <w:gridSpan w:val="2"/>
          </w:tcPr>
          <w:p w:rsidR="00786914" w:rsidRPr="00D62B55" w:rsidRDefault="00786914" w:rsidP="0006743B">
            <w:pPr>
              <w:pStyle w:val="TableText"/>
              <w:rPr>
                <w:sz w:val="20"/>
              </w:rPr>
            </w:pPr>
            <w:r w:rsidRPr="00D62B55">
              <w:rPr>
                <w:sz w:val="20"/>
              </w:rPr>
              <w:t>'quality adjusted life year$'</w:t>
            </w:r>
          </w:p>
        </w:tc>
        <w:tc>
          <w:tcPr>
            <w:tcW w:w="1337" w:type="dxa"/>
          </w:tcPr>
          <w:p w:rsidR="00786914" w:rsidRPr="00D62B55" w:rsidRDefault="00786914" w:rsidP="0006743B">
            <w:pPr>
              <w:pStyle w:val="TableText"/>
              <w:rPr>
                <w:sz w:val="20"/>
              </w:rPr>
            </w:pPr>
            <w:r w:rsidRPr="00D62B55">
              <w:rPr>
                <w:sz w:val="20"/>
              </w:rPr>
              <w:t>8,765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#healtheconomicsfilter-14 (#14)</w:t>
            </w:r>
          </w:p>
        </w:tc>
        <w:tc>
          <w:tcPr>
            <w:tcW w:w="5670" w:type="dxa"/>
            <w:gridSpan w:val="2"/>
          </w:tcPr>
          <w:p w:rsidR="00786914" w:rsidRPr="00D62B55" w:rsidRDefault="00786914" w:rsidP="0006743B">
            <w:pPr>
              <w:pStyle w:val="TableText"/>
              <w:rPr>
                <w:sz w:val="20"/>
              </w:rPr>
            </w:pPr>
            <w:r w:rsidRPr="00D62B55">
              <w:rPr>
                <w:sz w:val="20"/>
              </w:rPr>
              <w:t>hrqol$</w:t>
            </w:r>
          </w:p>
        </w:tc>
        <w:tc>
          <w:tcPr>
            <w:tcW w:w="1337" w:type="dxa"/>
          </w:tcPr>
          <w:p w:rsidR="00786914" w:rsidRPr="00D62B55" w:rsidRDefault="00786914" w:rsidP="0006743B">
            <w:pPr>
              <w:pStyle w:val="TableText"/>
              <w:rPr>
                <w:sz w:val="20"/>
              </w:rPr>
            </w:pPr>
            <w:r w:rsidRPr="00D62B55">
              <w:rPr>
                <w:sz w:val="20"/>
              </w:rPr>
              <w:t>6,788</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#healtheconomicsfilter-13 (#13)</w:t>
            </w:r>
          </w:p>
        </w:tc>
        <w:tc>
          <w:tcPr>
            <w:tcW w:w="5670" w:type="dxa"/>
            <w:gridSpan w:val="2"/>
          </w:tcPr>
          <w:p w:rsidR="00786914" w:rsidRPr="00D62B55" w:rsidRDefault="00786914" w:rsidP="0006743B">
            <w:pPr>
              <w:pStyle w:val="TableText"/>
              <w:rPr>
                <w:sz w:val="20"/>
              </w:rPr>
            </w:pPr>
            <w:r w:rsidRPr="00D62B55">
              <w:rPr>
                <w:sz w:val="20"/>
              </w:rPr>
              <w:t>qol$</w:t>
            </w:r>
          </w:p>
        </w:tc>
        <w:tc>
          <w:tcPr>
            <w:tcW w:w="1337" w:type="dxa"/>
          </w:tcPr>
          <w:p w:rsidR="00786914" w:rsidRPr="00D62B55" w:rsidRDefault="00786914" w:rsidP="0006743B">
            <w:pPr>
              <w:pStyle w:val="TableText"/>
              <w:rPr>
                <w:sz w:val="20"/>
              </w:rPr>
            </w:pPr>
            <w:r w:rsidRPr="00D62B55">
              <w:rPr>
                <w:sz w:val="20"/>
              </w:rPr>
              <w:t>20,925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#healtheconomicsfilter-12 (#12)</w:t>
            </w:r>
          </w:p>
        </w:tc>
        <w:tc>
          <w:tcPr>
            <w:tcW w:w="5670" w:type="dxa"/>
            <w:gridSpan w:val="2"/>
          </w:tcPr>
          <w:p w:rsidR="00786914" w:rsidRPr="00D62B55" w:rsidRDefault="00786914" w:rsidP="0006743B">
            <w:pPr>
              <w:pStyle w:val="TableText"/>
              <w:rPr>
                <w:sz w:val="20"/>
              </w:rPr>
            </w:pPr>
            <w:r w:rsidRPr="00D62B55">
              <w:rPr>
                <w:sz w:val="20"/>
              </w:rPr>
              <w:t>'quality of life'/exp OR 'quality of life'</w:t>
            </w:r>
          </w:p>
        </w:tc>
        <w:tc>
          <w:tcPr>
            <w:tcW w:w="1337" w:type="dxa"/>
          </w:tcPr>
          <w:p w:rsidR="00786914" w:rsidRPr="00D62B55" w:rsidRDefault="00786914" w:rsidP="0006743B">
            <w:pPr>
              <w:pStyle w:val="TableText"/>
              <w:rPr>
                <w:sz w:val="20"/>
              </w:rPr>
            </w:pPr>
            <w:r w:rsidRPr="00D62B55">
              <w:rPr>
                <w:sz w:val="20"/>
              </w:rPr>
              <w:t>225,280</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#healtheconomicsfilter-11 (#11)</w:t>
            </w:r>
          </w:p>
        </w:tc>
        <w:tc>
          <w:tcPr>
            <w:tcW w:w="5670" w:type="dxa"/>
            <w:gridSpan w:val="2"/>
          </w:tcPr>
          <w:p w:rsidR="00786914" w:rsidRPr="00D62B55" w:rsidRDefault="00786914" w:rsidP="0006743B">
            <w:pPr>
              <w:pStyle w:val="TableText"/>
              <w:rPr>
                <w:sz w:val="20"/>
              </w:rPr>
            </w:pPr>
            <w:r w:rsidRPr="00D62B55">
              <w:rPr>
                <w:sz w:val="20"/>
              </w:rPr>
              <w:t>'fee'/exp OR fee OR fees</w:t>
            </w:r>
          </w:p>
        </w:tc>
        <w:tc>
          <w:tcPr>
            <w:tcW w:w="1337" w:type="dxa"/>
          </w:tcPr>
          <w:p w:rsidR="00786914" w:rsidRPr="00D62B55" w:rsidRDefault="00786914" w:rsidP="0006743B">
            <w:pPr>
              <w:pStyle w:val="TableText"/>
              <w:rPr>
                <w:sz w:val="20"/>
              </w:rPr>
            </w:pPr>
            <w:r w:rsidRPr="00D62B55">
              <w:rPr>
                <w:sz w:val="20"/>
              </w:rPr>
              <w:t>39,645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#healtheconomicsfilter-10 (#10)</w:t>
            </w:r>
          </w:p>
        </w:tc>
        <w:tc>
          <w:tcPr>
            <w:tcW w:w="5670" w:type="dxa"/>
            <w:gridSpan w:val="2"/>
          </w:tcPr>
          <w:p w:rsidR="00786914" w:rsidRPr="00D62B55" w:rsidRDefault="00786914" w:rsidP="0006743B">
            <w:pPr>
              <w:pStyle w:val="TableText"/>
              <w:rPr>
                <w:sz w:val="20"/>
              </w:rPr>
            </w:pPr>
            <w:r w:rsidRPr="00D62B55">
              <w:rPr>
                <w:sz w:val="20"/>
              </w:rPr>
              <w:t>value NEXT/1 (money OR monetary)</w:t>
            </w:r>
          </w:p>
        </w:tc>
        <w:tc>
          <w:tcPr>
            <w:tcW w:w="1337" w:type="dxa"/>
          </w:tcPr>
          <w:p w:rsidR="00786914" w:rsidRPr="00D62B55" w:rsidRDefault="00786914" w:rsidP="0006743B">
            <w:pPr>
              <w:pStyle w:val="TableText"/>
              <w:rPr>
                <w:sz w:val="20"/>
              </w:rPr>
            </w:pPr>
            <w:r w:rsidRPr="00D62B55">
              <w:rPr>
                <w:sz w:val="20"/>
              </w:rPr>
              <w:t>4</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#healtheconomicsfilter-9 (#9)</w:t>
            </w:r>
          </w:p>
        </w:tc>
        <w:tc>
          <w:tcPr>
            <w:tcW w:w="5670" w:type="dxa"/>
            <w:gridSpan w:val="2"/>
          </w:tcPr>
          <w:p w:rsidR="00786914" w:rsidRPr="00D62B55" w:rsidRDefault="00786914" w:rsidP="0006743B">
            <w:pPr>
              <w:pStyle w:val="TableText"/>
              <w:rPr>
                <w:sz w:val="20"/>
              </w:rPr>
            </w:pPr>
            <w:r w:rsidRPr="00D62B55">
              <w:rPr>
                <w:sz w:val="20"/>
              </w:rPr>
              <w:t>expenditure$</w:t>
            </w:r>
          </w:p>
        </w:tc>
        <w:tc>
          <w:tcPr>
            <w:tcW w:w="1337" w:type="dxa"/>
          </w:tcPr>
          <w:p w:rsidR="00786914" w:rsidRPr="00D62B55" w:rsidRDefault="00786914" w:rsidP="0006743B">
            <w:pPr>
              <w:pStyle w:val="TableText"/>
              <w:rPr>
                <w:sz w:val="20"/>
              </w:rPr>
            </w:pPr>
            <w:r w:rsidRPr="00D62B55">
              <w:rPr>
                <w:sz w:val="20"/>
              </w:rPr>
              <w:t>33,724</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#healtheconomicsfilter-8 (#8)</w:t>
            </w:r>
          </w:p>
        </w:tc>
        <w:tc>
          <w:tcPr>
            <w:tcW w:w="5670" w:type="dxa"/>
            <w:gridSpan w:val="2"/>
          </w:tcPr>
          <w:p w:rsidR="00786914" w:rsidRPr="00D62B55" w:rsidRDefault="00786914" w:rsidP="0006743B">
            <w:pPr>
              <w:pStyle w:val="TableText"/>
              <w:rPr>
                <w:sz w:val="20"/>
              </w:rPr>
            </w:pPr>
            <w:r w:rsidRPr="00D62B55">
              <w:rPr>
                <w:sz w:val="20"/>
              </w:rPr>
              <w:t>budget$</w:t>
            </w:r>
          </w:p>
        </w:tc>
        <w:tc>
          <w:tcPr>
            <w:tcW w:w="1337" w:type="dxa"/>
          </w:tcPr>
          <w:p w:rsidR="00786914" w:rsidRPr="00D62B55" w:rsidRDefault="00786914" w:rsidP="0006743B">
            <w:pPr>
              <w:pStyle w:val="TableText"/>
              <w:rPr>
                <w:sz w:val="20"/>
              </w:rPr>
            </w:pPr>
            <w:r w:rsidRPr="00D62B55">
              <w:rPr>
                <w:sz w:val="20"/>
              </w:rPr>
              <w:t>25,636</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#healtheconomicsfilter-7 (#7)</w:t>
            </w:r>
          </w:p>
        </w:tc>
        <w:tc>
          <w:tcPr>
            <w:tcW w:w="5670" w:type="dxa"/>
            <w:gridSpan w:val="2"/>
          </w:tcPr>
          <w:p w:rsidR="00786914" w:rsidRPr="00D62B55" w:rsidRDefault="00786914" w:rsidP="0006743B">
            <w:pPr>
              <w:pStyle w:val="TableText"/>
              <w:rPr>
                <w:sz w:val="20"/>
              </w:rPr>
            </w:pPr>
            <w:r w:rsidRPr="00D62B55">
              <w:rPr>
                <w:sz w:val="20"/>
              </w:rPr>
              <w:t>pharmacoeconomic? OR (pharmaco AND economic?)</w:t>
            </w:r>
          </w:p>
        </w:tc>
        <w:tc>
          <w:tcPr>
            <w:tcW w:w="1337" w:type="dxa"/>
          </w:tcPr>
          <w:p w:rsidR="00786914" w:rsidRPr="00D62B55" w:rsidRDefault="00786914" w:rsidP="0006743B">
            <w:pPr>
              <w:pStyle w:val="TableText"/>
              <w:rPr>
                <w:sz w:val="20"/>
              </w:rPr>
            </w:pPr>
            <w:r w:rsidRPr="00D62B55">
              <w:rPr>
                <w:sz w:val="20"/>
              </w:rPr>
              <w:t>167,274</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#healtheconomicsfilter-6 (#6)</w:t>
            </w:r>
          </w:p>
        </w:tc>
        <w:tc>
          <w:tcPr>
            <w:tcW w:w="5670" w:type="dxa"/>
            <w:gridSpan w:val="2"/>
          </w:tcPr>
          <w:p w:rsidR="00786914" w:rsidRPr="00D62B55" w:rsidRDefault="00786914" w:rsidP="0006743B">
            <w:pPr>
              <w:pStyle w:val="TableText"/>
              <w:rPr>
                <w:sz w:val="20"/>
              </w:rPr>
            </w:pPr>
            <w:r w:rsidRPr="00D62B55">
              <w:rPr>
                <w:sz w:val="20"/>
              </w:rPr>
              <w:t>price? OR pricing?</w:t>
            </w:r>
          </w:p>
        </w:tc>
        <w:tc>
          <w:tcPr>
            <w:tcW w:w="1337" w:type="dxa"/>
          </w:tcPr>
          <w:p w:rsidR="00786914" w:rsidRPr="00D62B55" w:rsidRDefault="00786914" w:rsidP="0006743B">
            <w:pPr>
              <w:pStyle w:val="TableText"/>
              <w:rPr>
                <w:sz w:val="20"/>
              </w:rPr>
            </w:pPr>
            <w:r w:rsidRPr="00D62B55">
              <w:rPr>
                <w:sz w:val="20"/>
              </w:rPr>
              <w:t>9,155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#healtheconomicsfilter-5 (#5)</w:t>
            </w:r>
          </w:p>
        </w:tc>
        <w:tc>
          <w:tcPr>
            <w:tcW w:w="5670" w:type="dxa"/>
            <w:gridSpan w:val="2"/>
          </w:tcPr>
          <w:p w:rsidR="00786914" w:rsidRPr="00D62B55" w:rsidRDefault="00786914" w:rsidP="0006743B">
            <w:pPr>
              <w:pStyle w:val="TableText"/>
              <w:rPr>
                <w:sz w:val="20"/>
              </w:rPr>
            </w:pPr>
            <w:r w:rsidRPr="00D62B55">
              <w:rPr>
                <w:sz w:val="20"/>
              </w:rPr>
              <w:t>cost? OR costing? OR costly OR costed</w:t>
            </w:r>
          </w:p>
        </w:tc>
        <w:tc>
          <w:tcPr>
            <w:tcW w:w="1337" w:type="dxa"/>
          </w:tcPr>
          <w:p w:rsidR="00786914" w:rsidRPr="00D62B55" w:rsidRDefault="00786914" w:rsidP="0006743B">
            <w:pPr>
              <w:pStyle w:val="TableText"/>
              <w:rPr>
                <w:sz w:val="20"/>
              </w:rPr>
            </w:pPr>
            <w:r w:rsidRPr="00D62B55">
              <w:rPr>
                <w:sz w:val="20"/>
              </w:rPr>
              <w:t>197,715</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#healtheconomicsfilter-4 (#4)</w:t>
            </w:r>
          </w:p>
        </w:tc>
        <w:tc>
          <w:tcPr>
            <w:tcW w:w="5670" w:type="dxa"/>
            <w:gridSpan w:val="2"/>
          </w:tcPr>
          <w:p w:rsidR="00786914" w:rsidRPr="00D62B55" w:rsidRDefault="00786914" w:rsidP="0006743B">
            <w:pPr>
              <w:pStyle w:val="TableText"/>
              <w:rPr>
                <w:sz w:val="20"/>
              </w:rPr>
            </w:pPr>
            <w:r w:rsidRPr="00D62B55">
              <w:rPr>
                <w:sz w:val="20"/>
              </w:rPr>
              <w:t>economic*</w:t>
            </w:r>
          </w:p>
        </w:tc>
        <w:tc>
          <w:tcPr>
            <w:tcW w:w="1337" w:type="dxa"/>
          </w:tcPr>
          <w:p w:rsidR="00786914" w:rsidRPr="00D62B55" w:rsidRDefault="00786914" w:rsidP="0006743B">
            <w:pPr>
              <w:pStyle w:val="TableText"/>
              <w:rPr>
                <w:sz w:val="20"/>
              </w:rPr>
            </w:pPr>
            <w:r w:rsidRPr="00D62B55">
              <w:rPr>
                <w:sz w:val="20"/>
              </w:rPr>
              <w:t>1,047,308</w:t>
            </w:r>
          </w:p>
        </w:tc>
      </w:tr>
      <w:tr w:rsidR="00786914" w:rsidRPr="008072C7" w:rsidTr="0006743B">
        <w:tc>
          <w:tcPr>
            <w:tcW w:w="2235" w:type="dxa"/>
          </w:tcPr>
          <w:p w:rsidR="00786914" w:rsidRPr="00D62B55" w:rsidRDefault="00786914" w:rsidP="0006743B">
            <w:pPr>
              <w:pStyle w:val="TableText"/>
              <w:rPr>
                <w:sz w:val="20"/>
              </w:rPr>
            </w:pPr>
            <w:r w:rsidRPr="00D62B55">
              <w:rPr>
                <w:sz w:val="20"/>
              </w:rPr>
              <w:t xml:space="preserve">#healtheconomicsfilter-3 </w:t>
            </w:r>
            <w:r w:rsidRPr="00D62B55">
              <w:rPr>
                <w:sz w:val="20"/>
              </w:rPr>
              <w:lastRenderedPageBreak/>
              <w:t>(#3)</w:t>
            </w:r>
          </w:p>
        </w:tc>
        <w:tc>
          <w:tcPr>
            <w:tcW w:w="5670" w:type="dxa"/>
            <w:gridSpan w:val="2"/>
          </w:tcPr>
          <w:p w:rsidR="00786914" w:rsidRPr="00D62B55" w:rsidRDefault="00786914" w:rsidP="0006743B">
            <w:pPr>
              <w:pStyle w:val="TableText"/>
              <w:rPr>
                <w:sz w:val="20"/>
              </w:rPr>
            </w:pPr>
            <w:r w:rsidRPr="00D62B55">
              <w:rPr>
                <w:sz w:val="20"/>
              </w:rPr>
              <w:lastRenderedPageBreak/>
              <w:t>'quality of life'/exp OR 'quality of life'</w:t>
            </w:r>
          </w:p>
        </w:tc>
        <w:tc>
          <w:tcPr>
            <w:tcW w:w="1337" w:type="dxa"/>
          </w:tcPr>
          <w:p w:rsidR="00786914" w:rsidRPr="00D62B55" w:rsidRDefault="00786914" w:rsidP="0006743B">
            <w:pPr>
              <w:pStyle w:val="TableText"/>
              <w:rPr>
                <w:sz w:val="20"/>
              </w:rPr>
            </w:pPr>
            <w:r w:rsidRPr="00D62B55">
              <w:rPr>
                <w:sz w:val="20"/>
              </w:rPr>
              <w:t>225,280</w:t>
            </w:r>
          </w:p>
        </w:tc>
      </w:tr>
      <w:tr w:rsidR="00786914" w:rsidRPr="008072C7" w:rsidTr="0006743B">
        <w:tc>
          <w:tcPr>
            <w:tcW w:w="2235" w:type="dxa"/>
          </w:tcPr>
          <w:p w:rsidR="00786914" w:rsidRPr="00D62B55" w:rsidRDefault="00786914" w:rsidP="0006743B">
            <w:pPr>
              <w:pStyle w:val="TableText"/>
              <w:rPr>
                <w:sz w:val="20"/>
              </w:rPr>
            </w:pPr>
            <w:r w:rsidRPr="00D62B55">
              <w:rPr>
                <w:sz w:val="20"/>
              </w:rPr>
              <w:lastRenderedPageBreak/>
              <w:t>#healtheconomicsfilter-2 (#2)</w:t>
            </w:r>
          </w:p>
        </w:tc>
        <w:tc>
          <w:tcPr>
            <w:tcW w:w="5670" w:type="dxa"/>
            <w:gridSpan w:val="2"/>
          </w:tcPr>
          <w:p w:rsidR="00786914" w:rsidRPr="00D62B55" w:rsidRDefault="00786914" w:rsidP="0006743B">
            <w:pPr>
              <w:pStyle w:val="TableText"/>
              <w:rPr>
                <w:sz w:val="20"/>
              </w:rPr>
            </w:pPr>
            <w:r w:rsidRPr="00D62B55">
              <w:rPr>
                <w:sz w:val="20"/>
              </w:rPr>
              <w:t>'health care cost'/exp OR 'health care cost'</w:t>
            </w:r>
          </w:p>
        </w:tc>
        <w:tc>
          <w:tcPr>
            <w:tcW w:w="1337" w:type="dxa"/>
          </w:tcPr>
          <w:p w:rsidR="00786914" w:rsidRPr="00D62B55" w:rsidRDefault="00786914" w:rsidP="0006743B">
            <w:pPr>
              <w:pStyle w:val="TableText"/>
              <w:rPr>
                <w:sz w:val="20"/>
              </w:rPr>
            </w:pPr>
            <w:r w:rsidRPr="00D62B55">
              <w:rPr>
                <w:sz w:val="20"/>
              </w:rPr>
              <w:t>168,320</w:t>
            </w:r>
          </w:p>
        </w:tc>
      </w:tr>
      <w:tr w:rsidR="00786914" w:rsidRPr="008072C7" w:rsidTr="0006743B">
        <w:tc>
          <w:tcPr>
            <w:tcW w:w="2235" w:type="dxa"/>
          </w:tcPr>
          <w:p w:rsidR="00786914" w:rsidRPr="00D62B55" w:rsidRDefault="00786914" w:rsidP="0006743B">
            <w:pPr>
              <w:pStyle w:val="TableText"/>
              <w:rPr>
                <w:sz w:val="20"/>
              </w:rPr>
            </w:pPr>
            <w:r w:rsidRPr="00D62B55">
              <w:rPr>
                <w:sz w:val="20"/>
              </w:rPr>
              <w:t>#healtheconomicsfilter-1 (#1)</w:t>
            </w:r>
          </w:p>
        </w:tc>
        <w:tc>
          <w:tcPr>
            <w:tcW w:w="5670" w:type="dxa"/>
            <w:gridSpan w:val="2"/>
          </w:tcPr>
          <w:p w:rsidR="00786914" w:rsidRPr="00D62B55" w:rsidRDefault="00786914" w:rsidP="0006743B">
            <w:pPr>
              <w:pStyle w:val="TableText"/>
              <w:rPr>
                <w:sz w:val="20"/>
              </w:rPr>
            </w:pPr>
            <w:r w:rsidRPr="00D62B55">
              <w:rPr>
                <w:sz w:val="20"/>
              </w:rPr>
              <w:t>'health economics'/exp OR 'health economics'</w:t>
            </w:r>
          </w:p>
        </w:tc>
        <w:tc>
          <w:tcPr>
            <w:tcW w:w="1337" w:type="dxa"/>
          </w:tcPr>
          <w:p w:rsidR="00786914" w:rsidRPr="00D62B55" w:rsidRDefault="00786914" w:rsidP="0006743B">
            <w:pPr>
              <w:pStyle w:val="TableText"/>
              <w:rPr>
                <w:sz w:val="20"/>
              </w:rPr>
            </w:pPr>
            <w:r w:rsidRPr="00D62B55">
              <w:rPr>
                <w:sz w:val="20"/>
              </w:rPr>
              <w:t>523,416</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4"/>
            <w:tcBorders>
              <w:bottom w:val="single" w:sz="4" w:space="0" w:color="auto"/>
            </w:tcBorders>
          </w:tcPr>
          <w:p w:rsidR="00786914" w:rsidRDefault="00786914" w:rsidP="0006743B">
            <w:pPr>
              <w:pStyle w:val="Normalbold"/>
            </w:pPr>
            <w:bookmarkStart w:id="406" w:name="_Toc327877935"/>
          </w:p>
          <w:p w:rsidR="00786914" w:rsidRPr="00FE2FCF" w:rsidRDefault="00786914" w:rsidP="0006743B">
            <w:pPr>
              <w:pStyle w:val="Normalbold"/>
            </w:pPr>
            <w:r w:rsidRPr="00FE2FCF">
              <w:t>Search results for the HTA database search at York CRD (encompasses DARE, NHS EED and HTA).</w:t>
            </w:r>
            <w:bookmarkEnd w:id="406"/>
            <w:r w:rsidRPr="00FE2FCF">
              <w:t xml:space="preserve"> </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#1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(holep)</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#2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(yag laser)</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#3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(holmium laser)</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#4</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(holmium OR holmium AND laser)</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#5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(prostat* NEXT/3 hyper*)</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#6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(bpe)</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#7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(bpo)</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#8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(bph)</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#9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(prostate hypertrophy)</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#10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(benign AND (prostat* NEXT/3 (enlarge* OR obstruct* OR disease)))</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#11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(laser NEXT/3 (enucleat* OR prostatect* OR resect* OR ablat*))</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#12</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#1 OR #2 OR #3 OR #4 OR #11</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#13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#5 OR #6 OR #7 OR #8 OR #9 OR #10</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 xml:space="preserve">#14 </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#12 AND #13</w:t>
            </w:r>
          </w:p>
        </w:tc>
      </w:tr>
      <w:tr w:rsidR="00786914" w:rsidTr="00067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8"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pPr>
            <w:r w:rsidRPr="00D62B55">
              <w:t>Total results returned</w:t>
            </w:r>
          </w:p>
        </w:tc>
        <w:tc>
          <w:tcPr>
            <w:tcW w:w="6984" w:type="dxa"/>
            <w:gridSpan w:val="2"/>
            <w:tcBorders>
              <w:top w:val="single" w:sz="4" w:space="0" w:color="auto"/>
              <w:left w:val="single" w:sz="4" w:space="0" w:color="auto"/>
              <w:bottom w:val="single" w:sz="4" w:space="0" w:color="auto"/>
              <w:right w:val="single" w:sz="4" w:space="0" w:color="auto"/>
            </w:tcBorders>
          </w:tcPr>
          <w:p w:rsidR="00786914" w:rsidRPr="00D62B55" w:rsidRDefault="00786914" w:rsidP="0006743B">
            <w:pPr>
              <w:pStyle w:val="TableText"/>
              <w:rPr>
                <w:b/>
              </w:rPr>
            </w:pPr>
            <w:r w:rsidRPr="00D62B55">
              <w:rPr>
                <w:b/>
              </w:rPr>
              <w:t>182</w:t>
            </w:r>
          </w:p>
        </w:tc>
      </w:tr>
    </w:tbl>
    <w:p w:rsidR="00786914" w:rsidRDefault="00786914" w:rsidP="0006743B">
      <w:pPr>
        <w:pStyle w:val="Heading1"/>
        <w:rPr>
          <w:bCs/>
        </w:rPr>
        <w:sectPr w:rsidR="00786914" w:rsidSect="00956258">
          <w:pgSz w:w="11906" w:h="16838"/>
          <w:pgMar w:top="1440" w:right="1440" w:bottom="1440" w:left="1440" w:header="720" w:footer="720" w:gutter="0"/>
          <w:paperSrc w:first="7" w:other="7"/>
          <w:cols w:space="720"/>
        </w:sectPr>
      </w:pPr>
    </w:p>
    <w:p w:rsidR="00786914" w:rsidRPr="004C6B15" w:rsidRDefault="00786914" w:rsidP="0006743B">
      <w:pPr>
        <w:pStyle w:val="Heading1"/>
        <w:rPr>
          <w:bCs/>
        </w:rPr>
      </w:pPr>
      <w:bookmarkStart w:id="407" w:name="_Ref190841600"/>
      <w:bookmarkStart w:id="408" w:name="_Toc323642311"/>
      <w:bookmarkStart w:id="409" w:name="_Toc327877936"/>
      <w:bookmarkStart w:id="410" w:name="_Toc365900599"/>
      <w:bookmarkEnd w:id="403"/>
      <w:r w:rsidRPr="004C6B15">
        <w:rPr>
          <w:bCs/>
        </w:rPr>
        <w:lastRenderedPageBreak/>
        <w:t xml:space="preserve">Appendix </w:t>
      </w:r>
      <w:r w:rsidR="00F0137E" w:rsidRPr="004C6B15">
        <w:rPr>
          <w:bCs/>
        </w:rPr>
        <w:fldChar w:fldCharType="begin"/>
      </w:r>
      <w:r w:rsidRPr="004C6B15">
        <w:rPr>
          <w:bCs/>
        </w:rPr>
        <w:instrText xml:space="preserve"> SEQ Appendix \* ALPHABETIC </w:instrText>
      </w:r>
      <w:r w:rsidR="00F0137E" w:rsidRPr="004C6B15">
        <w:rPr>
          <w:bCs/>
        </w:rPr>
        <w:fldChar w:fldCharType="separate"/>
      </w:r>
      <w:r w:rsidR="00F45C43">
        <w:rPr>
          <w:bCs/>
          <w:noProof/>
        </w:rPr>
        <w:t>A</w:t>
      </w:r>
      <w:r w:rsidR="00F0137E" w:rsidRPr="004C6B15">
        <w:rPr>
          <w:bCs/>
        </w:rPr>
        <w:fldChar w:fldCharType="end"/>
      </w:r>
      <w:r w:rsidRPr="004C6B15">
        <w:rPr>
          <w:bCs/>
        </w:rPr>
        <w:tab/>
        <w:t>Studies included in the review</w:t>
      </w:r>
      <w:bookmarkEnd w:id="404"/>
      <w:bookmarkEnd w:id="405"/>
      <w:bookmarkEnd w:id="407"/>
      <w:bookmarkEnd w:id="408"/>
      <w:bookmarkEnd w:id="409"/>
      <w:bookmarkEnd w:id="410"/>
    </w:p>
    <w:p w:rsidR="00786914" w:rsidRDefault="00786914" w:rsidP="0006743B">
      <w:r>
        <w:t>Systematic reviews</w:t>
      </w:r>
      <w:r w:rsidRPr="00D062FC">
        <w:t xml:space="preserve"> included in the assessment report that were identified in the updated literature search HoLEP</w:t>
      </w:r>
      <w:r>
        <w:t xml:space="preserve"> </w:t>
      </w:r>
      <w:r w:rsidRPr="00D062FC">
        <w:t>v</w:t>
      </w:r>
      <w:r>
        <w:t>ersu</w:t>
      </w:r>
      <w:r w:rsidRPr="00D062FC">
        <w:t>s TURP</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485"/>
        <w:gridCol w:w="2410"/>
        <w:gridCol w:w="2126"/>
        <w:gridCol w:w="2977"/>
        <w:gridCol w:w="2693"/>
      </w:tblGrid>
      <w:tr w:rsidR="00786914" w:rsidRPr="00301B51" w:rsidTr="0006743B">
        <w:trPr>
          <w:tblHeader/>
        </w:trPr>
        <w:tc>
          <w:tcPr>
            <w:tcW w:w="14850" w:type="dxa"/>
            <w:gridSpan w:val="6"/>
            <w:shd w:val="pct15" w:color="auto" w:fill="auto"/>
          </w:tcPr>
          <w:p w:rsidR="00786914" w:rsidRPr="00301B51" w:rsidRDefault="00786914" w:rsidP="0006743B">
            <w:pPr>
              <w:keepNext/>
              <w:spacing w:after="0"/>
              <w:ind w:left="57" w:right="57"/>
              <w:rPr>
                <w:rFonts w:ascii="Arial Narrow" w:hAnsi="Arial Narrow"/>
                <w:b/>
                <w:bCs/>
                <w:sz w:val="18"/>
                <w:szCs w:val="18"/>
                <w:lang w:eastAsia="en-US"/>
              </w:rPr>
            </w:pPr>
            <w:bookmarkStart w:id="411" w:name="_Toc183415153"/>
            <w:bookmarkStart w:id="412" w:name="_Toc269214140"/>
            <w:bookmarkStart w:id="413" w:name="_Toc269214253"/>
            <w:bookmarkStart w:id="414" w:name="_Toc269214386"/>
            <w:r w:rsidRPr="00301B51">
              <w:rPr>
                <w:rFonts w:ascii="Arial Narrow" w:hAnsi="Arial Narrow"/>
                <w:b/>
                <w:bCs/>
                <w:sz w:val="18"/>
                <w:szCs w:val="18"/>
                <w:lang w:eastAsia="en-US"/>
              </w:rPr>
              <w:t>HTA and systematic reviews</w:t>
            </w:r>
          </w:p>
        </w:tc>
      </w:tr>
      <w:tr w:rsidR="00786914" w:rsidRPr="00301B51" w:rsidTr="0006743B">
        <w:trPr>
          <w:tblHeader/>
        </w:trPr>
        <w:tc>
          <w:tcPr>
            <w:tcW w:w="2159"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Author/Year</w:t>
            </w:r>
          </w:p>
        </w:tc>
        <w:tc>
          <w:tcPr>
            <w:tcW w:w="2485"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Objective of report</w:t>
            </w:r>
          </w:p>
        </w:tc>
        <w:tc>
          <w:tcPr>
            <w:tcW w:w="2410"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Number &amp; publication dates of included studies</w:t>
            </w:r>
          </w:p>
        </w:tc>
        <w:tc>
          <w:tcPr>
            <w:tcW w:w="2126"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 xml:space="preserve">Population considered in included studies </w:t>
            </w:r>
          </w:p>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Test comparison</w:t>
            </w:r>
          </w:p>
        </w:tc>
        <w:tc>
          <w:tcPr>
            <w:tcW w:w="2977"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Conclusions/ recommendation</w:t>
            </w:r>
          </w:p>
        </w:tc>
        <w:tc>
          <w:tcPr>
            <w:tcW w:w="2693" w:type="dxa"/>
            <w:shd w:val="clear" w:color="auto" w:fill="auto"/>
          </w:tcPr>
          <w:p w:rsidR="00786914" w:rsidRPr="00301B51" w:rsidRDefault="00786914" w:rsidP="0006743B">
            <w:pPr>
              <w:keepNext/>
              <w:spacing w:after="0"/>
              <w:ind w:left="57" w:right="57"/>
              <w:rPr>
                <w:rFonts w:ascii="Arial Narrow" w:hAnsi="Arial Narrow"/>
                <w:b/>
                <w:bCs/>
                <w:sz w:val="18"/>
                <w:szCs w:val="18"/>
                <w:lang w:eastAsia="en-US"/>
              </w:rPr>
            </w:pPr>
            <w:r w:rsidRPr="00301B51">
              <w:rPr>
                <w:rFonts w:ascii="Arial Narrow" w:hAnsi="Arial Narrow"/>
                <w:b/>
                <w:bCs/>
                <w:sz w:val="18"/>
                <w:szCs w:val="18"/>
                <w:lang w:eastAsia="en-US"/>
              </w:rPr>
              <w:t>Quality Assessment</w:t>
            </w:r>
          </w:p>
        </w:tc>
      </w:tr>
      <w:tr w:rsidR="00786914" w:rsidRPr="00301B51" w:rsidTr="0006743B">
        <w:tc>
          <w:tcPr>
            <w:tcW w:w="2159" w:type="dxa"/>
            <w:shd w:val="clear" w:color="auto" w:fill="auto"/>
          </w:tcPr>
          <w:p w:rsidR="00786914" w:rsidRPr="0057589B" w:rsidRDefault="00786914" w:rsidP="0006743B">
            <w:pPr>
              <w:keepNext/>
              <w:autoSpaceDE w:val="0"/>
              <w:autoSpaceDN w:val="0"/>
              <w:adjustRightInd w:val="0"/>
              <w:spacing w:after="0"/>
              <w:ind w:left="57" w:right="57"/>
              <w:rPr>
                <w:rFonts w:ascii="Arial Narrow" w:hAnsi="Arial Narrow" w:cs="Garamond"/>
                <w:b/>
                <w:sz w:val="18"/>
                <w:szCs w:val="18"/>
              </w:rPr>
            </w:pPr>
            <w:r w:rsidRPr="0057589B">
              <w:rPr>
                <w:rFonts w:ascii="Arial Narrow" w:hAnsi="Arial Narrow" w:cs="Garamond"/>
                <w:b/>
                <w:sz w:val="18"/>
                <w:szCs w:val="18"/>
              </w:rPr>
              <w:t>Author and year</w:t>
            </w:r>
          </w:p>
          <w:p w:rsidR="00786914" w:rsidRPr="00336D5C" w:rsidRDefault="00786914" w:rsidP="0006743B">
            <w:pPr>
              <w:widowControl w:val="0"/>
              <w:spacing w:before="40" w:after="20"/>
              <w:ind w:left="57" w:right="57"/>
              <w:rPr>
                <w:rFonts w:ascii="Arial Narrow" w:hAnsi="Arial Narrow"/>
                <w:bCs/>
                <w:sz w:val="18"/>
                <w:szCs w:val="18"/>
              </w:rPr>
            </w:pPr>
            <w:r>
              <w:rPr>
                <w:rFonts w:ascii="Arial Narrow" w:hAnsi="Arial Narrow"/>
                <w:bCs/>
                <w:sz w:val="18"/>
                <w:szCs w:val="18"/>
              </w:rPr>
              <w:t>Lourenco et al (2008)</w:t>
            </w:r>
          </w:p>
          <w:p w:rsidR="00786914" w:rsidRPr="00301B51" w:rsidRDefault="00786914" w:rsidP="0006743B">
            <w:pPr>
              <w:keepNext/>
              <w:autoSpaceDE w:val="0"/>
              <w:autoSpaceDN w:val="0"/>
              <w:adjustRightInd w:val="0"/>
              <w:spacing w:after="0"/>
              <w:ind w:left="57" w:right="57"/>
              <w:rPr>
                <w:rFonts w:ascii="Arial Narrow" w:hAnsi="Arial Narrow" w:cs="Garamond"/>
                <w:sz w:val="18"/>
                <w:szCs w:val="18"/>
              </w:rPr>
            </w:pPr>
          </w:p>
          <w:p w:rsidR="00786914" w:rsidRPr="0057589B" w:rsidRDefault="00786914" w:rsidP="0006743B">
            <w:pPr>
              <w:keepNext/>
              <w:autoSpaceDE w:val="0"/>
              <w:autoSpaceDN w:val="0"/>
              <w:adjustRightInd w:val="0"/>
              <w:spacing w:after="0"/>
              <w:ind w:left="0" w:right="57"/>
              <w:rPr>
                <w:rFonts w:ascii="Arial Narrow" w:hAnsi="Arial Narrow" w:cs="Garamond"/>
                <w:b/>
                <w:sz w:val="18"/>
                <w:szCs w:val="18"/>
                <w:u w:val="single"/>
              </w:rPr>
            </w:pPr>
            <w:r w:rsidRPr="0057589B">
              <w:rPr>
                <w:rFonts w:ascii="Arial Narrow" w:hAnsi="Arial Narrow" w:cs="Garamond"/>
                <w:b/>
                <w:sz w:val="18"/>
                <w:szCs w:val="18"/>
              </w:rPr>
              <w:t xml:space="preserve"> Country of origin</w:t>
            </w:r>
          </w:p>
          <w:p w:rsidR="00786914" w:rsidRPr="00B81F2E" w:rsidRDefault="00786914" w:rsidP="0006743B">
            <w:pPr>
              <w:keepNext/>
              <w:autoSpaceDE w:val="0"/>
              <w:autoSpaceDN w:val="0"/>
              <w:adjustRightInd w:val="0"/>
              <w:spacing w:after="0"/>
              <w:ind w:left="0" w:right="57"/>
              <w:rPr>
                <w:rFonts w:ascii="Arial Narrow" w:hAnsi="Arial Narrow" w:cs="Garamond"/>
                <w:sz w:val="18"/>
                <w:szCs w:val="18"/>
              </w:rPr>
            </w:pPr>
            <w:r>
              <w:rPr>
                <w:rFonts w:ascii="Arial Narrow" w:hAnsi="Arial Narrow" w:cs="Garamond"/>
                <w:sz w:val="18"/>
                <w:szCs w:val="18"/>
              </w:rPr>
              <w:t xml:space="preserve"> </w:t>
            </w:r>
            <w:r w:rsidRPr="00B81F2E">
              <w:rPr>
                <w:rFonts w:ascii="Arial Narrow" w:hAnsi="Arial Narrow" w:cs="Garamond"/>
                <w:sz w:val="18"/>
                <w:szCs w:val="18"/>
              </w:rPr>
              <w:t>United Kingdom</w:t>
            </w:r>
          </w:p>
          <w:p w:rsidR="00786914" w:rsidRPr="00B81F2E" w:rsidRDefault="00786914" w:rsidP="0006743B">
            <w:pPr>
              <w:keepNext/>
              <w:autoSpaceDE w:val="0"/>
              <w:autoSpaceDN w:val="0"/>
              <w:adjustRightInd w:val="0"/>
              <w:spacing w:after="0"/>
              <w:ind w:left="57" w:right="57"/>
              <w:rPr>
                <w:rFonts w:ascii="Arial Narrow" w:hAnsi="Arial Narrow" w:cs="Garamond"/>
                <w:sz w:val="18"/>
                <w:szCs w:val="18"/>
              </w:rPr>
            </w:pPr>
          </w:p>
          <w:p w:rsidR="00786914" w:rsidRPr="0057589B" w:rsidRDefault="00786914" w:rsidP="0006743B">
            <w:pPr>
              <w:keepNext/>
              <w:autoSpaceDE w:val="0"/>
              <w:autoSpaceDN w:val="0"/>
              <w:adjustRightInd w:val="0"/>
              <w:spacing w:after="0"/>
              <w:ind w:left="57" w:right="57"/>
              <w:rPr>
                <w:rFonts w:ascii="Arial Narrow" w:hAnsi="Arial Narrow" w:cs="Garamond"/>
                <w:b/>
                <w:sz w:val="18"/>
                <w:szCs w:val="18"/>
              </w:rPr>
            </w:pPr>
            <w:r w:rsidRPr="0057589B">
              <w:rPr>
                <w:rFonts w:ascii="Arial Narrow" w:hAnsi="Arial Narrow" w:cs="Garamond"/>
                <w:b/>
                <w:sz w:val="18"/>
                <w:szCs w:val="18"/>
              </w:rPr>
              <w:t xml:space="preserve">HTA agency  </w:t>
            </w:r>
          </w:p>
          <w:p w:rsidR="00786914" w:rsidRPr="00B81F2E" w:rsidRDefault="00786914" w:rsidP="0006743B">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NIHR HTA Programme</w:t>
            </w:r>
          </w:p>
          <w:p w:rsidR="00786914" w:rsidRPr="00336D5C" w:rsidRDefault="00786914" w:rsidP="0006743B">
            <w:pPr>
              <w:widowControl w:val="0"/>
              <w:spacing w:before="40" w:after="20"/>
              <w:ind w:left="57" w:right="57"/>
              <w:rPr>
                <w:rFonts w:ascii="Arial Narrow" w:hAnsi="Arial Narrow"/>
                <w:bCs/>
                <w:sz w:val="18"/>
                <w:szCs w:val="18"/>
              </w:rPr>
            </w:pPr>
          </w:p>
          <w:p w:rsidR="00786914" w:rsidRPr="0057589B" w:rsidRDefault="00786914" w:rsidP="0006743B">
            <w:pPr>
              <w:widowControl w:val="0"/>
              <w:spacing w:before="40" w:after="20"/>
              <w:ind w:left="57" w:right="57"/>
              <w:rPr>
                <w:rFonts w:ascii="Arial Narrow" w:hAnsi="Arial Narrow"/>
                <w:b/>
                <w:bCs/>
                <w:sz w:val="18"/>
                <w:szCs w:val="18"/>
              </w:rPr>
            </w:pPr>
            <w:r w:rsidRPr="0057589B">
              <w:rPr>
                <w:rFonts w:ascii="Arial Narrow" w:hAnsi="Arial Narrow"/>
                <w:b/>
                <w:bCs/>
                <w:sz w:val="18"/>
                <w:szCs w:val="18"/>
              </w:rPr>
              <w:t xml:space="preserve">Updates </w:t>
            </w:r>
          </w:p>
          <w:p w:rsidR="00786914" w:rsidRPr="00C47298" w:rsidRDefault="00786914" w:rsidP="0006743B">
            <w:pPr>
              <w:keepNext/>
              <w:autoSpaceDE w:val="0"/>
              <w:autoSpaceDN w:val="0"/>
              <w:adjustRightInd w:val="0"/>
              <w:spacing w:after="0"/>
              <w:ind w:left="57" w:right="57"/>
              <w:rPr>
                <w:rFonts w:ascii="Arial Narrow" w:hAnsi="Arial Narrow" w:cs="Garamond"/>
                <w:sz w:val="18"/>
                <w:szCs w:val="18"/>
              </w:rPr>
            </w:pPr>
            <w:r w:rsidRPr="00C47298">
              <w:rPr>
                <w:rFonts w:ascii="Arial Narrow" w:hAnsi="Arial Narrow" w:cs="Garamond"/>
                <w:sz w:val="18"/>
                <w:szCs w:val="18"/>
              </w:rPr>
              <w:t>No.</w:t>
            </w:r>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u w:val="single"/>
              </w:rPr>
            </w:pPr>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u w:val="single"/>
              </w:rPr>
            </w:pPr>
          </w:p>
        </w:tc>
        <w:tc>
          <w:tcPr>
            <w:tcW w:w="2485" w:type="dxa"/>
            <w:shd w:val="clear" w:color="auto" w:fill="auto"/>
          </w:tcPr>
          <w:p w:rsidR="00786914" w:rsidRPr="00864129" w:rsidRDefault="00786914" w:rsidP="0006743B">
            <w:pPr>
              <w:keepNext/>
              <w:autoSpaceDE w:val="0"/>
              <w:autoSpaceDN w:val="0"/>
              <w:adjustRightInd w:val="0"/>
              <w:spacing w:after="0"/>
              <w:ind w:left="57" w:right="57"/>
              <w:rPr>
                <w:rFonts w:ascii="Arial Narrow" w:hAnsi="Arial Narrow" w:cs="Garamond"/>
                <w:b/>
                <w:sz w:val="18"/>
                <w:szCs w:val="18"/>
              </w:rPr>
            </w:pPr>
            <w:r w:rsidRPr="00864129">
              <w:rPr>
                <w:rFonts w:ascii="Arial Narrow" w:hAnsi="Arial Narrow" w:cs="Garamond"/>
                <w:b/>
                <w:sz w:val="18"/>
                <w:szCs w:val="18"/>
              </w:rPr>
              <w:t>Aim/objectives of study</w:t>
            </w:r>
          </w:p>
          <w:p w:rsidR="00786914" w:rsidRPr="00496A4D" w:rsidRDefault="00786914" w:rsidP="0006743B">
            <w:pPr>
              <w:autoSpaceDE w:val="0"/>
              <w:autoSpaceDN w:val="0"/>
              <w:adjustRightInd w:val="0"/>
              <w:spacing w:after="0"/>
              <w:ind w:left="109"/>
              <w:rPr>
                <w:rFonts w:ascii="Arial Narrow" w:hAnsi="Arial Narrow"/>
                <w:color w:val="000000"/>
                <w:sz w:val="18"/>
                <w:szCs w:val="18"/>
              </w:rPr>
            </w:pPr>
            <w:r w:rsidRPr="00496A4D">
              <w:rPr>
                <w:rFonts w:ascii="Arial Narrow" w:hAnsi="Arial Narrow"/>
                <w:color w:val="231F20"/>
                <w:sz w:val="18"/>
                <w:szCs w:val="18"/>
              </w:rPr>
              <w:t xml:space="preserve">To determine the clinical effectiveness and cost utility of procedures alternative to TURP for benign prostatic enlargement (BPE) unresponsive to expectant, non-surgical treatments. </w:t>
            </w:r>
          </w:p>
          <w:p w:rsidR="00786914" w:rsidRPr="00496A4D" w:rsidRDefault="00786914" w:rsidP="0006743B">
            <w:pPr>
              <w:keepNext/>
              <w:autoSpaceDE w:val="0"/>
              <w:autoSpaceDN w:val="0"/>
              <w:adjustRightInd w:val="0"/>
              <w:spacing w:after="0"/>
              <w:ind w:left="109" w:right="57"/>
              <w:rPr>
                <w:rFonts w:ascii="Arial Narrow" w:hAnsi="Arial Narrow"/>
                <w:sz w:val="18"/>
                <w:szCs w:val="18"/>
              </w:rPr>
            </w:pPr>
            <w:r w:rsidRPr="00496A4D">
              <w:rPr>
                <w:rFonts w:ascii="Arial Narrow" w:hAnsi="Arial Narrow"/>
                <w:sz w:val="18"/>
                <w:szCs w:val="18"/>
              </w:rPr>
              <w:t xml:space="preserve">Interventions considered: minimally invasive techniques (TUMT, TUNA, TEAP, transurethral laser coagulation) and tissue ablative procedures (laser prostatectomy, laser vaporisation, TUVP, TUVRP, bipolar TURP, bipolar TUVP and bipolar TUVRP). </w:t>
            </w:r>
          </w:p>
          <w:p w:rsidR="00786914" w:rsidRPr="00674A3B" w:rsidRDefault="00786914" w:rsidP="0006743B">
            <w:pPr>
              <w:keepNext/>
              <w:autoSpaceDE w:val="0"/>
              <w:autoSpaceDN w:val="0"/>
              <w:adjustRightInd w:val="0"/>
              <w:spacing w:after="0"/>
              <w:ind w:right="57"/>
              <w:rPr>
                <w:rFonts w:ascii="Arial Narrow" w:hAnsi="Arial Narrow" w:cs="Symbol"/>
                <w:sz w:val="18"/>
                <w:szCs w:val="18"/>
                <w:highlight w:val="yellow"/>
              </w:rPr>
            </w:pPr>
          </w:p>
          <w:p w:rsidR="00786914" w:rsidRPr="003E5C32" w:rsidRDefault="00786914" w:rsidP="0006743B">
            <w:pPr>
              <w:keepNext/>
              <w:autoSpaceDE w:val="0"/>
              <w:autoSpaceDN w:val="0"/>
              <w:adjustRightInd w:val="0"/>
              <w:spacing w:after="0"/>
              <w:ind w:left="57" w:right="57"/>
              <w:rPr>
                <w:rFonts w:ascii="Arial Narrow" w:hAnsi="Arial Narrow" w:cs="Garamond"/>
                <w:b/>
                <w:sz w:val="18"/>
                <w:szCs w:val="18"/>
              </w:rPr>
            </w:pPr>
            <w:r w:rsidRPr="003E5C32">
              <w:rPr>
                <w:rFonts w:ascii="Arial Narrow" w:hAnsi="Arial Narrow" w:cs="Garamond"/>
                <w:b/>
                <w:sz w:val="18"/>
                <w:szCs w:val="18"/>
              </w:rPr>
              <w:t>Study design</w:t>
            </w:r>
          </w:p>
          <w:p w:rsidR="00786914" w:rsidRPr="00B81F2E" w:rsidRDefault="00786914" w:rsidP="0006743B">
            <w:pPr>
              <w:keepNext/>
              <w:autoSpaceDE w:val="0"/>
              <w:autoSpaceDN w:val="0"/>
              <w:adjustRightInd w:val="0"/>
              <w:spacing w:after="0"/>
              <w:ind w:left="57" w:right="57"/>
              <w:rPr>
                <w:rFonts w:ascii="Arial Narrow" w:hAnsi="Arial Narrow" w:cs="Garamond"/>
                <w:sz w:val="18"/>
                <w:szCs w:val="18"/>
              </w:rPr>
            </w:pPr>
            <w:r>
              <w:rPr>
                <w:rFonts w:ascii="Arial Narrow" w:hAnsi="Arial Narrow" w:cs="TimesNewRoman"/>
                <w:sz w:val="18"/>
                <w:szCs w:val="18"/>
              </w:rPr>
              <w:t>Systematic literature reviews and meta-analysis were carried out. Markov modelling and cost-utility analysis were conducted.</w:t>
            </w:r>
          </w:p>
        </w:tc>
        <w:tc>
          <w:tcPr>
            <w:tcW w:w="2410" w:type="dxa"/>
            <w:shd w:val="clear" w:color="auto" w:fill="auto"/>
          </w:tcPr>
          <w:p w:rsidR="00786914" w:rsidRPr="00BA7D0A" w:rsidRDefault="00786914" w:rsidP="0006743B">
            <w:pPr>
              <w:keepNext/>
              <w:autoSpaceDE w:val="0"/>
              <w:autoSpaceDN w:val="0"/>
              <w:adjustRightInd w:val="0"/>
              <w:spacing w:after="0"/>
              <w:ind w:left="57" w:right="57"/>
              <w:rPr>
                <w:rFonts w:ascii="Arial Narrow" w:hAnsi="Arial Narrow" w:cs="Garamond"/>
                <w:b/>
                <w:sz w:val="18"/>
                <w:szCs w:val="18"/>
              </w:rPr>
            </w:pPr>
            <w:r w:rsidRPr="00BA7D0A">
              <w:rPr>
                <w:rFonts w:ascii="Arial Narrow" w:hAnsi="Arial Narrow" w:cs="Garamond"/>
                <w:b/>
                <w:sz w:val="18"/>
                <w:szCs w:val="18"/>
              </w:rPr>
              <w:t>Databases searched</w:t>
            </w:r>
          </w:p>
          <w:p w:rsidR="00786914" w:rsidRPr="00BA7D0A" w:rsidRDefault="00786914" w:rsidP="0006743B">
            <w:pPr>
              <w:keepNext/>
              <w:autoSpaceDE w:val="0"/>
              <w:autoSpaceDN w:val="0"/>
              <w:adjustRightInd w:val="0"/>
              <w:spacing w:after="0"/>
              <w:ind w:left="57" w:right="57"/>
              <w:rPr>
                <w:rFonts w:ascii="Arial Narrow" w:hAnsi="Arial Narrow" w:cs="Garamond"/>
                <w:sz w:val="18"/>
                <w:szCs w:val="18"/>
              </w:rPr>
            </w:pPr>
            <w:r w:rsidRPr="00BA7D0A">
              <w:rPr>
                <w:rFonts w:ascii="Arial Narrow" w:hAnsi="Arial Narrow" w:cs="Garamond"/>
                <w:sz w:val="18"/>
                <w:szCs w:val="18"/>
              </w:rPr>
              <w:t xml:space="preserve">13 databases, incl. MEDLINE, EMBASE, MEDLINE In-Process, BIOSIS, ISI Science Citation Index, ISI Proceedings, Cochrane Controlled Trials Register (CENTRAL), Cochrane Database of Systematic Reviews, Database of Abstracts of Reviews of Effectiveness, HTA Database, National Research Register, Clinical Trials, Current Controlled Trials. </w:t>
            </w:r>
          </w:p>
          <w:p w:rsidR="00786914" w:rsidRDefault="00786914" w:rsidP="0006743B">
            <w:pPr>
              <w:keepNext/>
              <w:autoSpaceDE w:val="0"/>
              <w:autoSpaceDN w:val="0"/>
              <w:adjustRightInd w:val="0"/>
              <w:spacing w:after="0"/>
              <w:ind w:left="57" w:right="57"/>
              <w:rPr>
                <w:rFonts w:ascii="Arial Narrow" w:hAnsi="Arial Narrow" w:cs="Garamond"/>
                <w:sz w:val="18"/>
                <w:szCs w:val="18"/>
              </w:rPr>
            </w:pPr>
          </w:p>
          <w:p w:rsidR="00786914" w:rsidRPr="00BA7D0A" w:rsidRDefault="00786914" w:rsidP="0006743B">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Also conference proceedings of: European Assoc. Of Urology, the American Urological Assoc., British Assoc. Of Urological Surgeons</w:t>
            </w:r>
          </w:p>
          <w:p w:rsidR="00786914" w:rsidRPr="00B23DCA" w:rsidRDefault="00786914" w:rsidP="0006743B">
            <w:pPr>
              <w:keepNext/>
              <w:autoSpaceDE w:val="0"/>
              <w:autoSpaceDN w:val="0"/>
              <w:adjustRightInd w:val="0"/>
              <w:spacing w:after="0"/>
              <w:ind w:left="57" w:right="57"/>
              <w:rPr>
                <w:rFonts w:ascii="Arial Narrow" w:hAnsi="Arial Narrow" w:cs="Garamond"/>
                <w:sz w:val="18"/>
                <w:szCs w:val="18"/>
                <w:highlight w:val="yellow"/>
              </w:rPr>
            </w:pPr>
          </w:p>
          <w:p w:rsidR="00786914" w:rsidRPr="00BA7D0A" w:rsidRDefault="00786914" w:rsidP="0006743B">
            <w:pPr>
              <w:keepNext/>
              <w:autoSpaceDE w:val="0"/>
              <w:autoSpaceDN w:val="0"/>
              <w:adjustRightInd w:val="0"/>
              <w:spacing w:after="0"/>
              <w:ind w:left="57" w:right="57"/>
              <w:rPr>
                <w:rFonts w:ascii="Arial Narrow" w:hAnsi="Arial Narrow" w:cs="Garamond"/>
                <w:b/>
                <w:sz w:val="18"/>
                <w:szCs w:val="18"/>
              </w:rPr>
            </w:pPr>
            <w:r w:rsidRPr="00BA7D0A">
              <w:rPr>
                <w:rFonts w:ascii="Arial Narrow" w:hAnsi="Arial Narrow" w:cs="Garamond"/>
                <w:b/>
                <w:sz w:val="18"/>
                <w:szCs w:val="18"/>
              </w:rPr>
              <w:t>Time period of search</w:t>
            </w:r>
          </w:p>
          <w:p w:rsidR="00786914" w:rsidRPr="00BA7D0A" w:rsidRDefault="00786914" w:rsidP="0006743B">
            <w:pPr>
              <w:keepNext/>
              <w:autoSpaceDE w:val="0"/>
              <w:autoSpaceDN w:val="0"/>
              <w:adjustRightInd w:val="0"/>
              <w:spacing w:after="0"/>
              <w:ind w:left="57" w:right="57"/>
              <w:rPr>
                <w:rFonts w:ascii="Arial Narrow" w:hAnsi="Arial Narrow" w:cs="Garamond"/>
                <w:sz w:val="18"/>
                <w:szCs w:val="18"/>
              </w:rPr>
            </w:pPr>
            <w:r w:rsidRPr="00BA7D0A">
              <w:rPr>
                <w:rFonts w:ascii="Arial Narrow" w:hAnsi="Arial Narrow" w:cs="Garamond"/>
                <w:sz w:val="18"/>
                <w:szCs w:val="18"/>
              </w:rPr>
              <w:t>1966-2006</w:t>
            </w:r>
          </w:p>
          <w:p w:rsidR="00786914" w:rsidRPr="00B23DCA" w:rsidRDefault="00786914" w:rsidP="0006743B">
            <w:pPr>
              <w:keepNext/>
              <w:autoSpaceDE w:val="0"/>
              <w:autoSpaceDN w:val="0"/>
              <w:adjustRightInd w:val="0"/>
              <w:spacing w:after="0"/>
              <w:ind w:left="57" w:right="57"/>
              <w:rPr>
                <w:rFonts w:ascii="Arial Narrow" w:hAnsi="Arial Narrow" w:cs="Garamond"/>
                <w:sz w:val="18"/>
                <w:szCs w:val="18"/>
                <w:highlight w:val="yellow"/>
              </w:rPr>
            </w:pPr>
          </w:p>
          <w:p w:rsidR="00786914" w:rsidRPr="0057589B" w:rsidRDefault="00786914" w:rsidP="0006743B">
            <w:pPr>
              <w:keepNext/>
              <w:autoSpaceDE w:val="0"/>
              <w:autoSpaceDN w:val="0"/>
              <w:adjustRightInd w:val="0"/>
              <w:spacing w:after="0"/>
              <w:ind w:left="57" w:right="57"/>
              <w:rPr>
                <w:rFonts w:ascii="Arial Narrow" w:hAnsi="Arial Narrow" w:cs="Garamond"/>
                <w:b/>
                <w:sz w:val="18"/>
                <w:szCs w:val="18"/>
              </w:rPr>
            </w:pPr>
            <w:r w:rsidRPr="00CE0700">
              <w:rPr>
                <w:rFonts w:ascii="Arial Narrow" w:hAnsi="Arial Narrow" w:cs="Garamond"/>
                <w:b/>
                <w:sz w:val="18"/>
                <w:szCs w:val="18"/>
              </w:rPr>
              <w:t xml:space="preserve">Number of studies included </w:t>
            </w:r>
            <w:r w:rsidRPr="00CE0700">
              <w:rPr>
                <w:rFonts w:ascii="Arial Narrow" w:hAnsi="Arial Narrow" w:cs="Garamond"/>
                <w:b/>
                <w:sz w:val="18"/>
                <w:szCs w:val="18"/>
              </w:rPr>
              <w:lastRenderedPageBreak/>
              <w:t>by indication</w:t>
            </w:r>
          </w:p>
          <w:p w:rsidR="00786914" w:rsidRDefault="00786914" w:rsidP="0006743B">
            <w:pPr>
              <w:keepNext/>
              <w:autoSpaceDE w:val="0"/>
              <w:autoSpaceDN w:val="0"/>
              <w:adjustRightInd w:val="0"/>
              <w:spacing w:after="0"/>
              <w:ind w:left="57" w:right="57"/>
              <w:rPr>
                <w:rFonts w:ascii="Arial Narrow" w:hAnsi="Arial Narrow" w:cs="Garamond"/>
                <w:sz w:val="18"/>
                <w:szCs w:val="18"/>
              </w:rPr>
            </w:pPr>
          </w:p>
          <w:p w:rsidR="00786914" w:rsidRDefault="00786914" w:rsidP="0006743B">
            <w:pPr>
              <w:keepNext/>
              <w:autoSpaceDE w:val="0"/>
              <w:autoSpaceDN w:val="0"/>
              <w:adjustRightInd w:val="0"/>
              <w:spacing w:after="0"/>
              <w:ind w:left="57" w:right="57"/>
              <w:rPr>
                <w:rFonts w:ascii="Arial Narrow" w:hAnsi="Arial Narrow" w:cs="Garamond"/>
                <w:sz w:val="18"/>
                <w:szCs w:val="18"/>
              </w:rPr>
            </w:pPr>
            <w:r>
              <w:rPr>
                <w:rFonts w:ascii="Arial Narrow" w:hAnsi="Arial Narrow" w:cs="Garamond"/>
                <w:sz w:val="18"/>
                <w:szCs w:val="18"/>
              </w:rPr>
              <w:t>Entire report: 158 reports, describing 88 RCTs</w:t>
            </w:r>
            <w:r>
              <w:rPr>
                <w:rStyle w:val="FootnoteReference"/>
                <w:rFonts w:ascii="Arial Narrow" w:hAnsi="Arial Narrow" w:cs="Garamond"/>
                <w:sz w:val="18"/>
                <w:szCs w:val="18"/>
              </w:rPr>
              <w:footnoteReference w:id="3"/>
            </w:r>
          </w:p>
          <w:p w:rsidR="00786914" w:rsidRDefault="00786914" w:rsidP="0006743B">
            <w:pPr>
              <w:keepNext/>
              <w:autoSpaceDE w:val="0"/>
              <w:autoSpaceDN w:val="0"/>
              <w:adjustRightInd w:val="0"/>
              <w:spacing w:after="0"/>
              <w:ind w:left="57" w:right="57"/>
              <w:rPr>
                <w:rFonts w:ascii="Arial Narrow" w:hAnsi="Arial Narrow" w:cs="Garamond"/>
                <w:sz w:val="18"/>
                <w:szCs w:val="18"/>
              </w:rPr>
            </w:pPr>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sz w:val="18"/>
                <w:szCs w:val="18"/>
              </w:rPr>
              <w:t xml:space="preserve">HoLEP and TURP comparison: 15 papers, describing 5 RCTs. </w:t>
            </w:r>
          </w:p>
        </w:tc>
        <w:tc>
          <w:tcPr>
            <w:tcW w:w="2126" w:type="dxa"/>
            <w:shd w:val="clear" w:color="auto" w:fill="auto"/>
          </w:tcPr>
          <w:p w:rsidR="00786914" w:rsidRPr="00BA7D0A" w:rsidRDefault="00786914" w:rsidP="0006743B">
            <w:pPr>
              <w:keepNext/>
              <w:autoSpaceDE w:val="0"/>
              <w:autoSpaceDN w:val="0"/>
              <w:adjustRightInd w:val="0"/>
              <w:spacing w:after="0"/>
              <w:ind w:left="57" w:right="57"/>
              <w:rPr>
                <w:rFonts w:ascii="Arial Narrow" w:hAnsi="Arial Narrow" w:cs="Garamond"/>
                <w:b/>
                <w:sz w:val="18"/>
                <w:szCs w:val="18"/>
              </w:rPr>
            </w:pPr>
            <w:r w:rsidRPr="00BA7D0A">
              <w:rPr>
                <w:rFonts w:ascii="Arial Narrow" w:hAnsi="Arial Narrow" w:cs="Garamond"/>
                <w:b/>
                <w:sz w:val="18"/>
                <w:szCs w:val="18"/>
              </w:rPr>
              <w:lastRenderedPageBreak/>
              <w:t>Population:</w:t>
            </w:r>
          </w:p>
          <w:p w:rsidR="00786914" w:rsidRPr="00BA7D0A" w:rsidRDefault="00786914" w:rsidP="0006743B">
            <w:pPr>
              <w:autoSpaceDE w:val="0"/>
              <w:autoSpaceDN w:val="0"/>
              <w:adjustRightInd w:val="0"/>
              <w:spacing w:after="0"/>
              <w:ind w:left="34"/>
              <w:rPr>
                <w:rFonts w:ascii="Arial Narrow" w:hAnsi="Arial Narrow" w:cs="NewBaskervilleITCbyBT-Roman"/>
                <w:color w:val="231F20"/>
                <w:sz w:val="18"/>
                <w:szCs w:val="18"/>
              </w:rPr>
            </w:pPr>
            <w:r w:rsidRPr="00BA7D0A">
              <w:rPr>
                <w:rFonts w:ascii="Arial Narrow" w:hAnsi="Arial Narrow" w:cs="NewBaskervilleITCbyBT-Roman"/>
                <w:color w:val="231F20"/>
                <w:sz w:val="18"/>
                <w:szCs w:val="18"/>
              </w:rPr>
              <w:t>Trials of men with a clinical diagnosis of BPE who</w:t>
            </w:r>
          </w:p>
          <w:p w:rsidR="00786914" w:rsidRPr="00BA7D0A" w:rsidRDefault="00786914" w:rsidP="0006743B">
            <w:pPr>
              <w:autoSpaceDE w:val="0"/>
              <w:autoSpaceDN w:val="0"/>
              <w:adjustRightInd w:val="0"/>
              <w:spacing w:after="0"/>
              <w:ind w:left="34"/>
              <w:rPr>
                <w:rFonts w:ascii="Arial Narrow" w:hAnsi="Arial Narrow" w:cs="NewBaskervilleITCbyBT-Roman"/>
                <w:color w:val="231F20"/>
                <w:sz w:val="18"/>
                <w:szCs w:val="18"/>
              </w:rPr>
            </w:pPr>
            <w:r w:rsidRPr="00BA7D0A">
              <w:rPr>
                <w:rFonts w:ascii="Arial Narrow" w:hAnsi="Arial Narrow" w:cs="NewBaskervilleITCbyBT-Roman"/>
                <w:color w:val="231F20"/>
                <w:sz w:val="18"/>
                <w:szCs w:val="18"/>
              </w:rPr>
              <w:t>have undergone surgery were included. Patients</w:t>
            </w:r>
          </w:p>
          <w:p w:rsidR="00786914" w:rsidRPr="00BA7D0A" w:rsidRDefault="00786914" w:rsidP="0006743B">
            <w:pPr>
              <w:autoSpaceDE w:val="0"/>
              <w:autoSpaceDN w:val="0"/>
              <w:adjustRightInd w:val="0"/>
              <w:spacing w:after="0"/>
              <w:ind w:left="34"/>
              <w:rPr>
                <w:rFonts w:ascii="Arial Narrow" w:hAnsi="Arial Narrow" w:cs="NewBaskervilleITCbyBT-Roman"/>
                <w:color w:val="231F20"/>
                <w:sz w:val="18"/>
                <w:szCs w:val="18"/>
              </w:rPr>
            </w:pPr>
            <w:r w:rsidRPr="00BA7D0A">
              <w:rPr>
                <w:rFonts w:ascii="Arial Narrow" w:hAnsi="Arial Narrow" w:cs="NewBaskervilleITCbyBT-Roman"/>
                <w:color w:val="231F20"/>
                <w:sz w:val="18"/>
                <w:szCs w:val="18"/>
              </w:rPr>
              <w:t>undergoing conservative management (watchful</w:t>
            </w:r>
          </w:p>
          <w:p w:rsidR="00786914" w:rsidRDefault="00786914" w:rsidP="00AE6E57">
            <w:pPr>
              <w:autoSpaceDE w:val="0"/>
              <w:autoSpaceDN w:val="0"/>
              <w:adjustRightInd w:val="0"/>
              <w:spacing w:after="0"/>
              <w:ind w:left="34"/>
              <w:rPr>
                <w:rFonts w:ascii="Arial Narrow" w:hAnsi="Arial Narrow" w:cs="Garamond"/>
                <w:b/>
                <w:sz w:val="18"/>
                <w:szCs w:val="18"/>
              </w:rPr>
            </w:pPr>
            <w:r w:rsidRPr="00BA7D0A">
              <w:rPr>
                <w:rFonts w:ascii="Arial Narrow" w:hAnsi="Arial Narrow" w:cs="NewBaskervilleITCbyBT-Roman"/>
                <w:color w:val="231F20"/>
                <w:sz w:val="18"/>
                <w:szCs w:val="18"/>
              </w:rPr>
              <w:t>waiting or medical therapy) were excluded.</w:t>
            </w:r>
            <w:r w:rsidR="00AE6E57">
              <w:rPr>
                <w:rFonts w:ascii="Arial Narrow" w:hAnsi="Arial Narrow" w:cs="Garamond"/>
                <w:b/>
                <w:sz w:val="18"/>
                <w:szCs w:val="18"/>
              </w:rPr>
              <w:t xml:space="preserve"> </w:t>
            </w:r>
          </w:p>
          <w:p w:rsidR="00786914" w:rsidRDefault="00786914" w:rsidP="0006743B">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b/>
                <w:sz w:val="18"/>
                <w:szCs w:val="18"/>
              </w:rPr>
              <w:t xml:space="preserve">NB: intervention and comparator are inverted in the report: </w:t>
            </w:r>
          </w:p>
          <w:p w:rsidR="00786914" w:rsidRPr="00D819E7" w:rsidRDefault="00786914" w:rsidP="0006743B">
            <w:pPr>
              <w:keepNext/>
              <w:autoSpaceDE w:val="0"/>
              <w:autoSpaceDN w:val="0"/>
              <w:adjustRightInd w:val="0"/>
              <w:spacing w:after="0"/>
              <w:ind w:left="57" w:right="57"/>
              <w:rPr>
                <w:rFonts w:ascii="Arial Narrow" w:hAnsi="Arial Narrow" w:cs="Garamond"/>
                <w:b/>
                <w:sz w:val="18"/>
                <w:szCs w:val="18"/>
              </w:rPr>
            </w:pPr>
          </w:p>
          <w:p w:rsidR="00786914" w:rsidRPr="00D819E7" w:rsidRDefault="00786914" w:rsidP="0006743B">
            <w:pPr>
              <w:keepNext/>
              <w:autoSpaceDE w:val="0"/>
              <w:autoSpaceDN w:val="0"/>
              <w:adjustRightInd w:val="0"/>
              <w:spacing w:after="0"/>
              <w:ind w:left="57" w:right="57"/>
              <w:rPr>
                <w:rFonts w:ascii="Arial Narrow" w:hAnsi="Arial Narrow" w:cs="Garamond"/>
                <w:b/>
                <w:sz w:val="18"/>
                <w:szCs w:val="18"/>
              </w:rPr>
            </w:pPr>
            <w:r w:rsidRPr="00D819E7">
              <w:rPr>
                <w:rFonts w:ascii="Arial Narrow" w:hAnsi="Arial Narrow" w:cs="Garamond"/>
                <w:b/>
                <w:sz w:val="18"/>
                <w:szCs w:val="18"/>
              </w:rPr>
              <w:t xml:space="preserve">Report: </w:t>
            </w:r>
          </w:p>
          <w:p w:rsidR="00786914" w:rsidRPr="00D819E7" w:rsidRDefault="00786914" w:rsidP="0006743B">
            <w:pPr>
              <w:keepNext/>
              <w:autoSpaceDE w:val="0"/>
              <w:autoSpaceDN w:val="0"/>
              <w:adjustRightInd w:val="0"/>
              <w:spacing w:after="0"/>
              <w:ind w:left="57" w:right="57"/>
              <w:rPr>
                <w:rFonts w:ascii="Arial Narrow" w:hAnsi="Arial Narrow" w:cs="Garamond"/>
                <w:sz w:val="18"/>
                <w:szCs w:val="18"/>
              </w:rPr>
            </w:pPr>
            <w:r w:rsidRPr="00D819E7">
              <w:rPr>
                <w:rFonts w:ascii="Arial Narrow" w:hAnsi="Arial Narrow" w:cs="Garamond"/>
                <w:sz w:val="18"/>
                <w:szCs w:val="18"/>
              </w:rPr>
              <w:t>Intervention: TURP</w:t>
            </w:r>
          </w:p>
          <w:p w:rsidR="00786914" w:rsidRPr="00D819E7" w:rsidRDefault="00786914" w:rsidP="0006743B">
            <w:pPr>
              <w:keepNext/>
              <w:autoSpaceDE w:val="0"/>
              <w:autoSpaceDN w:val="0"/>
              <w:adjustRightInd w:val="0"/>
              <w:spacing w:after="0"/>
              <w:ind w:left="57" w:right="57"/>
              <w:rPr>
                <w:rFonts w:ascii="Arial Narrow" w:hAnsi="Arial Narrow" w:cs="Garamond"/>
                <w:sz w:val="18"/>
                <w:szCs w:val="18"/>
              </w:rPr>
            </w:pPr>
            <w:r w:rsidRPr="00D819E7">
              <w:rPr>
                <w:rFonts w:ascii="Arial Narrow" w:hAnsi="Arial Narrow" w:cs="Garamond"/>
                <w:sz w:val="18"/>
                <w:szCs w:val="18"/>
              </w:rPr>
              <w:t>Comparator: HoLEP</w:t>
            </w:r>
          </w:p>
          <w:p w:rsidR="00786914" w:rsidRPr="00D819E7" w:rsidRDefault="00786914" w:rsidP="0006743B">
            <w:pPr>
              <w:keepNext/>
              <w:autoSpaceDE w:val="0"/>
              <w:autoSpaceDN w:val="0"/>
              <w:adjustRightInd w:val="0"/>
              <w:spacing w:after="0"/>
              <w:ind w:left="57" w:right="57"/>
              <w:rPr>
                <w:rFonts w:ascii="Arial Narrow" w:hAnsi="Arial Narrow" w:cs="Garamond"/>
                <w:b/>
                <w:sz w:val="18"/>
                <w:szCs w:val="18"/>
              </w:rPr>
            </w:pPr>
          </w:p>
          <w:p w:rsidR="00786914" w:rsidRPr="00D819E7" w:rsidRDefault="00786914" w:rsidP="0006743B">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b/>
                <w:sz w:val="18"/>
                <w:szCs w:val="18"/>
              </w:rPr>
              <w:t xml:space="preserve">Evaluation for </w:t>
            </w:r>
            <w:r w:rsidRPr="00D819E7">
              <w:rPr>
                <w:rFonts w:ascii="Arial Narrow" w:hAnsi="Arial Narrow" w:cs="Garamond"/>
                <w:b/>
                <w:sz w:val="18"/>
                <w:szCs w:val="18"/>
              </w:rPr>
              <w:t xml:space="preserve">MSAC: </w:t>
            </w:r>
          </w:p>
          <w:p w:rsidR="00786914" w:rsidRPr="00D819E7" w:rsidRDefault="00786914" w:rsidP="0006743B">
            <w:pPr>
              <w:keepNext/>
              <w:autoSpaceDE w:val="0"/>
              <w:autoSpaceDN w:val="0"/>
              <w:adjustRightInd w:val="0"/>
              <w:spacing w:after="0"/>
              <w:ind w:left="57" w:right="57"/>
              <w:rPr>
                <w:rFonts w:ascii="Arial Narrow" w:hAnsi="Arial Narrow" w:cs="Garamond"/>
                <w:sz w:val="18"/>
                <w:szCs w:val="18"/>
              </w:rPr>
            </w:pPr>
            <w:r w:rsidRPr="00D819E7">
              <w:rPr>
                <w:rFonts w:ascii="Arial Narrow" w:hAnsi="Arial Narrow" w:cs="Garamond"/>
                <w:sz w:val="18"/>
                <w:szCs w:val="18"/>
              </w:rPr>
              <w:t>Intervention: HoLEP</w:t>
            </w:r>
          </w:p>
          <w:p w:rsidR="00786914" w:rsidRPr="00791523" w:rsidRDefault="00786914" w:rsidP="0006743B">
            <w:pPr>
              <w:keepNext/>
              <w:autoSpaceDE w:val="0"/>
              <w:autoSpaceDN w:val="0"/>
              <w:adjustRightInd w:val="0"/>
              <w:spacing w:after="0"/>
              <w:ind w:left="57" w:right="57"/>
              <w:rPr>
                <w:rFonts w:ascii="Arial Narrow" w:hAnsi="Arial Narrow" w:cs="Garamond"/>
                <w:sz w:val="18"/>
                <w:szCs w:val="18"/>
              </w:rPr>
            </w:pPr>
            <w:r w:rsidRPr="00D819E7">
              <w:rPr>
                <w:rFonts w:ascii="Arial Narrow" w:hAnsi="Arial Narrow" w:cs="Garamond"/>
                <w:sz w:val="18"/>
                <w:szCs w:val="18"/>
              </w:rPr>
              <w:t>Comparator: TURP</w:t>
            </w:r>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rPr>
            </w:pPr>
            <w:r>
              <w:rPr>
                <w:rFonts w:ascii="Arial Narrow" w:hAnsi="Arial Narrow" w:cs="Garamond"/>
                <w:b/>
                <w:sz w:val="18"/>
                <w:szCs w:val="18"/>
              </w:rPr>
              <w:t xml:space="preserve"> </w:t>
            </w:r>
          </w:p>
        </w:tc>
        <w:tc>
          <w:tcPr>
            <w:tcW w:w="2977" w:type="dxa"/>
            <w:shd w:val="clear" w:color="auto" w:fill="auto"/>
          </w:tcPr>
          <w:p w:rsidR="00786914" w:rsidRDefault="00786914" w:rsidP="0006743B">
            <w:pPr>
              <w:keepNext/>
              <w:autoSpaceDE w:val="0"/>
              <w:autoSpaceDN w:val="0"/>
              <w:adjustRightInd w:val="0"/>
              <w:spacing w:after="0"/>
              <w:ind w:left="57" w:right="57"/>
              <w:rPr>
                <w:rFonts w:ascii="Arial Narrow" w:hAnsi="Arial Narrow" w:cs="Garamond"/>
                <w:b/>
                <w:sz w:val="18"/>
                <w:szCs w:val="18"/>
              </w:rPr>
            </w:pPr>
            <w:r w:rsidRPr="00301B51">
              <w:rPr>
                <w:rFonts w:ascii="Arial Narrow" w:hAnsi="Arial Narrow" w:cs="Garamond"/>
                <w:b/>
                <w:sz w:val="18"/>
                <w:szCs w:val="18"/>
              </w:rPr>
              <w:t xml:space="preserve">Overall </w:t>
            </w:r>
            <w:r>
              <w:rPr>
                <w:rFonts w:ascii="Arial Narrow" w:hAnsi="Arial Narrow" w:cs="Garamond"/>
                <w:b/>
                <w:sz w:val="18"/>
                <w:szCs w:val="18"/>
              </w:rPr>
              <w:t xml:space="preserve">study </w:t>
            </w:r>
            <w:r w:rsidRPr="00301B51">
              <w:rPr>
                <w:rFonts w:ascii="Arial Narrow" w:hAnsi="Arial Narrow" w:cs="Garamond"/>
                <w:b/>
                <w:sz w:val="18"/>
                <w:szCs w:val="18"/>
              </w:rPr>
              <w:t>conclusion</w:t>
            </w:r>
            <w:r>
              <w:rPr>
                <w:rFonts w:ascii="Arial Narrow" w:hAnsi="Arial Narrow" w:cs="Garamond"/>
                <w:b/>
                <w:sz w:val="18"/>
                <w:szCs w:val="18"/>
              </w:rPr>
              <w:t xml:space="preserve">: </w:t>
            </w:r>
          </w:p>
          <w:p w:rsidR="00786914" w:rsidRPr="00B23DCA" w:rsidRDefault="00786914" w:rsidP="0006743B">
            <w:pPr>
              <w:autoSpaceDE w:val="0"/>
              <w:autoSpaceDN w:val="0"/>
              <w:adjustRightInd w:val="0"/>
              <w:spacing w:after="0"/>
              <w:ind w:left="34"/>
              <w:rPr>
                <w:rFonts w:ascii="Arial Narrow" w:hAnsi="Arial Narrow" w:cs="Humanist521BT-Roman"/>
                <w:color w:val="231F20"/>
                <w:sz w:val="18"/>
                <w:szCs w:val="18"/>
              </w:rPr>
            </w:pPr>
            <w:r w:rsidRPr="00B23DCA">
              <w:rPr>
                <w:rFonts w:ascii="Arial Narrow" w:hAnsi="Arial Narrow" w:cs="Humanist521BT-Roman"/>
                <w:color w:val="231F20"/>
                <w:sz w:val="18"/>
                <w:szCs w:val="18"/>
              </w:rPr>
              <w:t>In the absence of strong evidence in</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favour of newer methods, TURP remains both clinically effective and cost-effective.</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There is a need for further research to establish (i)</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how many years of medical treatment are necessary to</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offset the cost of treatment with a minimally invasive or</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ablative intervention; (ii) more cost-effective alternatives</w:t>
            </w:r>
            <w:r>
              <w:rPr>
                <w:rFonts w:ascii="Arial Narrow" w:hAnsi="Arial Narrow" w:cs="Humanist521BT-Roman"/>
                <w:color w:val="231F20"/>
                <w:sz w:val="18"/>
                <w:szCs w:val="18"/>
              </w:rPr>
              <w:t xml:space="preserve"> </w:t>
            </w:r>
            <w:r w:rsidRPr="00B23DCA">
              <w:rPr>
                <w:rFonts w:ascii="Arial Narrow" w:hAnsi="Arial Narrow" w:cs="Humanist521BT-Roman"/>
                <w:color w:val="231F20"/>
                <w:sz w:val="18"/>
                <w:szCs w:val="18"/>
              </w:rPr>
              <w:t>to TURP; (iii) strategies to improve outcomes after</w:t>
            </w:r>
          </w:p>
          <w:p w:rsidR="00786914" w:rsidRPr="00B23DCA" w:rsidRDefault="00786914" w:rsidP="0006743B">
            <w:pPr>
              <w:autoSpaceDE w:val="0"/>
              <w:autoSpaceDN w:val="0"/>
              <w:adjustRightInd w:val="0"/>
              <w:spacing w:after="0"/>
              <w:ind w:left="34"/>
              <w:rPr>
                <w:rFonts w:ascii="Arial Narrow" w:hAnsi="Arial Narrow" w:cs="Humanist521BT-Roman"/>
                <w:color w:val="000000"/>
                <w:sz w:val="18"/>
                <w:szCs w:val="18"/>
              </w:rPr>
            </w:pPr>
            <w:r w:rsidRPr="00B23DCA">
              <w:rPr>
                <w:rFonts w:ascii="Arial Narrow" w:hAnsi="Arial Narrow" w:cs="Humanist521BT-Roman"/>
                <w:color w:val="231F20"/>
                <w:sz w:val="18"/>
                <w:szCs w:val="18"/>
              </w:rPr>
              <w:t>TURP.</w:t>
            </w:r>
          </w:p>
          <w:p w:rsidR="00786914" w:rsidRDefault="00786914" w:rsidP="0006743B">
            <w:pPr>
              <w:keepNext/>
              <w:autoSpaceDE w:val="0"/>
              <w:autoSpaceDN w:val="0"/>
              <w:adjustRightInd w:val="0"/>
              <w:spacing w:after="0"/>
              <w:ind w:left="57" w:right="57"/>
              <w:rPr>
                <w:rFonts w:ascii="Arial Narrow" w:hAnsi="Arial Narrow" w:cs="Garamond"/>
                <w:b/>
                <w:sz w:val="18"/>
                <w:szCs w:val="18"/>
              </w:rPr>
            </w:pPr>
          </w:p>
          <w:p w:rsidR="00786914" w:rsidRPr="005D0DB2" w:rsidRDefault="00786914" w:rsidP="0006743B">
            <w:pPr>
              <w:keepNext/>
              <w:autoSpaceDE w:val="0"/>
              <w:autoSpaceDN w:val="0"/>
              <w:adjustRightInd w:val="0"/>
              <w:spacing w:after="0"/>
              <w:ind w:left="57" w:right="57"/>
              <w:rPr>
                <w:rFonts w:ascii="Arial Narrow" w:hAnsi="Arial Narrow" w:cs="Garamond"/>
                <w:b/>
                <w:sz w:val="18"/>
                <w:szCs w:val="18"/>
              </w:rPr>
            </w:pPr>
            <w:r w:rsidRPr="005D0DB2">
              <w:rPr>
                <w:rFonts w:ascii="Arial Narrow" w:hAnsi="Arial Narrow" w:cs="Garamond"/>
                <w:b/>
                <w:sz w:val="18"/>
                <w:szCs w:val="18"/>
              </w:rPr>
              <w:t xml:space="preserve">Conclusions specific to  HoLEP/TURP: </w:t>
            </w:r>
          </w:p>
          <w:p w:rsidR="00786914" w:rsidRPr="006923A0" w:rsidRDefault="00786914" w:rsidP="0006743B">
            <w:pPr>
              <w:autoSpaceDE w:val="0"/>
              <w:autoSpaceDN w:val="0"/>
              <w:adjustRightInd w:val="0"/>
              <w:spacing w:after="0"/>
              <w:ind w:left="34"/>
              <w:rPr>
                <w:rFonts w:ascii="Arial Narrow" w:hAnsi="Arial Narrow" w:cs="NewBaskervilleITCbyBT-Roman"/>
                <w:color w:val="231F20"/>
                <w:sz w:val="18"/>
                <w:szCs w:val="18"/>
              </w:rPr>
            </w:pPr>
            <w:r>
              <w:rPr>
                <w:rFonts w:ascii="Arial Narrow" w:hAnsi="Arial Narrow" w:cs="NewBaskervilleITCbyBT-Roman"/>
                <w:color w:val="231F20"/>
                <w:sz w:val="18"/>
                <w:szCs w:val="18"/>
              </w:rPr>
              <w:t>I</w:t>
            </w:r>
            <w:r w:rsidRPr="006923A0">
              <w:rPr>
                <w:rFonts w:ascii="Arial Narrow" w:hAnsi="Arial Narrow" w:cs="NewBaskervilleITCbyBT-Roman"/>
                <w:color w:val="231F20"/>
                <w:sz w:val="18"/>
                <w:szCs w:val="18"/>
              </w:rPr>
              <w:t>n terms of effectiveness, HoLEP</w:t>
            </w:r>
            <w:r>
              <w:rPr>
                <w:rFonts w:ascii="Arial Narrow" w:hAnsi="Arial Narrow" w:cs="NewBaskervilleITCbyBT-Roman"/>
                <w:color w:val="231F20"/>
                <w:sz w:val="18"/>
                <w:szCs w:val="18"/>
              </w:rPr>
              <w:t xml:space="preserve"> </w:t>
            </w:r>
            <w:r w:rsidRPr="006923A0">
              <w:rPr>
                <w:rFonts w:ascii="Arial Narrow" w:hAnsi="Arial Narrow" w:cs="NewBaskervilleITCbyBT-Roman"/>
                <w:color w:val="231F20"/>
                <w:sz w:val="18"/>
                <w:szCs w:val="18"/>
              </w:rPr>
              <w:t>would appear to be unique amongst the newer</w:t>
            </w:r>
          </w:p>
          <w:p w:rsidR="00786914" w:rsidRPr="006923A0" w:rsidRDefault="00786914" w:rsidP="0006743B">
            <w:pPr>
              <w:autoSpaceDE w:val="0"/>
              <w:autoSpaceDN w:val="0"/>
              <w:adjustRightInd w:val="0"/>
              <w:spacing w:after="0"/>
              <w:ind w:left="34"/>
              <w:rPr>
                <w:rFonts w:ascii="Arial Narrow" w:hAnsi="Arial Narrow" w:cs="NewBaskervilleITCbyBT-Roman"/>
                <w:color w:val="231F20"/>
                <w:sz w:val="18"/>
                <w:szCs w:val="18"/>
              </w:rPr>
            </w:pPr>
            <w:r w:rsidRPr="006923A0">
              <w:rPr>
                <w:rFonts w:ascii="Arial Narrow" w:hAnsi="Arial Narrow" w:cs="NewBaskervilleITCbyBT-Roman"/>
                <w:color w:val="231F20"/>
                <w:sz w:val="18"/>
                <w:szCs w:val="18"/>
              </w:rPr>
              <w:t>technologies in offering an advantage over TURP,</w:t>
            </w:r>
          </w:p>
          <w:p w:rsidR="00786914" w:rsidRPr="006923A0" w:rsidRDefault="00786914" w:rsidP="0006743B">
            <w:pPr>
              <w:autoSpaceDE w:val="0"/>
              <w:autoSpaceDN w:val="0"/>
              <w:adjustRightInd w:val="0"/>
              <w:spacing w:after="0"/>
              <w:ind w:left="34"/>
              <w:rPr>
                <w:rFonts w:ascii="Arial Narrow" w:hAnsi="Arial Narrow" w:cs="NewBaskervilleITCbyBT-Roman"/>
                <w:color w:val="231F20"/>
                <w:sz w:val="18"/>
                <w:szCs w:val="18"/>
              </w:rPr>
            </w:pPr>
            <w:r w:rsidRPr="006923A0">
              <w:rPr>
                <w:rFonts w:ascii="Arial Narrow" w:hAnsi="Arial Narrow" w:cs="NewBaskervilleITCbyBT-Roman"/>
                <w:color w:val="231F20"/>
                <w:sz w:val="18"/>
                <w:szCs w:val="18"/>
              </w:rPr>
              <w:t>although, based on the current short-term outcome</w:t>
            </w:r>
          </w:p>
          <w:p w:rsidR="00786914" w:rsidRPr="006923A0" w:rsidRDefault="00786914" w:rsidP="0006743B">
            <w:pPr>
              <w:autoSpaceDE w:val="0"/>
              <w:autoSpaceDN w:val="0"/>
              <w:adjustRightInd w:val="0"/>
              <w:spacing w:after="0"/>
              <w:ind w:left="34"/>
              <w:rPr>
                <w:rFonts w:ascii="Arial Narrow" w:hAnsi="Arial Narrow" w:cs="NewBaskervilleITCbyBT-Roman"/>
                <w:color w:val="000000"/>
                <w:sz w:val="18"/>
                <w:szCs w:val="18"/>
              </w:rPr>
            </w:pPr>
            <w:r w:rsidRPr="006923A0">
              <w:rPr>
                <w:rFonts w:ascii="Arial Narrow" w:hAnsi="Arial Narrow" w:cs="NewBaskervilleITCbyBT-Roman"/>
                <w:color w:val="231F20"/>
                <w:sz w:val="18"/>
                <w:szCs w:val="18"/>
              </w:rPr>
              <w:t>data available, this is confined to the urodynamic</w:t>
            </w:r>
            <w:r>
              <w:rPr>
                <w:rFonts w:ascii="Arial Narrow" w:hAnsi="Arial Narrow" w:cs="NewBaskervilleITCbyBT-Roman"/>
                <w:color w:val="231F20"/>
                <w:sz w:val="18"/>
                <w:szCs w:val="18"/>
              </w:rPr>
              <w:t xml:space="preserve"> </w:t>
            </w:r>
            <w:r w:rsidRPr="006923A0">
              <w:rPr>
                <w:rFonts w:ascii="Arial Narrow" w:hAnsi="Arial Narrow" w:cs="NewBaskervilleITCbyBT-Roman"/>
                <w:color w:val="231F20"/>
                <w:sz w:val="18"/>
                <w:szCs w:val="18"/>
              </w:rPr>
              <w:t>outcome, which may not be of importance to</w:t>
            </w:r>
            <w:r>
              <w:rPr>
                <w:rFonts w:ascii="Arial Narrow" w:hAnsi="Arial Narrow" w:cs="NewBaskervilleITCbyBT-Roman"/>
                <w:color w:val="231F20"/>
                <w:sz w:val="18"/>
                <w:szCs w:val="18"/>
              </w:rPr>
              <w:t xml:space="preserve"> </w:t>
            </w:r>
            <w:r w:rsidRPr="006923A0">
              <w:rPr>
                <w:rFonts w:ascii="Arial Narrow" w:hAnsi="Arial Narrow" w:cs="NewBaskervilleITCbyBT-Roman"/>
                <w:color w:val="231F20"/>
                <w:sz w:val="18"/>
                <w:szCs w:val="18"/>
              </w:rPr>
              <w:t>patients. Longer-term outcome data are awaited.</w:t>
            </w:r>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rPr>
            </w:pPr>
          </w:p>
        </w:tc>
        <w:tc>
          <w:tcPr>
            <w:tcW w:w="2693" w:type="dxa"/>
            <w:shd w:val="clear" w:color="auto" w:fill="auto"/>
          </w:tcPr>
          <w:p w:rsidR="00786914" w:rsidRPr="002D4634" w:rsidRDefault="00786914" w:rsidP="00F905B8">
            <w:pPr>
              <w:autoSpaceDE w:val="0"/>
              <w:autoSpaceDN w:val="0"/>
              <w:adjustRightInd w:val="0"/>
              <w:spacing w:beforeLines="20" w:before="48" w:afterLines="20" w:after="48"/>
              <w:ind w:left="20" w:right="20"/>
              <w:rPr>
                <w:rFonts w:ascii="Arial Narrow" w:hAnsi="Arial Narrow" w:cs="Garamond"/>
                <w:b/>
                <w:sz w:val="18"/>
                <w:szCs w:val="18"/>
              </w:rPr>
            </w:pPr>
            <w:r w:rsidRPr="002D4634">
              <w:rPr>
                <w:rFonts w:ascii="Arial Narrow" w:hAnsi="Arial Narrow" w:cs="Garamond"/>
                <w:b/>
                <w:sz w:val="18"/>
                <w:szCs w:val="18"/>
              </w:rPr>
              <w:lastRenderedPageBreak/>
              <w:t xml:space="preserve">Quality: </w:t>
            </w:r>
            <w:sdt>
              <w:sdtPr>
                <w:rPr>
                  <w:rFonts w:ascii="Arial Narrow" w:hAnsi="Arial Narrow" w:cs="Garamond"/>
                  <w:b/>
                  <w:sz w:val="18"/>
                  <w:szCs w:val="18"/>
                </w:rPr>
                <w:id w:val="11781229"/>
                <w:dropDownList>
                  <w:listItem w:value="Choose an item."/>
                  <w:listItem w:displayText="High" w:value="High"/>
                  <w:listItem w:displayText="Fair" w:value="Fair"/>
                  <w:listItem w:displayText="Low" w:value="Low"/>
                </w:dropDownList>
              </w:sdtPr>
              <w:sdtContent>
                <w:r>
                  <w:rPr>
                    <w:rFonts w:ascii="Arial Narrow" w:hAnsi="Arial Narrow" w:cs="Garamond"/>
                    <w:b/>
                    <w:sz w:val="18"/>
                    <w:szCs w:val="18"/>
                  </w:rPr>
                  <w:t>High</w:t>
                </w:r>
              </w:sdtContent>
            </w:sdt>
          </w:p>
          <w:p w:rsidR="00786914" w:rsidRPr="002D4634"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2D4634">
              <w:rPr>
                <w:rFonts w:ascii="Arial Narrow" w:hAnsi="Arial Narrow" w:cs="Garamond"/>
                <w:sz w:val="18"/>
                <w:szCs w:val="18"/>
              </w:rPr>
              <w:t>Explicit review questions</w:t>
            </w:r>
            <w:r w:rsidRPr="002D4634">
              <w:rPr>
                <w:rStyle w:val="FootnoteReference"/>
                <w:rFonts w:ascii="Arial Narrow" w:hAnsi="Arial Narrow" w:cs="Garamond"/>
                <w:sz w:val="18"/>
                <w:szCs w:val="18"/>
              </w:rPr>
              <w:footnoteReference w:id="4"/>
            </w:r>
            <w:r w:rsidRPr="002D4634">
              <w:rPr>
                <w:rFonts w:ascii="Arial Narrow" w:hAnsi="Arial Narrow" w:cs="Garamond"/>
                <w:sz w:val="18"/>
                <w:szCs w:val="18"/>
              </w:rPr>
              <w:t xml:space="preserve">: </w:t>
            </w:r>
            <w:sdt>
              <w:sdtPr>
                <w:rPr>
                  <w:rFonts w:ascii="Arial Narrow" w:hAnsi="Arial Narrow" w:cs="Garamond"/>
                  <w:sz w:val="18"/>
                  <w:szCs w:val="18"/>
                </w:rPr>
                <w:id w:val="11781188"/>
                <w:dropDownList>
                  <w:listItem w:value="Choose an item."/>
                  <w:listItem w:displayText="Yes" w:value="Yes"/>
                  <w:listItem w:displayText="No" w:value="No"/>
                </w:dropDownList>
              </w:sdtPr>
              <w:sdtContent>
                <w:r>
                  <w:rPr>
                    <w:rFonts w:ascii="Arial Narrow" w:hAnsi="Arial Narrow" w:cs="Garamond"/>
                    <w:sz w:val="18"/>
                    <w:szCs w:val="18"/>
                  </w:rPr>
                  <w:t>Yes</w:t>
                </w:r>
              </w:sdtContent>
            </w:sdt>
          </w:p>
          <w:p w:rsidR="00786914" w:rsidRPr="006C103D"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6C103D">
              <w:rPr>
                <w:rFonts w:ascii="Arial Narrow" w:hAnsi="Arial Narrow" w:cs="Garamond"/>
                <w:sz w:val="18"/>
                <w:szCs w:val="18"/>
              </w:rPr>
              <w:t xml:space="preserve">Explicit &amp; appropriate eligibility criteria:  </w:t>
            </w:r>
            <w:sdt>
              <w:sdtPr>
                <w:rPr>
                  <w:rFonts w:ascii="Arial Narrow" w:hAnsi="Arial Narrow" w:cs="Garamond"/>
                  <w:sz w:val="18"/>
                  <w:szCs w:val="18"/>
                </w:rPr>
                <w:id w:val="11781238"/>
                <w:dropDownList>
                  <w:listItem w:value="Choose an item."/>
                  <w:listItem w:displayText="Yes" w:value="Yes"/>
                  <w:listItem w:displayText="No" w:value="No"/>
                  <w:listItem w:displayText="Partially" w:value="Partially"/>
                  <w:listItem w:displayText="Not reported" w:value="Not reported"/>
                </w:dropDownList>
              </w:sdtPr>
              <w:sdtContent>
                <w:r w:rsidRPr="006C103D">
                  <w:rPr>
                    <w:rFonts w:ascii="Arial Narrow" w:hAnsi="Arial Narrow" w:cs="Garamond"/>
                    <w:sz w:val="18"/>
                    <w:szCs w:val="18"/>
                  </w:rPr>
                  <w:t>Yes</w:t>
                </w:r>
              </w:sdtContent>
            </w:sdt>
          </w:p>
          <w:p w:rsidR="00786914" w:rsidRPr="006C103D"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6C103D">
              <w:rPr>
                <w:rFonts w:ascii="Arial Narrow" w:hAnsi="Arial Narrow" w:cs="Garamond"/>
                <w:sz w:val="18"/>
                <w:szCs w:val="18"/>
              </w:rPr>
              <w:t xml:space="preserve">Explicit &amp; comprehensive search strategy:  </w:t>
            </w:r>
            <w:sdt>
              <w:sdtPr>
                <w:rPr>
                  <w:rFonts w:ascii="Arial Narrow" w:hAnsi="Arial Narrow" w:cs="Garamond"/>
                  <w:sz w:val="18"/>
                  <w:szCs w:val="18"/>
                </w:rPr>
                <w:id w:val="24861938"/>
                <w:dropDownList>
                  <w:listItem w:value="Choose an item."/>
                  <w:listItem w:displayText="Yes" w:value="Yes"/>
                  <w:listItem w:displayText="No" w:value="No"/>
                  <w:listItem w:displayText="Partially" w:value="Partially"/>
                  <w:listItem w:displayText="Not reported" w:value="Not reported"/>
                </w:dropDownList>
              </w:sdtPr>
              <w:sdtContent>
                <w:r w:rsidRPr="006C103D">
                  <w:rPr>
                    <w:rFonts w:ascii="Arial Narrow" w:hAnsi="Arial Narrow" w:cs="Garamond"/>
                    <w:sz w:val="18"/>
                    <w:szCs w:val="18"/>
                  </w:rPr>
                  <w:t>Yes</w:t>
                </w:r>
              </w:sdtContent>
            </w:sdt>
          </w:p>
          <w:p w:rsidR="00786914" w:rsidRPr="006C103D"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6C103D">
              <w:rPr>
                <w:rFonts w:ascii="Arial Narrow" w:hAnsi="Arial Narrow" w:cs="Garamond"/>
                <w:sz w:val="18"/>
                <w:szCs w:val="18"/>
              </w:rPr>
              <w:t xml:space="preserve">Quality of included studies appraised:  </w:t>
            </w:r>
            <w:sdt>
              <w:sdtPr>
                <w:rPr>
                  <w:rFonts w:ascii="Arial Narrow" w:hAnsi="Arial Narrow" w:cs="Garamond"/>
                  <w:sz w:val="18"/>
                  <w:szCs w:val="18"/>
                </w:rPr>
                <w:id w:val="24861939"/>
                <w:dropDownList>
                  <w:listItem w:value="Choose an item."/>
                  <w:listItem w:displayText="Yes" w:value="Yes"/>
                  <w:listItem w:displayText="No" w:value="No"/>
                  <w:listItem w:displayText="Partially" w:value="Partially"/>
                  <w:listItem w:displayText="Not reported" w:value="Not reported"/>
                </w:dropDownList>
              </w:sdtPr>
              <w:sdtContent>
                <w:r>
                  <w:rPr>
                    <w:rFonts w:ascii="Arial Narrow" w:hAnsi="Arial Narrow" w:cs="Garamond"/>
                    <w:sz w:val="18"/>
                    <w:szCs w:val="18"/>
                  </w:rPr>
                  <w:t>Yes</w:t>
                </w:r>
              </w:sdtContent>
            </w:sdt>
          </w:p>
          <w:p w:rsidR="00786914" w:rsidRPr="006C103D"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6C103D">
              <w:rPr>
                <w:rFonts w:ascii="Arial Narrow" w:hAnsi="Arial Narrow" w:cs="Garamond"/>
                <w:sz w:val="18"/>
                <w:szCs w:val="18"/>
              </w:rPr>
              <w:t>Methods of study appraisal reproducible:  Yes</w:t>
            </w:r>
          </w:p>
          <w:p w:rsidR="00786914" w:rsidRPr="006C103D" w:rsidRDefault="00786914" w:rsidP="00F905B8">
            <w:pPr>
              <w:autoSpaceDE w:val="0"/>
              <w:autoSpaceDN w:val="0"/>
              <w:adjustRightInd w:val="0"/>
              <w:spacing w:beforeLines="20" w:before="48" w:afterLines="20" w:after="48"/>
              <w:ind w:left="20" w:right="20"/>
              <w:rPr>
                <w:rFonts w:ascii="Arial Narrow" w:hAnsi="Arial Narrow" w:cs="Garamond"/>
                <w:sz w:val="18"/>
                <w:szCs w:val="18"/>
              </w:rPr>
            </w:pPr>
            <w:r w:rsidRPr="006C103D">
              <w:rPr>
                <w:rFonts w:ascii="Arial Narrow" w:hAnsi="Arial Narrow" w:cs="Garamond"/>
                <w:sz w:val="18"/>
                <w:szCs w:val="18"/>
              </w:rPr>
              <w:t>Heterogeneity between studies assessed:  Yes</w:t>
            </w:r>
          </w:p>
          <w:p w:rsidR="00786914" w:rsidRPr="00301B51" w:rsidRDefault="00786914" w:rsidP="0006743B">
            <w:pPr>
              <w:keepNext/>
              <w:spacing w:after="0"/>
              <w:ind w:left="34" w:right="57"/>
              <w:rPr>
                <w:rFonts w:ascii="Arial Narrow" w:hAnsi="Arial Narrow" w:cs="Garamond"/>
                <w:sz w:val="18"/>
                <w:szCs w:val="18"/>
              </w:rPr>
            </w:pPr>
            <w:r w:rsidRPr="006C103D">
              <w:rPr>
                <w:rFonts w:ascii="Arial Narrow" w:hAnsi="Arial Narrow" w:cs="Garamond"/>
                <w:sz w:val="18"/>
                <w:szCs w:val="18"/>
              </w:rPr>
              <w:t xml:space="preserve">Summary of main results clear and appropriate:  </w:t>
            </w:r>
            <w:sdt>
              <w:sdtPr>
                <w:rPr>
                  <w:rFonts w:ascii="Arial Narrow" w:hAnsi="Arial Narrow" w:cs="Garamond"/>
                  <w:sz w:val="18"/>
                  <w:szCs w:val="18"/>
                </w:rPr>
                <w:id w:val="24861940"/>
                <w:dropDownList>
                  <w:listItem w:value="Choose an item."/>
                  <w:listItem w:displayText="Yes" w:value="Yes"/>
                  <w:listItem w:displayText="No" w:value="No"/>
                </w:dropDownList>
              </w:sdtPr>
              <w:sdtContent>
                <w:r w:rsidRPr="006C103D">
                  <w:rPr>
                    <w:rFonts w:ascii="Arial Narrow" w:hAnsi="Arial Narrow" w:cs="Garamond"/>
                    <w:sz w:val="18"/>
                    <w:szCs w:val="18"/>
                  </w:rPr>
                  <w:t>Yes</w:t>
                </w:r>
              </w:sdtContent>
            </w:sdt>
          </w:p>
          <w:p w:rsidR="00786914" w:rsidRPr="00301B51" w:rsidRDefault="00786914" w:rsidP="0006743B">
            <w:pPr>
              <w:keepNext/>
              <w:autoSpaceDE w:val="0"/>
              <w:autoSpaceDN w:val="0"/>
              <w:adjustRightInd w:val="0"/>
              <w:spacing w:after="0"/>
              <w:ind w:left="57" w:right="57"/>
              <w:rPr>
                <w:rFonts w:ascii="Arial Narrow" w:hAnsi="Arial Narrow" w:cs="Garamond"/>
                <w:b/>
                <w:sz w:val="18"/>
                <w:szCs w:val="18"/>
                <w:u w:val="single"/>
              </w:rPr>
            </w:pPr>
          </w:p>
          <w:p w:rsidR="00786914" w:rsidRPr="00301B51" w:rsidRDefault="00786914" w:rsidP="0006743B">
            <w:pPr>
              <w:keepNext/>
              <w:autoSpaceDE w:val="0"/>
              <w:autoSpaceDN w:val="0"/>
              <w:adjustRightInd w:val="0"/>
              <w:spacing w:after="0"/>
              <w:ind w:left="-22" w:right="-19"/>
              <w:rPr>
                <w:rFonts w:ascii="Arial Narrow" w:hAnsi="Arial Narrow" w:cs="Garamond"/>
                <w:sz w:val="18"/>
                <w:szCs w:val="18"/>
              </w:rPr>
            </w:pPr>
          </w:p>
        </w:tc>
      </w:tr>
      <w:tr w:rsidR="00786914" w:rsidRPr="00506061" w:rsidTr="0006743B">
        <w:tc>
          <w:tcPr>
            <w:tcW w:w="14850" w:type="dxa"/>
            <w:gridSpan w:val="6"/>
            <w:shd w:val="clear" w:color="auto" w:fill="auto"/>
          </w:tcPr>
          <w:p w:rsidR="00786914" w:rsidRPr="00506061" w:rsidRDefault="00786914" w:rsidP="0006743B">
            <w:pPr>
              <w:keepNext/>
              <w:autoSpaceDE w:val="0"/>
              <w:autoSpaceDN w:val="0"/>
              <w:adjustRightInd w:val="0"/>
              <w:spacing w:after="0"/>
              <w:ind w:left="57" w:right="57"/>
              <w:rPr>
                <w:rFonts w:ascii="Arial Narrow" w:hAnsi="Arial Narrow" w:cs="Garamond"/>
                <w:b/>
                <w:sz w:val="20"/>
                <w:u w:val="single"/>
              </w:rPr>
            </w:pPr>
          </w:p>
          <w:p w:rsidR="00786914" w:rsidRPr="00506061" w:rsidRDefault="00786914" w:rsidP="0006743B">
            <w:pPr>
              <w:keepNext/>
              <w:autoSpaceDE w:val="0"/>
              <w:autoSpaceDN w:val="0"/>
              <w:adjustRightInd w:val="0"/>
              <w:spacing w:after="0"/>
              <w:ind w:right="57"/>
              <w:rPr>
                <w:rFonts w:ascii="Arial Narrow" w:hAnsi="Arial Narrow" w:cs="Garamond"/>
                <w:b/>
                <w:sz w:val="20"/>
              </w:rPr>
            </w:pPr>
            <w:r w:rsidRPr="00506061">
              <w:rPr>
                <w:rFonts w:ascii="Arial Narrow" w:hAnsi="Arial Narrow" w:cs="Garamond"/>
                <w:b/>
                <w:sz w:val="20"/>
              </w:rPr>
              <w:t>Results</w:t>
            </w:r>
          </w:p>
          <w:p w:rsidR="00786914" w:rsidRPr="00506061" w:rsidRDefault="00786914" w:rsidP="0006743B">
            <w:pPr>
              <w:keepNext/>
              <w:autoSpaceDE w:val="0"/>
              <w:autoSpaceDN w:val="0"/>
              <w:adjustRightInd w:val="0"/>
              <w:spacing w:after="0"/>
              <w:ind w:right="57"/>
              <w:rPr>
                <w:rFonts w:ascii="Arial Narrow" w:hAnsi="Arial Narrow" w:cs="Garamond"/>
                <w:sz w:val="20"/>
              </w:rPr>
            </w:pPr>
          </w:p>
          <w:p w:rsidR="00786914" w:rsidRPr="00506061" w:rsidRDefault="00786914" w:rsidP="0006743B">
            <w:pPr>
              <w:keepNext/>
              <w:autoSpaceDE w:val="0"/>
              <w:autoSpaceDN w:val="0"/>
              <w:adjustRightInd w:val="0"/>
              <w:spacing w:after="0"/>
              <w:ind w:right="57"/>
              <w:rPr>
                <w:rFonts w:ascii="Arial Narrow" w:hAnsi="Arial Narrow" w:cs="Garamond"/>
                <w:sz w:val="20"/>
              </w:rPr>
            </w:pPr>
            <w:r w:rsidRPr="00506061">
              <w:rPr>
                <w:rFonts w:ascii="Arial Narrow" w:hAnsi="Arial Narrow" w:cs="Garamond"/>
                <w:sz w:val="20"/>
              </w:rPr>
              <w:t>All results reported using a fixed effects model, unless otherwise stated.</w:t>
            </w:r>
          </w:p>
          <w:p w:rsidR="00786914" w:rsidRPr="00506061" w:rsidRDefault="00786914" w:rsidP="0006743B">
            <w:pPr>
              <w:keepNext/>
              <w:autoSpaceDE w:val="0"/>
              <w:autoSpaceDN w:val="0"/>
              <w:adjustRightInd w:val="0"/>
              <w:spacing w:after="0"/>
              <w:ind w:right="57"/>
              <w:rPr>
                <w:rFonts w:ascii="Arial Narrow" w:hAnsi="Arial Narrow" w:cs="Garamond"/>
                <w:b/>
                <w:sz w:val="20"/>
                <w:u w:val="single"/>
              </w:rPr>
            </w:pPr>
          </w:p>
          <w:p w:rsidR="00786914" w:rsidRPr="00506061" w:rsidRDefault="00786914" w:rsidP="0006743B">
            <w:pPr>
              <w:spacing w:after="0"/>
              <w:rPr>
                <w:rFonts w:ascii="Arial Narrow" w:hAnsi="Arial Narrow"/>
                <w:sz w:val="20"/>
              </w:rPr>
            </w:pPr>
            <w:r w:rsidRPr="00506061">
              <w:rPr>
                <w:rFonts w:ascii="Arial Narrow" w:hAnsi="Arial Narrow"/>
                <w:b/>
                <w:sz w:val="20"/>
              </w:rPr>
              <w:t>Safety:</w:t>
            </w:r>
            <w:r w:rsidRPr="00506061">
              <w:rPr>
                <w:rFonts w:ascii="Arial Narrow" w:hAnsi="Arial Narrow"/>
                <w:sz w:val="20"/>
              </w:rPr>
              <w:t xml:space="preserve"> </w:t>
            </w:r>
          </w:p>
          <w:p w:rsidR="00786914" w:rsidRPr="00506061" w:rsidRDefault="00786914" w:rsidP="0006743B">
            <w:pPr>
              <w:spacing w:after="0"/>
              <w:rPr>
                <w:rFonts w:ascii="Arial Narrow" w:hAnsi="Arial Narrow"/>
                <w:sz w:val="20"/>
                <w:u w:val="single"/>
              </w:rPr>
            </w:pPr>
          </w:p>
          <w:p w:rsidR="00786914" w:rsidRPr="00506061" w:rsidRDefault="00786914" w:rsidP="0006743B">
            <w:pPr>
              <w:spacing w:after="0"/>
              <w:rPr>
                <w:rFonts w:ascii="Arial Narrow" w:hAnsi="Arial Narrow"/>
                <w:sz w:val="20"/>
              </w:rPr>
            </w:pPr>
            <w:r w:rsidRPr="00506061">
              <w:rPr>
                <w:rFonts w:ascii="Arial Narrow" w:hAnsi="Arial Narrow"/>
                <w:sz w:val="20"/>
                <w:u w:val="single"/>
              </w:rPr>
              <w:t>(a) Immediate complications</w:t>
            </w:r>
            <w:r w:rsidRPr="00506061">
              <w:rPr>
                <w:rFonts w:ascii="Arial Narrow" w:hAnsi="Arial Narrow"/>
                <w:sz w:val="20"/>
              </w:rPr>
              <w:t xml:space="preserve">: HoLEP had lower rate of </w:t>
            </w:r>
            <w:r w:rsidRPr="00506061">
              <w:rPr>
                <w:rFonts w:ascii="Arial Narrow" w:hAnsi="Arial Narrow"/>
                <w:i/>
                <w:sz w:val="20"/>
              </w:rPr>
              <w:t>blood transfusion</w:t>
            </w:r>
            <w:r w:rsidRPr="00506061">
              <w:rPr>
                <w:rFonts w:ascii="Arial Narrow" w:hAnsi="Arial Narrow"/>
                <w:sz w:val="20"/>
              </w:rPr>
              <w:t xml:space="preserve"> than TURP (5 studies, 1/293 HoLEP vs. 9/287 TURP, RR 0.27, 95% CI 0.07-0.94, p=0.04). The occurrence of </w:t>
            </w:r>
            <w:r w:rsidRPr="00506061">
              <w:rPr>
                <w:rFonts w:ascii="Arial Narrow" w:hAnsi="Arial Narrow"/>
                <w:i/>
                <w:sz w:val="20"/>
              </w:rPr>
              <w:t>urinary retention</w:t>
            </w:r>
            <w:r w:rsidRPr="00506061">
              <w:rPr>
                <w:rFonts w:ascii="Arial Narrow" w:hAnsi="Arial Narrow"/>
                <w:sz w:val="20"/>
              </w:rPr>
              <w:t xml:space="preserve"> for HoLEP and TURP was similar, but with wide confidence intervals (5 studies, 15/293 HoLEP vs. 21/287 TURP, RR 0.71, 95% CI 0.38-1.32, p=0.28). The occurrence of </w:t>
            </w:r>
            <w:r w:rsidRPr="00506061">
              <w:rPr>
                <w:rFonts w:ascii="Arial Narrow" w:hAnsi="Arial Narrow"/>
                <w:i/>
                <w:sz w:val="20"/>
              </w:rPr>
              <w:t>urinary tract infection</w:t>
            </w:r>
            <w:r w:rsidRPr="00506061">
              <w:rPr>
                <w:rFonts w:ascii="Arial Narrow" w:hAnsi="Arial Narrow"/>
                <w:sz w:val="20"/>
              </w:rPr>
              <w:t xml:space="preserve"> for HoLEP and TURP was similar, but with wide confidence intervals (2 studies, 5/91 HoLEP vs. 5/89 TURP, RR 0.98, 95% CI 0.31-3.09, p=0.97). </w:t>
            </w:r>
            <w:r w:rsidRPr="00506061">
              <w:rPr>
                <w:rFonts w:ascii="Arial Narrow" w:hAnsi="Arial Narrow"/>
                <w:i/>
                <w:sz w:val="20"/>
              </w:rPr>
              <w:t>TUR syndrome</w:t>
            </w:r>
            <w:r w:rsidRPr="00506061">
              <w:rPr>
                <w:rFonts w:ascii="Arial Narrow" w:hAnsi="Arial Narrow"/>
                <w:sz w:val="20"/>
              </w:rPr>
              <w:t xml:space="preserve"> was reported in only 1 study with 1 event reported in the TURP arm (1 study, 0/52 HoLEP vs. 1/48 TURP, RR 0.31, 95% CI 0.01-7.39, p=0.47). </w:t>
            </w:r>
            <w:r w:rsidRPr="00506061">
              <w:rPr>
                <w:rFonts w:ascii="Arial Narrow" w:hAnsi="Arial Narrow"/>
                <w:i/>
                <w:sz w:val="20"/>
              </w:rPr>
              <w:t>Mortality rates</w:t>
            </w:r>
            <w:r w:rsidRPr="00506061">
              <w:rPr>
                <w:rFonts w:ascii="Arial Narrow" w:hAnsi="Arial Narrow"/>
                <w:sz w:val="20"/>
              </w:rPr>
              <w:t xml:space="preserve">: 2 studies, 1/91 HoLEP vs. 2/89 TURP, RR 0.59, 95% CI 0.08 to 4.39, p=0.61. </w:t>
            </w:r>
            <w:r w:rsidRPr="00506061">
              <w:rPr>
                <w:rFonts w:ascii="Arial Narrow" w:hAnsi="Arial Narrow"/>
                <w:i/>
                <w:sz w:val="20"/>
              </w:rPr>
              <w:t>Capsular perforation rates</w:t>
            </w:r>
            <w:r w:rsidRPr="00506061">
              <w:rPr>
                <w:rFonts w:ascii="Arial Narrow" w:hAnsi="Arial Narrow"/>
                <w:sz w:val="20"/>
              </w:rPr>
              <w:t xml:space="preserve">: 1 study, HoLEP n=1 (2.0%), TURP n=0 (0.0%), p=NR. </w:t>
            </w:r>
          </w:p>
          <w:p w:rsidR="00786914" w:rsidRPr="00506061" w:rsidRDefault="00786914" w:rsidP="0006743B">
            <w:pPr>
              <w:spacing w:after="0"/>
              <w:rPr>
                <w:rFonts w:ascii="Arial Narrow" w:hAnsi="Arial Narrow"/>
                <w:sz w:val="20"/>
              </w:rPr>
            </w:pPr>
          </w:p>
          <w:p w:rsidR="00AE6E57" w:rsidRDefault="00786914" w:rsidP="0006743B">
            <w:pPr>
              <w:spacing w:after="0"/>
              <w:rPr>
                <w:rFonts w:ascii="Arial Narrow" w:hAnsi="Arial Narrow"/>
                <w:sz w:val="20"/>
              </w:rPr>
            </w:pPr>
            <w:r w:rsidRPr="00506061">
              <w:rPr>
                <w:rFonts w:ascii="Arial Narrow" w:hAnsi="Arial Narrow"/>
                <w:sz w:val="20"/>
              </w:rPr>
              <w:t>(</w:t>
            </w:r>
            <w:r w:rsidRPr="00506061">
              <w:rPr>
                <w:rFonts w:ascii="Arial Narrow" w:hAnsi="Arial Narrow"/>
                <w:sz w:val="20"/>
                <w:u w:val="single"/>
              </w:rPr>
              <w:t>b) Longer-term complications</w:t>
            </w:r>
            <w:r w:rsidRPr="00506061">
              <w:rPr>
                <w:rFonts w:ascii="Arial Narrow" w:hAnsi="Arial Narrow"/>
                <w:sz w:val="20"/>
              </w:rPr>
              <w:t xml:space="preserve">:  </w:t>
            </w:r>
            <w:r w:rsidRPr="00506061">
              <w:rPr>
                <w:rFonts w:ascii="Arial Narrow" w:hAnsi="Arial Narrow"/>
                <w:i/>
                <w:sz w:val="20"/>
              </w:rPr>
              <w:t>Stricture</w:t>
            </w:r>
            <w:r w:rsidRPr="00506061">
              <w:rPr>
                <w:rFonts w:ascii="Arial Narrow" w:hAnsi="Arial Narrow"/>
                <w:sz w:val="20"/>
              </w:rPr>
              <w:t xml:space="preserve"> for HoLEP and TURP was similar but with wide confidence intervals (5 studies, 15/287 HoLEP vs. 17/273 TURP, RR 0.84, 95% CI 0.43-1.65, p=0.61). </w:t>
            </w:r>
            <w:r w:rsidRPr="00506061">
              <w:rPr>
                <w:rFonts w:ascii="Arial Narrow" w:hAnsi="Arial Narrow"/>
                <w:i/>
                <w:sz w:val="20"/>
              </w:rPr>
              <w:t>Urinary incontinence</w:t>
            </w:r>
            <w:r w:rsidRPr="00506061">
              <w:rPr>
                <w:rFonts w:ascii="Arial Narrow" w:hAnsi="Arial Narrow"/>
                <w:sz w:val="20"/>
              </w:rPr>
              <w:t xml:space="preserve"> for HoLEP and TURP was similar but with wide confidence intervals (4 studies, 55/252 HoLEP vs. 54/253 TURP, RR 0.97, 95% CI 0.72-1.31, p=0.83). The </w:t>
            </w:r>
            <w:r w:rsidRPr="00506061">
              <w:rPr>
                <w:rFonts w:ascii="Arial Narrow" w:hAnsi="Arial Narrow"/>
                <w:i/>
                <w:sz w:val="20"/>
              </w:rPr>
              <w:t>erectile dysfunction</w:t>
            </w:r>
            <w:r w:rsidRPr="00506061">
              <w:rPr>
                <w:rFonts w:ascii="Arial Narrow" w:hAnsi="Arial Narrow"/>
                <w:sz w:val="20"/>
              </w:rPr>
              <w:t xml:space="preserve"> rates were higher for HoLEP (n=2, 9.09%) than for TURP (n=2, 7.69%) but statistically insignificant (p=0.86) (reported on the basis of 1 study).</w:t>
            </w:r>
          </w:p>
          <w:p w:rsidR="00786914" w:rsidRPr="00506061" w:rsidRDefault="00AE6E57" w:rsidP="0006743B">
            <w:pPr>
              <w:spacing w:after="0"/>
              <w:rPr>
                <w:rFonts w:ascii="Arial Narrow" w:hAnsi="Arial Narrow"/>
                <w:sz w:val="20"/>
              </w:rPr>
            </w:pPr>
            <w:r w:rsidRPr="00506061">
              <w:rPr>
                <w:rFonts w:ascii="Arial Narrow" w:hAnsi="Arial Narrow"/>
                <w:b/>
                <w:sz w:val="20"/>
              </w:rPr>
              <w:t xml:space="preserve"> </w:t>
            </w:r>
            <w:r w:rsidR="00786914" w:rsidRPr="00506061">
              <w:rPr>
                <w:rFonts w:ascii="Arial Narrow" w:hAnsi="Arial Narrow"/>
                <w:b/>
                <w:sz w:val="20"/>
              </w:rPr>
              <w:t>Effectiveness:</w:t>
            </w:r>
            <w:r w:rsidR="00786914" w:rsidRPr="00506061">
              <w:rPr>
                <w:rFonts w:ascii="Arial Narrow" w:hAnsi="Arial Narrow"/>
                <w:sz w:val="20"/>
              </w:rPr>
              <w:t xml:space="preserve"> </w:t>
            </w:r>
          </w:p>
          <w:p w:rsidR="00786914" w:rsidRPr="00506061" w:rsidRDefault="00786914" w:rsidP="0006743B">
            <w:pPr>
              <w:spacing w:after="0"/>
              <w:rPr>
                <w:rFonts w:ascii="Arial Narrow" w:hAnsi="Arial Narrow"/>
                <w:sz w:val="20"/>
                <w:u w:val="single"/>
              </w:rPr>
            </w:pPr>
          </w:p>
          <w:p w:rsidR="00AE6E57" w:rsidRPr="00506061" w:rsidRDefault="00786914" w:rsidP="00AE6E57">
            <w:pPr>
              <w:spacing w:after="0"/>
              <w:rPr>
                <w:rFonts w:ascii="Arial Narrow" w:hAnsi="Arial Narrow" w:cs="NewBaskervilleITCbyBT-Roman"/>
                <w:color w:val="231F20"/>
                <w:sz w:val="20"/>
              </w:rPr>
            </w:pPr>
            <w:r w:rsidRPr="00506061">
              <w:rPr>
                <w:rFonts w:ascii="Arial Narrow" w:hAnsi="Arial Narrow"/>
                <w:sz w:val="20"/>
                <w:u w:val="single"/>
              </w:rPr>
              <w:t>(a) Symptoms</w:t>
            </w:r>
            <w:r w:rsidRPr="00506061">
              <w:rPr>
                <w:rFonts w:ascii="Arial Narrow" w:hAnsi="Arial Narrow"/>
                <w:sz w:val="20"/>
              </w:rPr>
              <w:t xml:space="preserve">: </w:t>
            </w:r>
            <w:r w:rsidRPr="00506061">
              <w:rPr>
                <w:rFonts w:ascii="Arial Narrow" w:hAnsi="Arial Narrow"/>
                <w:i/>
                <w:sz w:val="20"/>
              </w:rPr>
              <w:t>symptom scores</w:t>
            </w:r>
            <w:r w:rsidRPr="00506061">
              <w:rPr>
                <w:rFonts w:ascii="Arial Narrow" w:hAnsi="Arial Narrow"/>
                <w:sz w:val="20"/>
              </w:rPr>
              <w:t xml:space="preserve"> were better for HoLEP than TURP. Scores at 6 months: 5 studies, WMD -0.91, 95% CI -1.05 to -0.77, p=0.00001. Scores at 12 months (using the fixed effects model): 5 studies, WMD -0.42, 95% CI -0.52 to -0.32, p=00001. (Because heterogeneity was high, random effects model was applied; WMD still favoured HoLEP, but the difference was no longer statistically relevant: WMD -0.80, 95% CI -1.70 to 0.10, p=0.08). Scores at 4 years: 1 study, WMD -1.40, 95% CI -3.91 to 1.11, p=0.27. </w:t>
            </w:r>
            <w:r w:rsidRPr="00506061">
              <w:rPr>
                <w:rFonts w:ascii="Arial Narrow" w:hAnsi="Arial Narrow" w:cs="NewBaskervilleITCbyBT-Roman"/>
                <w:color w:val="231F20"/>
                <w:sz w:val="20"/>
              </w:rPr>
              <w:t xml:space="preserve">The data also indicate that </w:t>
            </w:r>
            <w:r w:rsidRPr="00506061">
              <w:rPr>
                <w:rFonts w:ascii="Arial Narrow" w:hAnsi="Arial Narrow" w:cs="NewBaskervilleITCbyBT-Roman"/>
                <w:i/>
                <w:color w:val="231F20"/>
                <w:sz w:val="20"/>
              </w:rPr>
              <w:t>peak urine flow rate</w:t>
            </w:r>
            <w:r w:rsidRPr="00506061">
              <w:rPr>
                <w:rFonts w:ascii="Arial Narrow" w:hAnsi="Arial Narrow" w:cs="NewBaskervilleITCbyBT-Roman"/>
                <w:color w:val="231F20"/>
                <w:sz w:val="20"/>
              </w:rPr>
              <w:t xml:space="preserve"> was better after HoLEP than after TURP at 3 and 12 months after the interventions (NB: although these results are statistically significant, the difference is small and therefore may not be clinically relevant). At 3 months: 2 studies, WMD 3.49 ml/s, 95% CI 0.63-6.35, p=0.02</w:t>
            </w:r>
            <w:r>
              <w:rPr>
                <w:rFonts w:ascii="Arial Narrow" w:hAnsi="Arial Narrow" w:cs="NewBaskervilleITCbyBT-Roman"/>
                <w:color w:val="231F20"/>
                <w:sz w:val="20"/>
              </w:rPr>
              <w:t xml:space="preserve">. </w:t>
            </w:r>
            <w:r w:rsidRPr="00506061">
              <w:rPr>
                <w:rFonts w:ascii="Arial Narrow" w:hAnsi="Arial Narrow"/>
                <w:sz w:val="20"/>
              </w:rPr>
              <w:t xml:space="preserve">At 6 months: 5 studies, WMD -4.05, 95% CI -4.51 to 3.60, p&lt;0.00001. </w:t>
            </w:r>
            <w:r w:rsidRPr="00506061">
              <w:rPr>
                <w:rFonts w:ascii="Arial Narrow" w:hAnsi="Arial Narrow" w:cs="NewBaskervilleITCbyBT-Roman"/>
                <w:color w:val="231F20"/>
                <w:sz w:val="20"/>
              </w:rPr>
              <w:t xml:space="preserve">At 12 months: 5 studies, WMD 1.43, 95% CI 0.92 to 1.93, p&lt;0.00001. </w:t>
            </w:r>
            <w:r w:rsidRPr="00506061">
              <w:rPr>
                <w:rFonts w:ascii="Arial Narrow" w:hAnsi="Arial Narrow"/>
                <w:sz w:val="20"/>
              </w:rPr>
              <w:t xml:space="preserve">At 24 months: 2 studies, WMD 3.16, 95% CI -0.49 to 6.81, p=0.09. </w:t>
            </w:r>
            <w:r w:rsidRPr="00506061">
              <w:rPr>
                <w:rFonts w:ascii="Arial Narrow" w:hAnsi="Arial Narrow" w:cs="NewBaskervilleITCbyBT-Roman"/>
                <w:i/>
                <w:color w:val="231F20"/>
                <w:sz w:val="20"/>
              </w:rPr>
              <w:t>Post void residual volume</w:t>
            </w:r>
            <w:r w:rsidRPr="00506061">
              <w:rPr>
                <w:rFonts w:ascii="Arial Narrow" w:hAnsi="Arial Narrow" w:cs="NewBaskervilleITCbyBT-Roman"/>
                <w:color w:val="231F20"/>
                <w:sz w:val="20"/>
              </w:rPr>
              <w:t xml:space="preserve">: at 6 months: 2 studies, WMD -12.02, 95% CI -16.31 to -7.74, p&lt;0.00001; at 12 months: 1 study, WMD -21.30, 95% CI -34.46 to -8.14, p=0.002. </w:t>
            </w:r>
            <w:r w:rsidRPr="00506061">
              <w:rPr>
                <w:rFonts w:ascii="Arial Narrow" w:hAnsi="Arial Narrow" w:cs="NewBaskervilleITCbyBT-Roman"/>
                <w:i/>
                <w:color w:val="231F20"/>
                <w:sz w:val="20"/>
              </w:rPr>
              <w:t>Prostate volume</w:t>
            </w:r>
            <w:r w:rsidRPr="00506061">
              <w:rPr>
                <w:rFonts w:ascii="Arial Narrow" w:hAnsi="Arial Narrow" w:cs="NewBaskervilleITCbyBT-Roman"/>
                <w:color w:val="231F20"/>
                <w:sz w:val="20"/>
              </w:rPr>
              <w:t>: at 6 months: 1 study, WMD -18.20, 95% CI -27.52 to -8.88, p=0.0001.</w:t>
            </w:r>
          </w:p>
          <w:p w:rsidR="00786914" w:rsidRPr="00506061" w:rsidRDefault="00786914" w:rsidP="0006743B">
            <w:pPr>
              <w:spacing w:after="0"/>
              <w:rPr>
                <w:rFonts w:ascii="Arial Narrow" w:hAnsi="Arial Narrow"/>
                <w:sz w:val="20"/>
              </w:rPr>
            </w:pPr>
            <w:r w:rsidRPr="00506061">
              <w:rPr>
                <w:rFonts w:ascii="Arial Narrow" w:hAnsi="Arial Narrow" w:cs="NewBaskervilleITCbyBT-Roman"/>
                <w:color w:val="231F20"/>
                <w:sz w:val="20"/>
              </w:rPr>
              <w:t xml:space="preserve"> </w:t>
            </w:r>
            <w:r w:rsidRPr="00506061">
              <w:rPr>
                <w:rFonts w:ascii="Arial Narrow" w:hAnsi="Arial Narrow" w:cs="NewBaskervilleITCbyBT-Roman"/>
                <w:color w:val="231F20"/>
                <w:sz w:val="20"/>
                <w:u w:val="single"/>
              </w:rPr>
              <w:t>(b) Quality of Life:</w:t>
            </w:r>
            <w:r w:rsidRPr="00506061">
              <w:rPr>
                <w:rFonts w:ascii="Arial Narrow" w:hAnsi="Arial Narrow" w:cs="NewBaskervilleITCbyBT-Roman"/>
                <w:color w:val="231F20"/>
                <w:sz w:val="20"/>
              </w:rPr>
              <w:t xml:space="preserve"> was assessed using IPSS QoL questionnaire; quality of life does not appear to differ between HoLEP and TURP. At 6 months: 3 studies, WMD 0.25, 95% CI 0.05 to 0.44, p=0.01. At 12 months: 3 studies, WMD 0.06, 95% CI -0.26 to 0.38, p=0.73, with marked heterogeneity</w:t>
            </w:r>
            <w:r>
              <w:rPr>
                <w:rFonts w:ascii="Arial Narrow" w:hAnsi="Arial Narrow" w:cs="NewBaskervilleITCbyBT-Roman"/>
                <w:color w:val="231F20"/>
                <w:sz w:val="20"/>
              </w:rPr>
              <w:t xml:space="preserve">. </w:t>
            </w:r>
          </w:p>
          <w:p w:rsidR="00786914" w:rsidRPr="00506061" w:rsidRDefault="00786914" w:rsidP="0006743B">
            <w:pPr>
              <w:spacing w:after="0"/>
              <w:rPr>
                <w:rFonts w:ascii="Arial Narrow" w:hAnsi="Arial Narrow" w:cs="NewBaskervilleITCbyBT-Roman"/>
                <w:color w:val="231F20"/>
                <w:sz w:val="20"/>
                <w:u w:val="single"/>
              </w:rPr>
            </w:pPr>
          </w:p>
          <w:p w:rsidR="00786914" w:rsidRPr="00506061" w:rsidRDefault="00786914" w:rsidP="0006743B">
            <w:pPr>
              <w:spacing w:after="0"/>
              <w:rPr>
                <w:rFonts w:ascii="Arial Narrow" w:hAnsi="Arial Narrow"/>
                <w:sz w:val="20"/>
              </w:rPr>
            </w:pPr>
            <w:r w:rsidRPr="00506061">
              <w:rPr>
                <w:rFonts w:ascii="Arial Narrow" w:hAnsi="Arial Narrow" w:cs="NewBaskervilleITCbyBT-Roman"/>
                <w:color w:val="231F20"/>
                <w:sz w:val="20"/>
                <w:u w:val="single"/>
              </w:rPr>
              <w:t xml:space="preserve">(c) </w:t>
            </w:r>
            <w:r>
              <w:rPr>
                <w:rFonts w:ascii="Arial Narrow" w:hAnsi="Arial Narrow" w:cs="NewBaskervilleITCbyBT-Roman"/>
                <w:color w:val="231F20"/>
                <w:sz w:val="20"/>
                <w:u w:val="single"/>
              </w:rPr>
              <w:t>Re-operation</w:t>
            </w:r>
            <w:r w:rsidRPr="00506061">
              <w:rPr>
                <w:rFonts w:ascii="Arial Narrow" w:hAnsi="Arial Narrow" w:cs="NewBaskervilleITCbyBT-Roman"/>
                <w:color w:val="231F20"/>
                <w:sz w:val="20"/>
                <w:u w:val="single"/>
              </w:rPr>
              <w:t>:</w:t>
            </w:r>
            <w:r w:rsidRPr="00506061">
              <w:rPr>
                <w:rFonts w:ascii="Arial Narrow" w:hAnsi="Arial Narrow" w:cs="NewBaskervilleITCbyBT-Roman"/>
                <w:color w:val="231F20"/>
                <w:sz w:val="20"/>
              </w:rPr>
              <w:t xml:space="preserve"> the occurrence of </w:t>
            </w:r>
            <w:r>
              <w:rPr>
                <w:rFonts w:ascii="Arial Narrow" w:hAnsi="Arial Narrow" w:cs="NewBaskervilleITCbyBT-Roman"/>
                <w:color w:val="231F20"/>
                <w:sz w:val="20"/>
              </w:rPr>
              <w:t>re-operation</w:t>
            </w:r>
            <w:r w:rsidRPr="00506061">
              <w:rPr>
                <w:rFonts w:ascii="Arial Narrow" w:hAnsi="Arial Narrow" w:cs="NewBaskervilleITCbyBT-Roman"/>
                <w:color w:val="231F20"/>
                <w:sz w:val="20"/>
              </w:rPr>
              <w:t xml:space="preserve"> for HoLEP and TURP was similar but with wide confidence intervals (4 studies, 10/231 HoLEP vs. 15/232 TURP, RR 0.68, 95% CI 0.32-1.44, p=0.31).</w:t>
            </w:r>
          </w:p>
          <w:p w:rsidR="00786914" w:rsidRPr="00506061" w:rsidRDefault="00786914" w:rsidP="0006743B">
            <w:pPr>
              <w:spacing w:after="0"/>
              <w:rPr>
                <w:rFonts w:ascii="Arial Narrow" w:hAnsi="Arial Narrow"/>
                <w:b/>
                <w:sz w:val="20"/>
              </w:rPr>
            </w:pPr>
          </w:p>
          <w:p w:rsidR="00786914" w:rsidRPr="00506061" w:rsidRDefault="00786914" w:rsidP="0006743B">
            <w:pPr>
              <w:spacing w:after="0"/>
              <w:rPr>
                <w:rFonts w:ascii="Arial Narrow" w:hAnsi="Arial Narrow"/>
                <w:sz w:val="20"/>
              </w:rPr>
            </w:pPr>
            <w:r w:rsidRPr="00506061">
              <w:rPr>
                <w:rFonts w:ascii="Arial Narrow" w:hAnsi="Arial Narrow"/>
                <w:b/>
                <w:sz w:val="20"/>
              </w:rPr>
              <w:t>Cost-effectiveness:</w:t>
            </w:r>
            <w:r w:rsidRPr="00506061">
              <w:rPr>
                <w:rFonts w:ascii="Arial Narrow" w:hAnsi="Arial Narrow"/>
                <w:sz w:val="20"/>
              </w:rPr>
              <w:t xml:space="preserve"> </w:t>
            </w:r>
          </w:p>
          <w:p w:rsidR="00786914" w:rsidRPr="00506061" w:rsidRDefault="00786914" w:rsidP="0006743B">
            <w:pPr>
              <w:spacing w:after="0"/>
              <w:rPr>
                <w:rFonts w:ascii="Arial Narrow" w:hAnsi="Arial Narrow"/>
                <w:sz w:val="20"/>
                <w:u w:val="single"/>
              </w:rPr>
            </w:pPr>
          </w:p>
          <w:p w:rsidR="00786914" w:rsidRPr="00506061" w:rsidRDefault="00786914" w:rsidP="0006743B">
            <w:pPr>
              <w:spacing w:after="0"/>
              <w:rPr>
                <w:rFonts w:ascii="Arial Narrow" w:hAnsi="Arial Narrow"/>
                <w:sz w:val="20"/>
              </w:rPr>
            </w:pPr>
            <w:r w:rsidRPr="00506061">
              <w:rPr>
                <w:rFonts w:ascii="Arial Narrow" w:hAnsi="Arial Narrow"/>
                <w:sz w:val="20"/>
                <w:u w:val="single"/>
              </w:rPr>
              <w:t>(a) The duration of operation</w:t>
            </w:r>
            <w:r w:rsidRPr="00506061">
              <w:rPr>
                <w:rFonts w:ascii="Arial Narrow" w:hAnsi="Arial Narrow"/>
                <w:sz w:val="20"/>
              </w:rPr>
              <w:t xml:space="preserve"> was on average 17 minutes longer for HoLEP than for TURP (5 studies, WMD 16.96, 95% CI 13.45 to 20.47, p&lt;0.00001). </w:t>
            </w:r>
          </w:p>
          <w:p w:rsidR="00786914" w:rsidRPr="00506061" w:rsidRDefault="00786914" w:rsidP="0006743B">
            <w:pPr>
              <w:spacing w:after="0"/>
              <w:rPr>
                <w:rFonts w:ascii="Arial Narrow" w:hAnsi="Arial Narrow"/>
                <w:sz w:val="20"/>
                <w:u w:val="single"/>
              </w:rPr>
            </w:pPr>
          </w:p>
          <w:p w:rsidR="00786914" w:rsidRPr="00506061" w:rsidRDefault="00786914" w:rsidP="0006743B">
            <w:pPr>
              <w:spacing w:after="0"/>
              <w:rPr>
                <w:rFonts w:ascii="Arial Narrow" w:hAnsi="Arial Narrow"/>
                <w:sz w:val="20"/>
              </w:rPr>
            </w:pPr>
            <w:r w:rsidRPr="00506061">
              <w:rPr>
                <w:rFonts w:ascii="Arial Narrow" w:hAnsi="Arial Narrow"/>
                <w:sz w:val="20"/>
                <w:u w:val="single"/>
              </w:rPr>
              <w:t>(b) The hospital stay length</w:t>
            </w:r>
            <w:r w:rsidRPr="00506061">
              <w:rPr>
                <w:rFonts w:ascii="Arial Narrow" w:hAnsi="Arial Narrow"/>
                <w:sz w:val="20"/>
              </w:rPr>
              <w:t xml:space="preserve"> was significantly shorter for HoLEP than for TURP (4 studies, WMD -1.05, 95% CI -1.20 to -0.89, p&lt;0.00001). </w:t>
            </w:r>
          </w:p>
          <w:p w:rsidR="00786914" w:rsidRPr="00506061" w:rsidRDefault="00786914" w:rsidP="0006743B">
            <w:pPr>
              <w:spacing w:after="0"/>
              <w:rPr>
                <w:rFonts w:ascii="Arial Narrow" w:hAnsi="Arial Narrow"/>
                <w:sz w:val="20"/>
              </w:rPr>
            </w:pPr>
          </w:p>
          <w:p w:rsidR="00786914" w:rsidRPr="00506061" w:rsidRDefault="00786914" w:rsidP="0006743B">
            <w:pPr>
              <w:spacing w:after="0"/>
              <w:rPr>
                <w:rFonts w:ascii="Arial Narrow" w:hAnsi="Arial Narrow" w:cs="Garamond"/>
                <w:b/>
                <w:sz w:val="20"/>
                <w:u w:val="single"/>
              </w:rPr>
            </w:pPr>
            <w:r w:rsidRPr="00506061">
              <w:rPr>
                <w:rFonts w:ascii="Arial Narrow" w:hAnsi="Arial Narrow"/>
                <w:sz w:val="20"/>
              </w:rPr>
              <w:t>HoLEP as a single treatment was found to be cost-effective for a willingness to pay up to about  £4556 per QALY.</w:t>
            </w:r>
            <w:r w:rsidRPr="00506061">
              <w:rPr>
                <w:rFonts w:ascii="Arial Narrow" w:hAnsi="Arial Narrow" w:cs="Garamond"/>
                <w:b/>
                <w:sz w:val="20"/>
              </w:rPr>
              <w:t xml:space="preserve"> </w:t>
            </w:r>
          </w:p>
        </w:tc>
      </w:tr>
      <w:bookmarkEnd w:id="411"/>
      <w:bookmarkEnd w:id="412"/>
      <w:bookmarkEnd w:id="413"/>
      <w:bookmarkEnd w:id="414"/>
    </w:tbl>
    <w:p w:rsidR="00786914" w:rsidRDefault="00786914" w:rsidP="0006743B"/>
    <w:p w:rsidR="00786914" w:rsidRDefault="00786914" w:rsidP="0006743B">
      <w:r>
        <w:t>Studies</w:t>
      </w:r>
      <w:r w:rsidRPr="00D062FC">
        <w:t xml:space="preserve"> included in the assessment report that were identified in the updated literature search HoLEP</w:t>
      </w:r>
      <w:r>
        <w:t xml:space="preserve"> </w:t>
      </w:r>
      <w:r w:rsidRPr="00D062FC">
        <w:t>v</w:t>
      </w:r>
      <w:r>
        <w:t>ersu</w:t>
      </w:r>
      <w:r w:rsidRPr="00D062FC">
        <w:t>s TURP</w:t>
      </w: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2693"/>
        <w:gridCol w:w="3685"/>
        <w:gridCol w:w="3334"/>
      </w:tblGrid>
      <w:tr w:rsidR="00786914" w:rsidRPr="00347EF1" w:rsidTr="0006743B">
        <w:trPr>
          <w:tblHeader/>
        </w:trPr>
        <w:tc>
          <w:tcPr>
            <w:tcW w:w="2376"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 xml:space="preserve">Author &amp; </w:t>
            </w:r>
            <w:r>
              <w:rPr>
                <w:rFonts w:ascii="Arial Narrow" w:hAnsi="Arial Narrow" w:cs="Arial"/>
                <w:b/>
                <w:sz w:val="18"/>
                <w:szCs w:val="18"/>
              </w:rPr>
              <w:t>y</w:t>
            </w:r>
            <w:r w:rsidRPr="00B43256">
              <w:rPr>
                <w:rFonts w:ascii="Arial Narrow" w:hAnsi="Arial Narrow" w:cs="Arial"/>
                <w:b/>
                <w:sz w:val="18"/>
                <w:szCs w:val="18"/>
              </w:rPr>
              <w:t>ear</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Setting</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N</w:t>
            </w:r>
          </w:p>
        </w:tc>
        <w:tc>
          <w:tcPr>
            <w:tcW w:w="2694"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Study objective</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&amp; design</w:t>
            </w:r>
          </w:p>
          <w:p w:rsidR="00786914" w:rsidRPr="00B43256" w:rsidRDefault="00786914" w:rsidP="0006743B">
            <w:pPr>
              <w:spacing w:before="40" w:after="20"/>
              <w:ind w:left="57" w:right="57" w:firstLine="51"/>
              <w:rPr>
                <w:rFonts w:ascii="Arial Narrow" w:hAnsi="Arial Narrow" w:cs="Arial"/>
                <w:b/>
                <w:sz w:val="18"/>
                <w:szCs w:val="18"/>
              </w:rPr>
            </w:pPr>
          </w:p>
        </w:tc>
        <w:tc>
          <w:tcPr>
            <w:tcW w:w="2693"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 xml:space="preserve">Study </w:t>
            </w:r>
            <w:r>
              <w:rPr>
                <w:rFonts w:ascii="Arial Narrow" w:hAnsi="Arial Narrow" w:cs="Arial"/>
                <w:b/>
                <w:sz w:val="18"/>
                <w:szCs w:val="18"/>
              </w:rPr>
              <w:t>p</w:t>
            </w:r>
            <w:r w:rsidRPr="00B43256">
              <w:rPr>
                <w:rFonts w:ascii="Arial Narrow" w:hAnsi="Arial Narrow" w:cs="Arial"/>
                <w:b/>
                <w:sz w:val="18"/>
                <w:szCs w:val="18"/>
              </w:rPr>
              <w:t>opulation</w:t>
            </w:r>
          </w:p>
        </w:tc>
        <w:tc>
          <w:tcPr>
            <w:tcW w:w="3685"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Results</w:t>
            </w:r>
          </w:p>
        </w:tc>
        <w:tc>
          <w:tcPr>
            <w:tcW w:w="3334" w:type="dxa"/>
            <w:shd w:val="clear" w:color="auto" w:fill="F3F3F3"/>
          </w:tcPr>
          <w:p w:rsidR="00786914" w:rsidRPr="00347EF1" w:rsidRDefault="00786914" w:rsidP="0006743B">
            <w:pPr>
              <w:spacing w:before="40" w:after="20"/>
              <w:ind w:left="0" w:right="57"/>
              <w:rPr>
                <w:rFonts w:ascii="Arial Narrow" w:hAnsi="Arial Narrow" w:cs="Arial"/>
                <w:b/>
                <w:sz w:val="18"/>
                <w:szCs w:val="18"/>
                <w:highlight w:val="yellow"/>
              </w:rPr>
            </w:pPr>
            <w:r w:rsidRPr="00442D5C">
              <w:rPr>
                <w:rFonts w:ascii="Arial Narrow" w:hAnsi="Arial Narrow" w:cs="Arial"/>
                <w:b/>
                <w:sz w:val="18"/>
                <w:szCs w:val="18"/>
              </w:rPr>
              <w:t>Study quality and applicability</w:t>
            </w:r>
          </w:p>
        </w:tc>
      </w:tr>
      <w:tr w:rsidR="00786914" w:rsidRPr="00B43256" w:rsidTr="0006743B">
        <w:trPr>
          <w:trHeight w:val="127"/>
        </w:trPr>
        <w:tc>
          <w:tcPr>
            <w:tcW w:w="2376" w:type="dxa"/>
          </w:tcPr>
          <w:p w:rsidR="00AE6E57" w:rsidRDefault="00786914" w:rsidP="00AE6E57">
            <w:pPr>
              <w:spacing w:before="40" w:after="20"/>
              <w:ind w:left="0" w:right="57"/>
              <w:rPr>
                <w:rFonts w:ascii="Arial Narrow" w:hAnsi="Arial Narrow" w:cs="Arial"/>
                <w:b/>
                <w:sz w:val="18"/>
                <w:szCs w:val="18"/>
              </w:rPr>
            </w:pPr>
            <w:r>
              <w:rPr>
                <w:rFonts w:ascii="Arial Narrow" w:hAnsi="Arial Narrow" w:cs="Arial"/>
                <w:sz w:val="18"/>
                <w:szCs w:val="18"/>
              </w:rPr>
              <w:t>Ahyai et al 2007</w:t>
            </w:r>
            <w:r w:rsidR="00AE6E57">
              <w:rPr>
                <w:rFonts w:ascii="Arial Narrow" w:hAnsi="Arial Narrow" w:cs="Arial"/>
                <w:sz w:val="18"/>
                <w:szCs w:val="18"/>
              </w:rPr>
              <w:br/>
            </w:r>
            <w:r>
              <w:rPr>
                <w:rFonts w:ascii="Arial Narrow" w:hAnsi="Arial Narrow" w:cs="Arial"/>
                <w:b/>
                <w:sz w:val="18"/>
                <w:szCs w:val="18"/>
              </w:rPr>
              <w:t>NB: This is a follow-up to</w:t>
            </w:r>
          </w:p>
          <w:p w:rsidR="00AE6E57" w:rsidRDefault="00786914" w:rsidP="00AE6E57">
            <w:pPr>
              <w:spacing w:before="40" w:after="20"/>
              <w:ind w:left="0" w:right="57"/>
              <w:rPr>
                <w:rFonts w:ascii="Arial Narrow" w:hAnsi="Arial Narrow" w:cs="Arial"/>
                <w:b/>
                <w:sz w:val="18"/>
                <w:szCs w:val="18"/>
              </w:rPr>
            </w:pPr>
            <w:r>
              <w:rPr>
                <w:rFonts w:ascii="Arial Narrow" w:hAnsi="Arial Narrow" w:cs="Arial"/>
                <w:b/>
                <w:sz w:val="18"/>
                <w:szCs w:val="18"/>
              </w:rPr>
              <w:t>the Kuntz et al 2004 study</w:t>
            </w:r>
          </w:p>
          <w:p w:rsidR="00AE6E57" w:rsidRDefault="00786914" w:rsidP="00AE6E57">
            <w:pPr>
              <w:spacing w:before="40" w:after="20"/>
              <w:ind w:left="0" w:right="57"/>
              <w:rPr>
                <w:rFonts w:ascii="Arial Narrow" w:hAnsi="Arial Narrow" w:cs="Arial"/>
                <w:b/>
                <w:sz w:val="18"/>
                <w:szCs w:val="18"/>
              </w:rPr>
            </w:pPr>
            <w:r>
              <w:rPr>
                <w:rFonts w:ascii="Arial Narrow" w:hAnsi="Arial Narrow" w:cs="Arial"/>
                <w:b/>
                <w:sz w:val="18"/>
                <w:szCs w:val="18"/>
              </w:rPr>
              <w:t xml:space="preserve"> (which is included in</w:t>
            </w:r>
          </w:p>
          <w:p w:rsidR="00786914" w:rsidRDefault="00786914" w:rsidP="0006743B">
            <w:pPr>
              <w:spacing w:before="40" w:after="20"/>
              <w:ind w:left="0" w:right="57"/>
              <w:rPr>
                <w:rFonts w:ascii="Arial Narrow" w:hAnsi="Arial Narrow" w:cs="Arial"/>
                <w:sz w:val="18"/>
                <w:szCs w:val="18"/>
              </w:rPr>
            </w:pPr>
            <w:r>
              <w:rPr>
                <w:rFonts w:ascii="Arial Narrow" w:hAnsi="Arial Narrow" w:cs="Arial"/>
                <w:b/>
                <w:sz w:val="18"/>
                <w:szCs w:val="18"/>
              </w:rPr>
              <w:t>Lourenco et al 2008)</w:t>
            </w:r>
          </w:p>
          <w:p w:rsidR="00786914" w:rsidRPr="00A26475" w:rsidRDefault="00786914" w:rsidP="0006743B">
            <w:pPr>
              <w:spacing w:before="40" w:after="20"/>
              <w:ind w:left="0" w:right="57"/>
              <w:rPr>
                <w:rFonts w:ascii="Arial Narrow" w:hAnsi="Arial Narrow" w:cs="Arial"/>
                <w:sz w:val="18"/>
                <w:szCs w:val="18"/>
              </w:rPr>
            </w:pP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Urology Dept, Auguste-Viktoria-Hospital, Berlin, Germany</w:t>
            </w:r>
          </w:p>
          <w:p w:rsidR="00786914" w:rsidRPr="00A26475"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Single centre</w:t>
            </w: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Operations performed: June 1999–December 2001</w:t>
            </w:r>
          </w:p>
          <w:p w:rsidR="00786914" w:rsidRPr="00A26475" w:rsidRDefault="00786914" w:rsidP="0006743B">
            <w:pPr>
              <w:spacing w:before="40" w:after="20"/>
              <w:ind w:left="57"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n</w:t>
            </w:r>
            <w:r w:rsidRPr="00A26475">
              <w:rPr>
                <w:rFonts w:ascii="Arial Narrow" w:hAnsi="Arial Narrow" w:cs="Arial"/>
                <w:sz w:val="18"/>
                <w:szCs w:val="18"/>
              </w:rPr>
              <w:t>=</w:t>
            </w:r>
            <w:r>
              <w:rPr>
                <w:rFonts w:ascii="Arial Narrow" w:hAnsi="Arial Narrow" w:cs="Arial"/>
                <w:sz w:val="18"/>
                <w:szCs w:val="18"/>
              </w:rPr>
              <w:t xml:space="preserve">200 </w:t>
            </w:r>
            <w:r w:rsidRPr="003F3A27">
              <w:rPr>
                <w:rFonts w:ascii="Arial Narrow" w:hAnsi="Arial Narrow" w:cs="Arial"/>
                <w:sz w:val="18"/>
                <w:szCs w:val="18"/>
              </w:rPr>
              <w:t>(100 patients in HoLEP gr</w:t>
            </w:r>
            <w:r>
              <w:rPr>
                <w:rFonts w:ascii="Arial Narrow" w:hAnsi="Arial Narrow" w:cs="Arial"/>
                <w:sz w:val="18"/>
                <w:szCs w:val="18"/>
              </w:rPr>
              <w:t>oup, 100 patients in TURP group</w:t>
            </w:r>
            <w:r w:rsidRPr="003F3A27">
              <w:rPr>
                <w:rFonts w:ascii="Arial Narrow" w:hAnsi="Arial Narrow" w:cs="Arial"/>
                <w:sz w:val="18"/>
                <w:szCs w:val="18"/>
              </w:rPr>
              <w:t>)</w:t>
            </w:r>
          </w:p>
          <w:p w:rsidR="00786914" w:rsidRDefault="00786914" w:rsidP="0006743B">
            <w:pPr>
              <w:spacing w:before="40" w:after="20"/>
              <w:ind w:left="0" w:right="57"/>
              <w:rPr>
                <w:rFonts w:ascii="Arial Narrow" w:hAnsi="Arial Narrow" w:cs="Arial"/>
                <w:sz w:val="18"/>
                <w:szCs w:val="18"/>
              </w:rPr>
            </w:pPr>
          </w:p>
          <w:p w:rsidR="00786914" w:rsidRPr="00AA2A16" w:rsidRDefault="00786914" w:rsidP="0006743B">
            <w:pPr>
              <w:autoSpaceDE w:val="0"/>
              <w:autoSpaceDN w:val="0"/>
              <w:adjustRightInd w:val="0"/>
              <w:spacing w:after="0"/>
              <w:ind w:left="0"/>
              <w:rPr>
                <w:rFonts w:ascii="Arial Narrow" w:hAnsi="Arial Narrow" w:cs="Arial"/>
                <w:sz w:val="18"/>
                <w:szCs w:val="18"/>
                <w:highlight w:val="yellow"/>
              </w:rPr>
            </w:pPr>
          </w:p>
        </w:tc>
        <w:tc>
          <w:tcPr>
            <w:tcW w:w="2694" w:type="dxa"/>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Objective</w:t>
            </w:r>
          </w:p>
          <w:p w:rsidR="00786914" w:rsidRPr="00994896" w:rsidRDefault="00786914" w:rsidP="0006743B">
            <w:pPr>
              <w:autoSpaceDE w:val="0"/>
              <w:autoSpaceDN w:val="0"/>
              <w:adjustRightInd w:val="0"/>
              <w:spacing w:after="0"/>
              <w:ind w:left="0"/>
              <w:rPr>
                <w:rFonts w:ascii="Arial Narrow" w:eastAsiaTheme="minorHAnsi" w:hAnsi="Arial Narrow" w:cs="AdvP101DC5"/>
                <w:sz w:val="18"/>
                <w:szCs w:val="18"/>
                <w:lang w:eastAsia="en-US"/>
              </w:rPr>
            </w:pPr>
            <w:r w:rsidRPr="00994896">
              <w:rPr>
                <w:rFonts w:ascii="Arial Narrow" w:eastAsiaTheme="minorHAnsi" w:hAnsi="Arial Narrow" w:cs="AdvP101DC5"/>
                <w:sz w:val="18"/>
                <w:szCs w:val="18"/>
                <w:lang w:eastAsia="en-US"/>
              </w:rPr>
              <w:t>To report 3-y</w:t>
            </w:r>
            <w:r>
              <w:rPr>
                <w:rFonts w:ascii="Arial Narrow" w:eastAsiaTheme="minorHAnsi" w:hAnsi="Arial Narrow" w:cs="AdvP101DC5"/>
                <w:sz w:val="18"/>
                <w:szCs w:val="18"/>
                <w:lang w:eastAsia="en-US"/>
              </w:rPr>
              <w:t>ea</w:t>
            </w:r>
            <w:r w:rsidRPr="00994896">
              <w:rPr>
                <w:rFonts w:ascii="Arial Narrow" w:eastAsiaTheme="minorHAnsi" w:hAnsi="Arial Narrow" w:cs="AdvP101DC5"/>
                <w:sz w:val="18"/>
                <w:szCs w:val="18"/>
                <w:lang w:eastAsia="en-US"/>
              </w:rPr>
              <w:t xml:space="preserve">r follow-up results of a randomised </w:t>
            </w:r>
            <w:r>
              <w:rPr>
                <w:rFonts w:ascii="Arial Narrow" w:eastAsiaTheme="minorHAnsi" w:hAnsi="Arial Narrow" w:cs="AdvP101DC5"/>
                <w:sz w:val="18"/>
                <w:szCs w:val="18"/>
                <w:lang w:eastAsia="en-US"/>
              </w:rPr>
              <w:t>controlled</w:t>
            </w:r>
            <w:r w:rsidRPr="00994896">
              <w:rPr>
                <w:rFonts w:ascii="Arial Narrow" w:eastAsiaTheme="minorHAnsi" w:hAnsi="Arial Narrow" w:cs="AdvP101DC5"/>
                <w:sz w:val="18"/>
                <w:szCs w:val="18"/>
                <w:lang w:eastAsia="en-US"/>
              </w:rPr>
              <w:t xml:space="preserve"> trial comparing holmium laser enucleation of the prostate (HoLEP) with transurethral resection of the prostate (TURP).</w:t>
            </w:r>
          </w:p>
          <w:p w:rsidR="00786914" w:rsidRPr="00077A75" w:rsidRDefault="00786914" w:rsidP="0006743B">
            <w:pPr>
              <w:spacing w:before="40" w:after="20"/>
              <w:ind w:left="57"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Study design</w:t>
            </w:r>
          </w:p>
          <w:p w:rsidR="00786914" w:rsidRPr="00077A75" w:rsidRDefault="00786914" w:rsidP="0006743B">
            <w:pPr>
              <w:spacing w:before="40" w:after="20"/>
              <w:ind w:left="0" w:right="57"/>
              <w:rPr>
                <w:rFonts w:ascii="Arial Narrow" w:hAnsi="Arial Narrow" w:cs="Arial"/>
                <w:sz w:val="18"/>
                <w:szCs w:val="18"/>
              </w:rPr>
            </w:pPr>
            <w:r w:rsidRPr="00077A75">
              <w:rPr>
                <w:rFonts w:ascii="Arial Narrow" w:hAnsi="Arial Narrow" w:cs="Arial"/>
                <w:sz w:val="18"/>
                <w:szCs w:val="18"/>
              </w:rPr>
              <w:t xml:space="preserve">Randomised </w:t>
            </w:r>
            <w:r>
              <w:rPr>
                <w:rFonts w:ascii="Arial Narrow" w:hAnsi="Arial Narrow" w:cs="Arial"/>
                <w:sz w:val="18"/>
                <w:szCs w:val="18"/>
              </w:rPr>
              <w:t>c</w:t>
            </w:r>
            <w:r w:rsidRPr="00077A75">
              <w:rPr>
                <w:rFonts w:ascii="Arial Narrow" w:hAnsi="Arial Narrow" w:cs="Arial"/>
                <w:sz w:val="18"/>
                <w:szCs w:val="18"/>
              </w:rPr>
              <w:t xml:space="preserve">ontrolled </w:t>
            </w:r>
            <w:r>
              <w:rPr>
                <w:rFonts w:ascii="Arial Narrow" w:hAnsi="Arial Narrow" w:cs="Arial"/>
                <w:sz w:val="18"/>
                <w:szCs w:val="18"/>
              </w:rPr>
              <w:t>t</w:t>
            </w:r>
            <w:r w:rsidRPr="00077A75">
              <w:rPr>
                <w:rFonts w:ascii="Arial Narrow" w:hAnsi="Arial Narrow" w:cs="Arial"/>
                <w:sz w:val="18"/>
                <w:szCs w:val="18"/>
              </w:rPr>
              <w:t>rial</w:t>
            </w:r>
          </w:p>
          <w:p w:rsidR="00786914" w:rsidRPr="00077A75" w:rsidRDefault="00786914" w:rsidP="0006743B">
            <w:pPr>
              <w:spacing w:before="40" w:after="20"/>
              <w:ind w:left="57" w:right="57"/>
              <w:rPr>
                <w:rFonts w:ascii="Arial Narrow" w:hAnsi="Arial Narrow" w:cs="Arial"/>
                <w:sz w:val="18"/>
                <w:szCs w:val="18"/>
              </w:rPr>
            </w:pPr>
          </w:p>
          <w:p w:rsidR="00786914" w:rsidRPr="00661778"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Follow-u</w:t>
            </w:r>
            <w:r w:rsidRPr="00661778">
              <w:rPr>
                <w:rFonts w:ascii="Arial Narrow" w:hAnsi="Arial Narrow" w:cs="Arial"/>
                <w:b/>
                <w:sz w:val="18"/>
                <w:szCs w:val="18"/>
              </w:rPr>
              <w:t xml:space="preserve">p </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3 years (drop-out at 3 years: 56/200 patients – 25/100 in HoLEP group; 31/100 in TURP group)</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Intervention</w:t>
            </w:r>
            <w:r>
              <w:rPr>
                <w:rFonts w:ascii="Arial Narrow" w:hAnsi="Arial Narrow" w:cs="Arial"/>
                <w:sz w:val="18"/>
                <w:szCs w:val="18"/>
              </w:rPr>
              <w:t>: HoLEP + mushroom technique</w:t>
            </w:r>
          </w:p>
          <w:p w:rsidR="00786914"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Comparator</w:t>
            </w:r>
            <w:r>
              <w:rPr>
                <w:rFonts w:ascii="Arial Narrow" w:hAnsi="Arial Narrow" w:cs="Arial"/>
                <w:sz w:val="18"/>
                <w:szCs w:val="18"/>
              </w:rPr>
              <w:t>: TURP</w:t>
            </w:r>
          </w:p>
          <w:p w:rsidR="00786914" w:rsidRDefault="00786914" w:rsidP="0006743B">
            <w:pPr>
              <w:spacing w:before="40" w:after="20"/>
              <w:ind w:left="0" w:right="57"/>
              <w:rPr>
                <w:rFonts w:ascii="Arial Narrow" w:hAnsi="Arial Narrow" w:cs="Arial"/>
                <w:sz w:val="18"/>
                <w:szCs w:val="18"/>
              </w:rPr>
            </w:pPr>
          </w:p>
          <w:p w:rsidR="00786914" w:rsidRPr="00077A75" w:rsidRDefault="00786914" w:rsidP="0006743B">
            <w:pPr>
              <w:autoSpaceDE w:val="0"/>
              <w:autoSpaceDN w:val="0"/>
              <w:adjustRightInd w:val="0"/>
              <w:spacing w:after="0"/>
              <w:ind w:left="0"/>
              <w:rPr>
                <w:rFonts w:ascii="Arial Narrow" w:hAnsi="Arial Narrow" w:cs="Arial"/>
                <w:sz w:val="18"/>
                <w:szCs w:val="18"/>
              </w:rPr>
            </w:pPr>
          </w:p>
        </w:tc>
        <w:tc>
          <w:tcPr>
            <w:tcW w:w="2693" w:type="dxa"/>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Inclusion/exclusion criteria</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Inclusion</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AUA score ≥12</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Q max ≤12 ml/s</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PVR volume ≥50 ml</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Schafer grade ≥2 in pressure flow studies</w:t>
            </w:r>
          </w:p>
          <w:p w:rsidR="00786914" w:rsidRPr="00D92308" w:rsidRDefault="00786914" w:rsidP="0006743B">
            <w:pPr>
              <w:numPr>
                <w:ilvl w:val="0"/>
                <w:numId w:val="9"/>
              </w:numPr>
              <w:spacing w:before="40" w:after="20"/>
              <w:ind w:left="175" w:right="57" w:hanging="142"/>
              <w:rPr>
                <w:rFonts w:ascii="Arial Narrow" w:hAnsi="Arial Narrow" w:cs="Arial"/>
                <w:sz w:val="18"/>
                <w:szCs w:val="18"/>
              </w:rPr>
            </w:pPr>
            <w:r w:rsidRPr="00D92308">
              <w:rPr>
                <w:rFonts w:ascii="Arial Narrow" w:hAnsi="Arial Narrow" w:cs="Arial"/>
                <w:sz w:val="18"/>
                <w:szCs w:val="18"/>
              </w:rPr>
              <w:t>Total prostate volume &lt;100 cc in transrectal ultrasound</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Exclusion</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Previous prostate or urethral surgery</w:t>
            </w:r>
          </w:p>
          <w:p w:rsidR="00786914" w:rsidRPr="00886F28" w:rsidRDefault="00786914" w:rsidP="0006743B">
            <w:pPr>
              <w:numPr>
                <w:ilvl w:val="0"/>
                <w:numId w:val="9"/>
              </w:numPr>
              <w:spacing w:before="40" w:after="20"/>
              <w:ind w:left="175" w:right="57" w:hanging="142"/>
              <w:rPr>
                <w:rFonts w:ascii="Arial Narrow" w:hAnsi="Arial Narrow" w:cs="Arial"/>
                <w:i/>
                <w:sz w:val="18"/>
                <w:szCs w:val="18"/>
              </w:rPr>
            </w:pPr>
            <w:r>
              <w:rPr>
                <w:rFonts w:ascii="Arial Narrow" w:hAnsi="Arial Narrow" w:cs="Arial"/>
                <w:sz w:val="18"/>
                <w:szCs w:val="18"/>
              </w:rPr>
              <w:t>Voiding disorders not related to BPH</w:t>
            </w:r>
          </w:p>
          <w:p w:rsidR="00786914" w:rsidRPr="00077A75" w:rsidRDefault="00786914" w:rsidP="0006743B">
            <w:pPr>
              <w:spacing w:before="40" w:after="20"/>
              <w:ind w:left="57"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t>Patient characteristics</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Age</w:t>
            </w:r>
            <w:r>
              <w:rPr>
                <w:rFonts w:ascii="Arial Narrow" w:hAnsi="Arial Narrow" w:cs="Arial"/>
                <w:i/>
                <w:sz w:val="18"/>
                <w:szCs w:val="18"/>
              </w:rPr>
              <w:t xml:space="preserve"> (years):</w:t>
            </w:r>
            <w:r w:rsidRPr="00077A75">
              <w:rPr>
                <w:rFonts w:ascii="Arial Narrow" w:hAnsi="Arial Narrow" w:cs="Arial"/>
                <w:i/>
                <w:sz w:val="18"/>
                <w:szCs w:val="18"/>
              </w:rPr>
              <w:t xml:space="preserve"> mean</w:t>
            </w:r>
            <w:r w:rsidRPr="00661778">
              <w:rPr>
                <w:rFonts w:ascii="Arial Narrow" w:hAnsi="Arial Narrow" w:cs="Arial"/>
                <w:i/>
                <w:sz w:val="18"/>
                <w:szCs w:val="18"/>
              </w:rPr>
              <w:t xml:space="preserve"> (</w:t>
            </w:r>
            <w:r>
              <w:rPr>
                <w:rFonts w:ascii="Arial Narrow" w:hAnsi="Arial Narrow" w:cs="Arial"/>
                <w:i/>
                <w:sz w:val="18"/>
                <w:szCs w:val="18"/>
              </w:rPr>
              <w:t>range</w:t>
            </w:r>
            <w:r w:rsidRPr="00661778">
              <w:rPr>
                <w:rFonts w:ascii="Arial Narrow" w:hAnsi="Arial Narrow" w:cs="Arial"/>
                <w:i/>
                <w:sz w:val="18"/>
                <w:szCs w:val="18"/>
              </w:rPr>
              <w:t>)</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HoLEP</w:t>
            </w:r>
            <w:r w:rsidRPr="00077A75">
              <w:rPr>
                <w:rFonts w:ascii="Arial Narrow" w:hAnsi="Arial Narrow" w:cs="Arial"/>
                <w:sz w:val="18"/>
                <w:szCs w:val="18"/>
              </w:rPr>
              <w:t xml:space="preserve">: </w:t>
            </w:r>
            <w:r>
              <w:rPr>
                <w:rFonts w:ascii="Arial Narrow" w:hAnsi="Arial Narrow" w:cs="Arial"/>
                <w:sz w:val="18"/>
                <w:szCs w:val="18"/>
              </w:rPr>
              <w:t>68.0 (56–88)</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TURP</w:t>
            </w:r>
            <w:r w:rsidRPr="00077A75">
              <w:rPr>
                <w:rFonts w:ascii="Arial Narrow" w:hAnsi="Arial Narrow" w:cs="Arial"/>
                <w:sz w:val="18"/>
                <w:szCs w:val="18"/>
              </w:rPr>
              <w:t xml:space="preserve">: </w:t>
            </w:r>
            <w:r>
              <w:rPr>
                <w:rFonts w:ascii="Arial Narrow" w:hAnsi="Arial Narrow" w:cs="Arial"/>
                <w:sz w:val="18"/>
                <w:szCs w:val="18"/>
              </w:rPr>
              <w:t>68.7 (52–86)</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AUA symptom score:</w:t>
            </w:r>
            <w:r w:rsidRPr="00077A75">
              <w:rPr>
                <w:rFonts w:ascii="Arial Narrow" w:hAnsi="Arial Narrow" w:cs="Arial"/>
                <w:i/>
                <w:sz w:val="18"/>
                <w:szCs w:val="18"/>
              </w:rPr>
              <w:t xml:space="preserve"> mean</w:t>
            </w:r>
            <w:r w:rsidRPr="00661778">
              <w:rPr>
                <w:rFonts w:ascii="Arial Narrow" w:hAnsi="Arial Narrow" w:cs="Arial"/>
                <w:i/>
                <w:sz w:val="18"/>
                <w:szCs w:val="18"/>
              </w:rPr>
              <w:t xml:space="preserve"> (</w:t>
            </w:r>
            <w:r>
              <w:rPr>
                <w:rFonts w:ascii="Arial Narrow" w:hAnsi="Arial Narrow" w:cs="Arial"/>
                <w:i/>
                <w:sz w:val="18"/>
                <w:szCs w:val="18"/>
              </w:rPr>
              <w:t>range</w:t>
            </w:r>
            <w:r w:rsidRPr="00661778">
              <w:rPr>
                <w:rFonts w:ascii="Arial Narrow" w:hAnsi="Arial Narrow" w:cs="Arial"/>
                <w:i/>
                <w:sz w:val="18"/>
                <w:szCs w:val="18"/>
              </w:rPr>
              <w:t>)</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22.1 (13–33)</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TURP</w:t>
            </w:r>
            <w:r w:rsidRPr="00077A75">
              <w:rPr>
                <w:rFonts w:ascii="Arial Narrow" w:hAnsi="Arial Narrow" w:cs="Arial"/>
                <w:sz w:val="18"/>
                <w:szCs w:val="18"/>
              </w:rPr>
              <w:t xml:space="preserve">: </w:t>
            </w:r>
            <w:r>
              <w:rPr>
                <w:rFonts w:ascii="Arial Narrow" w:hAnsi="Arial Narrow" w:cs="Arial"/>
                <w:sz w:val="18"/>
                <w:szCs w:val="18"/>
              </w:rPr>
              <w:t>21.4 (12–32)</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 xml:space="preserve">Q max (ml/s): </w:t>
            </w:r>
            <w:r w:rsidRPr="00077A75">
              <w:rPr>
                <w:rFonts w:ascii="Arial Narrow" w:hAnsi="Arial Narrow" w:cs="Arial"/>
                <w:i/>
                <w:sz w:val="18"/>
                <w:szCs w:val="18"/>
              </w:rPr>
              <w:t>mean</w:t>
            </w:r>
            <w:r w:rsidRPr="00661778">
              <w:rPr>
                <w:rFonts w:ascii="Arial Narrow" w:hAnsi="Arial Narrow" w:cs="Arial"/>
                <w:i/>
                <w:sz w:val="18"/>
                <w:szCs w:val="18"/>
              </w:rPr>
              <w:t xml:space="preserve"> (</w:t>
            </w:r>
            <w:r>
              <w:rPr>
                <w:rFonts w:ascii="Arial Narrow" w:hAnsi="Arial Narrow" w:cs="Arial"/>
                <w:i/>
                <w:sz w:val="18"/>
                <w:szCs w:val="18"/>
              </w:rPr>
              <w:t>range</w:t>
            </w:r>
            <w:r w:rsidRPr="00661778">
              <w:rPr>
                <w:rFonts w:ascii="Arial Narrow" w:hAnsi="Arial Narrow" w:cs="Arial"/>
                <w:i/>
                <w:sz w:val="18"/>
                <w:szCs w:val="18"/>
              </w:rPr>
              <w:t>)</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4.9 (0–11)</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TURP</w:t>
            </w:r>
            <w:r w:rsidRPr="00077A75">
              <w:rPr>
                <w:rFonts w:ascii="Arial Narrow" w:hAnsi="Arial Narrow" w:cs="Arial"/>
                <w:sz w:val="18"/>
                <w:szCs w:val="18"/>
              </w:rPr>
              <w:t xml:space="preserve">: </w:t>
            </w:r>
            <w:r>
              <w:rPr>
                <w:rFonts w:ascii="Arial Narrow" w:hAnsi="Arial Narrow" w:cs="Arial"/>
                <w:sz w:val="18"/>
                <w:szCs w:val="18"/>
              </w:rPr>
              <w:t>5.9 (0–12)</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 xml:space="preserve">Prostate vol. (ml): </w:t>
            </w:r>
            <w:r w:rsidRPr="00077A75">
              <w:rPr>
                <w:rFonts w:ascii="Arial Narrow" w:hAnsi="Arial Narrow" w:cs="Arial"/>
                <w:i/>
                <w:sz w:val="18"/>
                <w:szCs w:val="18"/>
              </w:rPr>
              <w:t>mean</w:t>
            </w:r>
            <w:r w:rsidRPr="00661778">
              <w:rPr>
                <w:rFonts w:ascii="Arial Narrow" w:hAnsi="Arial Narrow" w:cs="Arial"/>
                <w:i/>
                <w:sz w:val="18"/>
                <w:szCs w:val="18"/>
              </w:rPr>
              <w:t xml:space="preserve"> (</w:t>
            </w:r>
            <w:r>
              <w:rPr>
                <w:rFonts w:ascii="Arial Narrow" w:hAnsi="Arial Narrow" w:cs="Arial"/>
                <w:i/>
                <w:sz w:val="18"/>
                <w:szCs w:val="18"/>
              </w:rPr>
              <w:t>range</w:t>
            </w:r>
            <w:r w:rsidRPr="00661778">
              <w:rPr>
                <w:rFonts w:ascii="Arial Narrow" w:hAnsi="Arial Narrow" w:cs="Arial"/>
                <w:i/>
                <w:sz w:val="18"/>
                <w:szCs w:val="18"/>
              </w:rPr>
              <w:t>)</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53.5 (20–95)</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TURP</w:t>
            </w:r>
            <w:r w:rsidRPr="00077A75">
              <w:rPr>
                <w:rFonts w:ascii="Arial Narrow" w:hAnsi="Arial Narrow" w:cs="Arial"/>
                <w:sz w:val="18"/>
                <w:szCs w:val="18"/>
              </w:rPr>
              <w:t xml:space="preserve">: </w:t>
            </w:r>
            <w:r>
              <w:rPr>
                <w:rFonts w:ascii="Arial Narrow" w:hAnsi="Arial Narrow" w:cs="Arial"/>
                <w:sz w:val="18"/>
                <w:szCs w:val="18"/>
              </w:rPr>
              <w:t>49.9 (20–99)</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PVR volume (ml):</w:t>
            </w:r>
            <w:r w:rsidRPr="00077A75">
              <w:rPr>
                <w:rFonts w:ascii="Arial Narrow" w:hAnsi="Arial Narrow" w:cs="Arial"/>
                <w:i/>
                <w:sz w:val="18"/>
                <w:szCs w:val="18"/>
              </w:rPr>
              <w:t xml:space="preserve"> mean</w:t>
            </w:r>
            <w:r w:rsidRPr="00661778">
              <w:rPr>
                <w:rFonts w:ascii="Arial Narrow" w:hAnsi="Arial Narrow" w:cs="Arial"/>
                <w:i/>
                <w:sz w:val="18"/>
                <w:szCs w:val="18"/>
              </w:rPr>
              <w:t xml:space="preserve"> (</w:t>
            </w:r>
            <w:r>
              <w:rPr>
                <w:rFonts w:ascii="Arial Narrow" w:hAnsi="Arial Narrow" w:cs="Arial"/>
                <w:i/>
                <w:sz w:val="18"/>
                <w:szCs w:val="18"/>
              </w:rPr>
              <w:t>range</w:t>
            </w:r>
            <w:r w:rsidRPr="00661778">
              <w:rPr>
                <w:rFonts w:ascii="Arial Narrow" w:hAnsi="Arial Narrow" w:cs="Arial"/>
                <w:i/>
                <w:sz w:val="18"/>
                <w:szCs w:val="18"/>
              </w:rPr>
              <w:t>)</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 238 (50–1000)</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TURP</w:t>
            </w:r>
            <w:r w:rsidRPr="00077A75">
              <w:rPr>
                <w:rFonts w:ascii="Arial Narrow" w:hAnsi="Arial Narrow" w:cs="Arial"/>
                <w:sz w:val="18"/>
                <w:szCs w:val="18"/>
              </w:rPr>
              <w:t xml:space="preserve">: </w:t>
            </w:r>
            <w:r>
              <w:rPr>
                <w:rFonts w:ascii="Arial Narrow" w:hAnsi="Arial Narrow" w:cs="Arial"/>
                <w:sz w:val="18"/>
                <w:szCs w:val="18"/>
              </w:rPr>
              <w:t>216 (50–800)</w:t>
            </w:r>
          </w:p>
          <w:p w:rsidR="00786914" w:rsidRPr="00077A75" w:rsidRDefault="00786914" w:rsidP="0006743B">
            <w:pPr>
              <w:spacing w:before="40" w:after="20"/>
              <w:ind w:left="0" w:right="57"/>
              <w:rPr>
                <w:rFonts w:ascii="Arial Narrow" w:hAnsi="Arial Narrow" w:cs="Arial"/>
                <w:i/>
                <w:sz w:val="18"/>
                <w:szCs w:val="18"/>
              </w:rPr>
            </w:pPr>
          </w:p>
        </w:tc>
        <w:tc>
          <w:tcPr>
            <w:tcW w:w="3685" w:type="dxa"/>
          </w:tcPr>
          <w:p w:rsidR="00786914" w:rsidRPr="003F0089" w:rsidRDefault="00786914" w:rsidP="0006743B">
            <w:pPr>
              <w:spacing w:after="0"/>
              <w:ind w:left="0" w:right="57"/>
              <w:rPr>
                <w:rFonts w:ascii="Arial Narrow" w:hAnsi="Arial Narrow" w:cs="Arial"/>
                <w:b/>
                <w:sz w:val="18"/>
                <w:szCs w:val="18"/>
              </w:rPr>
            </w:pPr>
            <w:r w:rsidRPr="0050620F">
              <w:rPr>
                <w:rFonts w:ascii="Arial Narrow" w:hAnsi="Arial Narrow" w:cs="Arial"/>
                <w:b/>
                <w:sz w:val="18"/>
                <w:szCs w:val="18"/>
              </w:rPr>
              <w:lastRenderedPageBreak/>
              <w:t>OUTCOMES</w:t>
            </w:r>
          </w:p>
          <w:p w:rsidR="00786914" w:rsidRDefault="00786914" w:rsidP="0006743B">
            <w:pPr>
              <w:spacing w:after="0"/>
              <w:ind w:left="0" w:right="57"/>
              <w:rPr>
                <w:rFonts w:ascii="Arial Narrow" w:hAnsi="Arial Narrow" w:cs="Arial"/>
                <w:b/>
                <w:i/>
                <w:sz w:val="18"/>
                <w:szCs w:val="18"/>
              </w:rPr>
            </w:pPr>
          </w:p>
          <w:p w:rsidR="00786914" w:rsidRPr="00E51845" w:rsidRDefault="00786914" w:rsidP="0006743B">
            <w:pPr>
              <w:spacing w:after="0"/>
              <w:ind w:left="0" w:right="57"/>
              <w:rPr>
                <w:rFonts w:ascii="Arial Narrow" w:hAnsi="Arial Narrow" w:cs="Arial"/>
                <w:b/>
                <w:sz w:val="18"/>
                <w:szCs w:val="18"/>
              </w:rPr>
            </w:pPr>
            <w:r w:rsidRPr="002A3112">
              <w:rPr>
                <w:rFonts w:ascii="Arial Narrow" w:hAnsi="Arial Narrow" w:cs="Arial"/>
                <w:b/>
                <w:sz w:val="18"/>
                <w:szCs w:val="18"/>
              </w:rPr>
              <w:t xml:space="preserve">Effectiveness </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Peak flow (ml/s; mean ± SD)</w:t>
            </w:r>
          </w:p>
          <w:p w:rsidR="00786914" w:rsidRPr="006E278D" w:rsidRDefault="00786914" w:rsidP="0006743B">
            <w:pPr>
              <w:rPr>
                <w:rFonts w:ascii="Arial Narrow" w:hAnsi="Arial Narrow" w:cs="Arial"/>
                <w:sz w:val="18"/>
                <w:szCs w:val="18"/>
              </w:rPr>
            </w:pPr>
            <w:r w:rsidRPr="006E278D">
              <w:rPr>
                <w:rFonts w:ascii="Arial Narrow" w:hAnsi="Arial Narrow" w:cs="Arial"/>
                <w:sz w:val="18"/>
                <w:szCs w:val="18"/>
                <w:u w:val="single"/>
              </w:rPr>
              <w:t>At 1 month:</w:t>
            </w:r>
            <w:r>
              <w:rPr>
                <w:rFonts w:ascii="Arial Narrow" w:hAnsi="Arial Narrow" w:cs="Arial"/>
                <w:sz w:val="18"/>
                <w:szCs w:val="18"/>
                <w:u w:val="single"/>
              </w:rPr>
              <w:t xml:space="preserve"> </w:t>
            </w:r>
            <w:r w:rsidRPr="006E278D">
              <w:rPr>
                <w:rFonts w:ascii="Arial Narrow" w:hAnsi="Arial Narrow" w:cs="Arial"/>
                <w:sz w:val="18"/>
                <w:szCs w:val="18"/>
              </w:rPr>
              <w:t>HoLEP: 23.1±7.1; TURP 25.5±10.7; p=0.20</w:t>
            </w:r>
          </w:p>
          <w:p w:rsidR="00786914" w:rsidRPr="006E278D" w:rsidRDefault="00786914" w:rsidP="0006743B">
            <w:pPr>
              <w:rPr>
                <w:rFonts w:ascii="Arial Narrow" w:hAnsi="Arial Narrow" w:cs="Arial"/>
                <w:sz w:val="18"/>
                <w:szCs w:val="18"/>
              </w:rPr>
            </w:pPr>
            <w:r w:rsidRPr="006E278D">
              <w:rPr>
                <w:rFonts w:ascii="Arial Narrow" w:hAnsi="Arial Narrow" w:cs="Arial"/>
                <w:sz w:val="18"/>
                <w:szCs w:val="18"/>
                <w:u w:val="single"/>
              </w:rPr>
              <w:t>At 6 months</w:t>
            </w:r>
            <w:r>
              <w:rPr>
                <w:rFonts w:ascii="Arial Narrow" w:hAnsi="Arial Narrow" w:cs="Arial"/>
                <w:sz w:val="18"/>
                <w:szCs w:val="18"/>
              </w:rPr>
              <w:t xml:space="preserve">: </w:t>
            </w:r>
            <w:r w:rsidRPr="006E278D">
              <w:rPr>
                <w:rFonts w:ascii="Arial Narrow" w:hAnsi="Arial Narrow" w:cs="Arial"/>
                <w:sz w:val="18"/>
                <w:szCs w:val="18"/>
              </w:rPr>
              <w:t>HoLEP: 25.1±6.9; TURP 25.1±9.4; p=0.72</w:t>
            </w:r>
          </w:p>
          <w:p w:rsidR="00786914" w:rsidRPr="00314AF2" w:rsidRDefault="00786914" w:rsidP="0006743B">
            <w:pPr>
              <w:rPr>
                <w:rFonts w:ascii="Arial Narrow" w:hAnsi="Arial Narrow" w:cs="Arial"/>
                <w:sz w:val="18"/>
                <w:szCs w:val="18"/>
              </w:rPr>
            </w:pPr>
            <w:r w:rsidRPr="00314AF2">
              <w:rPr>
                <w:rFonts w:ascii="Arial Narrow" w:hAnsi="Arial Narrow"/>
                <w:sz w:val="18"/>
                <w:szCs w:val="18"/>
                <w:u w:val="single"/>
              </w:rPr>
              <w:t>At 12 months:</w:t>
            </w:r>
            <w:r>
              <w:rPr>
                <w:rFonts w:ascii="Arial Narrow" w:hAnsi="Arial Narrow"/>
                <w:sz w:val="18"/>
                <w:szCs w:val="18"/>
                <w:u w:val="single"/>
              </w:rPr>
              <w:t xml:space="preserve"> </w:t>
            </w:r>
            <w:r w:rsidRPr="00314AF2">
              <w:rPr>
                <w:rFonts w:ascii="Arial Narrow" w:hAnsi="Arial Narrow"/>
                <w:sz w:val="18"/>
                <w:szCs w:val="18"/>
              </w:rPr>
              <w:t>HoLEP 27.9</w:t>
            </w:r>
            <w:r w:rsidRPr="00314AF2">
              <w:rPr>
                <w:rFonts w:ascii="Arial Narrow" w:hAnsi="Arial Narrow" w:cs="Arial"/>
                <w:sz w:val="18"/>
                <w:szCs w:val="18"/>
              </w:rPr>
              <w:t>±9.9; TURP 27.7±12.2; p=0.76</w:t>
            </w:r>
          </w:p>
          <w:p w:rsidR="00786914" w:rsidRDefault="00786914" w:rsidP="0006743B">
            <w:pPr>
              <w:spacing w:after="0"/>
              <w:ind w:left="0" w:right="57"/>
              <w:rPr>
                <w:rFonts w:ascii="Arial Narrow" w:hAnsi="Arial Narrow" w:cs="Arial"/>
                <w:sz w:val="18"/>
                <w:szCs w:val="18"/>
              </w:rPr>
            </w:pPr>
            <w:r w:rsidRPr="00C5156B">
              <w:rPr>
                <w:rFonts w:ascii="Arial Narrow" w:hAnsi="Arial Narrow" w:cs="Arial"/>
                <w:sz w:val="18"/>
                <w:szCs w:val="18"/>
                <w:u w:val="single"/>
              </w:rPr>
              <w:t xml:space="preserve">At </w:t>
            </w:r>
            <w:r>
              <w:rPr>
                <w:rFonts w:ascii="Arial Narrow" w:hAnsi="Arial Narrow" w:cs="Arial"/>
                <w:sz w:val="18"/>
                <w:szCs w:val="18"/>
                <w:u w:val="single"/>
              </w:rPr>
              <w:t>2 years</w:t>
            </w:r>
            <w:r>
              <w:rPr>
                <w:rFonts w:ascii="Arial Narrow" w:hAnsi="Arial Narrow" w:cs="Arial"/>
                <w:sz w:val="18"/>
                <w:szCs w:val="18"/>
              </w:rPr>
              <w:t>: HoLEP 28.0±9.0; TURP 29.1±10.9; p=0.82</w:t>
            </w:r>
          </w:p>
          <w:p w:rsidR="00786914" w:rsidRDefault="00786914" w:rsidP="0006743B">
            <w:pPr>
              <w:spacing w:after="0"/>
              <w:ind w:left="0" w:right="57"/>
              <w:rPr>
                <w:rFonts w:ascii="Arial Narrow" w:hAnsi="Arial Narrow" w:cs="Arial"/>
                <w:sz w:val="18"/>
                <w:szCs w:val="18"/>
              </w:rPr>
            </w:pPr>
            <w:r w:rsidRPr="00C5156B">
              <w:rPr>
                <w:rFonts w:ascii="Arial Narrow" w:hAnsi="Arial Narrow" w:cs="Arial"/>
                <w:sz w:val="18"/>
                <w:szCs w:val="18"/>
                <w:u w:val="single"/>
              </w:rPr>
              <w:t xml:space="preserve">At </w:t>
            </w:r>
            <w:r>
              <w:rPr>
                <w:rFonts w:ascii="Arial Narrow" w:hAnsi="Arial Narrow" w:cs="Arial"/>
                <w:sz w:val="18"/>
                <w:szCs w:val="18"/>
                <w:u w:val="single"/>
              </w:rPr>
              <w:t>3 years</w:t>
            </w:r>
            <w:r>
              <w:rPr>
                <w:rFonts w:ascii="Arial Narrow" w:hAnsi="Arial Narrow" w:cs="Arial"/>
                <w:sz w:val="18"/>
                <w:szCs w:val="18"/>
              </w:rPr>
              <w:t>: HoLEP 29.0±11.0; TURP 27.5±9.9; p=0.41</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xml:space="preserve">- AUA symptom score (mean ± SD) </w:t>
            </w:r>
          </w:p>
          <w:p w:rsidR="00786914" w:rsidRDefault="00786914" w:rsidP="0006743B">
            <w:pPr>
              <w:spacing w:after="0"/>
              <w:ind w:left="0" w:right="57"/>
              <w:rPr>
                <w:rFonts w:ascii="Arial Narrow" w:hAnsi="Arial Narrow" w:cs="Arial"/>
                <w:sz w:val="18"/>
                <w:szCs w:val="18"/>
                <w:u w:val="single"/>
              </w:rPr>
            </w:pPr>
          </w:p>
          <w:p w:rsidR="00786914" w:rsidRPr="0003425B" w:rsidRDefault="00786914" w:rsidP="0006743B">
            <w:pPr>
              <w:spacing w:after="0"/>
              <w:ind w:left="0" w:right="57"/>
              <w:rPr>
                <w:rFonts w:ascii="Arial Narrow" w:hAnsi="Arial Narrow" w:cs="Arial"/>
                <w:sz w:val="18"/>
                <w:szCs w:val="18"/>
                <w:u w:val="single"/>
              </w:rPr>
            </w:pPr>
            <w:r w:rsidRPr="0003425B">
              <w:rPr>
                <w:rFonts w:ascii="Arial Narrow" w:hAnsi="Arial Narrow" w:cs="Arial"/>
                <w:sz w:val="18"/>
                <w:szCs w:val="18"/>
                <w:u w:val="single"/>
              </w:rPr>
              <w:t xml:space="preserve">At 1 month: </w:t>
            </w:r>
            <w:r w:rsidRPr="0003425B">
              <w:rPr>
                <w:rFonts w:ascii="Arial Narrow" w:hAnsi="Arial Narrow"/>
                <w:sz w:val="18"/>
                <w:szCs w:val="18"/>
              </w:rPr>
              <w:t>HoLEP 4.3</w:t>
            </w:r>
            <w:r w:rsidRPr="0003425B">
              <w:rPr>
                <w:rFonts w:ascii="Arial Narrow" w:hAnsi="Arial Narrow" w:cs="Arial"/>
                <w:sz w:val="18"/>
                <w:szCs w:val="18"/>
              </w:rPr>
              <w:t>±2.9; TURP 5.5±3.8; p=0.04</w:t>
            </w:r>
          </w:p>
          <w:p w:rsidR="00786914" w:rsidRPr="0003425B" w:rsidRDefault="00786914" w:rsidP="0006743B">
            <w:pPr>
              <w:rPr>
                <w:rFonts w:ascii="Arial Narrow" w:hAnsi="Arial Narrow" w:cs="Arial"/>
                <w:sz w:val="18"/>
                <w:szCs w:val="18"/>
                <w:u w:val="single"/>
              </w:rPr>
            </w:pPr>
            <w:r w:rsidRPr="0003425B">
              <w:rPr>
                <w:rFonts w:ascii="Arial Narrow" w:hAnsi="Arial Narrow"/>
                <w:sz w:val="18"/>
                <w:szCs w:val="18"/>
                <w:u w:val="single"/>
              </w:rPr>
              <w:t>At 6 months</w:t>
            </w:r>
            <w:r w:rsidRPr="0003425B">
              <w:rPr>
                <w:rFonts w:ascii="Arial Narrow" w:hAnsi="Arial Narrow"/>
                <w:sz w:val="18"/>
                <w:szCs w:val="18"/>
              </w:rPr>
              <w:t>; HoLEP 2.2</w:t>
            </w:r>
            <w:r w:rsidRPr="0003425B">
              <w:rPr>
                <w:rFonts w:ascii="Arial Narrow" w:hAnsi="Arial Narrow" w:cs="Arial"/>
                <w:sz w:val="18"/>
                <w:szCs w:val="18"/>
              </w:rPr>
              <w:t>±1.6; TURP 3.7±3.4; P=0.006</w:t>
            </w:r>
          </w:p>
          <w:p w:rsidR="00786914" w:rsidRPr="0003425B" w:rsidRDefault="00786914" w:rsidP="0006743B">
            <w:pPr>
              <w:spacing w:after="0"/>
              <w:ind w:left="0" w:right="57"/>
              <w:rPr>
                <w:rFonts w:ascii="Arial Narrow" w:hAnsi="Arial Narrow" w:cs="Arial"/>
                <w:sz w:val="18"/>
                <w:szCs w:val="18"/>
                <w:u w:val="single"/>
              </w:rPr>
            </w:pPr>
            <w:r w:rsidRPr="0003425B">
              <w:rPr>
                <w:rFonts w:ascii="Arial Narrow" w:hAnsi="Arial Narrow" w:cs="Arial"/>
                <w:sz w:val="18"/>
                <w:szCs w:val="18"/>
                <w:u w:val="single"/>
              </w:rPr>
              <w:t xml:space="preserve">At 12 months: </w:t>
            </w:r>
            <w:r w:rsidRPr="0003425B">
              <w:rPr>
                <w:rFonts w:ascii="Arial Narrow" w:hAnsi="Arial Narrow"/>
                <w:sz w:val="18"/>
                <w:szCs w:val="18"/>
              </w:rPr>
              <w:t>HoLEP 1.7</w:t>
            </w:r>
            <w:r w:rsidRPr="0003425B">
              <w:rPr>
                <w:rFonts w:ascii="Arial Narrow" w:hAnsi="Arial Narrow" w:cs="Arial"/>
                <w:sz w:val="18"/>
                <w:szCs w:val="18"/>
              </w:rPr>
              <w:t>±1.8; TURP 3.9±3.9; p&lt;0.0001</w:t>
            </w:r>
          </w:p>
          <w:p w:rsidR="00786914" w:rsidRPr="0003425B" w:rsidRDefault="00786914" w:rsidP="0006743B">
            <w:pPr>
              <w:spacing w:after="0"/>
              <w:ind w:left="0" w:right="57"/>
              <w:rPr>
                <w:rFonts w:ascii="Arial Narrow" w:hAnsi="Arial Narrow" w:cs="Arial"/>
                <w:sz w:val="18"/>
                <w:szCs w:val="18"/>
              </w:rPr>
            </w:pPr>
            <w:r w:rsidRPr="0003425B">
              <w:rPr>
                <w:rFonts w:ascii="Arial Narrow" w:hAnsi="Arial Narrow" w:cs="Arial"/>
                <w:sz w:val="18"/>
                <w:szCs w:val="18"/>
                <w:u w:val="single"/>
              </w:rPr>
              <w:t>At 2 years</w:t>
            </w:r>
            <w:r w:rsidRPr="0003425B">
              <w:rPr>
                <w:rFonts w:ascii="Arial Narrow" w:hAnsi="Arial Narrow" w:cs="Arial"/>
                <w:sz w:val="18"/>
                <w:szCs w:val="18"/>
              </w:rPr>
              <w:t>: HoLEP 1.7±1.7; TURP 3.9±3.7 p&lt;0.0001</w:t>
            </w:r>
          </w:p>
          <w:p w:rsidR="00786914" w:rsidRDefault="00786914" w:rsidP="0006743B">
            <w:pPr>
              <w:spacing w:after="0"/>
              <w:ind w:left="0" w:right="57"/>
              <w:rPr>
                <w:rFonts w:ascii="Arial Narrow" w:hAnsi="Arial Narrow" w:cs="Arial"/>
                <w:sz w:val="18"/>
                <w:szCs w:val="18"/>
              </w:rPr>
            </w:pPr>
            <w:r w:rsidRPr="0003425B">
              <w:rPr>
                <w:rFonts w:ascii="Arial Narrow" w:hAnsi="Arial Narrow" w:cs="Arial"/>
                <w:sz w:val="18"/>
                <w:szCs w:val="18"/>
                <w:u w:val="single"/>
              </w:rPr>
              <w:t>At 3 years</w:t>
            </w:r>
            <w:r w:rsidRPr="0003425B">
              <w:rPr>
                <w:rFonts w:ascii="Arial Narrow" w:hAnsi="Arial Narrow" w:cs="Arial"/>
                <w:sz w:val="18"/>
                <w:szCs w:val="18"/>
              </w:rPr>
              <w:t>: HoLEP 2.7±3.2; TURP 3.3±3.0;   p=0.17</w:t>
            </w:r>
          </w:p>
          <w:p w:rsidR="00786914" w:rsidRDefault="00786914" w:rsidP="0006743B">
            <w:pPr>
              <w:spacing w:after="0"/>
              <w:ind w:left="0" w:right="57"/>
              <w:rPr>
                <w:rFonts w:ascii="Arial Narrow" w:hAnsi="Arial Narrow" w:cs="Arial"/>
                <w:sz w:val="18"/>
                <w:szCs w:val="18"/>
              </w:rPr>
            </w:pPr>
          </w:p>
          <w:p w:rsidR="00786914" w:rsidRPr="00783A96" w:rsidRDefault="00786914" w:rsidP="0006743B">
            <w:pPr>
              <w:spacing w:after="0"/>
              <w:ind w:left="0" w:right="57"/>
              <w:rPr>
                <w:rFonts w:ascii="Arial Narrow" w:hAnsi="Arial Narrow" w:cs="Arial"/>
                <w:sz w:val="18"/>
                <w:szCs w:val="18"/>
              </w:rPr>
            </w:pPr>
            <w:r w:rsidRPr="00783A96">
              <w:rPr>
                <w:rFonts w:ascii="Arial Narrow" w:hAnsi="Arial Narrow" w:cs="Arial"/>
                <w:sz w:val="18"/>
                <w:szCs w:val="18"/>
              </w:rPr>
              <w:t>- Post-void residual volume (ml; mean ± SD)</w:t>
            </w:r>
          </w:p>
          <w:p w:rsidR="00786914" w:rsidRPr="00783A96" w:rsidRDefault="00786914" w:rsidP="0006743B">
            <w:pPr>
              <w:spacing w:after="0"/>
              <w:ind w:left="0" w:right="57"/>
              <w:rPr>
                <w:rFonts w:ascii="Arial Narrow" w:hAnsi="Arial Narrow" w:cs="Arial"/>
                <w:sz w:val="18"/>
                <w:szCs w:val="18"/>
                <w:u w:val="single"/>
              </w:rPr>
            </w:pPr>
            <w:r w:rsidRPr="00783A96">
              <w:rPr>
                <w:rFonts w:ascii="Arial Narrow" w:hAnsi="Arial Narrow" w:cs="Arial"/>
                <w:sz w:val="18"/>
                <w:szCs w:val="18"/>
                <w:u w:val="single"/>
              </w:rPr>
              <w:t xml:space="preserve">At 1 month: </w:t>
            </w:r>
            <w:r w:rsidRPr="00783A96">
              <w:rPr>
                <w:rFonts w:ascii="Arial Narrow" w:hAnsi="Arial Narrow"/>
                <w:sz w:val="16"/>
                <w:szCs w:val="16"/>
              </w:rPr>
              <w:t>HoLEP  9.4</w:t>
            </w:r>
            <w:r w:rsidRPr="00783A96">
              <w:rPr>
                <w:rFonts w:ascii="Arial Narrow" w:hAnsi="Arial Narrow" w:cs="Arial"/>
                <w:sz w:val="16"/>
                <w:szCs w:val="16"/>
              </w:rPr>
              <w:t>±19.3; TURP 13.2±19.4; p=0.03</w:t>
            </w:r>
          </w:p>
          <w:p w:rsidR="00786914" w:rsidRPr="00783A96" w:rsidRDefault="00786914" w:rsidP="0006743B">
            <w:pPr>
              <w:spacing w:after="0"/>
              <w:ind w:left="0" w:right="57"/>
              <w:rPr>
                <w:rFonts w:ascii="Arial Narrow" w:hAnsi="Arial Narrow" w:cs="Arial"/>
                <w:sz w:val="18"/>
                <w:szCs w:val="18"/>
                <w:u w:val="single"/>
              </w:rPr>
            </w:pPr>
            <w:r w:rsidRPr="00783A96">
              <w:rPr>
                <w:rFonts w:ascii="Arial Narrow" w:hAnsi="Arial Narrow" w:cs="Arial"/>
                <w:sz w:val="18"/>
                <w:szCs w:val="18"/>
                <w:u w:val="single"/>
              </w:rPr>
              <w:t xml:space="preserve">At 6 months: </w:t>
            </w:r>
            <w:r w:rsidRPr="00783A96">
              <w:rPr>
                <w:rFonts w:ascii="Arial Narrow" w:hAnsi="Arial Narrow"/>
                <w:sz w:val="16"/>
                <w:szCs w:val="16"/>
              </w:rPr>
              <w:t>HoLEP  4.8</w:t>
            </w:r>
            <w:r w:rsidRPr="00783A96">
              <w:rPr>
                <w:rFonts w:ascii="Arial Narrow" w:hAnsi="Arial Narrow" w:cs="Arial"/>
                <w:sz w:val="16"/>
                <w:szCs w:val="16"/>
              </w:rPr>
              <w:t>±12.5; TURP 16.7±16.9; p&lt;0.0001</w:t>
            </w:r>
          </w:p>
          <w:p w:rsidR="00786914" w:rsidRPr="00783A96" w:rsidRDefault="00786914" w:rsidP="0006743B">
            <w:pPr>
              <w:rPr>
                <w:rFonts w:ascii="Arial Narrow" w:hAnsi="Arial Narrow" w:cs="Arial"/>
                <w:sz w:val="18"/>
                <w:szCs w:val="18"/>
                <w:u w:val="single"/>
              </w:rPr>
            </w:pPr>
            <w:r w:rsidRPr="00783A96">
              <w:rPr>
                <w:rFonts w:ascii="Arial Narrow" w:hAnsi="Arial Narrow" w:cs="Arial"/>
                <w:sz w:val="18"/>
                <w:szCs w:val="18"/>
                <w:u w:val="single"/>
              </w:rPr>
              <w:t xml:space="preserve">At 12 months: </w:t>
            </w:r>
            <w:r w:rsidRPr="00783A96">
              <w:rPr>
                <w:rFonts w:ascii="Arial Narrow" w:hAnsi="Arial Narrow"/>
                <w:sz w:val="16"/>
                <w:szCs w:val="16"/>
              </w:rPr>
              <w:t>HoLEP 5.3</w:t>
            </w:r>
            <w:r w:rsidRPr="00783A96">
              <w:rPr>
                <w:rFonts w:ascii="Arial Narrow" w:hAnsi="Arial Narrow" w:cs="Arial"/>
                <w:sz w:val="16"/>
                <w:szCs w:val="16"/>
              </w:rPr>
              <w:t>±15.3; TURP 26.6±60.4; p&lt;0.0001</w:t>
            </w:r>
          </w:p>
          <w:p w:rsidR="00786914" w:rsidRDefault="00786914" w:rsidP="0006743B">
            <w:pPr>
              <w:spacing w:after="0"/>
              <w:ind w:left="0" w:right="57"/>
              <w:rPr>
                <w:rFonts w:ascii="Arial Narrow" w:hAnsi="Arial Narrow" w:cs="Arial"/>
                <w:sz w:val="18"/>
                <w:szCs w:val="18"/>
              </w:rPr>
            </w:pPr>
            <w:r w:rsidRPr="00783A96">
              <w:rPr>
                <w:rFonts w:ascii="Arial Narrow" w:hAnsi="Arial Narrow" w:cs="Arial"/>
                <w:sz w:val="18"/>
                <w:szCs w:val="18"/>
                <w:u w:val="single"/>
              </w:rPr>
              <w:t>At 2 years</w:t>
            </w:r>
            <w:r w:rsidRPr="00783A96">
              <w:rPr>
                <w:rFonts w:ascii="Arial Narrow" w:hAnsi="Arial Narrow" w:cs="Arial"/>
                <w:sz w:val="18"/>
                <w:szCs w:val="18"/>
              </w:rPr>
              <w:t>: HoLEP 5.6±19.9; TURP 19.9±29.6;</w:t>
            </w:r>
            <w:r>
              <w:rPr>
                <w:rFonts w:ascii="Arial Narrow" w:hAnsi="Arial Narrow" w:cs="Arial"/>
                <w:sz w:val="18"/>
                <w:szCs w:val="18"/>
              </w:rPr>
              <w:t xml:space="preserve"> p&lt;0.0001</w:t>
            </w:r>
          </w:p>
          <w:p w:rsidR="00786914" w:rsidRDefault="00786914" w:rsidP="0006743B">
            <w:pPr>
              <w:spacing w:after="0"/>
              <w:ind w:left="0" w:right="57"/>
              <w:rPr>
                <w:rFonts w:ascii="Arial Narrow" w:hAnsi="Arial Narrow" w:cs="Arial"/>
                <w:sz w:val="18"/>
                <w:szCs w:val="18"/>
              </w:rPr>
            </w:pPr>
            <w:r w:rsidRPr="00C5156B">
              <w:rPr>
                <w:rFonts w:ascii="Arial Narrow" w:hAnsi="Arial Narrow" w:cs="Arial"/>
                <w:sz w:val="18"/>
                <w:szCs w:val="18"/>
                <w:u w:val="single"/>
              </w:rPr>
              <w:t xml:space="preserve">At </w:t>
            </w:r>
            <w:r>
              <w:rPr>
                <w:rFonts w:ascii="Arial Narrow" w:hAnsi="Arial Narrow" w:cs="Arial"/>
                <w:sz w:val="18"/>
                <w:szCs w:val="18"/>
                <w:u w:val="single"/>
              </w:rPr>
              <w:t>3 years</w:t>
            </w:r>
            <w:r>
              <w:rPr>
                <w:rFonts w:ascii="Arial Narrow" w:hAnsi="Arial Narrow" w:cs="Arial"/>
                <w:sz w:val="18"/>
                <w:szCs w:val="18"/>
              </w:rPr>
              <w:t>: HoLEP 8.4±16.0; TURP 20.2±33.0; p&lt;0.012</w:t>
            </w:r>
          </w:p>
          <w:p w:rsidR="00786914" w:rsidRDefault="00786914" w:rsidP="0006743B">
            <w:pPr>
              <w:spacing w:after="0"/>
              <w:ind w:left="0" w:right="57"/>
              <w:rPr>
                <w:rFonts w:ascii="Arial Narrow" w:hAnsi="Arial Narrow" w:cs="Arial"/>
                <w:sz w:val="18"/>
                <w:szCs w:val="18"/>
              </w:rPr>
            </w:pPr>
          </w:p>
          <w:p w:rsidR="00786914" w:rsidRPr="00C1556D" w:rsidRDefault="00786914" w:rsidP="0006743B">
            <w:pPr>
              <w:spacing w:after="0"/>
              <w:ind w:left="0" w:right="57"/>
              <w:rPr>
                <w:rFonts w:ascii="Arial Narrow" w:hAnsi="Arial Narrow" w:cs="Arial"/>
                <w:sz w:val="18"/>
                <w:szCs w:val="18"/>
              </w:rPr>
            </w:pPr>
            <w:r w:rsidRPr="00C1556D">
              <w:rPr>
                <w:rFonts w:ascii="Arial Narrow" w:hAnsi="Arial Narrow" w:cs="Arial"/>
                <w:sz w:val="18"/>
                <w:szCs w:val="18"/>
              </w:rPr>
              <w:t>Adverse events (from lost to follow-up of excluded patients):</w:t>
            </w:r>
          </w:p>
          <w:p w:rsidR="00786914" w:rsidRPr="00C1556D" w:rsidRDefault="00786914" w:rsidP="0006743B">
            <w:pPr>
              <w:spacing w:after="0"/>
              <w:ind w:left="0" w:right="57"/>
              <w:rPr>
                <w:rFonts w:ascii="Arial Narrow" w:hAnsi="Arial Narrow" w:cs="Arial"/>
                <w:sz w:val="18"/>
                <w:szCs w:val="18"/>
                <w:u w:val="single"/>
              </w:rPr>
            </w:pPr>
            <w:r w:rsidRPr="00C1556D">
              <w:rPr>
                <w:rFonts w:ascii="Arial Narrow" w:hAnsi="Arial Narrow" w:cs="Arial"/>
                <w:sz w:val="18"/>
                <w:szCs w:val="18"/>
                <w:u w:val="single"/>
              </w:rPr>
              <w:t>3 years:</w:t>
            </w:r>
          </w:p>
          <w:p w:rsidR="00786914" w:rsidRPr="00C1556D" w:rsidRDefault="00786914" w:rsidP="0006743B">
            <w:pPr>
              <w:spacing w:after="0"/>
              <w:ind w:left="0" w:right="57"/>
              <w:rPr>
                <w:rFonts w:ascii="Arial Narrow" w:hAnsi="Arial Narrow" w:cs="Arial"/>
                <w:sz w:val="18"/>
                <w:szCs w:val="18"/>
              </w:rPr>
            </w:pPr>
            <w:r w:rsidRPr="00C1556D">
              <w:rPr>
                <w:rFonts w:ascii="Arial Narrow" w:hAnsi="Arial Narrow" w:cs="Arial"/>
                <w:sz w:val="18"/>
                <w:szCs w:val="18"/>
              </w:rPr>
              <w:t xml:space="preserve">BPH recurrence: </w:t>
            </w:r>
            <w:r>
              <w:rPr>
                <w:rFonts w:ascii="Arial Narrow" w:hAnsi="Arial Narrow" w:cs="Arial"/>
                <w:sz w:val="18"/>
                <w:szCs w:val="18"/>
              </w:rPr>
              <w:tab/>
            </w:r>
            <w:r>
              <w:rPr>
                <w:rFonts w:ascii="Arial Narrow" w:hAnsi="Arial Narrow" w:cs="Arial"/>
                <w:sz w:val="18"/>
                <w:szCs w:val="18"/>
              </w:rPr>
              <w:tab/>
            </w:r>
            <w:r w:rsidRPr="00C1556D">
              <w:rPr>
                <w:rFonts w:ascii="Arial Narrow" w:hAnsi="Arial Narrow" w:cs="Arial"/>
                <w:sz w:val="18"/>
                <w:szCs w:val="18"/>
              </w:rPr>
              <w:t>HoLEP 1; TURP 0</w:t>
            </w:r>
          </w:p>
          <w:p w:rsidR="00786914" w:rsidRPr="00C1556D" w:rsidRDefault="00786914" w:rsidP="0006743B">
            <w:pPr>
              <w:spacing w:after="0"/>
              <w:ind w:left="0" w:right="57"/>
              <w:rPr>
                <w:rFonts w:ascii="Arial Narrow" w:hAnsi="Arial Narrow" w:cs="Arial"/>
                <w:sz w:val="18"/>
                <w:szCs w:val="18"/>
              </w:rPr>
            </w:pPr>
            <w:r w:rsidRPr="00C1556D">
              <w:rPr>
                <w:rFonts w:ascii="Arial Narrow" w:hAnsi="Arial Narrow" w:cs="Arial"/>
                <w:sz w:val="18"/>
                <w:szCs w:val="18"/>
              </w:rPr>
              <w:t>Bladder neck contracture: HoLEP 0; TURP 1</w:t>
            </w:r>
          </w:p>
          <w:p w:rsidR="00786914" w:rsidRPr="00C1556D" w:rsidRDefault="00786914" w:rsidP="0006743B">
            <w:pPr>
              <w:spacing w:after="0"/>
              <w:ind w:left="0" w:right="57"/>
              <w:rPr>
                <w:rFonts w:ascii="Arial Narrow" w:hAnsi="Arial Narrow" w:cs="Arial"/>
                <w:sz w:val="18"/>
                <w:szCs w:val="18"/>
              </w:rPr>
            </w:pPr>
            <w:r w:rsidRPr="00C1556D">
              <w:rPr>
                <w:rFonts w:ascii="Arial Narrow" w:hAnsi="Arial Narrow" w:cs="Arial"/>
                <w:sz w:val="18"/>
                <w:szCs w:val="18"/>
              </w:rPr>
              <w:t xml:space="preserve">Urethral stricture: </w:t>
            </w:r>
            <w:r>
              <w:rPr>
                <w:rFonts w:ascii="Arial Narrow" w:hAnsi="Arial Narrow" w:cs="Arial"/>
                <w:sz w:val="18"/>
                <w:szCs w:val="18"/>
              </w:rPr>
              <w:tab/>
            </w:r>
            <w:r w:rsidRPr="00C1556D">
              <w:rPr>
                <w:rFonts w:ascii="Arial Narrow" w:hAnsi="Arial Narrow" w:cs="Arial"/>
                <w:sz w:val="18"/>
                <w:szCs w:val="18"/>
              </w:rPr>
              <w:t>HoLEP 1; TURP 2</w:t>
            </w:r>
          </w:p>
          <w:p w:rsidR="00786914" w:rsidRPr="00DC0D4A" w:rsidRDefault="00786914" w:rsidP="0006743B">
            <w:pPr>
              <w:spacing w:after="0"/>
              <w:ind w:left="0" w:right="57"/>
              <w:rPr>
                <w:rFonts w:ascii="Arial Narrow" w:hAnsi="Arial Narrow" w:cs="Arial"/>
                <w:sz w:val="18"/>
                <w:szCs w:val="18"/>
              </w:rPr>
            </w:pPr>
            <w:r w:rsidRPr="00C1556D">
              <w:rPr>
                <w:rFonts w:ascii="Arial Narrow" w:hAnsi="Arial Narrow" w:cs="Arial"/>
                <w:sz w:val="18"/>
                <w:szCs w:val="18"/>
              </w:rPr>
              <w:t>Death:</w:t>
            </w:r>
            <w:r w:rsidR="00AE6E57" w:rsidRPr="00C1556D">
              <w:rPr>
                <w:rFonts w:ascii="Arial Narrow" w:hAnsi="Arial Narrow" w:cs="Arial"/>
                <w:sz w:val="18"/>
                <w:szCs w:val="18"/>
              </w:rPr>
              <w:t xml:space="preserve"> </w:t>
            </w:r>
            <w:r w:rsidRPr="00C1556D">
              <w:rPr>
                <w:rFonts w:ascii="Arial Narrow" w:hAnsi="Arial Narrow" w:cs="Arial"/>
                <w:sz w:val="18"/>
                <w:szCs w:val="18"/>
              </w:rPr>
              <w:t>HoLEP 0; TURP 1</w:t>
            </w:r>
          </w:p>
          <w:p w:rsidR="00786914" w:rsidRPr="00322156" w:rsidRDefault="00786914" w:rsidP="0006743B">
            <w:pPr>
              <w:spacing w:after="0"/>
              <w:ind w:left="0" w:right="57"/>
              <w:rPr>
                <w:rFonts w:ascii="Arial Narrow" w:hAnsi="Arial Narrow" w:cs="Arial"/>
                <w:sz w:val="18"/>
                <w:szCs w:val="18"/>
              </w:rPr>
            </w:pPr>
          </w:p>
          <w:p w:rsidR="00786914" w:rsidRPr="00690487" w:rsidRDefault="00786914" w:rsidP="0006743B">
            <w:pPr>
              <w:spacing w:after="0"/>
              <w:ind w:left="0" w:right="57"/>
              <w:rPr>
                <w:rFonts w:ascii="Arial Narrow" w:hAnsi="Arial Narrow" w:cs="Arial"/>
                <w:sz w:val="18"/>
                <w:szCs w:val="18"/>
              </w:rPr>
            </w:pPr>
          </w:p>
        </w:tc>
        <w:tc>
          <w:tcPr>
            <w:tcW w:w="3334" w:type="dxa"/>
          </w:tcPr>
          <w:p w:rsidR="00786914" w:rsidRPr="007C14F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Default="00786914" w:rsidP="0006743B">
            <w:pPr>
              <w:spacing w:before="40" w:after="20"/>
              <w:ind w:left="0" w:right="57"/>
              <w:rPr>
                <w:rFonts w:ascii="Arial Narrow" w:hAnsi="Arial Narrow" w:cs="Arial"/>
                <w:b/>
                <w:i/>
                <w:sz w:val="18"/>
                <w:szCs w:val="18"/>
              </w:rPr>
            </w:pPr>
          </w:p>
          <w:p w:rsidR="00786914" w:rsidRDefault="00786914" w:rsidP="0006743B">
            <w:pPr>
              <w:spacing w:before="40" w:after="20"/>
              <w:ind w:left="0" w:right="57"/>
              <w:rPr>
                <w:rFonts w:ascii="Arial Narrow" w:hAnsi="Arial Narrow" w:cs="Arial"/>
                <w:b/>
                <w:i/>
                <w:sz w:val="18"/>
                <w:szCs w:val="18"/>
              </w:rPr>
            </w:pPr>
            <w:r>
              <w:rPr>
                <w:rFonts w:ascii="Arial Narrow" w:hAnsi="Arial Narrow" w:cs="Arial"/>
                <w:b/>
                <w:i/>
                <w:sz w:val="18"/>
                <w:szCs w:val="18"/>
              </w:rPr>
              <w:t xml:space="preserve">Original study quality assessed as part of Lourenco 2008 </w:t>
            </w:r>
          </w:p>
          <w:p w:rsidR="00786914" w:rsidRPr="00AA2A16" w:rsidRDefault="00786914" w:rsidP="0006743B">
            <w:pPr>
              <w:spacing w:before="40" w:after="20"/>
              <w:ind w:left="0" w:right="57"/>
              <w:rPr>
                <w:rFonts w:ascii="Arial Narrow" w:hAnsi="Arial Narrow" w:cs="Arial"/>
                <w:i/>
                <w:sz w:val="18"/>
                <w:szCs w:val="18"/>
                <w:highlight w:val="yellow"/>
              </w:rPr>
            </w:pPr>
          </w:p>
        </w:tc>
      </w:tr>
      <w:tr w:rsidR="00786914" w:rsidRPr="00B43256" w:rsidTr="0006743B">
        <w:trPr>
          <w:trHeight w:val="127"/>
        </w:trPr>
        <w:tc>
          <w:tcPr>
            <w:tcW w:w="2376" w:type="dxa"/>
            <w:tcBorders>
              <w:top w:val="single" w:sz="4" w:space="0" w:color="auto"/>
              <w:left w:val="single" w:sz="4" w:space="0" w:color="auto"/>
              <w:bottom w:val="single" w:sz="4" w:space="0" w:color="auto"/>
              <w:right w:val="single" w:sz="4" w:space="0" w:color="auto"/>
            </w:tcBorders>
          </w:tcPr>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Gilling et al 2011</w:t>
            </w:r>
          </w:p>
          <w:p w:rsidR="00786914" w:rsidRPr="003E6E7A" w:rsidRDefault="00786914" w:rsidP="0006743B">
            <w:pPr>
              <w:spacing w:before="40" w:after="20"/>
              <w:ind w:left="0" w:right="57"/>
              <w:rPr>
                <w:rFonts w:ascii="Arial Narrow" w:hAnsi="Arial Narrow" w:cs="Arial"/>
                <w:sz w:val="18"/>
                <w:szCs w:val="18"/>
              </w:rPr>
            </w:pPr>
            <w:r w:rsidRPr="003E6E7A">
              <w:rPr>
                <w:rFonts w:ascii="Arial Narrow" w:hAnsi="Arial Narrow" w:cs="Arial"/>
                <w:sz w:val="18"/>
                <w:szCs w:val="18"/>
              </w:rPr>
              <w:t>NB: 7</w:t>
            </w:r>
            <w:r>
              <w:rPr>
                <w:rFonts w:ascii="Arial Narrow" w:hAnsi="Arial Narrow" w:cs="Arial"/>
                <w:sz w:val="18"/>
                <w:szCs w:val="18"/>
              </w:rPr>
              <w:t>-</w:t>
            </w:r>
            <w:r w:rsidRPr="003E6E7A">
              <w:rPr>
                <w:rFonts w:ascii="Arial Narrow" w:hAnsi="Arial Narrow" w:cs="Arial"/>
                <w:sz w:val="18"/>
                <w:szCs w:val="18"/>
              </w:rPr>
              <w:t>year follow</w:t>
            </w:r>
            <w:r>
              <w:rPr>
                <w:rFonts w:ascii="Arial Narrow" w:hAnsi="Arial Narrow" w:cs="Arial"/>
                <w:sz w:val="18"/>
                <w:szCs w:val="18"/>
              </w:rPr>
              <w:t>-</w:t>
            </w:r>
            <w:r w:rsidRPr="003E6E7A">
              <w:rPr>
                <w:rFonts w:ascii="Arial Narrow" w:hAnsi="Arial Narrow" w:cs="Arial"/>
                <w:sz w:val="18"/>
                <w:szCs w:val="18"/>
              </w:rPr>
              <w:t>up to Tan</w:t>
            </w:r>
            <w:r>
              <w:rPr>
                <w:rFonts w:ascii="Arial Narrow" w:hAnsi="Arial Narrow" w:cs="Arial"/>
                <w:sz w:val="18"/>
                <w:szCs w:val="18"/>
              </w:rPr>
              <w:t xml:space="preserve"> et al</w:t>
            </w:r>
            <w:r w:rsidRPr="003E6E7A">
              <w:rPr>
                <w:rFonts w:ascii="Arial Narrow" w:hAnsi="Arial Narrow" w:cs="Arial"/>
                <w:sz w:val="18"/>
                <w:szCs w:val="18"/>
              </w:rPr>
              <w:t xml:space="preserve">  2003</w:t>
            </w:r>
          </w:p>
          <w:p w:rsidR="00786914" w:rsidRPr="00A26475" w:rsidRDefault="00786914" w:rsidP="0006743B">
            <w:pPr>
              <w:spacing w:before="40" w:after="20"/>
              <w:ind w:left="0" w:right="57"/>
              <w:rPr>
                <w:rFonts w:ascii="Arial Narrow" w:hAnsi="Arial Narrow" w:cs="Arial"/>
                <w:sz w:val="18"/>
                <w:szCs w:val="18"/>
              </w:rPr>
            </w:pPr>
          </w:p>
          <w:p w:rsidR="00786914" w:rsidRPr="00D21E17" w:rsidRDefault="00786914" w:rsidP="0006743B">
            <w:pPr>
              <w:spacing w:before="40" w:after="20"/>
              <w:ind w:left="0" w:right="57"/>
              <w:rPr>
                <w:rFonts w:ascii="Arial Narrow" w:hAnsi="Arial Narrow" w:cs="Arial"/>
                <w:sz w:val="18"/>
                <w:szCs w:val="18"/>
              </w:rPr>
            </w:pPr>
            <w:r w:rsidRPr="00D21E17">
              <w:rPr>
                <w:rFonts w:ascii="Arial Narrow" w:hAnsi="Arial Narrow" w:cs="Arial"/>
                <w:sz w:val="18"/>
                <w:szCs w:val="18"/>
              </w:rPr>
              <w:lastRenderedPageBreak/>
              <w:t>New Zealand</w:t>
            </w:r>
          </w:p>
          <w:p w:rsidR="00786914" w:rsidRPr="007500B9" w:rsidRDefault="00786914" w:rsidP="0006743B">
            <w:pPr>
              <w:spacing w:before="40" w:after="20"/>
              <w:ind w:left="0" w:right="57"/>
              <w:rPr>
                <w:rFonts w:ascii="Arial Narrow" w:hAnsi="Arial Narrow" w:cs="Arial"/>
                <w:sz w:val="18"/>
                <w:szCs w:val="18"/>
              </w:rPr>
            </w:pPr>
            <w:r w:rsidRPr="007500B9">
              <w:rPr>
                <w:rFonts w:ascii="Arial Narrow" w:hAnsi="Arial Narrow" w:cs="Arial"/>
                <w:sz w:val="18"/>
                <w:szCs w:val="18"/>
              </w:rPr>
              <w:t xml:space="preserve">Single </w:t>
            </w:r>
            <w:r>
              <w:rPr>
                <w:rFonts w:ascii="Arial Narrow" w:hAnsi="Arial Narrow" w:cs="Arial"/>
                <w:sz w:val="18"/>
                <w:szCs w:val="18"/>
              </w:rPr>
              <w:t>c</w:t>
            </w:r>
            <w:r w:rsidRPr="007500B9">
              <w:rPr>
                <w:rFonts w:ascii="Arial Narrow" w:hAnsi="Arial Narrow" w:cs="Arial"/>
                <w:sz w:val="18"/>
                <w:szCs w:val="18"/>
              </w:rPr>
              <w:t>entre</w:t>
            </w:r>
          </w:p>
          <w:p w:rsidR="00786914" w:rsidRPr="00724051" w:rsidRDefault="00786914" w:rsidP="0006743B">
            <w:pPr>
              <w:spacing w:before="40" w:after="20"/>
              <w:ind w:left="0" w:right="57"/>
              <w:rPr>
                <w:rFonts w:ascii="Arial Narrow" w:hAnsi="Arial Narrow" w:cs="Arial"/>
                <w:sz w:val="18"/>
                <w:szCs w:val="18"/>
              </w:rPr>
            </w:pPr>
            <w:r w:rsidRPr="00724051">
              <w:rPr>
                <w:rFonts w:ascii="Arial Narrow" w:hAnsi="Arial Narrow" w:cs="Arial"/>
                <w:sz w:val="18"/>
                <w:szCs w:val="18"/>
              </w:rPr>
              <w:t xml:space="preserve">Patients were enrolled between June 1997 and December 2000 </w:t>
            </w:r>
          </w:p>
          <w:p w:rsidR="00786914" w:rsidRPr="003E6E7A" w:rsidRDefault="00786914" w:rsidP="0006743B">
            <w:pPr>
              <w:spacing w:before="40" w:after="20"/>
              <w:ind w:left="0" w:right="57"/>
              <w:rPr>
                <w:rFonts w:ascii="Arial Narrow" w:hAnsi="Arial Narrow" w:cs="Arial"/>
                <w:sz w:val="18"/>
                <w:szCs w:val="18"/>
              </w:rPr>
            </w:pPr>
          </w:p>
          <w:p w:rsidR="00786914" w:rsidRPr="003E6E7A" w:rsidRDefault="00786914" w:rsidP="0006743B">
            <w:pPr>
              <w:spacing w:before="40" w:after="20"/>
              <w:ind w:left="0" w:right="57"/>
              <w:rPr>
                <w:rFonts w:ascii="Arial Narrow" w:hAnsi="Arial Narrow" w:cs="Arial"/>
                <w:sz w:val="18"/>
                <w:szCs w:val="18"/>
              </w:rPr>
            </w:pPr>
            <w:r w:rsidRPr="00724051">
              <w:rPr>
                <w:rFonts w:ascii="Arial Narrow" w:hAnsi="Arial Narrow" w:cs="Arial"/>
                <w:sz w:val="18"/>
                <w:szCs w:val="18"/>
              </w:rPr>
              <w:t>N=61 (31 in HoLEP group, 30 in TURP group), randomised</w:t>
            </w:r>
          </w:p>
        </w:tc>
        <w:tc>
          <w:tcPr>
            <w:tcW w:w="2694"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Objective</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To assess the durability of holmium laser enucleation of prostate in comparison to transurethral </w:t>
            </w:r>
            <w:r w:rsidRPr="008E61BC">
              <w:rPr>
                <w:rFonts w:ascii="Arial Narrow" w:hAnsi="Arial Narrow" w:cs="Arial"/>
                <w:sz w:val="18"/>
                <w:szCs w:val="18"/>
              </w:rPr>
              <w:lastRenderedPageBreak/>
              <w:t xml:space="preserve">resection of the prostate (TURP). </w:t>
            </w:r>
          </w:p>
          <w:p w:rsidR="00786914" w:rsidRPr="00077A75" w:rsidRDefault="00786914" w:rsidP="0006743B">
            <w:pPr>
              <w:spacing w:before="40" w:after="20"/>
              <w:ind w:left="0"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Study design</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Randomised </w:t>
            </w:r>
            <w:r>
              <w:rPr>
                <w:rFonts w:ascii="Arial Narrow" w:hAnsi="Arial Narrow" w:cs="Arial"/>
                <w:sz w:val="18"/>
                <w:szCs w:val="18"/>
              </w:rPr>
              <w:t>c</w:t>
            </w:r>
            <w:r w:rsidRPr="008E61BC">
              <w:rPr>
                <w:rFonts w:ascii="Arial Narrow" w:hAnsi="Arial Narrow" w:cs="Arial"/>
                <w:sz w:val="18"/>
                <w:szCs w:val="18"/>
              </w:rPr>
              <w:t xml:space="preserve">ontrolled </w:t>
            </w:r>
            <w:r>
              <w:rPr>
                <w:rFonts w:ascii="Arial Narrow" w:hAnsi="Arial Narrow" w:cs="Arial"/>
                <w:sz w:val="18"/>
                <w:szCs w:val="18"/>
              </w:rPr>
              <w:t>t</w:t>
            </w:r>
            <w:r w:rsidRPr="008E61BC">
              <w:rPr>
                <w:rFonts w:ascii="Arial Narrow" w:hAnsi="Arial Narrow" w:cs="Arial"/>
                <w:sz w:val="18"/>
                <w:szCs w:val="18"/>
              </w:rPr>
              <w:t>rial</w:t>
            </w:r>
          </w:p>
          <w:p w:rsidR="00786914" w:rsidRPr="003E6E7A" w:rsidRDefault="00786914" w:rsidP="0006743B">
            <w:pPr>
              <w:spacing w:before="40" w:after="20"/>
              <w:ind w:left="0"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 xml:space="preserve">Follow-up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92 months; (30 patients lost to follow</w:t>
            </w:r>
            <w:r>
              <w:rPr>
                <w:rFonts w:ascii="Arial Narrow" w:hAnsi="Arial Narrow" w:cs="Arial"/>
                <w:sz w:val="18"/>
                <w:szCs w:val="18"/>
              </w:rPr>
              <w:t>-</w:t>
            </w:r>
            <w:r w:rsidRPr="008E61BC">
              <w:rPr>
                <w:rFonts w:ascii="Arial Narrow" w:hAnsi="Arial Narrow" w:cs="Arial"/>
                <w:sz w:val="18"/>
                <w:szCs w:val="18"/>
              </w:rPr>
              <w:t>up; 14 HoLEP and 17 TURP patients remaining)</w:t>
            </w:r>
          </w:p>
          <w:p w:rsidR="00786914" w:rsidRPr="003E6E7A"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Intervention</w:t>
            </w:r>
            <w:r w:rsidRPr="003E6E7A">
              <w:rPr>
                <w:rFonts w:ascii="Arial Narrow" w:hAnsi="Arial Narrow" w:cs="Arial"/>
                <w:b/>
                <w:sz w:val="18"/>
                <w:szCs w:val="18"/>
              </w:rPr>
              <w:t xml:space="preserve">: </w:t>
            </w:r>
            <w:r w:rsidRPr="008E61BC">
              <w:rPr>
                <w:rFonts w:ascii="Arial Narrow" w:hAnsi="Arial Narrow" w:cs="Arial"/>
                <w:sz w:val="18"/>
                <w:szCs w:val="18"/>
              </w:rPr>
              <w:t>HoLEP with tissue morcellation</w:t>
            </w:r>
          </w:p>
          <w:p w:rsidR="00786914" w:rsidRPr="003E6E7A"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Comparator</w:t>
            </w:r>
            <w:r w:rsidRPr="003E6E7A">
              <w:rPr>
                <w:rFonts w:ascii="Arial Narrow" w:hAnsi="Arial Narrow" w:cs="Arial"/>
                <w:b/>
                <w:sz w:val="18"/>
                <w:szCs w:val="18"/>
              </w:rPr>
              <w:t xml:space="preserve">: </w:t>
            </w:r>
            <w:r w:rsidRPr="008E61BC">
              <w:rPr>
                <w:rFonts w:ascii="Arial Narrow" w:hAnsi="Arial Narrow" w:cs="Arial"/>
                <w:sz w:val="18"/>
                <w:szCs w:val="18"/>
              </w:rPr>
              <w:t xml:space="preserve">TURP </w:t>
            </w:r>
          </w:p>
          <w:p w:rsidR="00786914" w:rsidRPr="003E6E7A" w:rsidRDefault="00786914" w:rsidP="0006743B">
            <w:pPr>
              <w:spacing w:before="40" w:after="20"/>
              <w:ind w:left="0" w:right="57"/>
              <w:rPr>
                <w:rFonts w:ascii="Arial Narrow" w:hAnsi="Arial Narrow" w:cs="Arial"/>
                <w:b/>
                <w:sz w:val="18"/>
                <w:szCs w:val="18"/>
              </w:rPr>
            </w:pPr>
          </w:p>
          <w:p w:rsidR="00786914" w:rsidRPr="003E6E7A" w:rsidRDefault="00786914" w:rsidP="0006743B">
            <w:pPr>
              <w:spacing w:before="40" w:after="20"/>
              <w:ind w:left="0" w:right="57"/>
              <w:rPr>
                <w:rFonts w:ascii="Arial Narrow" w:hAnsi="Arial Narrow" w:cs="Arial"/>
                <w:b/>
                <w:sz w:val="18"/>
                <w:szCs w:val="18"/>
              </w:rPr>
            </w:pPr>
          </w:p>
        </w:tc>
        <w:tc>
          <w:tcPr>
            <w:tcW w:w="2693"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Inclusion/exclusion criteria</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t>Inclusion</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Prostate volume of 40</w:t>
            </w:r>
            <w:r>
              <w:rPr>
                <w:rFonts w:ascii="Arial Narrow" w:hAnsi="Arial Narrow" w:cs="Arial"/>
                <w:sz w:val="18"/>
                <w:szCs w:val="18"/>
              </w:rPr>
              <w:t>–</w:t>
            </w:r>
            <w:r w:rsidRPr="008E61BC">
              <w:rPr>
                <w:rFonts w:ascii="Arial Narrow" w:hAnsi="Arial Narrow" w:cs="Arial"/>
                <w:sz w:val="18"/>
                <w:szCs w:val="18"/>
              </w:rPr>
              <w:t>200 ml (as calculated by TRUS volume)</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lastRenderedPageBreak/>
              <w:t>Qmax ≤15 ml/s</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AUA symptom score ≥8</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Post</w:t>
            </w:r>
            <w:r>
              <w:rPr>
                <w:rFonts w:ascii="Arial Narrow" w:hAnsi="Arial Narrow" w:cs="Arial"/>
                <w:sz w:val="18"/>
                <w:szCs w:val="18"/>
              </w:rPr>
              <w:t>-</w:t>
            </w:r>
            <w:r w:rsidRPr="008E61BC">
              <w:rPr>
                <w:rFonts w:ascii="Arial Narrow" w:hAnsi="Arial Narrow" w:cs="Arial"/>
                <w:sz w:val="18"/>
                <w:szCs w:val="18"/>
              </w:rPr>
              <w:t>void residual volume &lt;400</w:t>
            </w:r>
            <w:r>
              <w:rPr>
                <w:rFonts w:ascii="Arial Narrow" w:hAnsi="Arial Narrow" w:cs="Arial"/>
                <w:sz w:val="18"/>
                <w:szCs w:val="18"/>
              </w:rPr>
              <w:t xml:space="preserve"> </w:t>
            </w:r>
            <w:r w:rsidRPr="008E61BC">
              <w:rPr>
                <w:rFonts w:ascii="Arial Narrow" w:hAnsi="Arial Narrow" w:cs="Arial"/>
                <w:sz w:val="18"/>
                <w:szCs w:val="18"/>
              </w:rPr>
              <w:t>ml</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Schafer grade ≥2</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t>Exclusion</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Previous prostatic or urethral surgery</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Carcinoma of the prostate</w:t>
            </w:r>
          </w:p>
          <w:p w:rsidR="00786914" w:rsidRPr="00077A75" w:rsidRDefault="00786914" w:rsidP="00AE6E57">
            <w:pPr>
              <w:numPr>
                <w:ilvl w:val="0"/>
                <w:numId w:val="9"/>
              </w:numPr>
              <w:spacing w:before="40" w:after="20"/>
              <w:ind w:left="175" w:right="57" w:hanging="142"/>
              <w:rPr>
                <w:rFonts w:ascii="Arial Narrow" w:hAnsi="Arial Narrow" w:cs="Arial"/>
                <w:b/>
                <w:sz w:val="18"/>
                <w:szCs w:val="18"/>
              </w:rPr>
            </w:pPr>
            <w:r w:rsidRPr="008E61BC">
              <w:rPr>
                <w:rFonts w:ascii="Arial Narrow" w:hAnsi="Arial Narrow" w:cs="Arial"/>
                <w:sz w:val="18"/>
                <w:szCs w:val="18"/>
              </w:rPr>
              <w:t>In urinary retention</w:t>
            </w:r>
            <w:r>
              <w:rPr>
                <w:rFonts w:ascii="Arial Narrow" w:hAnsi="Arial Narrow" w:cs="Arial"/>
                <w:b/>
                <w:sz w:val="18"/>
                <w:szCs w:val="18"/>
              </w:rPr>
              <w:t>Patient characteristics</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Age (years): mean ± SD: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HoLEP: 71.70±1.10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70.30± 1.00</w:t>
            </w:r>
          </w:p>
          <w:p w:rsidR="00786914" w:rsidRPr="003E6E7A" w:rsidRDefault="00786914" w:rsidP="0006743B">
            <w:pPr>
              <w:spacing w:before="40" w:after="20"/>
              <w:ind w:left="0" w:right="57"/>
              <w:rPr>
                <w:rFonts w:ascii="Arial Narrow" w:hAnsi="Arial Narrow" w:cs="Arial"/>
                <w:b/>
                <w:sz w:val="18"/>
                <w:szCs w:val="18"/>
              </w:rPr>
            </w:pPr>
          </w:p>
          <w:p w:rsidR="00786914" w:rsidRPr="003E6E7A" w:rsidRDefault="00786914" w:rsidP="0006743B">
            <w:pPr>
              <w:spacing w:before="40" w:after="20"/>
              <w:ind w:left="0" w:right="57"/>
              <w:rPr>
                <w:rFonts w:ascii="Arial Narrow" w:hAnsi="Arial Narrow" w:cs="Arial"/>
                <w:b/>
                <w:sz w:val="18"/>
                <w:szCs w:val="18"/>
              </w:rPr>
            </w:pPr>
            <w:r w:rsidRPr="003E6E7A">
              <w:rPr>
                <w:rFonts w:ascii="Arial Narrow" w:hAnsi="Arial Narrow" w:cs="Arial"/>
                <w:b/>
                <w:sz w:val="18"/>
                <w:szCs w:val="18"/>
              </w:rPr>
              <w:t>AUA score: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HoLEP: 26.39±6.14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TURP: 23.72±6.44 </w:t>
            </w:r>
          </w:p>
          <w:p w:rsidR="00786914" w:rsidRPr="003E6E7A" w:rsidRDefault="00786914" w:rsidP="0006743B">
            <w:pPr>
              <w:spacing w:before="40" w:after="20"/>
              <w:ind w:left="0" w:right="57"/>
              <w:rPr>
                <w:rFonts w:ascii="Arial Narrow" w:hAnsi="Arial Narrow" w:cs="Arial"/>
                <w:b/>
                <w:sz w:val="18"/>
                <w:szCs w:val="18"/>
              </w:rPr>
            </w:pPr>
          </w:p>
          <w:p w:rsidR="00786914" w:rsidRPr="003E6E7A" w:rsidRDefault="00786914" w:rsidP="0006743B">
            <w:pPr>
              <w:spacing w:before="40" w:after="20"/>
              <w:ind w:left="0" w:right="57"/>
              <w:rPr>
                <w:rFonts w:ascii="Arial Narrow" w:hAnsi="Arial Narrow" w:cs="Arial"/>
                <w:b/>
                <w:sz w:val="18"/>
                <w:szCs w:val="18"/>
              </w:rPr>
            </w:pPr>
            <w:r w:rsidRPr="003E6E7A">
              <w:rPr>
                <w:rFonts w:ascii="Arial Narrow" w:hAnsi="Arial Narrow" w:cs="Arial"/>
                <w:b/>
                <w:sz w:val="18"/>
                <w:szCs w:val="18"/>
              </w:rPr>
              <w:t>Qmax (ml/s):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HoLEP: 8.28±2.18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TURP: 8.26±2.18 </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Prostate volume (ml):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HoLEP:  77.68±32.13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70.00±27.78</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PVR volume (ml):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HoLEP:  116.14±85.09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TURP: 126.67±116.77  </w:t>
            </w:r>
          </w:p>
          <w:p w:rsidR="00786914" w:rsidRPr="003E6E7A" w:rsidRDefault="00786914" w:rsidP="0006743B">
            <w:pPr>
              <w:spacing w:before="40" w:after="20"/>
              <w:ind w:left="0" w:right="57"/>
              <w:rPr>
                <w:rFonts w:ascii="Arial Narrow" w:hAnsi="Arial Narrow" w:cs="Arial"/>
                <w:b/>
                <w:sz w:val="18"/>
                <w:szCs w:val="18"/>
              </w:rPr>
            </w:pPr>
          </w:p>
        </w:tc>
        <w:tc>
          <w:tcPr>
            <w:tcW w:w="3685" w:type="dxa"/>
            <w:tcBorders>
              <w:top w:val="single" w:sz="4" w:space="0" w:color="auto"/>
              <w:left w:val="single" w:sz="4" w:space="0" w:color="auto"/>
              <w:bottom w:val="single" w:sz="4" w:space="0" w:color="auto"/>
              <w:right w:val="single" w:sz="4" w:space="0" w:color="auto"/>
            </w:tcBorders>
          </w:tcPr>
          <w:p w:rsidR="00786914" w:rsidRPr="003F0089" w:rsidRDefault="00786914" w:rsidP="0006743B">
            <w:pPr>
              <w:spacing w:after="0"/>
              <w:ind w:left="0" w:right="57"/>
              <w:rPr>
                <w:rFonts w:ascii="Arial Narrow" w:hAnsi="Arial Narrow" w:cs="Arial"/>
                <w:b/>
                <w:sz w:val="18"/>
                <w:szCs w:val="18"/>
              </w:rPr>
            </w:pPr>
            <w:r w:rsidRPr="003F0089">
              <w:rPr>
                <w:rFonts w:ascii="Arial Narrow" w:hAnsi="Arial Narrow" w:cs="Arial"/>
                <w:b/>
                <w:sz w:val="18"/>
                <w:szCs w:val="18"/>
              </w:rPr>
              <w:lastRenderedPageBreak/>
              <w:t>OUTCOMES</w:t>
            </w:r>
          </w:p>
          <w:p w:rsidR="00786914" w:rsidRPr="003E6E7A" w:rsidRDefault="00786914" w:rsidP="0006743B">
            <w:pPr>
              <w:spacing w:after="0"/>
              <w:ind w:left="0" w:right="57"/>
              <w:rPr>
                <w:rFonts w:ascii="Arial Narrow" w:hAnsi="Arial Narrow" w:cs="Arial"/>
                <w:b/>
                <w:sz w:val="18"/>
                <w:szCs w:val="18"/>
              </w:rPr>
            </w:pPr>
          </w:p>
          <w:p w:rsidR="00786914" w:rsidRPr="003E6E7A" w:rsidRDefault="00786914" w:rsidP="0006743B">
            <w:pPr>
              <w:spacing w:after="0"/>
              <w:ind w:left="0" w:right="57"/>
              <w:rPr>
                <w:rFonts w:ascii="Arial Narrow" w:hAnsi="Arial Narrow" w:cs="Arial"/>
                <w:b/>
                <w:sz w:val="18"/>
                <w:szCs w:val="18"/>
              </w:rPr>
            </w:pPr>
            <w:r w:rsidRPr="003E6E7A">
              <w:rPr>
                <w:rFonts w:ascii="Arial Narrow" w:hAnsi="Arial Narrow" w:cs="Arial"/>
                <w:b/>
                <w:sz w:val="18"/>
                <w:szCs w:val="18"/>
              </w:rPr>
              <w:t xml:space="preserve">Effectiveness </w:t>
            </w:r>
          </w:p>
          <w:p w:rsidR="00786914" w:rsidRPr="003E6E7A"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sz w:val="18"/>
                <w:szCs w:val="18"/>
              </w:rPr>
            </w:pPr>
            <w:r w:rsidRPr="002A3112">
              <w:rPr>
                <w:rFonts w:ascii="Arial Narrow" w:hAnsi="Arial Narrow" w:cs="Arial"/>
                <w:sz w:val="18"/>
                <w:szCs w:val="18"/>
              </w:rPr>
              <w:lastRenderedPageBreak/>
              <w:t>-</w:t>
            </w:r>
            <w:r w:rsidRPr="003E6E7A">
              <w:rPr>
                <w:rFonts w:ascii="Arial Narrow" w:hAnsi="Arial Narrow" w:cs="Arial"/>
                <w:b/>
                <w:sz w:val="18"/>
                <w:szCs w:val="18"/>
              </w:rPr>
              <w:t xml:space="preserve"> </w:t>
            </w:r>
            <w:r w:rsidRPr="008E61BC">
              <w:rPr>
                <w:rFonts w:ascii="Arial Narrow" w:hAnsi="Arial Narrow" w:cs="Arial"/>
                <w:sz w:val="18"/>
                <w:szCs w:val="18"/>
              </w:rPr>
              <w:t>Peak flow (ml/s; mean ± SD)</w:t>
            </w:r>
          </w:p>
          <w:p w:rsidR="00786914" w:rsidRPr="008E61BC" w:rsidRDefault="00786914" w:rsidP="0006743B">
            <w:pPr>
              <w:ind w:right="57"/>
              <w:rPr>
                <w:rFonts w:ascii="Arial Narrow" w:hAnsi="Arial Narrow" w:cs="Arial"/>
                <w:sz w:val="18"/>
                <w:szCs w:val="18"/>
              </w:rPr>
            </w:pPr>
            <w:r w:rsidRPr="008E61BC">
              <w:rPr>
                <w:rFonts w:ascii="Arial Narrow" w:hAnsi="Arial Narrow" w:cs="Arial"/>
                <w:sz w:val="18"/>
                <w:szCs w:val="18"/>
              </w:rPr>
              <w:t>At 1 month: HoLEP: 22.3±2.3; TURP: 18.4±1.6; p=NR</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92 months: HoLEP 22.09±15.47; TURP 17.83±8.61; p=NR</w:t>
            </w:r>
          </w:p>
          <w:p w:rsidR="00786914" w:rsidRPr="008E61BC"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AUA </w:t>
            </w:r>
            <w:r>
              <w:rPr>
                <w:rFonts w:ascii="Arial Narrow" w:hAnsi="Arial Narrow" w:cs="Arial"/>
                <w:sz w:val="18"/>
                <w:szCs w:val="18"/>
              </w:rPr>
              <w:t>s</w:t>
            </w:r>
            <w:r w:rsidRPr="008E61BC">
              <w:rPr>
                <w:rFonts w:ascii="Arial Narrow" w:hAnsi="Arial Narrow" w:cs="Arial"/>
                <w:sz w:val="18"/>
                <w:szCs w:val="18"/>
              </w:rPr>
              <w:t>ymptom score (mean ± SD)</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1 month: HoLEP 8.6±1.2; TURP 5.7±1.1; p=NR</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92 months: HoLEP 8.0±5.20</w:t>
            </w:r>
            <w:r>
              <w:rPr>
                <w:rFonts w:ascii="Arial Narrow" w:hAnsi="Arial Narrow" w:cs="Arial"/>
                <w:sz w:val="18"/>
                <w:szCs w:val="18"/>
              </w:rPr>
              <w:t>;</w:t>
            </w:r>
            <w:r w:rsidRPr="008E61BC">
              <w:rPr>
                <w:rFonts w:ascii="Arial Narrow" w:hAnsi="Arial Narrow" w:cs="Arial"/>
                <w:sz w:val="18"/>
                <w:szCs w:val="18"/>
              </w:rPr>
              <w:t xml:space="preserve"> TURP 10.3±7.42; p=NR</w:t>
            </w:r>
          </w:p>
          <w:p w:rsidR="00786914" w:rsidRPr="008E61BC"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Quality of </w:t>
            </w:r>
            <w:r>
              <w:rPr>
                <w:rFonts w:ascii="Arial Narrow" w:hAnsi="Arial Narrow" w:cs="Arial"/>
                <w:sz w:val="18"/>
                <w:szCs w:val="18"/>
              </w:rPr>
              <w:t>l</w:t>
            </w:r>
            <w:r w:rsidRPr="008E61BC">
              <w:rPr>
                <w:rFonts w:ascii="Arial Narrow" w:hAnsi="Arial Narrow" w:cs="Arial"/>
                <w:sz w:val="18"/>
                <w:szCs w:val="18"/>
              </w:rPr>
              <w:t>ife (mean ± SD)</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92 months: HoLEP 1.47±1.30; TURP 1.31±0.85; p=NR</w:t>
            </w:r>
          </w:p>
          <w:p w:rsidR="00786914" w:rsidRPr="008E61BC"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Treatment failure/</w:t>
            </w:r>
            <w:r>
              <w:rPr>
                <w:rFonts w:ascii="Arial Narrow" w:hAnsi="Arial Narrow" w:cs="Arial"/>
                <w:sz w:val="18"/>
                <w:szCs w:val="18"/>
              </w:rPr>
              <w:t>re-treatment</w:t>
            </w:r>
            <w:r w:rsidRPr="008E61BC">
              <w:rPr>
                <w:rFonts w:ascii="Arial Narrow" w:hAnsi="Arial Narrow" w:cs="Arial"/>
                <w:sz w:val="18"/>
                <w:szCs w:val="18"/>
              </w:rPr>
              <w:t xml:space="preserve"> rate (n; at 92 months): HoLEP nil; TURP 3; p=NR</w:t>
            </w:r>
          </w:p>
          <w:p w:rsidR="00786914" w:rsidRPr="008E61BC" w:rsidRDefault="00786914" w:rsidP="0006743B">
            <w:pPr>
              <w:spacing w:after="0"/>
              <w:ind w:left="0" w:right="57"/>
              <w:rPr>
                <w:rFonts w:ascii="Arial Narrow" w:hAnsi="Arial Narrow" w:cs="Arial"/>
                <w:sz w:val="18"/>
                <w:szCs w:val="18"/>
              </w:rPr>
            </w:pPr>
          </w:p>
          <w:p w:rsidR="00786914" w:rsidRPr="003E6E7A" w:rsidRDefault="00786914" w:rsidP="0006743B">
            <w:pPr>
              <w:spacing w:after="0"/>
              <w:ind w:left="0" w:right="57"/>
              <w:rPr>
                <w:rFonts w:ascii="Arial Narrow" w:hAnsi="Arial Narrow" w:cs="Arial"/>
                <w:b/>
                <w:sz w:val="18"/>
                <w:szCs w:val="18"/>
              </w:rPr>
            </w:pPr>
          </w:p>
          <w:p w:rsidR="00786914" w:rsidRPr="003E6E7A" w:rsidRDefault="00786914" w:rsidP="0006743B">
            <w:pPr>
              <w:spacing w:after="0"/>
              <w:ind w:left="0" w:right="57"/>
              <w:rPr>
                <w:rFonts w:ascii="Arial Narrow" w:hAnsi="Arial Narrow" w:cs="Arial"/>
                <w:b/>
                <w:sz w:val="18"/>
                <w:szCs w:val="18"/>
              </w:rPr>
            </w:pPr>
          </w:p>
        </w:tc>
        <w:tc>
          <w:tcPr>
            <w:tcW w:w="3334" w:type="dxa"/>
            <w:tcBorders>
              <w:top w:val="single" w:sz="4" w:space="0" w:color="auto"/>
              <w:left w:val="single" w:sz="4" w:space="0" w:color="auto"/>
              <w:bottom w:val="single" w:sz="4" w:space="0" w:color="auto"/>
              <w:right w:val="single" w:sz="4" w:space="0" w:color="auto"/>
            </w:tcBorders>
          </w:tcPr>
          <w:p w:rsidR="00786914" w:rsidRPr="007C14F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Pr="003E6E7A" w:rsidRDefault="00786914" w:rsidP="00AE6E57">
            <w:pPr>
              <w:spacing w:before="40" w:after="20"/>
              <w:ind w:left="0" w:right="57"/>
              <w:rPr>
                <w:rFonts w:ascii="Arial Narrow" w:hAnsi="Arial Narrow" w:cs="Arial"/>
                <w:b/>
                <w:sz w:val="18"/>
                <w:szCs w:val="18"/>
              </w:rPr>
            </w:pPr>
            <w:r>
              <w:rPr>
                <w:rFonts w:ascii="Arial Narrow" w:hAnsi="Arial Narrow" w:cs="Arial"/>
                <w:b/>
                <w:i/>
                <w:sz w:val="18"/>
                <w:szCs w:val="18"/>
              </w:rPr>
              <w:t>Original study quality assessed as part of Lourenco 2008</w:t>
            </w:r>
          </w:p>
        </w:tc>
      </w:tr>
      <w:tr w:rsidR="00786914" w:rsidRPr="00B43256" w:rsidTr="0006743B">
        <w:trPr>
          <w:trHeight w:val="127"/>
        </w:trPr>
        <w:tc>
          <w:tcPr>
            <w:tcW w:w="2376" w:type="dxa"/>
            <w:tcBorders>
              <w:top w:val="single" w:sz="4" w:space="0" w:color="auto"/>
              <w:left w:val="single" w:sz="4" w:space="0" w:color="auto"/>
              <w:bottom w:val="single" w:sz="4" w:space="0" w:color="auto"/>
              <w:right w:val="single" w:sz="4" w:space="0" w:color="auto"/>
            </w:tcBorders>
          </w:tcPr>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Eltabey et al  2010</w:t>
            </w:r>
          </w:p>
          <w:p w:rsidR="00786914" w:rsidRPr="00A26475" w:rsidRDefault="00786914" w:rsidP="0006743B">
            <w:pPr>
              <w:spacing w:before="40" w:after="20"/>
              <w:ind w:left="0" w:right="57"/>
              <w:rPr>
                <w:rFonts w:ascii="Arial Narrow" w:hAnsi="Arial Narrow" w:cs="Arial"/>
                <w:sz w:val="18"/>
                <w:szCs w:val="18"/>
              </w:rPr>
            </w:pP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 xml:space="preserve">Saudi Arabia </w:t>
            </w: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 xml:space="preserve">Single centre </w:t>
            </w:r>
          </w:p>
          <w:p w:rsidR="00786914" w:rsidRPr="00A26475"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 xml:space="preserve">Recruitment period: </w:t>
            </w:r>
            <w:r>
              <w:rPr>
                <w:rFonts w:ascii="Arial Narrow" w:hAnsi="Arial Narrow" w:cs="Arial"/>
                <w:sz w:val="18"/>
                <w:szCs w:val="18"/>
              </w:rPr>
              <w:t xml:space="preserve">April 2008–December 2009 </w:t>
            </w:r>
          </w:p>
          <w:p w:rsidR="00786914" w:rsidRPr="00A26475"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N=</w:t>
            </w:r>
            <w:r>
              <w:rPr>
                <w:rFonts w:ascii="Arial Narrow" w:hAnsi="Arial Narrow" w:cs="Arial"/>
                <w:sz w:val="18"/>
                <w:szCs w:val="18"/>
              </w:rPr>
              <w:t xml:space="preserve">80 </w:t>
            </w:r>
          </w:p>
          <w:p w:rsidR="00786914" w:rsidRPr="008E61BC" w:rsidRDefault="00786914" w:rsidP="0006743B">
            <w:pPr>
              <w:spacing w:before="40" w:after="20"/>
              <w:ind w:left="0" w:right="57"/>
              <w:rPr>
                <w:rFonts w:ascii="Arial Narrow" w:hAnsi="Arial Narrow"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Objective</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lastRenderedPageBreak/>
              <w:t xml:space="preserve">To compare the safety, efficacy and medium-term durability of holmium laser enucleation of the prostate (HoLEP) combined with mechanical morcellation versus standard transurethral resection of the prostate (TURP). </w:t>
            </w:r>
          </w:p>
          <w:p w:rsidR="00786914" w:rsidRPr="00077A75" w:rsidRDefault="00786914" w:rsidP="0006743B">
            <w:pPr>
              <w:spacing w:before="40" w:after="20"/>
              <w:ind w:left="0"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Study design</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Randomised </w:t>
            </w:r>
            <w:r>
              <w:rPr>
                <w:rFonts w:ascii="Arial Narrow" w:hAnsi="Arial Narrow" w:cs="Arial"/>
                <w:sz w:val="18"/>
                <w:szCs w:val="18"/>
              </w:rPr>
              <w:t>c</w:t>
            </w:r>
            <w:r w:rsidRPr="008E61BC">
              <w:rPr>
                <w:rFonts w:ascii="Arial Narrow" w:hAnsi="Arial Narrow" w:cs="Arial"/>
                <w:sz w:val="18"/>
                <w:szCs w:val="18"/>
              </w:rPr>
              <w:t xml:space="preserve">ontrolled </w:t>
            </w:r>
            <w:r>
              <w:rPr>
                <w:rFonts w:ascii="Arial Narrow" w:hAnsi="Arial Narrow" w:cs="Arial"/>
                <w:sz w:val="18"/>
                <w:szCs w:val="18"/>
              </w:rPr>
              <w:t>t</w:t>
            </w:r>
            <w:r w:rsidRPr="008E61BC">
              <w:rPr>
                <w:rFonts w:ascii="Arial Narrow" w:hAnsi="Arial Narrow" w:cs="Arial"/>
                <w:sz w:val="18"/>
                <w:szCs w:val="18"/>
              </w:rPr>
              <w:t>rial</w:t>
            </w:r>
          </w:p>
          <w:p w:rsidR="00786914" w:rsidRPr="008E61BC" w:rsidRDefault="00786914" w:rsidP="0006743B">
            <w:pPr>
              <w:spacing w:before="40" w:after="20"/>
              <w:ind w:left="0"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 xml:space="preserve">Follow-up </w:t>
            </w:r>
          </w:p>
          <w:p w:rsidR="00AE6E57"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At 1, 6, and 12 months; complete for 100% of randomised patients</w:t>
            </w:r>
          </w:p>
          <w:p w:rsidR="00786914" w:rsidRPr="008E61BC" w:rsidRDefault="00786914" w:rsidP="0006743B">
            <w:pPr>
              <w:spacing w:before="40" w:after="20"/>
              <w:ind w:left="0" w:right="57"/>
              <w:rPr>
                <w:rFonts w:ascii="Arial Narrow" w:hAnsi="Arial Narrow" w:cs="Arial"/>
                <w:sz w:val="18"/>
                <w:szCs w:val="18"/>
              </w:rPr>
            </w:pPr>
            <w:r w:rsidRPr="00377610">
              <w:rPr>
                <w:rFonts w:ascii="Arial Narrow" w:hAnsi="Arial Narrow" w:cs="Arial"/>
                <w:b/>
                <w:sz w:val="18"/>
                <w:szCs w:val="18"/>
              </w:rPr>
              <w:t>Intervention:</w:t>
            </w:r>
            <w:r>
              <w:rPr>
                <w:rFonts w:ascii="Arial Narrow" w:hAnsi="Arial Narrow" w:cs="Arial"/>
                <w:b/>
                <w:sz w:val="18"/>
                <w:szCs w:val="18"/>
              </w:rPr>
              <w:t xml:space="preserve"> </w:t>
            </w:r>
            <w:r w:rsidRPr="008E61BC">
              <w:rPr>
                <w:rFonts w:ascii="Arial Narrow" w:hAnsi="Arial Narrow" w:cs="Arial"/>
                <w:sz w:val="18"/>
                <w:szCs w:val="18"/>
              </w:rPr>
              <w:t>HoLEP</w:t>
            </w:r>
          </w:p>
          <w:p w:rsidR="00786914" w:rsidRPr="008E61BC"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b/>
                <w:sz w:val="18"/>
                <w:szCs w:val="18"/>
              </w:rPr>
            </w:pPr>
            <w:r w:rsidRPr="00377610">
              <w:rPr>
                <w:rFonts w:ascii="Arial Narrow" w:hAnsi="Arial Narrow" w:cs="Arial"/>
                <w:b/>
                <w:sz w:val="18"/>
                <w:szCs w:val="18"/>
              </w:rPr>
              <w:t>Comparator:</w:t>
            </w:r>
            <w:r>
              <w:rPr>
                <w:rFonts w:ascii="Arial Narrow" w:hAnsi="Arial Narrow" w:cs="Arial"/>
                <w:b/>
                <w:sz w:val="18"/>
                <w:szCs w:val="18"/>
              </w:rPr>
              <w:t xml:space="preserve"> </w:t>
            </w:r>
            <w:r w:rsidRPr="008E61BC">
              <w:rPr>
                <w:rFonts w:ascii="Arial Narrow" w:hAnsi="Arial Narrow" w:cs="Arial"/>
                <w:sz w:val="18"/>
                <w:szCs w:val="18"/>
              </w:rPr>
              <w:t>TURP</w:t>
            </w:r>
          </w:p>
        </w:tc>
        <w:tc>
          <w:tcPr>
            <w:tcW w:w="2693"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Inclusion/exclusion criteria</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lastRenderedPageBreak/>
              <w:t xml:space="preserve">Inclusion </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 xml:space="preserve">Patients who presented with BOO (bladder outlet obstruction) caused by </w:t>
            </w:r>
            <w:r>
              <w:rPr>
                <w:rFonts w:ascii="Arial Narrow" w:hAnsi="Arial Narrow" w:cs="Arial"/>
                <w:sz w:val="18"/>
                <w:szCs w:val="18"/>
              </w:rPr>
              <w:t>BPH</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Related voiding symptoms</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Prostate volume greater than 3</w:t>
            </w:r>
            <w:r>
              <w:rPr>
                <w:rFonts w:ascii="Arial Narrow" w:hAnsi="Arial Narrow" w:cs="Arial"/>
                <w:sz w:val="18"/>
                <w:szCs w:val="18"/>
              </w:rPr>
              <w:t xml:space="preserve">0 g </w:t>
            </w:r>
            <w:r w:rsidRPr="008E61BC">
              <w:rPr>
                <w:rFonts w:ascii="Arial Narrow" w:hAnsi="Arial Narrow" w:cs="Arial"/>
                <w:sz w:val="18"/>
                <w:szCs w:val="18"/>
              </w:rPr>
              <w:t xml:space="preserve"> but less than 10</w:t>
            </w:r>
            <w:r>
              <w:rPr>
                <w:rFonts w:ascii="Arial Narrow" w:hAnsi="Arial Narrow" w:cs="Arial"/>
                <w:sz w:val="18"/>
                <w:szCs w:val="18"/>
              </w:rPr>
              <w:t xml:space="preserve">0 g </w:t>
            </w:r>
            <w:r w:rsidRPr="008E61BC">
              <w:rPr>
                <w:rFonts w:ascii="Arial Narrow" w:hAnsi="Arial Narrow" w:cs="Arial"/>
                <w:sz w:val="18"/>
                <w:szCs w:val="18"/>
              </w:rPr>
              <w:t xml:space="preserve"> (as determined by TRUS)</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Had not responded to pharmacologic therapy</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Eligible for surgical treatment</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AUA symptom score ≥12</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Qmax ≤15</w:t>
            </w:r>
            <w:r>
              <w:rPr>
                <w:rFonts w:ascii="Arial Narrow" w:hAnsi="Arial Narrow" w:cs="Arial"/>
                <w:sz w:val="18"/>
                <w:szCs w:val="18"/>
              </w:rPr>
              <w:t xml:space="preserve"> </w:t>
            </w:r>
            <w:r w:rsidRPr="008E61BC">
              <w:rPr>
                <w:rFonts w:ascii="Arial Narrow" w:hAnsi="Arial Narrow" w:cs="Arial"/>
                <w:sz w:val="18"/>
                <w:szCs w:val="18"/>
              </w:rPr>
              <w:t>ml/s</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t xml:space="preserve">Exclusion </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Neurogenic bladder</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Previous urethral, bladder neck or prostate surgery</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Suspected prostatic cancer by abnormal digital rectal examination (DRE), total serum PSA &gt;4 ng/ml or abnormal TRUS</w:t>
            </w:r>
          </w:p>
          <w:p w:rsidR="00786914" w:rsidRPr="008E61BC" w:rsidRDefault="00786914" w:rsidP="0006743B">
            <w:pPr>
              <w:numPr>
                <w:ilvl w:val="0"/>
                <w:numId w:val="9"/>
              </w:numPr>
              <w:spacing w:before="40" w:after="20"/>
              <w:ind w:left="175" w:right="57" w:hanging="142"/>
              <w:rPr>
                <w:rFonts w:ascii="Arial Narrow" w:hAnsi="Arial Narrow" w:cs="Arial"/>
                <w:b/>
                <w:sz w:val="18"/>
                <w:szCs w:val="18"/>
              </w:rPr>
            </w:pPr>
            <w:r w:rsidRPr="008E61BC">
              <w:rPr>
                <w:rFonts w:ascii="Arial Narrow" w:hAnsi="Arial Narrow" w:cs="Arial"/>
                <w:b/>
                <w:sz w:val="18"/>
                <w:szCs w:val="18"/>
              </w:rPr>
              <w:t>TRUS-guided prostate biopsy</w:t>
            </w:r>
          </w:p>
          <w:p w:rsidR="00786914" w:rsidRPr="008E61BC"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Patient characteristics</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Age – mean ± SD: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67.5 ± 8.1 years</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68.3 ± 9.2 years</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Prostate volume (g) –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62.4 ± 24.1 g</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58.5 ± 31.6 g</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Qmax (ml/s) –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lastRenderedPageBreak/>
              <w:t>HoLEP: 8.4 ± 2.3 ml/s</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8.1± 2.7 ml/s</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PVR urine volume (ml) –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130 ± 96.5 ml</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105 ± 89.7 ml</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AUA symptom score –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23 ± 3.6</w:t>
            </w:r>
          </w:p>
          <w:p w:rsidR="00786914" w:rsidRPr="008E61BC" w:rsidRDefault="00786914" w:rsidP="0006743B">
            <w:pPr>
              <w:spacing w:before="40" w:after="20"/>
              <w:ind w:left="0" w:right="57"/>
              <w:rPr>
                <w:rFonts w:ascii="Arial Narrow" w:hAnsi="Arial Narrow" w:cs="Arial"/>
                <w:b/>
                <w:sz w:val="18"/>
                <w:szCs w:val="18"/>
              </w:rPr>
            </w:pPr>
            <w:r w:rsidRPr="008E61BC">
              <w:rPr>
                <w:rFonts w:ascii="Arial Narrow" w:hAnsi="Arial Narrow" w:cs="Arial"/>
                <w:sz w:val="18"/>
                <w:szCs w:val="18"/>
              </w:rPr>
              <w:t>TURP: 25 ± 5.1</w:t>
            </w:r>
          </w:p>
        </w:tc>
        <w:tc>
          <w:tcPr>
            <w:tcW w:w="3685" w:type="dxa"/>
            <w:tcBorders>
              <w:top w:val="single" w:sz="4" w:space="0" w:color="auto"/>
              <w:left w:val="single" w:sz="4" w:space="0" w:color="auto"/>
              <w:bottom w:val="single" w:sz="4" w:space="0" w:color="auto"/>
              <w:right w:val="single" w:sz="4" w:space="0" w:color="auto"/>
            </w:tcBorders>
          </w:tcPr>
          <w:p w:rsidR="00786914" w:rsidRPr="00DD2318" w:rsidRDefault="00786914" w:rsidP="0006743B">
            <w:pPr>
              <w:spacing w:after="0"/>
              <w:ind w:left="0" w:right="57"/>
              <w:rPr>
                <w:rFonts w:ascii="Arial Narrow" w:hAnsi="Arial Narrow" w:cs="Arial"/>
                <w:b/>
                <w:sz w:val="18"/>
                <w:szCs w:val="18"/>
              </w:rPr>
            </w:pPr>
            <w:r w:rsidRPr="00DD2318">
              <w:rPr>
                <w:rFonts w:ascii="Arial Narrow" w:hAnsi="Arial Narrow" w:cs="Arial"/>
                <w:b/>
                <w:sz w:val="18"/>
                <w:szCs w:val="18"/>
              </w:rPr>
              <w:lastRenderedPageBreak/>
              <w:t>OUTCOMES</w:t>
            </w:r>
          </w:p>
          <w:p w:rsidR="00786914"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lastRenderedPageBreak/>
              <w:t>Safety</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 xml:space="preserve">Immediate </w:t>
            </w:r>
            <w:r>
              <w:rPr>
                <w:rFonts w:ascii="Arial Narrow" w:hAnsi="Arial Narrow" w:cs="Arial"/>
                <w:b/>
                <w:sz w:val="18"/>
                <w:szCs w:val="18"/>
              </w:rPr>
              <w:t>c</w:t>
            </w:r>
            <w:r w:rsidRPr="008E61BC">
              <w:rPr>
                <w:rFonts w:ascii="Arial Narrow" w:hAnsi="Arial Narrow" w:cs="Arial"/>
                <w:b/>
                <w:sz w:val="18"/>
                <w:szCs w:val="18"/>
              </w:rPr>
              <w:t>omplications</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b/>
                <w:sz w:val="18"/>
                <w:szCs w:val="18"/>
              </w:rPr>
              <w:t xml:space="preserve">- </w:t>
            </w:r>
            <w:r w:rsidRPr="008E61BC">
              <w:rPr>
                <w:rFonts w:ascii="Arial Narrow" w:hAnsi="Arial Narrow" w:cs="Arial"/>
                <w:sz w:val="18"/>
                <w:szCs w:val="18"/>
              </w:rPr>
              <w:t xml:space="preserve">Blood </w:t>
            </w:r>
            <w:r>
              <w:rPr>
                <w:rFonts w:ascii="Arial Narrow" w:hAnsi="Arial Narrow" w:cs="Arial"/>
                <w:sz w:val="18"/>
                <w:szCs w:val="18"/>
              </w:rPr>
              <w:t>t</w:t>
            </w:r>
            <w:r w:rsidRPr="008E61BC">
              <w:rPr>
                <w:rFonts w:ascii="Arial Narrow" w:hAnsi="Arial Narrow" w:cs="Arial"/>
                <w:sz w:val="18"/>
                <w:szCs w:val="18"/>
              </w:rPr>
              <w:t xml:space="preserve">ransfusion (number; </w:t>
            </w:r>
            <w:r>
              <w:rPr>
                <w:rFonts w:ascii="Arial Narrow" w:hAnsi="Arial Narrow" w:cs="Arial"/>
                <w:sz w:val="18"/>
                <w:szCs w:val="18"/>
              </w:rPr>
              <w:t>(</w:t>
            </w:r>
            <w:r w:rsidRPr="008E61BC">
              <w:rPr>
                <w:rFonts w:ascii="Arial Narrow" w:hAnsi="Arial Narrow" w:cs="Arial"/>
                <w:sz w:val="18"/>
                <w:szCs w:val="18"/>
              </w:rPr>
              <w:t>%): HoLEP 0 (0%); TURP 3 (7.5%); p&lt;0.007</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Longer</w:t>
            </w:r>
            <w:r>
              <w:rPr>
                <w:rFonts w:ascii="Arial Narrow" w:hAnsi="Arial Narrow" w:cs="Arial"/>
                <w:sz w:val="18"/>
                <w:szCs w:val="18"/>
              </w:rPr>
              <w:t xml:space="preserve"> </w:t>
            </w:r>
            <w:r w:rsidRPr="008E61BC">
              <w:rPr>
                <w:rFonts w:ascii="Arial Narrow" w:hAnsi="Arial Narrow" w:cs="Arial"/>
                <w:sz w:val="18"/>
                <w:szCs w:val="18"/>
              </w:rPr>
              <w:t xml:space="preserve">term </w:t>
            </w:r>
            <w:r>
              <w:rPr>
                <w:rFonts w:ascii="Arial Narrow" w:hAnsi="Arial Narrow" w:cs="Arial"/>
                <w:sz w:val="18"/>
                <w:szCs w:val="18"/>
              </w:rPr>
              <w:t>c</w:t>
            </w:r>
            <w:r w:rsidRPr="008E61BC">
              <w:rPr>
                <w:rFonts w:ascii="Arial Narrow" w:hAnsi="Arial Narrow" w:cs="Arial"/>
                <w:sz w:val="18"/>
                <w:szCs w:val="18"/>
              </w:rPr>
              <w:t>omplications</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Urethral stricture (number (%)); at 12 months: HoLEP 1 (2.5%); TURP 2 (5%); p=0.72</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Urinary incontinence (number, %); at 6 months: HoLEP 8(20%); TURP 12 (30%); p=0.08</w:t>
            </w:r>
          </w:p>
          <w:p w:rsidR="00786914" w:rsidRDefault="00786914" w:rsidP="0006743B">
            <w:pPr>
              <w:spacing w:after="0"/>
              <w:ind w:left="567" w:right="57"/>
              <w:rPr>
                <w:rFonts w:ascii="Arial Narrow" w:hAnsi="Arial Narrow" w:cs="Arial"/>
                <w:sz w:val="18"/>
                <w:szCs w:val="18"/>
              </w:rPr>
            </w:pPr>
            <w:r>
              <w:rPr>
                <w:rFonts w:ascii="Arial Narrow" w:hAnsi="Arial Narrow" w:cs="Arial"/>
                <w:sz w:val="18"/>
                <w:szCs w:val="18"/>
              </w:rPr>
              <w:t xml:space="preserve"> This includes </w:t>
            </w:r>
          </w:p>
          <w:p w:rsidR="00786914" w:rsidRDefault="00786914" w:rsidP="0006743B">
            <w:pPr>
              <w:spacing w:after="0"/>
              <w:ind w:left="567" w:right="57"/>
              <w:rPr>
                <w:rFonts w:ascii="Arial Narrow" w:hAnsi="Arial Narrow" w:cs="Arial"/>
                <w:sz w:val="18"/>
                <w:szCs w:val="18"/>
              </w:rPr>
            </w:pPr>
            <w:r w:rsidRPr="008E61BC">
              <w:rPr>
                <w:rFonts w:ascii="Arial Narrow" w:hAnsi="Arial Narrow" w:cs="Arial"/>
                <w:sz w:val="18"/>
                <w:szCs w:val="18"/>
              </w:rPr>
              <w:t>Urinary urge incontinence HoLEP 3 (7.5%); TURP 5 (12.5%); p=NR</w:t>
            </w:r>
          </w:p>
          <w:p w:rsidR="00786914" w:rsidRDefault="00786914" w:rsidP="0006743B">
            <w:pPr>
              <w:spacing w:after="0"/>
              <w:ind w:left="567" w:right="57"/>
              <w:rPr>
                <w:rFonts w:ascii="Arial Narrow" w:hAnsi="Arial Narrow" w:cs="Arial"/>
                <w:sz w:val="18"/>
                <w:szCs w:val="18"/>
              </w:rPr>
            </w:pPr>
            <w:r>
              <w:rPr>
                <w:rFonts w:ascii="Arial Narrow" w:hAnsi="Arial Narrow" w:cs="Arial"/>
                <w:sz w:val="18"/>
                <w:szCs w:val="18"/>
              </w:rPr>
              <w:t xml:space="preserve">Stress incontinence </w:t>
            </w:r>
            <w:r w:rsidRPr="008E61BC">
              <w:rPr>
                <w:rFonts w:ascii="Arial Narrow" w:hAnsi="Arial Narrow" w:cs="Arial"/>
                <w:sz w:val="18"/>
                <w:szCs w:val="18"/>
              </w:rPr>
              <w:t>HoLEP</w:t>
            </w:r>
            <w:r>
              <w:rPr>
                <w:rFonts w:ascii="Arial Narrow" w:hAnsi="Arial Narrow" w:cs="Arial"/>
                <w:sz w:val="18"/>
                <w:szCs w:val="18"/>
              </w:rPr>
              <w:t>2</w:t>
            </w:r>
            <w:r w:rsidRPr="008E61BC">
              <w:rPr>
                <w:rFonts w:ascii="Arial Narrow" w:hAnsi="Arial Narrow" w:cs="Arial"/>
                <w:sz w:val="18"/>
                <w:szCs w:val="18"/>
              </w:rPr>
              <w:t xml:space="preserve"> (5%); TURP </w:t>
            </w:r>
            <w:r>
              <w:rPr>
                <w:rFonts w:ascii="Arial Narrow" w:hAnsi="Arial Narrow" w:cs="Arial"/>
                <w:sz w:val="18"/>
                <w:szCs w:val="18"/>
              </w:rPr>
              <w:t>3</w:t>
            </w:r>
            <w:r w:rsidRPr="008E61BC">
              <w:rPr>
                <w:rFonts w:ascii="Arial Narrow" w:hAnsi="Arial Narrow" w:cs="Arial"/>
                <w:sz w:val="18"/>
                <w:szCs w:val="18"/>
              </w:rPr>
              <w:t xml:space="preserve"> (</w:t>
            </w:r>
            <w:r>
              <w:rPr>
                <w:rFonts w:ascii="Arial Narrow" w:hAnsi="Arial Narrow" w:cs="Arial"/>
                <w:sz w:val="18"/>
                <w:szCs w:val="18"/>
              </w:rPr>
              <w:t>7</w:t>
            </w:r>
            <w:r w:rsidRPr="008E61BC">
              <w:rPr>
                <w:rFonts w:ascii="Arial Narrow" w:hAnsi="Arial Narrow" w:cs="Arial"/>
                <w:sz w:val="18"/>
                <w:szCs w:val="18"/>
              </w:rPr>
              <w:t>.5%); p=NR</w:t>
            </w:r>
          </w:p>
          <w:p w:rsidR="00786914" w:rsidRDefault="00786914" w:rsidP="0006743B">
            <w:pPr>
              <w:spacing w:after="0"/>
              <w:ind w:left="567" w:right="57"/>
              <w:rPr>
                <w:rFonts w:ascii="Arial Narrow" w:hAnsi="Arial Narrow" w:cs="Arial"/>
                <w:sz w:val="18"/>
                <w:szCs w:val="18"/>
              </w:rPr>
            </w:pPr>
            <w:r>
              <w:rPr>
                <w:rFonts w:ascii="Arial Narrow" w:hAnsi="Arial Narrow" w:cs="Arial"/>
                <w:sz w:val="18"/>
                <w:szCs w:val="18"/>
              </w:rPr>
              <w:t xml:space="preserve">Mixed  incontinence </w:t>
            </w:r>
            <w:r w:rsidRPr="008E61BC">
              <w:rPr>
                <w:rFonts w:ascii="Arial Narrow" w:hAnsi="Arial Narrow" w:cs="Arial"/>
                <w:sz w:val="18"/>
                <w:szCs w:val="18"/>
              </w:rPr>
              <w:t>HoLEP</w:t>
            </w:r>
            <w:r>
              <w:rPr>
                <w:rFonts w:ascii="Arial Narrow" w:hAnsi="Arial Narrow" w:cs="Arial"/>
                <w:sz w:val="18"/>
                <w:szCs w:val="18"/>
              </w:rPr>
              <w:t>1</w:t>
            </w:r>
            <w:r w:rsidRPr="008E61BC">
              <w:rPr>
                <w:rFonts w:ascii="Arial Narrow" w:hAnsi="Arial Narrow" w:cs="Arial"/>
                <w:sz w:val="18"/>
                <w:szCs w:val="18"/>
              </w:rPr>
              <w:t xml:space="preserve"> (</w:t>
            </w:r>
            <w:r>
              <w:rPr>
                <w:rFonts w:ascii="Arial Narrow" w:hAnsi="Arial Narrow" w:cs="Arial"/>
                <w:sz w:val="18"/>
                <w:szCs w:val="18"/>
              </w:rPr>
              <w:t>2.</w:t>
            </w:r>
            <w:r w:rsidRPr="008E61BC">
              <w:rPr>
                <w:rFonts w:ascii="Arial Narrow" w:hAnsi="Arial Narrow" w:cs="Arial"/>
                <w:sz w:val="18"/>
                <w:szCs w:val="18"/>
              </w:rPr>
              <w:t xml:space="preserve">5%); TURP </w:t>
            </w:r>
            <w:r>
              <w:rPr>
                <w:rFonts w:ascii="Arial Narrow" w:hAnsi="Arial Narrow" w:cs="Arial"/>
                <w:sz w:val="18"/>
                <w:szCs w:val="18"/>
              </w:rPr>
              <w:t>2</w:t>
            </w:r>
            <w:r w:rsidRPr="008E61BC">
              <w:rPr>
                <w:rFonts w:ascii="Arial Narrow" w:hAnsi="Arial Narrow" w:cs="Arial"/>
                <w:sz w:val="18"/>
                <w:szCs w:val="18"/>
              </w:rPr>
              <w:t xml:space="preserve"> (5%); p=NR</w:t>
            </w:r>
          </w:p>
          <w:p w:rsidR="00786914" w:rsidRPr="008E61BC" w:rsidRDefault="00786914" w:rsidP="0006743B">
            <w:pPr>
              <w:spacing w:after="0"/>
              <w:ind w:left="567"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 xml:space="preserve">Effectiveness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b/>
                <w:sz w:val="18"/>
                <w:szCs w:val="18"/>
              </w:rPr>
              <w:t xml:space="preserve">- </w:t>
            </w:r>
            <w:r w:rsidRPr="008E61BC">
              <w:rPr>
                <w:rFonts w:ascii="Arial Narrow" w:hAnsi="Arial Narrow" w:cs="Arial"/>
                <w:sz w:val="18"/>
                <w:szCs w:val="18"/>
              </w:rPr>
              <w:t xml:space="preserve">Peak flow (ml/s; mean ± SD):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1 month: HoLEP 22.3 ± 12.2; TURP 23.1 ± 10.6; p=0.64;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6 months: HoLEP 23.5±9.2; TURP 24.3±6.8; p=0.72;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12 months: HoLEP 24.9±11.7; TURP 25.5±7.4; p=0.78</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AUA </w:t>
            </w:r>
            <w:r>
              <w:rPr>
                <w:rFonts w:ascii="Arial Narrow" w:hAnsi="Arial Narrow" w:cs="Arial"/>
                <w:sz w:val="18"/>
                <w:szCs w:val="18"/>
              </w:rPr>
              <w:t>s</w:t>
            </w:r>
            <w:r w:rsidRPr="008E61BC">
              <w:rPr>
                <w:rFonts w:ascii="Arial Narrow" w:hAnsi="Arial Narrow" w:cs="Arial"/>
                <w:sz w:val="18"/>
                <w:szCs w:val="18"/>
              </w:rPr>
              <w:t xml:space="preserve">ymptom score (mean ± SD):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1 month: HoLEP 4.1±2.7; TURP 5.3±3.4; p=0.05;</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At 6 months: HoLEP 2.6±1.3; TURP 3.8±3.1;p=0.005;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12 months: HoLEP 2.2±1.4; TURP 3.7±1.6; p&lt;0.0001</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Post-void residual volume (ml; mean ± SD)</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1 month: HoLEP 9.6±20.1; TURP 15.3±22.4; p=0.005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lastRenderedPageBreak/>
              <w:t>At 6 months: HoLEP 5.7±12.6; TURP 17.6±18.3; p&lt; 0.0001</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12 months: HoLEP 5.3±15.2; TURP 24.1±16.8; p&lt;0.0001</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Prostate volume (g; mean ± SD): HoLEP 44.2±16.5; TURP 37.4±19.2; p=0.08</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 xml:space="preserve">Cost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Length of operation (minutes; mean ± SD): HoLEP 72.8±21.7; TURP 73.6±22.3; p=0.15</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Length of catheterisation (days; mean ± SD): HoLEP 1.5±1.4; TURP 2.1±1.1; p&lt;0.0001</w:t>
            </w: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sz w:val="18"/>
                <w:szCs w:val="18"/>
              </w:rPr>
              <w:t>- Length of hospital stay (days; mean ± SSD): HoLEP 2.6±1.2; TURP 3.8±1.6; p&lt; 0.0001</w:t>
            </w:r>
          </w:p>
        </w:tc>
        <w:tc>
          <w:tcPr>
            <w:tcW w:w="3334" w:type="dxa"/>
            <w:tcBorders>
              <w:top w:val="single" w:sz="4" w:space="0" w:color="auto"/>
              <w:left w:val="single" w:sz="4" w:space="0" w:color="auto"/>
              <w:bottom w:val="single" w:sz="4" w:space="0" w:color="auto"/>
              <w:right w:val="single" w:sz="4" w:space="0" w:color="auto"/>
            </w:tcBorders>
          </w:tcPr>
          <w:p w:rsidR="0078691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Risk of bias/study quality</w:t>
            </w:r>
          </w:p>
          <w:p w:rsidR="00786914" w:rsidRDefault="00786914" w:rsidP="0006743B">
            <w:pPr>
              <w:spacing w:before="40" w:after="20"/>
              <w:ind w:left="0" w:right="57"/>
              <w:rPr>
                <w:rFonts w:ascii="Arial Narrow" w:hAnsi="Arial Narrow" w:cs="Arial"/>
                <w:b/>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Random sequence generation unclear risk</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No details given the authors simply state that this is a prospective randomised study</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Allocation concealment: unclear risk</w:t>
            </w:r>
            <w:r>
              <w:rPr>
                <w:rFonts w:ascii="Arial Narrow" w:hAnsi="Arial Narrow" w:cs="Arial"/>
                <w:sz w:val="18"/>
                <w:szCs w:val="18"/>
              </w:rPr>
              <w:t xml:space="preserve"> </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No details given the authors simply state that this is a prospective randomised study</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Blinding: unclear risk Difficult to achieve with a surgery trial - while most measures were objective IPSS was assessed.</w:t>
            </w:r>
          </w:p>
          <w:p w:rsidR="00786914" w:rsidRDefault="00786914">
            <w:pPr>
              <w:spacing w:after="0"/>
              <w:rPr>
                <w:rFonts w:ascii="Arial Narrow" w:hAnsi="Arial Narrow" w:cs="Arial"/>
                <w:sz w:val="18"/>
                <w:szCs w:val="18"/>
              </w:rPr>
            </w:pPr>
            <w:r w:rsidRPr="004238B8">
              <w:rPr>
                <w:rFonts w:ascii="Arial Narrow" w:hAnsi="Arial Narrow" w:cs="Arial"/>
                <w:sz w:val="18"/>
                <w:szCs w:val="18"/>
              </w:rPr>
              <w:t>Incomplete outcome data: low risk</w:t>
            </w:r>
          </w:p>
          <w:p w:rsidR="00786914" w:rsidRDefault="00786914">
            <w:pPr>
              <w:spacing w:after="0"/>
              <w:rPr>
                <w:rFonts w:ascii="Arial Narrow" w:hAnsi="Arial Narrow" w:cs="Arial"/>
                <w:sz w:val="18"/>
                <w:szCs w:val="18"/>
              </w:rPr>
            </w:pPr>
            <w:r w:rsidRPr="004238B8">
              <w:rPr>
                <w:rFonts w:ascii="Arial Narrow" w:hAnsi="Arial Narrow" w:cs="Arial"/>
                <w:sz w:val="18"/>
                <w:szCs w:val="18"/>
              </w:rPr>
              <w:t xml:space="preserve">Lost to follow-up was not </w:t>
            </w:r>
            <w:r>
              <w:rPr>
                <w:rFonts w:ascii="Arial Narrow" w:hAnsi="Arial Narrow" w:cs="Arial"/>
                <w:sz w:val="18"/>
                <w:szCs w:val="18"/>
              </w:rPr>
              <w:t xml:space="preserve">explicitly </w:t>
            </w:r>
            <w:r w:rsidRPr="004238B8">
              <w:rPr>
                <w:rFonts w:ascii="Arial Narrow" w:hAnsi="Arial Narrow" w:cs="Arial"/>
                <w:sz w:val="18"/>
                <w:szCs w:val="18"/>
              </w:rPr>
              <w:t>reported - longest follow-up was 12 months. Assumed that no patients were lost to follow-up</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Other bias: unclear</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Single centre study</w:t>
            </w:r>
          </w:p>
          <w:p w:rsidR="00786914" w:rsidRPr="008E61BC"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b/>
                <w:sz w:val="18"/>
                <w:szCs w:val="18"/>
              </w:rPr>
            </w:pPr>
          </w:p>
        </w:tc>
      </w:tr>
      <w:tr w:rsidR="00786914" w:rsidRPr="00B43256" w:rsidTr="0006743B">
        <w:trPr>
          <w:trHeight w:val="127"/>
        </w:trPr>
        <w:tc>
          <w:tcPr>
            <w:tcW w:w="2376" w:type="dxa"/>
            <w:tcBorders>
              <w:top w:val="single" w:sz="4" w:space="0" w:color="auto"/>
              <w:left w:val="single" w:sz="4" w:space="0" w:color="auto"/>
              <w:bottom w:val="single" w:sz="4" w:space="0" w:color="auto"/>
              <w:right w:val="single" w:sz="4" w:space="0" w:color="auto"/>
            </w:tcBorders>
          </w:tcPr>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Mavuduru et al 2009</w:t>
            </w:r>
          </w:p>
          <w:p w:rsidR="00786914" w:rsidRPr="00A26475" w:rsidRDefault="00786914" w:rsidP="0006743B">
            <w:pPr>
              <w:spacing w:before="40" w:after="20"/>
              <w:ind w:left="0" w:right="57"/>
              <w:rPr>
                <w:rFonts w:ascii="Arial Narrow" w:hAnsi="Arial Narrow" w:cs="Arial"/>
                <w:sz w:val="18"/>
                <w:szCs w:val="18"/>
              </w:rPr>
            </w:pPr>
          </w:p>
          <w:p w:rsidR="00786914" w:rsidRPr="003F56EB"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India</w:t>
            </w:r>
          </w:p>
          <w:p w:rsidR="00786914" w:rsidRPr="00CA4327" w:rsidRDefault="00786914" w:rsidP="0006743B">
            <w:pPr>
              <w:spacing w:before="40" w:after="20"/>
              <w:ind w:left="0" w:right="57"/>
              <w:rPr>
                <w:rFonts w:ascii="Arial Narrow" w:hAnsi="Arial Narrow" w:cs="Arial"/>
                <w:sz w:val="18"/>
                <w:szCs w:val="18"/>
              </w:rPr>
            </w:pPr>
            <w:r w:rsidRPr="00CA4327">
              <w:rPr>
                <w:rFonts w:ascii="Arial Narrow" w:hAnsi="Arial Narrow" w:cs="Arial"/>
                <w:sz w:val="18"/>
                <w:szCs w:val="18"/>
              </w:rPr>
              <w:t>Single centre</w:t>
            </w: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Recruitment period not reported</w:t>
            </w:r>
          </w:p>
          <w:p w:rsidR="00786914" w:rsidRPr="00A26475"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N=</w:t>
            </w:r>
            <w:r>
              <w:rPr>
                <w:rFonts w:ascii="Arial Narrow" w:hAnsi="Arial Narrow" w:cs="Arial"/>
                <w:sz w:val="18"/>
                <w:szCs w:val="18"/>
              </w:rPr>
              <w:t>30, randomised (n=27 at 9 months)</w:t>
            </w:r>
          </w:p>
        </w:tc>
        <w:tc>
          <w:tcPr>
            <w:tcW w:w="2694"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Objective</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To compare the safety and efficacy of transurethral resection of the prostate (TURP) and holmium laser prostatectomy.</w:t>
            </w:r>
          </w:p>
          <w:p w:rsidR="00786914" w:rsidRPr="008E61BC" w:rsidRDefault="00786914" w:rsidP="0006743B">
            <w:pPr>
              <w:spacing w:before="40" w:after="20"/>
              <w:ind w:left="0" w:right="57"/>
              <w:rPr>
                <w:rFonts w:ascii="Arial Narrow" w:hAnsi="Arial Narrow" w:cs="Arial"/>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Study design</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Randomised </w:t>
            </w:r>
            <w:r>
              <w:rPr>
                <w:rFonts w:ascii="Arial Narrow" w:hAnsi="Arial Narrow" w:cs="Arial"/>
                <w:sz w:val="18"/>
                <w:szCs w:val="18"/>
              </w:rPr>
              <w:t>c</w:t>
            </w:r>
            <w:r w:rsidRPr="008E61BC">
              <w:rPr>
                <w:rFonts w:ascii="Arial Narrow" w:hAnsi="Arial Narrow" w:cs="Arial"/>
                <w:sz w:val="18"/>
                <w:szCs w:val="18"/>
              </w:rPr>
              <w:t xml:space="preserve">ontrolled </w:t>
            </w:r>
            <w:r>
              <w:rPr>
                <w:rFonts w:ascii="Arial Narrow" w:hAnsi="Arial Narrow" w:cs="Arial"/>
                <w:sz w:val="18"/>
                <w:szCs w:val="18"/>
              </w:rPr>
              <w:t>t</w:t>
            </w:r>
            <w:r w:rsidRPr="008E61BC">
              <w:rPr>
                <w:rFonts w:ascii="Arial Narrow" w:hAnsi="Arial Narrow" w:cs="Arial"/>
                <w:sz w:val="18"/>
                <w:szCs w:val="18"/>
              </w:rPr>
              <w:t>rial</w:t>
            </w:r>
          </w:p>
          <w:p w:rsidR="00786914" w:rsidRPr="008E61BC" w:rsidRDefault="00786914" w:rsidP="0006743B">
            <w:pPr>
              <w:spacing w:before="40" w:after="20"/>
              <w:ind w:left="0" w:right="57"/>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 xml:space="preserve">Follow-up </w:t>
            </w:r>
          </w:p>
          <w:p w:rsidR="00AE6E57"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9 months (3 patients lost to follow-up at 9 months)</w:t>
            </w:r>
          </w:p>
          <w:p w:rsidR="00AE6E57" w:rsidRDefault="00AE6E57" w:rsidP="0006743B">
            <w:pPr>
              <w:spacing w:before="40" w:after="20"/>
              <w:ind w:left="0" w:right="57"/>
              <w:rPr>
                <w:rFonts w:ascii="Arial Narrow" w:hAnsi="Arial Narrow" w:cs="Arial"/>
                <w:sz w:val="18"/>
                <w:szCs w:val="18"/>
              </w:rPr>
            </w:pPr>
          </w:p>
          <w:p w:rsidR="00786914" w:rsidRPr="008E61BC" w:rsidRDefault="00AE6E57" w:rsidP="0006743B">
            <w:pPr>
              <w:spacing w:before="40" w:after="20"/>
              <w:ind w:left="0" w:right="57"/>
              <w:rPr>
                <w:rFonts w:ascii="Arial Narrow" w:hAnsi="Arial Narrow" w:cs="Arial"/>
                <w:sz w:val="18"/>
                <w:szCs w:val="18"/>
              </w:rPr>
            </w:pPr>
            <w:r w:rsidRPr="002633D9">
              <w:rPr>
                <w:rFonts w:ascii="Arial Narrow" w:hAnsi="Arial Narrow" w:cs="Arial"/>
                <w:b/>
                <w:sz w:val="18"/>
                <w:szCs w:val="18"/>
              </w:rPr>
              <w:t xml:space="preserve"> </w:t>
            </w:r>
            <w:r w:rsidR="00786914" w:rsidRPr="002633D9">
              <w:rPr>
                <w:rFonts w:ascii="Arial Narrow" w:hAnsi="Arial Narrow" w:cs="Arial"/>
                <w:b/>
                <w:sz w:val="18"/>
                <w:szCs w:val="18"/>
              </w:rPr>
              <w:t>Intervention</w:t>
            </w:r>
            <w:r w:rsidR="00786914" w:rsidRPr="008E61BC">
              <w:rPr>
                <w:rFonts w:ascii="Arial Narrow" w:hAnsi="Arial Narrow" w:cs="Arial"/>
                <w:b/>
                <w:sz w:val="18"/>
                <w:szCs w:val="18"/>
              </w:rPr>
              <w:t xml:space="preserve">: </w:t>
            </w:r>
            <w:r w:rsidR="00786914" w:rsidRPr="008E61BC">
              <w:rPr>
                <w:rFonts w:ascii="Arial Narrow" w:hAnsi="Arial Narrow" w:cs="Arial"/>
                <w:sz w:val="18"/>
                <w:szCs w:val="18"/>
              </w:rPr>
              <w:t>HoLEP (NB: morcellation was only used in one patient)</w:t>
            </w:r>
          </w:p>
          <w:p w:rsidR="00786914" w:rsidRPr="008E61BC"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Comparator</w:t>
            </w:r>
            <w:r w:rsidRPr="008E61BC">
              <w:rPr>
                <w:rFonts w:ascii="Arial Narrow" w:hAnsi="Arial Narrow" w:cs="Arial"/>
                <w:b/>
                <w:sz w:val="18"/>
                <w:szCs w:val="18"/>
              </w:rPr>
              <w:t xml:space="preserve">: </w:t>
            </w:r>
            <w:r w:rsidRPr="008E61BC">
              <w:rPr>
                <w:rFonts w:ascii="Arial Narrow" w:hAnsi="Arial Narrow" w:cs="Arial"/>
                <w:sz w:val="18"/>
                <w:szCs w:val="18"/>
              </w:rPr>
              <w:t>TURP</w:t>
            </w:r>
          </w:p>
          <w:p w:rsidR="00786914" w:rsidRPr="008E61BC"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b/>
                <w:sz w:val="18"/>
                <w:szCs w:val="18"/>
              </w:rPr>
            </w:pPr>
          </w:p>
        </w:tc>
        <w:tc>
          <w:tcPr>
            <w:tcW w:w="2693" w:type="dxa"/>
            <w:tcBorders>
              <w:top w:val="single" w:sz="4" w:space="0" w:color="auto"/>
              <w:left w:val="single" w:sz="4" w:space="0" w:color="auto"/>
              <w:bottom w:val="single" w:sz="4" w:space="0" w:color="auto"/>
              <w:right w:val="single" w:sz="4" w:space="0" w:color="auto"/>
            </w:tcBorders>
          </w:tcPr>
          <w:p w:rsidR="00786914" w:rsidRPr="00D758D5" w:rsidRDefault="00786914" w:rsidP="0006743B">
            <w:pPr>
              <w:spacing w:before="40" w:after="20"/>
              <w:ind w:left="0" w:right="57"/>
              <w:rPr>
                <w:rFonts w:ascii="Arial Narrow" w:hAnsi="Arial Narrow" w:cs="Arial"/>
                <w:b/>
                <w:sz w:val="18"/>
                <w:szCs w:val="18"/>
              </w:rPr>
            </w:pPr>
            <w:r w:rsidRPr="002A3112">
              <w:rPr>
                <w:rFonts w:ascii="Arial Narrow" w:hAnsi="Arial Narrow" w:cs="Arial"/>
                <w:b/>
                <w:sz w:val="18"/>
                <w:szCs w:val="18"/>
              </w:rPr>
              <w:t>Inclusion/exclusion criteria</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t>Inclusion</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 xml:space="preserve">Patients eligible for surgery for symptomatic BPH </w:t>
            </w:r>
          </w:p>
          <w:p w:rsidR="00786914" w:rsidRPr="00445E08" w:rsidRDefault="00786914" w:rsidP="0006743B">
            <w:pPr>
              <w:spacing w:before="40" w:after="20"/>
              <w:ind w:left="0" w:right="57"/>
              <w:rPr>
                <w:rFonts w:ascii="Arial Narrow" w:hAnsi="Arial Narrow" w:cs="Arial"/>
                <w:i/>
                <w:sz w:val="18"/>
                <w:szCs w:val="18"/>
              </w:rPr>
            </w:pPr>
            <w:r w:rsidRPr="002A3112">
              <w:rPr>
                <w:rFonts w:ascii="Arial Narrow" w:hAnsi="Arial Narrow" w:cs="Arial"/>
                <w:i/>
                <w:sz w:val="18"/>
                <w:szCs w:val="18"/>
              </w:rPr>
              <w:t>Exclusion</w:t>
            </w:r>
          </w:p>
          <w:p w:rsidR="00786914" w:rsidRPr="008E61BC" w:rsidRDefault="00786914" w:rsidP="0006743B">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Patients with a history of previous prostatic or urethral surgery</w:t>
            </w:r>
          </w:p>
          <w:p w:rsidR="00AE6E57" w:rsidRDefault="00786914" w:rsidP="00AE6E57">
            <w:pPr>
              <w:numPr>
                <w:ilvl w:val="0"/>
                <w:numId w:val="9"/>
              </w:numPr>
              <w:spacing w:before="40" w:after="20"/>
              <w:ind w:left="175" w:right="57" w:hanging="142"/>
              <w:rPr>
                <w:rFonts w:ascii="Arial Narrow" w:hAnsi="Arial Narrow" w:cs="Arial"/>
                <w:sz w:val="18"/>
                <w:szCs w:val="18"/>
              </w:rPr>
            </w:pPr>
            <w:r w:rsidRPr="008E61BC">
              <w:rPr>
                <w:rFonts w:ascii="Arial Narrow" w:hAnsi="Arial Narrow" w:cs="Arial"/>
                <w:sz w:val="18"/>
                <w:szCs w:val="18"/>
              </w:rPr>
              <w:t>Documented cases of prostate carcinoma</w:t>
            </w:r>
          </w:p>
          <w:p w:rsidR="00786914" w:rsidRPr="00AE6E57" w:rsidRDefault="00AE6E57" w:rsidP="00AE6E57">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br/>
            </w:r>
            <w:r w:rsidR="00786914" w:rsidRPr="00AE6E57">
              <w:rPr>
                <w:rFonts w:ascii="Arial Narrow" w:hAnsi="Arial Narrow" w:cs="Arial"/>
                <w:sz w:val="18"/>
                <w:szCs w:val="18"/>
              </w:rPr>
              <w:t>Patient characteristics</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 xml:space="preserve">Age (years): mean ± SD: </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69.86 ± 9.6</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66.46 ± 5.79</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IPSS symptom score: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22.53 ± 4.79</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21.4 ± 3.7</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Qmax (ml/s):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lastRenderedPageBreak/>
              <w:t>HoLEP: 5.79 ± 2.7</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6.9 ± 2.5</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Prostate volume (g):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36.53 ± 12.33</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36.33 ± 11.4</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PVR volume (ml): mean ± SD</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HoLEP: 91 ± 30</w:t>
            </w:r>
          </w:p>
          <w:p w:rsidR="00786914" w:rsidRPr="008E61BC" w:rsidRDefault="00786914" w:rsidP="0006743B">
            <w:pPr>
              <w:spacing w:before="40" w:after="20"/>
              <w:ind w:left="0" w:right="57"/>
              <w:rPr>
                <w:rFonts w:ascii="Arial Narrow" w:hAnsi="Arial Narrow" w:cs="Arial"/>
                <w:sz w:val="18"/>
                <w:szCs w:val="18"/>
              </w:rPr>
            </w:pPr>
            <w:r w:rsidRPr="008E61BC">
              <w:rPr>
                <w:rFonts w:ascii="Arial Narrow" w:hAnsi="Arial Narrow" w:cs="Arial"/>
                <w:sz w:val="18"/>
                <w:szCs w:val="18"/>
              </w:rPr>
              <w:t>TURP: 103 ± 27</w:t>
            </w:r>
          </w:p>
          <w:p w:rsidR="00786914" w:rsidRPr="008E61BC"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b/>
                <w:sz w:val="18"/>
                <w:szCs w:val="18"/>
              </w:rPr>
            </w:pPr>
          </w:p>
        </w:tc>
        <w:tc>
          <w:tcPr>
            <w:tcW w:w="3685" w:type="dxa"/>
            <w:tcBorders>
              <w:top w:val="single" w:sz="4" w:space="0" w:color="auto"/>
              <w:left w:val="single" w:sz="4" w:space="0" w:color="auto"/>
              <w:bottom w:val="single" w:sz="4" w:space="0" w:color="auto"/>
              <w:right w:val="single" w:sz="4" w:space="0" w:color="auto"/>
            </w:tcBorders>
          </w:tcPr>
          <w:p w:rsidR="00786914" w:rsidRPr="003F0089" w:rsidRDefault="00786914" w:rsidP="0006743B">
            <w:pPr>
              <w:spacing w:after="0"/>
              <w:ind w:left="0" w:right="57"/>
              <w:rPr>
                <w:rFonts w:ascii="Arial Narrow" w:hAnsi="Arial Narrow" w:cs="Arial"/>
                <w:b/>
                <w:sz w:val="18"/>
                <w:szCs w:val="18"/>
              </w:rPr>
            </w:pPr>
            <w:r w:rsidRPr="003F0089">
              <w:rPr>
                <w:rFonts w:ascii="Arial Narrow" w:hAnsi="Arial Narrow" w:cs="Arial"/>
                <w:b/>
                <w:sz w:val="18"/>
                <w:szCs w:val="18"/>
              </w:rPr>
              <w:lastRenderedPageBreak/>
              <w:t>OUTCOMES</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Safety</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Immediate </w:t>
            </w:r>
            <w:r>
              <w:rPr>
                <w:rFonts w:ascii="Arial Narrow" w:hAnsi="Arial Narrow" w:cs="Arial"/>
                <w:sz w:val="18"/>
                <w:szCs w:val="18"/>
              </w:rPr>
              <w:t>c</w:t>
            </w:r>
            <w:r w:rsidRPr="008E61BC">
              <w:rPr>
                <w:rFonts w:ascii="Arial Narrow" w:hAnsi="Arial Narrow" w:cs="Arial"/>
                <w:sz w:val="18"/>
                <w:szCs w:val="18"/>
              </w:rPr>
              <w:t>omplications</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Blood </w:t>
            </w:r>
            <w:r>
              <w:rPr>
                <w:rFonts w:ascii="Arial Narrow" w:hAnsi="Arial Narrow" w:cs="Arial"/>
                <w:sz w:val="18"/>
                <w:szCs w:val="18"/>
              </w:rPr>
              <w:t>t</w:t>
            </w:r>
            <w:r w:rsidRPr="008E61BC">
              <w:rPr>
                <w:rFonts w:ascii="Arial Narrow" w:hAnsi="Arial Narrow" w:cs="Arial"/>
                <w:sz w:val="18"/>
                <w:szCs w:val="18"/>
              </w:rPr>
              <w:t xml:space="preserve">ransfusion (number, </w:t>
            </w:r>
            <w:r>
              <w:rPr>
                <w:rFonts w:ascii="Arial Narrow" w:hAnsi="Arial Narrow" w:cs="Arial"/>
                <w:sz w:val="18"/>
                <w:szCs w:val="18"/>
              </w:rPr>
              <w:t>(</w:t>
            </w:r>
            <w:r w:rsidRPr="008E61BC">
              <w:rPr>
                <w:rFonts w:ascii="Arial Narrow" w:hAnsi="Arial Narrow" w:cs="Arial"/>
                <w:sz w:val="18"/>
                <w:szCs w:val="18"/>
              </w:rPr>
              <w:t>%): HoLEP nil; TURP 1/15 (6.66%); p=NR</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Capsular perforations (number, </w:t>
            </w:r>
            <w:r>
              <w:rPr>
                <w:rFonts w:ascii="Arial Narrow" w:hAnsi="Arial Narrow" w:cs="Arial"/>
                <w:sz w:val="18"/>
                <w:szCs w:val="18"/>
              </w:rPr>
              <w:t>(</w:t>
            </w:r>
            <w:r w:rsidRPr="008E61BC">
              <w:rPr>
                <w:rFonts w:ascii="Arial Narrow" w:hAnsi="Arial Narrow" w:cs="Arial"/>
                <w:sz w:val="18"/>
                <w:szCs w:val="18"/>
              </w:rPr>
              <w:t>%): HoLEP 1/15 (6.66%); TURP nil; p=NR</w:t>
            </w:r>
          </w:p>
          <w:p w:rsidR="00786914" w:rsidRPr="008E61BC"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Longer</w:t>
            </w:r>
            <w:r>
              <w:rPr>
                <w:rFonts w:ascii="Arial Narrow" w:hAnsi="Arial Narrow" w:cs="Arial"/>
                <w:sz w:val="18"/>
                <w:szCs w:val="18"/>
              </w:rPr>
              <w:t xml:space="preserve"> </w:t>
            </w:r>
            <w:r w:rsidRPr="008E61BC">
              <w:rPr>
                <w:rFonts w:ascii="Arial Narrow" w:hAnsi="Arial Narrow" w:cs="Arial"/>
                <w:sz w:val="18"/>
                <w:szCs w:val="18"/>
              </w:rPr>
              <w:t xml:space="preserve">term </w:t>
            </w:r>
            <w:r>
              <w:rPr>
                <w:rFonts w:ascii="Arial Narrow" w:hAnsi="Arial Narrow" w:cs="Arial"/>
                <w:sz w:val="18"/>
                <w:szCs w:val="18"/>
              </w:rPr>
              <w:t>c</w:t>
            </w:r>
            <w:r w:rsidRPr="008E61BC">
              <w:rPr>
                <w:rFonts w:ascii="Arial Narrow" w:hAnsi="Arial Narrow" w:cs="Arial"/>
                <w:sz w:val="18"/>
                <w:szCs w:val="18"/>
              </w:rPr>
              <w:t>omplications</w:t>
            </w:r>
          </w:p>
          <w:p w:rsidR="00786914"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Urethral stricture (number)</w:t>
            </w:r>
          </w:p>
          <w:p w:rsidR="00786914" w:rsidRPr="008E61BC" w:rsidRDefault="00786914" w:rsidP="0006743B">
            <w:pPr>
              <w:spacing w:after="0"/>
              <w:ind w:left="0" w:right="57"/>
              <w:rPr>
                <w:rFonts w:ascii="Arial Narrow" w:hAnsi="Arial Narrow" w:cs="Arial"/>
                <w:sz w:val="18"/>
                <w:szCs w:val="18"/>
              </w:rPr>
            </w:pPr>
            <w:r>
              <w:rPr>
                <w:rFonts w:ascii="Arial Narrow" w:hAnsi="Arial Narrow" w:cs="Arial"/>
                <w:sz w:val="18"/>
                <w:szCs w:val="18"/>
              </w:rPr>
              <w:t>At 3 week: HoLEP 0/15; TURP 2/15 p=NS</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3 months: HoLEP 0/15; TURP 1/15; p=NS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 months: HoLEP 0/14; TURP 0/13; p=NS</w:t>
            </w:r>
          </w:p>
          <w:p w:rsidR="00786914"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 Urinary </w:t>
            </w:r>
            <w:r>
              <w:rPr>
                <w:rFonts w:ascii="Arial Narrow" w:hAnsi="Arial Narrow" w:cs="Arial"/>
                <w:sz w:val="18"/>
                <w:szCs w:val="18"/>
              </w:rPr>
              <w:t>i</w:t>
            </w:r>
            <w:r w:rsidRPr="008E61BC">
              <w:rPr>
                <w:rFonts w:ascii="Arial Narrow" w:hAnsi="Arial Narrow" w:cs="Arial"/>
                <w:sz w:val="18"/>
                <w:szCs w:val="18"/>
              </w:rPr>
              <w:t xml:space="preserve">ncontinence (number): </w:t>
            </w:r>
          </w:p>
          <w:p w:rsidR="00786914" w:rsidRPr="008E61BC" w:rsidRDefault="00786914" w:rsidP="0006743B">
            <w:pPr>
              <w:spacing w:after="0"/>
              <w:ind w:left="0" w:right="57"/>
              <w:rPr>
                <w:rFonts w:ascii="Arial Narrow" w:hAnsi="Arial Narrow" w:cs="Arial"/>
                <w:sz w:val="18"/>
                <w:szCs w:val="18"/>
              </w:rPr>
            </w:pPr>
            <w:r>
              <w:rPr>
                <w:rFonts w:ascii="Arial Narrow" w:hAnsi="Arial Narrow" w:cs="Arial"/>
                <w:sz w:val="18"/>
                <w:szCs w:val="18"/>
              </w:rPr>
              <w:t>At 3 weeks HoLEP 0/15; TURP 1/15 p=NS</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3 months: HoLEP 1/15; TURP 0/15; p=NS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 months: HoLEP 1/14; TURP 0/13; p=NS</w:t>
            </w:r>
          </w:p>
          <w:p w:rsidR="00786914" w:rsidRDefault="00786914" w:rsidP="0006743B">
            <w:pPr>
              <w:spacing w:after="0"/>
              <w:ind w:left="0" w:right="57"/>
              <w:rPr>
                <w:rFonts w:ascii="Arial Narrow" w:hAnsi="Arial Narrow" w:cs="Arial"/>
                <w:b/>
                <w:sz w:val="18"/>
                <w:szCs w:val="18"/>
              </w:rPr>
            </w:pPr>
          </w:p>
          <w:p w:rsidR="00786914" w:rsidRPr="00DD7BB1" w:rsidRDefault="00786914" w:rsidP="0006743B">
            <w:pPr>
              <w:spacing w:after="0"/>
              <w:ind w:left="0" w:right="57"/>
              <w:rPr>
                <w:rFonts w:ascii="Arial Narrow" w:hAnsi="Arial Narrow" w:cs="Arial"/>
                <w:sz w:val="18"/>
                <w:szCs w:val="18"/>
              </w:rPr>
            </w:pPr>
            <w:r w:rsidRPr="00DD7BB1">
              <w:rPr>
                <w:rFonts w:ascii="Arial Narrow" w:hAnsi="Arial Narrow" w:cs="Arial"/>
                <w:sz w:val="18"/>
                <w:szCs w:val="18"/>
              </w:rPr>
              <w:t>Complications of adverse events after catheter removal</w:t>
            </w:r>
          </w:p>
          <w:p w:rsidR="00786914" w:rsidRPr="00DD7BB1" w:rsidRDefault="00786914" w:rsidP="0006743B">
            <w:pPr>
              <w:spacing w:after="0"/>
              <w:ind w:left="0" w:right="57"/>
              <w:rPr>
                <w:rFonts w:ascii="Arial Narrow" w:hAnsi="Arial Narrow" w:cs="Arial"/>
                <w:sz w:val="18"/>
                <w:szCs w:val="18"/>
              </w:rPr>
            </w:pPr>
            <w:r w:rsidRPr="00DD7BB1">
              <w:rPr>
                <w:rFonts w:ascii="Arial Narrow" w:hAnsi="Arial Narrow" w:cs="Arial"/>
                <w:sz w:val="18"/>
                <w:szCs w:val="18"/>
              </w:rPr>
              <w:t xml:space="preserve">Transient dysuria </w:t>
            </w:r>
            <w:r>
              <w:rPr>
                <w:rFonts w:ascii="Arial Narrow" w:hAnsi="Arial Narrow" w:cs="Arial"/>
                <w:sz w:val="18"/>
                <w:szCs w:val="18"/>
              </w:rPr>
              <w:t>HoLEP 1/15; TURP 3</w:t>
            </w:r>
            <w:r w:rsidRPr="00DD7BB1">
              <w:rPr>
                <w:rFonts w:ascii="Arial Narrow" w:hAnsi="Arial Narrow" w:cs="Arial"/>
                <w:sz w:val="18"/>
                <w:szCs w:val="18"/>
              </w:rPr>
              <w:t xml:space="preserve">/15; p=NS </w:t>
            </w:r>
          </w:p>
          <w:p w:rsidR="00786914" w:rsidRPr="00DD7BB1" w:rsidRDefault="00786914" w:rsidP="0006743B">
            <w:pPr>
              <w:spacing w:after="0"/>
              <w:ind w:left="0" w:right="57"/>
              <w:rPr>
                <w:rFonts w:ascii="Arial Narrow" w:hAnsi="Arial Narrow" w:cs="Arial"/>
                <w:sz w:val="18"/>
                <w:szCs w:val="18"/>
              </w:rPr>
            </w:pPr>
            <w:r w:rsidRPr="00DD7BB1">
              <w:rPr>
                <w:rFonts w:ascii="Arial Narrow" w:hAnsi="Arial Narrow" w:cs="Arial"/>
                <w:sz w:val="18"/>
                <w:szCs w:val="18"/>
              </w:rPr>
              <w:lastRenderedPageBreak/>
              <w:t>Recatheterisation</w:t>
            </w:r>
            <w:r>
              <w:rPr>
                <w:rFonts w:ascii="Arial Narrow" w:hAnsi="Arial Narrow" w:cs="Arial"/>
                <w:sz w:val="18"/>
                <w:szCs w:val="18"/>
              </w:rPr>
              <w:t xml:space="preserve"> HoLEP 1/15; TURP 1</w:t>
            </w:r>
            <w:r w:rsidRPr="00DD7BB1">
              <w:rPr>
                <w:rFonts w:ascii="Arial Narrow" w:hAnsi="Arial Narrow" w:cs="Arial"/>
                <w:sz w:val="18"/>
                <w:szCs w:val="18"/>
              </w:rPr>
              <w:t xml:space="preserve">/15; p=NS </w:t>
            </w:r>
          </w:p>
          <w:p w:rsidR="00786914" w:rsidRPr="00DD7BB1" w:rsidRDefault="00786914" w:rsidP="0006743B">
            <w:pPr>
              <w:spacing w:after="0"/>
              <w:ind w:left="0" w:right="57"/>
              <w:rPr>
                <w:rFonts w:ascii="Arial Narrow" w:hAnsi="Arial Narrow" w:cs="Arial"/>
                <w:sz w:val="18"/>
                <w:szCs w:val="18"/>
              </w:rPr>
            </w:pPr>
            <w:r w:rsidRPr="00DD7BB1">
              <w:rPr>
                <w:rFonts w:ascii="Arial Narrow" w:hAnsi="Arial Narrow" w:cs="Arial"/>
                <w:sz w:val="18"/>
                <w:szCs w:val="18"/>
              </w:rPr>
              <w:t>Bleeding</w:t>
            </w:r>
            <w:r>
              <w:rPr>
                <w:rFonts w:ascii="Arial Narrow" w:hAnsi="Arial Narrow" w:cs="Arial"/>
                <w:sz w:val="18"/>
                <w:szCs w:val="18"/>
              </w:rPr>
              <w:t xml:space="preserve"> HoLEP 0/15; TURP 2</w:t>
            </w:r>
            <w:r w:rsidRPr="00DD7BB1">
              <w:rPr>
                <w:rFonts w:ascii="Arial Narrow" w:hAnsi="Arial Narrow" w:cs="Arial"/>
                <w:sz w:val="18"/>
                <w:szCs w:val="18"/>
              </w:rPr>
              <w:t xml:space="preserve">/15; p=NS </w:t>
            </w:r>
          </w:p>
          <w:p w:rsidR="00786914" w:rsidRPr="00DD7BB1" w:rsidRDefault="00786914" w:rsidP="0006743B">
            <w:pPr>
              <w:spacing w:after="0"/>
              <w:ind w:left="0" w:right="57"/>
              <w:rPr>
                <w:rFonts w:ascii="Arial Narrow" w:hAnsi="Arial Narrow" w:cs="Arial"/>
                <w:sz w:val="18"/>
                <w:szCs w:val="18"/>
              </w:rPr>
            </w:pPr>
            <w:r w:rsidRPr="00DD7BB1">
              <w:rPr>
                <w:rFonts w:ascii="Arial Narrow" w:hAnsi="Arial Narrow" w:cs="Arial"/>
                <w:sz w:val="18"/>
                <w:szCs w:val="18"/>
              </w:rPr>
              <w:t>Incontinence</w:t>
            </w:r>
            <w:r>
              <w:rPr>
                <w:rFonts w:ascii="Arial Narrow" w:hAnsi="Arial Narrow" w:cs="Arial"/>
                <w:sz w:val="18"/>
                <w:szCs w:val="18"/>
              </w:rPr>
              <w:t xml:space="preserve"> HoLEP 2/15; TURP 0</w:t>
            </w:r>
            <w:r w:rsidRPr="00DD7BB1">
              <w:rPr>
                <w:rFonts w:ascii="Arial Narrow" w:hAnsi="Arial Narrow" w:cs="Arial"/>
                <w:sz w:val="18"/>
                <w:szCs w:val="18"/>
              </w:rPr>
              <w:t xml:space="preserve">/15; p=NS </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 xml:space="preserve">Effectiveness </w:t>
            </w:r>
          </w:p>
          <w:p w:rsidR="00786914" w:rsidRPr="008E61BC" w:rsidRDefault="00786914" w:rsidP="0006743B">
            <w:pPr>
              <w:spacing w:after="0"/>
              <w:ind w:left="0" w:right="57"/>
              <w:rPr>
                <w:rFonts w:ascii="Arial Narrow" w:hAnsi="Arial Narrow" w:cs="Arial"/>
                <w:sz w:val="18"/>
                <w:szCs w:val="18"/>
              </w:rPr>
            </w:pPr>
            <w:r w:rsidRPr="002A3112">
              <w:rPr>
                <w:rFonts w:ascii="Arial Narrow" w:hAnsi="Arial Narrow" w:cs="Arial"/>
                <w:sz w:val="18"/>
                <w:szCs w:val="18"/>
              </w:rPr>
              <w:t>-</w:t>
            </w:r>
            <w:r w:rsidRPr="008E61BC">
              <w:rPr>
                <w:rFonts w:ascii="Arial Narrow" w:hAnsi="Arial Narrow" w:cs="Arial"/>
                <w:b/>
                <w:sz w:val="18"/>
                <w:szCs w:val="18"/>
              </w:rPr>
              <w:t xml:space="preserve"> </w:t>
            </w:r>
            <w:r w:rsidRPr="008E61BC">
              <w:rPr>
                <w:rFonts w:ascii="Arial Narrow" w:hAnsi="Arial Narrow" w:cs="Arial"/>
                <w:sz w:val="18"/>
                <w:szCs w:val="18"/>
              </w:rPr>
              <w:t xml:space="preserve">Symptom score (IPSS)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3 months: HoLEP 2.26±1.57; TURP 2.86±1.72; p=0.329</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 months: HoLEP 4.23±1.25; TURP 3.57±1.03; p=0.37</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Post-void residual volume (ml; mean ± SD)</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At 3 months: HoLEP 13±8.61; TURP 13.66±14.0; p=0.87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At 9 months: HoLEP 43±10.61; TURP 35.66±15.0; p=0.97</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Prostate volume (g; mean ± SD): HoLEP 6.53±0.52; TURP 20±1.66; p&lt;0.001</w:t>
            </w:r>
          </w:p>
          <w:p w:rsidR="00786914" w:rsidRPr="008E61BC"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xml:space="preserve">Cost </w:t>
            </w:r>
          </w:p>
          <w:p w:rsidR="00786914" w:rsidRPr="008E61BC" w:rsidRDefault="00786914" w:rsidP="0006743B">
            <w:pPr>
              <w:spacing w:after="0"/>
              <w:ind w:left="0" w:right="57"/>
              <w:rPr>
                <w:rFonts w:ascii="Arial Narrow" w:hAnsi="Arial Narrow" w:cs="Arial"/>
                <w:sz w:val="18"/>
                <w:szCs w:val="18"/>
              </w:rPr>
            </w:pPr>
            <w:r w:rsidRPr="008E61BC">
              <w:rPr>
                <w:rFonts w:ascii="Arial Narrow" w:hAnsi="Arial Narrow" w:cs="Arial"/>
                <w:sz w:val="18"/>
                <w:szCs w:val="18"/>
              </w:rPr>
              <w:t>- Length of operation (min</w:t>
            </w:r>
            <w:r>
              <w:rPr>
                <w:rFonts w:ascii="Arial Narrow" w:hAnsi="Arial Narrow" w:cs="Arial"/>
                <w:sz w:val="18"/>
                <w:szCs w:val="18"/>
              </w:rPr>
              <w:t>utes</w:t>
            </w:r>
            <w:r w:rsidRPr="008E61BC">
              <w:rPr>
                <w:rFonts w:ascii="Arial Narrow" w:hAnsi="Arial Narrow" w:cs="Arial"/>
                <w:sz w:val="18"/>
                <w:szCs w:val="18"/>
              </w:rPr>
              <w:t>; mean ± SD): HoLEP 53±9.84; TURP 43±9.36; p&lt;0.01</w:t>
            </w: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sz w:val="18"/>
                <w:szCs w:val="18"/>
              </w:rPr>
              <w:t>- Length of catheterisation (hours; mean ± SD): HoLEP 46.42±14.25</w:t>
            </w:r>
            <w:r>
              <w:rPr>
                <w:rFonts w:ascii="Arial Narrow" w:hAnsi="Arial Narrow" w:cs="Arial"/>
                <w:sz w:val="18"/>
                <w:szCs w:val="18"/>
              </w:rPr>
              <w:t>;</w:t>
            </w:r>
            <w:r w:rsidRPr="008E61BC">
              <w:rPr>
                <w:rFonts w:ascii="Arial Narrow" w:hAnsi="Arial Narrow" w:cs="Arial"/>
                <w:sz w:val="18"/>
                <w:szCs w:val="18"/>
              </w:rPr>
              <w:t xml:space="preserve"> TURP 78.20±17.84; p&lt;0.001 </w:t>
            </w:r>
          </w:p>
        </w:tc>
        <w:tc>
          <w:tcPr>
            <w:tcW w:w="3334" w:type="dxa"/>
            <w:tcBorders>
              <w:top w:val="single" w:sz="4" w:space="0" w:color="auto"/>
              <w:left w:val="single" w:sz="4" w:space="0" w:color="auto"/>
              <w:bottom w:val="single" w:sz="4" w:space="0" w:color="auto"/>
              <w:right w:val="single" w:sz="4" w:space="0" w:color="auto"/>
            </w:tcBorders>
          </w:tcPr>
          <w:p w:rsidR="00786914" w:rsidRPr="007C14F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t>Risk of bias/study quality</w:t>
            </w:r>
          </w:p>
          <w:p w:rsidR="00786914" w:rsidRPr="004238B8"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Random sequence generation</w:t>
            </w:r>
            <w:r>
              <w:rPr>
                <w:rFonts w:ascii="Arial Narrow" w:hAnsi="Arial Narrow" w:cs="Arial"/>
                <w:sz w:val="18"/>
                <w:szCs w:val="18"/>
              </w:rPr>
              <w:t>:</w:t>
            </w:r>
            <w:r w:rsidRPr="004238B8">
              <w:rPr>
                <w:rFonts w:ascii="Arial Narrow" w:hAnsi="Arial Narrow" w:cs="Arial"/>
                <w:sz w:val="18"/>
                <w:szCs w:val="18"/>
              </w:rPr>
              <w:t xml:space="preserve"> </w:t>
            </w:r>
            <w:r>
              <w:rPr>
                <w:rFonts w:ascii="Arial Narrow" w:hAnsi="Arial Narrow" w:cs="Arial"/>
                <w:sz w:val="18"/>
                <w:szCs w:val="18"/>
              </w:rPr>
              <w:t xml:space="preserve">low </w:t>
            </w:r>
            <w:r w:rsidRPr="004238B8">
              <w:rPr>
                <w:rFonts w:ascii="Arial Narrow" w:hAnsi="Arial Narrow" w:cs="Arial"/>
                <w:sz w:val="18"/>
                <w:szCs w:val="18"/>
              </w:rPr>
              <w:t>risk</w:t>
            </w:r>
            <w:r>
              <w:rPr>
                <w:rFonts w:ascii="Arial Narrow" w:hAnsi="Arial Narrow" w:cs="Arial"/>
                <w:sz w:val="18"/>
                <w:szCs w:val="18"/>
              </w:rPr>
              <w:t xml:space="preserve"> </w:t>
            </w:r>
            <w:r w:rsidRPr="00E8208B">
              <w:rPr>
                <w:rFonts w:ascii="Arial Narrow" w:hAnsi="Arial Narrow" w:cs="Arial"/>
                <w:sz w:val="18"/>
                <w:szCs w:val="18"/>
              </w:rPr>
              <w:t>Randomised using a computer</w:t>
            </w:r>
            <w:r>
              <w:rPr>
                <w:rFonts w:ascii="Arial Narrow" w:hAnsi="Arial Narrow" w:cs="Arial"/>
                <w:sz w:val="18"/>
                <w:szCs w:val="18"/>
              </w:rPr>
              <w:t>-</w:t>
            </w:r>
            <w:r w:rsidRPr="00E8208B">
              <w:rPr>
                <w:rFonts w:ascii="Arial Narrow" w:hAnsi="Arial Narrow" w:cs="Arial"/>
                <w:sz w:val="18"/>
                <w:szCs w:val="18"/>
              </w:rPr>
              <w:t>generated random number table</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Allocation concealment: unclear risk</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No details given the authors simply state that this is a randomised study</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Blinding: unclear risk</w:t>
            </w:r>
            <w:r>
              <w:rPr>
                <w:rFonts w:ascii="Arial Narrow" w:hAnsi="Arial Narrow" w:cs="Arial"/>
                <w:sz w:val="18"/>
                <w:szCs w:val="18"/>
              </w:rPr>
              <w:t>.</w:t>
            </w:r>
            <w:r w:rsidRPr="004238B8">
              <w:rPr>
                <w:rFonts w:ascii="Arial Narrow" w:hAnsi="Arial Narrow" w:cs="Arial"/>
                <w:sz w:val="18"/>
                <w:szCs w:val="18"/>
              </w:rPr>
              <w:t xml:space="preserve"> Difficult to achieve with a surgery trial </w:t>
            </w:r>
            <w:r>
              <w:rPr>
                <w:rFonts w:ascii="Arial Narrow" w:hAnsi="Arial Narrow" w:cs="Arial"/>
                <w:sz w:val="18"/>
                <w:szCs w:val="18"/>
              </w:rPr>
              <w:t>–</w:t>
            </w:r>
            <w:r w:rsidRPr="004238B8">
              <w:rPr>
                <w:rFonts w:ascii="Arial Narrow" w:hAnsi="Arial Narrow" w:cs="Arial"/>
                <w:sz w:val="18"/>
                <w:szCs w:val="18"/>
              </w:rPr>
              <w:t xml:space="preserve"> while most measures were objective IPSS was assessed.</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Incomplete outcome data: low risk</w:t>
            </w:r>
            <w:r w:rsidRPr="00E8208B">
              <w:rPr>
                <w:rFonts w:ascii="Arial Narrow" w:hAnsi="Arial Narrow" w:cs="Arial"/>
                <w:sz w:val="18"/>
                <w:szCs w:val="18"/>
              </w:rPr>
              <w:t>3 patients were lost to follow-up no further details are given (2 in HoLEP group; 1 in TURP group)</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Other bias: unclear</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lastRenderedPageBreak/>
              <w:t>Single centre study</w:t>
            </w:r>
          </w:p>
          <w:p w:rsidR="00786914"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b/>
                <w:sz w:val="18"/>
                <w:szCs w:val="18"/>
              </w:rPr>
            </w:pPr>
          </w:p>
          <w:p w:rsidR="00786914" w:rsidRPr="008E61BC" w:rsidRDefault="00786914" w:rsidP="0006743B">
            <w:pPr>
              <w:spacing w:before="40" w:after="20"/>
              <w:ind w:left="0" w:right="57"/>
              <w:rPr>
                <w:rFonts w:ascii="Arial Narrow" w:hAnsi="Arial Narrow" w:cs="Arial"/>
                <w:b/>
                <w:sz w:val="18"/>
                <w:szCs w:val="18"/>
              </w:rPr>
            </w:pPr>
          </w:p>
        </w:tc>
      </w:tr>
    </w:tbl>
    <w:p w:rsidR="00786914" w:rsidRPr="00D062FC" w:rsidRDefault="00786914" w:rsidP="0006743B">
      <w:r>
        <w:lastRenderedPageBreak/>
        <w:br w:type="page"/>
      </w:r>
      <w:r w:rsidRPr="00D062FC">
        <w:lastRenderedPageBreak/>
        <w:t>Studies included in the assessment report that were identified in the updated literature search HoLEP</w:t>
      </w:r>
      <w:r>
        <w:t xml:space="preserve"> </w:t>
      </w:r>
      <w:r w:rsidRPr="00D062FC">
        <w:t>v</w:t>
      </w:r>
      <w:r>
        <w:t>er</w:t>
      </w:r>
      <w:r w:rsidRPr="00D062FC">
        <w:t>s</w:t>
      </w:r>
      <w:r>
        <w:t>us</w:t>
      </w:r>
      <w:r w:rsidRPr="00D062FC">
        <w:t xml:space="preserve"> OP</w:t>
      </w: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2693"/>
        <w:gridCol w:w="3685"/>
        <w:gridCol w:w="3334"/>
      </w:tblGrid>
      <w:tr w:rsidR="00786914" w:rsidRPr="00B43256" w:rsidTr="0006743B">
        <w:trPr>
          <w:tblHeader/>
        </w:trPr>
        <w:tc>
          <w:tcPr>
            <w:tcW w:w="2376"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 xml:space="preserve">Author &amp; </w:t>
            </w:r>
            <w:r>
              <w:rPr>
                <w:rFonts w:ascii="Arial Narrow" w:hAnsi="Arial Narrow" w:cs="Arial"/>
                <w:b/>
                <w:sz w:val="18"/>
                <w:szCs w:val="18"/>
              </w:rPr>
              <w:t>y</w:t>
            </w:r>
            <w:r w:rsidRPr="00B43256">
              <w:rPr>
                <w:rFonts w:ascii="Arial Narrow" w:hAnsi="Arial Narrow" w:cs="Arial"/>
                <w:b/>
                <w:sz w:val="18"/>
                <w:szCs w:val="18"/>
              </w:rPr>
              <w:t>ear</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Setting</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N</w:t>
            </w:r>
          </w:p>
        </w:tc>
        <w:tc>
          <w:tcPr>
            <w:tcW w:w="2694"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Study objective</w:t>
            </w:r>
          </w:p>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&amp; design</w:t>
            </w:r>
          </w:p>
          <w:p w:rsidR="00786914" w:rsidRPr="00B43256" w:rsidRDefault="00786914" w:rsidP="0006743B">
            <w:pPr>
              <w:spacing w:before="40" w:after="20"/>
              <w:ind w:left="57" w:right="57" w:firstLine="51"/>
              <w:rPr>
                <w:rFonts w:ascii="Arial Narrow" w:hAnsi="Arial Narrow" w:cs="Arial"/>
                <w:b/>
                <w:sz w:val="18"/>
                <w:szCs w:val="18"/>
              </w:rPr>
            </w:pPr>
          </w:p>
        </w:tc>
        <w:tc>
          <w:tcPr>
            <w:tcW w:w="2693"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 xml:space="preserve">Study </w:t>
            </w:r>
            <w:r>
              <w:rPr>
                <w:rFonts w:ascii="Arial Narrow" w:hAnsi="Arial Narrow" w:cs="Arial"/>
                <w:b/>
                <w:sz w:val="18"/>
                <w:szCs w:val="18"/>
              </w:rPr>
              <w:t>p</w:t>
            </w:r>
            <w:r w:rsidRPr="00B43256">
              <w:rPr>
                <w:rFonts w:ascii="Arial Narrow" w:hAnsi="Arial Narrow" w:cs="Arial"/>
                <w:b/>
                <w:sz w:val="18"/>
                <w:szCs w:val="18"/>
              </w:rPr>
              <w:t>opulation</w:t>
            </w:r>
          </w:p>
        </w:tc>
        <w:tc>
          <w:tcPr>
            <w:tcW w:w="3685"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Results</w:t>
            </w:r>
          </w:p>
        </w:tc>
        <w:tc>
          <w:tcPr>
            <w:tcW w:w="3334" w:type="dxa"/>
            <w:shd w:val="clear" w:color="auto" w:fill="F3F3F3"/>
          </w:tcPr>
          <w:p w:rsidR="00786914" w:rsidRPr="00B43256" w:rsidRDefault="00786914" w:rsidP="0006743B">
            <w:pPr>
              <w:spacing w:before="40" w:after="20"/>
              <w:ind w:left="0" w:right="57"/>
              <w:rPr>
                <w:rFonts w:ascii="Arial Narrow" w:hAnsi="Arial Narrow" w:cs="Arial"/>
                <w:b/>
                <w:sz w:val="18"/>
                <w:szCs w:val="18"/>
              </w:rPr>
            </w:pPr>
            <w:r w:rsidRPr="00B43256">
              <w:rPr>
                <w:rFonts w:ascii="Arial Narrow" w:hAnsi="Arial Narrow" w:cs="Arial"/>
                <w:b/>
                <w:sz w:val="18"/>
                <w:szCs w:val="18"/>
              </w:rPr>
              <w:t>Study quality and applicability</w:t>
            </w:r>
          </w:p>
        </w:tc>
      </w:tr>
      <w:tr w:rsidR="00786914" w:rsidRPr="00B43256" w:rsidTr="0006743B">
        <w:trPr>
          <w:trHeight w:val="127"/>
        </w:trPr>
        <w:tc>
          <w:tcPr>
            <w:tcW w:w="2376" w:type="dxa"/>
          </w:tcPr>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Naspro et al 2006</w:t>
            </w:r>
          </w:p>
          <w:p w:rsidR="00786914" w:rsidRPr="00A26475" w:rsidRDefault="00786914" w:rsidP="0006743B">
            <w:pPr>
              <w:spacing w:before="40" w:after="20"/>
              <w:ind w:left="57" w:right="57"/>
              <w:rPr>
                <w:rFonts w:ascii="Arial Narrow" w:hAnsi="Arial Narrow" w:cs="Arial"/>
                <w:sz w:val="18"/>
                <w:szCs w:val="18"/>
              </w:rPr>
            </w:pPr>
          </w:p>
          <w:p w:rsidR="00786914" w:rsidRPr="00F11357" w:rsidRDefault="00786914" w:rsidP="0006743B">
            <w:pPr>
              <w:spacing w:before="40" w:after="20"/>
              <w:ind w:left="0" w:right="57"/>
              <w:rPr>
                <w:rFonts w:ascii="Arial Narrow" w:hAnsi="Arial Narrow" w:cs="Arial"/>
                <w:sz w:val="18"/>
                <w:szCs w:val="18"/>
              </w:rPr>
            </w:pPr>
            <w:r w:rsidRPr="00F11357">
              <w:rPr>
                <w:rFonts w:ascii="Arial Narrow" w:hAnsi="Arial Narrow" w:cs="Arial"/>
                <w:sz w:val="18"/>
                <w:szCs w:val="18"/>
              </w:rPr>
              <w:t>Italy</w:t>
            </w:r>
          </w:p>
          <w:p w:rsidR="00786914" w:rsidRPr="00A26475" w:rsidRDefault="00786914" w:rsidP="0006743B">
            <w:pPr>
              <w:spacing w:before="40" w:after="20"/>
              <w:ind w:left="0" w:right="57"/>
              <w:rPr>
                <w:rFonts w:ascii="Arial Narrow" w:hAnsi="Arial Narrow" w:cs="Arial"/>
                <w:sz w:val="18"/>
                <w:szCs w:val="18"/>
              </w:rPr>
            </w:pPr>
            <w:r w:rsidRPr="006D378B">
              <w:rPr>
                <w:rFonts w:ascii="Arial Narrow" w:hAnsi="Arial Narrow" w:cs="Arial"/>
                <w:sz w:val="18"/>
                <w:szCs w:val="18"/>
              </w:rPr>
              <w:t>Single centre</w:t>
            </w:r>
          </w:p>
          <w:p w:rsidR="00786914" w:rsidRPr="00A26475"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 xml:space="preserve">Recruitment period: </w:t>
            </w:r>
            <w:r>
              <w:rPr>
                <w:rFonts w:ascii="Arial Narrow" w:hAnsi="Arial Narrow" w:cs="Arial"/>
                <w:sz w:val="18"/>
                <w:szCs w:val="18"/>
              </w:rPr>
              <w:t xml:space="preserve">March 2003–December 2004 </w:t>
            </w:r>
          </w:p>
          <w:p w:rsidR="00786914" w:rsidRPr="00A26475" w:rsidRDefault="00786914" w:rsidP="0006743B">
            <w:pPr>
              <w:spacing w:before="40" w:after="20"/>
              <w:ind w:left="57" w:right="57"/>
              <w:rPr>
                <w:rFonts w:ascii="Arial Narrow" w:hAnsi="Arial Narrow" w:cs="Arial"/>
                <w:sz w:val="18"/>
                <w:szCs w:val="18"/>
              </w:rPr>
            </w:pPr>
          </w:p>
          <w:p w:rsidR="00786914" w:rsidRPr="00A26475"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 xml:space="preserve">N = </w:t>
            </w:r>
            <w:r>
              <w:rPr>
                <w:rFonts w:ascii="Arial Narrow" w:hAnsi="Arial Narrow" w:cs="Arial"/>
                <w:sz w:val="18"/>
                <w:szCs w:val="18"/>
              </w:rPr>
              <w:t>80, randomised (41 in HoLEP group, 39 in OP group)</w:t>
            </w:r>
          </w:p>
          <w:p w:rsidR="00786914" w:rsidRPr="00AA2A16" w:rsidRDefault="00786914" w:rsidP="0006743B">
            <w:pPr>
              <w:spacing w:before="40" w:after="20"/>
              <w:ind w:left="57" w:right="57"/>
              <w:rPr>
                <w:rFonts w:ascii="Arial Narrow" w:hAnsi="Arial Narrow" w:cs="Arial"/>
                <w:sz w:val="18"/>
                <w:szCs w:val="18"/>
                <w:highlight w:val="yellow"/>
              </w:rPr>
            </w:pPr>
          </w:p>
        </w:tc>
        <w:tc>
          <w:tcPr>
            <w:tcW w:w="2694" w:type="dxa"/>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Objective</w:t>
            </w:r>
          </w:p>
          <w:p w:rsidR="00786914" w:rsidRDefault="00786914" w:rsidP="0006743B">
            <w:pPr>
              <w:autoSpaceDE w:val="0"/>
              <w:autoSpaceDN w:val="0"/>
              <w:adjustRightInd w:val="0"/>
              <w:spacing w:after="0"/>
              <w:ind w:left="0"/>
              <w:rPr>
                <w:rFonts w:ascii="Arial Narrow" w:eastAsiaTheme="minorHAnsi" w:hAnsi="Arial Narrow" w:cs="AdvP101DC5"/>
                <w:sz w:val="18"/>
                <w:szCs w:val="18"/>
                <w:lang w:eastAsia="en-US"/>
              </w:rPr>
            </w:pPr>
            <w:r>
              <w:rPr>
                <w:rFonts w:ascii="Arial Narrow" w:eastAsiaTheme="minorHAnsi" w:hAnsi="Arial Narrow" w:cs="AdvP101DC5"/>
                <w:sz w:val="18"/>
                <w:szCs w:val="18"/>
                <w:lang w:eastAsia="en-US"/>
              </w:rPr>
              <w:t>To p</w:t>
            </w:r>
            <w:r w:rsidRPr="00296DA6">
              <w:rPr>
                <w:rFonts w:ascii="Arial Narrow" w:eastAsiaTheme="minorHAnsi" w:hAnsi="Arial Narrow" w:cs="AdvP101DC5"/>
                <w:sz w:val="18"/>
                <w:szCs w:val="18"/>
                <w:lang w:eastAsia="en-US"/>
              </w:rPr>
              <w:t>rospectively evaluate perioperative outcomes and 2-y</w:t>
            </w:r>
            <w:r>
              <w:rPr>
                <w:rFonts w:ascii="Arial Narrow" w:eastAsiaTheme="minorHAnsi" w:hAnsi="Arial Narrow" w:cs="AdvP101DC5"/>
                <w:sz w:val="18"/>
                <w:szCs w:val="18"/>
                <w:lang w:eastAsia="en-US"/>
              </w:rPr>
              <w:t>ea</w:t>
            </w:r>
            <w:r w:rsidRPr="00296DA6">
              <w:rPr>
                <w:rFonts w:ascii="Arial Narrow" w:eastAsiaTheme="minorHAnsi" w:hAnsi="Arial Narrow" w:cs="AdvP101DC5"/>
                <w:sz w:val="18"/>
                <w:szCs w:val="18"/>
                <w:lang w:eastAsia="en-US"/>
              </w:rPr>
              <w:t>r follow-up after holmium laser enucleation (HoLEP) and standard open</w:t>
            </w:r>
            <w:r>
              <w:rPr>
                <w:rFonts w:ascii="Arial Narrow" w:eastAsiaTheme="minorHAnsi" w:hAnsi="Arial Narrow" w:cs="AdvP101DC5"/>
                <w:sz w:val="18"/>
                <w:szCs w:val="18"/>
                <w:lang w:eastAsia="en-US"/>
              </w:rPr>
              <w:t xml:space="preserve"> </w:t>
            </w:r>
            <w:r w:rsidRPr="00296DA6">
              <w:rPr>
                <w:rFonts w:ascii="Arial Narrow" w:eastAsiaTheme="minorHAnsi" w:hAnsi="Arial Narrow" w:cs="AdvP101DC5"/>
                <w:sz w:val="18"/>
                <w:szCs w:val="18"/>
                <w:lang w:eastAsia="en-US"/>
              </w:rPr>
              <w:t>prostatectomy (OP) for treating benign prostatic hyperplasia-related</w:t>
            </w:r>
            <w:r>
              <w:rPr>
                <w:rFonts w:ascii="Arial Narrow" w:eastAsiaTheme="minorHAnsi" w:hAnsi="Arial Narrow" w:cs="AdvP101DC5"/>
                <w:sz w:val="18"/>
                <w:szCs w:val="18"/>
                <w:lang w:eastAsia="en-US"/>
              </w:rPr>
              <w:t xml:space="preserve"> </w:t>
            </w:r>
            <w:r w:rsidRPr="00296DA6">
              <w:rPr>
                <w:rFonts w:ascii="Arial Narrow" w:eastAsiaTheme="minorHAnsi" w:hAnsi="Arial Narrow" w:cs="AdvP101DC5"/>
                <w:sz w:val="18"/>
                <w:szCs w:val="18"/>
                <w:lang w:eastAsia="en-US"/>
              </w:rPr>
              <w:t xml:space="preserve">obstructed voiding symptoms, with prostates </w:t>
            </w:r>
            <w:r w:rsidRPr="00296DA6">
              <w:rPr>
                <w:rFonts w:ascii="Arial Narrow" w:eastAsiaTheme="minorHAnsi" w:hAnsi="Arial Narrow" w:cs="AdvP4C4E51"/>
                <w:sz w:val="18"/>
                <w:szCs w:val="18"/>
                <w:lang w:eastAsia="en-US"/>
              </w:rPr>
              <w:t>&gt;</w:t>
            </w:r>
            <w:r w:rsidRPr="00296DA6">
              <w:rPr>
                <w:rFonts w:ascii="Arial Narrow" w:eastAsiaTheme="minorHAnsi" w:hAnsi="Arial Narrow" w:cs="AdvP101DC5"/>
                <w:sz w:val="18"/>
                <w:szCs w:val="18"/>
                <w:lang w:eastAsia="en-US"/>
              </w:rPr>
              <w:t>70 g.</w:t>
            </w:r>
          </w:p>
          <w:p w:rsidR="00786914" w:rsidRPr="00296DA6" w:rsidRDefault="00786914" w:rsidP="0006743B">
            <w:pPr>
              <w:autoSpaceDE w:val="0"/>
              <w:autoSpaceDN w:val="0"/>
              <w:adjustRightInd w:val="0"/>
              <w:spacing w:after="0"/>
              <w:ind w:left="0"/>
              <w:rPr>
                <w:rFonts w:ascii="Arial Narrow" w:hAnsi="Arial Narrow" w:cs="Arial"/>
                <w:b/>
                <w:sz w:val="18"/>
                <w:szCs w:val="18"/>
              </w:rPr>
            </w:pPr>
          </w:p>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Study design</w:t>
            </w:r>
          </w:p>
          <w:p w:rsidR="00786914" w:rsidRPr="00077A75" w:rsidRDefault="00786914" w:rsidP="0006743B">
            <w:pPr>
              <w:spacing w:before="40" w:after="20"/>
              <w:ind w:left="0" w:right="57"/>
              <w:rPr>
                <w:rFonts w:ascii="Arial Narrow" w:hAnsi="Arial Narrow" w:cs="Arial"/>
                <w:sz w:val="18"/>
                <w:szCs w:val="18"/>
              </w:rPr>
            </w:pPr>
            <w:r w:rsidRPr="00077A75">
              <w:rPr>
                <w:rFonts w:ascii="Arial Narrow" w:hAnsi="Arial Narrow" w:cs="Arial"/>
                <w:sz w:val="18"/>
                <w:szCs w:val="18"/>
              </w:rPr>
              <w:t xml:space="preserve">Randomised </w:t>
            </w:r>
            <w:r>
              <w:rPr>
                <w:rFonts w:ascii="Arial Narrow" w:hAnsi="Arial Narrow" w:cs="Arial"/>
                <w:sz w:val="18"/>
                <w:szCs w:val="18"/>
              </w:rPr>
              <w:t>c</w:t>
            </w:r>
            <w:r w:rsidRPr="00077A75">
              <w:rPr>
                <w:rFonts w:ascii="Arial Narrow" w:hAnsi="Arial Narrow" w:cs="Arial"/>
                <w:sz w:val="18"/>
                <w:szCs w:val="18"/>
              </w:rPr>
              <w:t xml:space="preserve">ontrolled </w:t>
            </w:r>
            <w:r>
              <w:rPr>
                <w:rFonts w:ascii="Arial Narrow" w:hAnsi="Arial Narrow" w:cs="Arial"/>
                <w:sz w:val="18"/>
                <w:szCs w:val="18"/>
              </w:rPr>
              <w:t>t</w:t>
            </w:r>
            <w:r w:rsidRPr="00077A75">
              <w:rPr>
                <w:rFonts w:ascii="Arial Narrow" w:hAnsi="Arial Narrow" w:cs="Arial"/>
                <w:sz w:val="18"/>
                <w:szCs w:val="18"/>
              </w:rPr>
              <w:t>rial</w:t>
            </w:r>
          </w:p>
          <w:p w:rsidR="00786914" w:rsidRPr="00077A75" w:rsidRDefault="00786914" w:rsidP="0006743B">
            <w:pPr>
              <w:spacing w:before="40" w:after="20"/>
              <w:ind w:left="57" w:right="57"/>
              <w:rPr>
                <w:rFonts w:ascii="Arial Narrow" w:hAnsi="Arial Narrow" w:cs="Arial"/>
                <w:sz w:val="18"/>
                <w:szCs w:val="18"/>
              </w:rPr>
            </w:pPr>
          </w:p>
          <w:p w:rsidR="00786914" w:rsidRPr="00682B20" w:rsidRDefault="00786914" w:rsidP="0006743B">
            <w:pPr>
              <w:spacing w:before="40" w:after="20"/>
              <w:ind w:left="0" w:right="57"/>
              <w:rPr>
                <w:rFonts w:ascii="Arial Narrow" w:hAnsi="Arial Narrow" w:cs="Arial"/>
                <w:b/>
                <w:sz w:val="18"/>
                <w:szCs w:val="18"/>
              </w:rPr>
            </w:pPr>
            <w:r w:rsidRPr="00682B20">
              <w:rPr>
                <w:rFonts w:ascii="Arial Narrow" w:hAnsi="Arial Narrow" w:cs="Arial"/>
                <w:b/>
                <w:sz w:val="18"/>
                <w:szCs w:val="18"/>
              </w:rPr>
              <w:t xml:space="preserve">Follow-up </w:t>
            </w:r>
          </w:p>
          <w:p w:rsidR="00AE6E57" w:rsidRDefault="00786914" w:rsidP="0006743B">
            <w:pPr>
              <w:spacing w:before="40" w:after="20"/>
              <w:ind w:left="0" w:right="57"/>
              <w:rPr>
                <w:rFonts w:ascii="Arial Narrow" w:hAnsi="Arial Narrow" w:cs="Arial"/>
                <w:sz w:val="18"/>
                <w:szCs w:val="18"/>
              </w:rPr>
            </w:pPr>
            <w:r w:rsidRPr="00682B20">
              <w:rPr>
                <w:rFonts w:ascii="Arial Narrow" w:hAnsi="Arial Narrow" w:cs="Arial"/>
                <w:sz w:val="18"/>
                <w:szCs w:val="18"/>
              </w:rPr>
              <w:t>24 months (follow</w:t>
            </w:r>
            <w:r>
              <w:rPr>
                <w:rFonts w:ascii="Arial Narrow" w:hAnsi="Arial Narrow" w:cs="Arial"/>
                <w:sz w:val="18"/>
                <w:szCs w:val="18"/>
              </w:rPr>
              <w:t>-</w:t>
            </w:r>
            <w:r w:rsidRPr="00682B20">
              <w:rPr>
                <w:rFonts w:ascii="Arial Narrow" w:hAnsi="Arial Narrow" w:cs="Arial"/>
                <w:sz w:val="18"/>
                <w:szCs w:val="18"/>
              </w:rPr>
              <w:t>up –</w:t>
            </w:r>
            <w:r>
              <w:rPr>
                <w:rFonts w:ascii="Arial Narrow" w:hAnsi="Arial Narrow" w:cs="Arial"/>
                <w:sz w:val="18"/>
                <w:szCs w:val="18"/>
              </w:rPr>
              <w:t xml:space="preserve"> 6</w:t>
            </w:r>
            <w:r w:rsidRPr="00682B20">
              <w:rPr>
                <w:rFonts w:ascii="Arial Narrow" w:hAnsi="Arial Narrow" w:cs="Arial"/>
                <w:sz w:val="18"/>
                <w:szCs w:val="18"/>
              </w:rPr>
              <w:t>5 patients; 35 in HoLEP group, 30 in OP group)</w:t>
            </w:r>
          </w:p>
          <w:p w:rsidR="00AE6E57" w:rsidRDefault="00AE6E57" w:rsidP="0006743B">
            <w:pPr>
              <w:spacing w:before="40" w:after="20"/>
              <w:ind w:left="0" w:right="57"/>
              <w:rPr>
                <w:rFonts w:ascii="Arial Narrow" w:hAnsi="Arial Narrow" w:cs="Arial"/>
                <w:sz w:val="18"/>
                <w:szCs w:val="18"/>
              </w:rPr>
            </w:pPr>
          </w:p>
          <w:p w:rsidR="00786914" w:rsidRDefault="00AE6E57" w:rsidP="0006743B">
            <w:pPr>
              <w:spacing w:before="40" w:after="20"/>
              <w:ind w:left="0" w:right="57"/>
              <w:rPr>
                <w:rFonts w:ascii="Arial Narrow" w:hAnsi="Arial Narrow" w:cs="Arial"/>
                <w:sz w:val="18"/>
                <w:szCs w:val="18"/>
              </w:rPr>
            </w:pPr>
            <w:r w:rsidRPr="002633D9">
              <w:rPr>
                <w:rFonts w:ascii="Arial Narrow" w:hAnsi="Arial Narrow" w:cs="Arial"/>
                <w:b/>
                <w:sz w:val="18"/>
                <w:szCs w:val="18"/>
              </w:rPr>
              <w:t xml:space="preserve"> </w:t>
            </w:r>
            <w:r w:rsidR="00786914" w:rsidRPr="002633D9">
              <w:rPr>
                <w:rFonts w:ascii="Arial Narrow" w:hAnsi="Arial Narrow" w:cs="Arial"/>
                <w:b/>
                <w:sz w:val="18"/>
                <w:szCs w:val="18"/>
              </w:rPr>
              <w:t>Intervention</w:t>
            </w:r>
            <w:r w:rsidR="00786914">
              <w:rPr>
                <w:rFonts w:ascii="Arial Narrow" w:hAnsi="Arial Narrow" w:cs="Arial"/>
                <w:sz w:val="18"/>
                <w:szCs w:val="18"/>
              </w:rPr>
              <w:t>: HoLEP with tissue morcellation</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2633D9">
              <w:rPr>
                <w:rFonts w:ascii="Arial Narrow" w:hAnsi="Arial Narrow" w:cs="Arial"/>
                <w:b/>
                <w:sz w:val="18"/>
                <w:szCs w:val="18"/>
              </w:rPr>
              <w:t>Comparator</w:t>
            </w:r>
            <w:r>
              <w:rPr>
                <w:rFonts w:ascii="Arial Narrow" w:hAnsi="Arial Narrow" w:cs="Arial"/>
                <w:sz w:val="18"/>
                <w:szCs w:val="18"/>
              </w:rPr>
              <w:t>: OP</w:t>
            </w:r>
          </w:p>
          <w:p w:rsidR="00786914" w:rsidRDefault="00786914" w:rsidP="0006743B">
            <w:pPr>
              <w:spacing w:before="40" w:after="20"/>
              <w:ind w:left="0" w:right="57"/>
              <w:rPr>
                <w:rFonts w:ascii="Arial Narrow" w:hAnsi="Arial Narrow" w:cs="Arial"/>
                <w:sz w:val="18"/>
                <w:szCs w:val="18"/>
              </w:rPr>
            </w:pPr>
          </w:p>
          <w:p w:rsidR="00786914" w:rsidRPr="00077A75" w:rsidRDefault="00786914" w:rsidP="0006743B">
            <w:pPr>
              <w:spacing w:before="40" w:after="20"/>
              <w:ind w:left="0" w:right="57"/>
              <w:rPr>
                <w:rFonts w:ascii="Arial Narrow" w:hAnsi="Arial Narrow" w:cs="Arial"/>
                <w:sz w:val="18"/>
                <w:szCs w:val="18"/>
              </w:rPr>
            </w:pPr>
          </w:p>
        </w:tc>
        <w:tc>
          <w:tcPr>
            <w:tcW w:w="2693" w:type="dxa"/>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t>Inclusion/exclusion criteria</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Inclusion</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BPH-related obstructed voiding symptoms</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Prostate volume &gt;70 g  (as determined by transrectal ultrasound)</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Non-response to pharmacologic therapy</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Post-voiding residue &lt;150 ml</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Peak urinary flow rate &lt;15 ml/s</w:t>
            </w:r>
          </w:p>
          <w:p w:rsidR="00786914" w:rsidRPr="00077A75"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Urodynamic obstruction (Shafer grade &gt;2)</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Exclusion</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Neurogenic bladder</w:t>
            </w:r>
          </w:p>
          <w:p w:rsidR="00786914"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History of adenocarcinoma of the prostate</w:t>
            </w:r>
          </w:p>
          <w:p w:rsidR="00786914" w:rsidRPr="00077A75" w:rsidRDefault="00786914" w:rsidP="0006743B">
            <w:pPr>
              <w:numPr>
                <w:ilvl w:val="0"/>
                <w:numId w:val="9"/>
              </w:numPr>
              <w:spacing w:before="40" w:after="20"/>
              <w:ind w:left="175" w:right="57" w:hanging="142"/>
              <w:rPr>
                <w:rFonts w:ascii="Arial Narrow" w:hAnsi="Arial Narrow" w:cs="Arial"/>
                <w:sz w:val="18"/>
                <w:szCs w:val="18"/>
              </w:rPr>
            </w:pPr>
            <w:r>
              <w:rPr>
                <w:rFonts w:ascii="Arial Narrow" w:hAnsi="Arial Narrow" w:cs="Arial"/>
                <w:sz w:val="18"/>
                <w:szCs w:val="18"/>
              </w:rPr>
              <w:t xml:space="preserve">Previous prostatic, bladder-neck or urethral surgery </w:t>
            </w:r>
          </w:p>
          <w:p w:rsidR="00786914" w:rsidRPr="00077A75" w:rsidRDefault="00786914" w:rsidP="0006743B">
            <w:pPr>
              <w:spacing w:before="40" w:after="20"/>
              <w:ind w:left="57"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t>Patient characteristics</w:t>
            </w:r>
          </w:p>
          <w:p w:rsidR="00786914" w:rsidRPr="00077A75" w:rsidRDefault="00786914" w:rsidP="0006743B">
            <w:pPr>
              <w:spacing w:before="40" w:after="20"/>
              <w:ind w:left="0" w:right="57"/>
              <w:rPr>
                <w:rFonts w:ascii="Arial Narrow" w:hAnsi="Arial Narrow" w:cs="Arial"/>
                <w:i/>
                <w:sz w:val="18"/>
                <w:szCs w:val="18"/>
              </w:rPr>
            </w:pPr>
            <w:r w:rsidRPr="00077A75">
              <w:rPr>
                <w:rFonts w:ascii="Arial Narrow" w:hAnsi="Arial Narrow" w:cs="Arial"/>
                <w:i/>
                <w:sz w:val="18"/>
                <w:szCs w:val="18"/>
              </w:rPr>
              <w:t>Age</w:t>
            </w:r>
            <w:r>
              <w:rPr>
                <w:rFonts w:ascii="Arial Narrow" w:hAnsi="Arial Narrow" w:cs="Arial"/>
                <w:i/>
                <w:sz w:val="18"/>
                <w:szCs w:val="18"/>
              </w:rPr>
              <w:t xml:space="preserve"> (years):</w:t>
            </w:r>
            <w:r w:rsidRPr="00077A75">
              <w:rPr>
                <w:rFonts w:ascii="Arial Narrow" w:hAnsi="Arial Narrow" w:cs="Arial"/>
                <w:i/>
                <w:sz w:val="18"/>
                <w:szCs w:val="18"/>
              </w:rPr>
              <w:t xml:space="preserve"> mean </w:t>
            </w:r>
            <w:r>
              <w:rPr>
                <w:rFonts w:ascii="Arial Narrow" w:hAnsi="Arial Narrow" w:cs="Arial"/>
                <w:sz w:val="18"/>
                <w:szCs w:val="18"/>
              </w:rPr>
              <w:t>±</w:t>
            </w:r>
            <w:r w:rsidRPr="00077A75">
              <w:rPr>
                <w:rFonts w:ascii="Arial Narrow" w:hAnsi="Arial Narrow" w:cs="Arial"/>
                <w:i/>
                <w:sz w:val="18"/>
                <w:szCs w:val="18"/>
              </w:rPr>
              <w:t xml:space="preserve"> SD: </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 xml:space="preserve">66.26 ± 6.55 </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OP</w:t>
            </w:r>
            <w:r w:rsidRPr="00077A75">
              <w:rPr>
                <w:rFonts w:ascii="Arial Narrow" w:hAnsi="Arial Narrow" w:cs="Arial"/>
                <w:sz w:val="18"/>
                <w:szCs w:val="18"/>
              </w:rPr>
              <w:t xml:space="preserve">: </w:t>
            </w:r>
            <w:r>
              <w:rPr>
                <w:rFonts w:ascii="Arial Narrow" w:hAnsi="Arial Narrow" w:cs="Arial"/>
                <w:sz w:val="18"/>
                <w:szCs w:val="18"/>
              </w:rPr>
              <w:t xml:space="preserve">67.27 ± 6.72 </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IPSS symptom score:</w:t>
            </w:r>
            <w:r w:rsidRPr="00077A75">
              <w:rPr>
                <w:rFonts w:ascii="Arial Narrow" w:hAnsi="Arial Narrow" w:cs="Arial"/>
                <w:i/>
                <w:sz w:val="18"/>
                <w:szCs w:val="18"/>
              </w:rPr>
              <w:t xml:space="preserve"> mean </w:t>
            </w:r>
            <w:r>
              <w:rPr>
                <w:rFonts w:ascii="Arial Narrow" w:hAnsi="Arial Narrow" w:cs="Arial"/>
                <w:sz w:val="18"/>
                <w:szCs w:val="18"/>
              </w:rPr>
              <w:t>±</w:t>
            </w:r>
            <w:r w:rsidRPr="00077A75">
              <w:rPr>
                <w:rFonts w:ascii="Arial Narrow" w:hAnsi="Arial Narrow" w:cs="Arial"/>
                <w:i/>
                <w:sz w:val="18"/>
                <w:szCs w:val="18"/>
              </w:rPr>
              <w:t xml:space="preserve"> SD:</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20.11 ± 5.84</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OP</w:t>
            </w:r>
            <w:r w:rsidRPr="00077A75">
              <w:rPr>
                <w:rFonts w:ascii="Arial Narrow" w:hAnsi="Arial Narrow" w:cs="Arial"/>
                <w:sz w:val="18"/>
                <w:szCs w:val="18"/>
              </w:rPr>
              <w:t xml:space="preserve">: </w:t>
            </w:r>
            <w:r>
              <w:rPr>
                <w:rFonts w:ascii="Arial Narrow" w:hAnsi="Arial Narrow" w:cs="Arial"/>
                <w:sz w:val="18"/>
                <w:szCs w:val="18"/>
              </w:rPr>
              <w:t>21.60 ± 3.24</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 xml:space="preserve">Q max (ml/s): </w:t>
            </w:r>
            <w:r w:rsidRPr="00077A75">
              <w:rPr>
                <w:rFonts w:ascii="Arial Narrow" w:hAnsi="Arial Narrow" w:cs="Arial"/>
                <w:i/>
                <w:sz w:val="18"/>
                <w:szCs w:val="18"/>
              </w:rPr>
              <w:t xml:space="preserve">mean </w:t>
            </w:r>
            <w:r>
              <w:rPr>
                <w:rFonts w:ascii="Arial Narrow" w:hAnsi="Arial Narrow" w:cs="Arial"/>
                <w:sz w:val="18"/>
                <w:szCs w:val="18"/>
              </w:rPr>
              <w:t>±</w:t>
            </w:r>
            <w:r w:rsidRPr="00077A75">
              <w:rPr>
                <w:rFonts w:ascii="Arial Narrow" w:hAnsi="Arial Narrow" w:cs="Arial"/>
                <w:i/>
                <w:sz w:val="18"/>
                <w:szCs w:val="18"/>
              </w:rPr>
              <w:t xml:space="preserve"> SD</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HoLEP</w:t>
            </w:r>
            <w:r w:rsidRPr="00077A75">
              <w:rPr>
                <w:rFonts w:ascii="Arial Narrow" w:hAnsi="Arial Narrow" w:cs="Arial"/>
                <w:sz w:val="18"/>
                <w:szCs w:val="18"/>
              </w:rPr>
              <w:t xml:space="preserve">: </w:t>
            </w:r>
            <w:r>
              <w:rPr>
                <w:rFonts w:ascii="Arial Narrow" w:hAnsi="Arial Narrow" w:cs="Arial"/>
                <w:sz w:val="18"/>
                <w:szCs w:val="18"/>
              </w:rPr>
              <w:t>7.83 ± 3.42</w:t>
            </w: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OP</w:t>
            </w:r>
            <w:r w:rsidRPr="00077A75">
              <w:rPr>
                <w:rFonts w:ascii="Arial Narrow" w:hAnsi="Arial Narrow" w:cs="Arial"/>
                <w:sz w:val="18"/>
                <w:szCs w:val="18"/>
              </w:rPr>
              <w:t xml:space="preserve">: </w:t>
            </w:r>
            <w:r>
              <w:rPr>
                <w:rFonts w:ascii="Arial Narrow" w:hAnsi="Arial Narrow" w:cs="Arial"/>
                <w:sz w:val="18"/>
                <w:szCs w:val="18"/>
              </w:rPr>
              <w:t>8.32 ± 2.37</w:t>
            </w:r>
          </w:p>
          <w:p w:rsidR="00786914" w:rsidRDefault="00786914" w:rsidP="0006743B">
            <w:pPr>
              <w:spacing w:before="40" w:after="20"/>
              <w:ind w:left="0" w:right="57"/>
              <w:rPr>
                <w:rFonts w:ascii="Arial Narrow" w:hAnsi="Arial Narrow" w:cs="Arial"/>
                <w:i/>
                <w:sz w:val="18"/>
                <w:szCs w:val="18"/>
              </w:rPr>
            </w:pPr>
          </w:p>
          <w:p w:rsidR="00786914" w:rsidRPr="00077A75" w:rsidRDefault="00786914" w:rsidP="0006743B">
            <w:pPr>
              <w:spacing w:before="40" w:after="20"/>
              <w:ind w:left="0" w:right="57"/>
              <w:rPr>
                <w:rFonts w:ascii="Arial Narrow" w:hAnsi="Arial Narrow" w:cs="Arial"/>
                <w:i/>
                <w:sz w:val="18"/>
                <w:szCs w:val="18"/>
              </w:rPr>
            </w:pPr>
            <w:r>
              <w:rPr>
                <w:rFonts w:ascii="Arial Narrow" w:hAnsi="Arial Narrow" w:cs="Arial"/>
                <w:i/>
                <w:sz w:val="18"/>
                <w:szCs w:val="18"/>
              </w:rPr>
              <w:t xml:space="preserve">Prostate volume (g): </w:t>
            </w:r>
            <w:r w:rsidRPr="00077A75">
              <w:rPr>
                <w:rFonts w:ascii="Arial Narrow" w:hAnsi="Arial Narrow" w:cs="Arial"/>
                <w:i/>
                <w:sz w:val="18"/>
                <w:szCs w:val="18"/>
              </w:rPr>
              <w:t xml:space="preserve">mean </w:t>
            </w:r>
            <w:r>
              <w:rPr>
                <w:rFonts w:ascii="Arial Narrow" w:hAnsi="Arial Narrow" w:cs="Arial"/>
                <w:sz w:val="18"/>
                <w:szCs w:val="18"/>
              </w:rPr>
              <w:t>±</w:t>
            </w:r>
            <w:r w:rsidRPr="00077A75">
              <w:rPr>
                <w:rFonts w:ascii="Arial Narrow" w:hAnsi="Arial Narrow" w:cs="Arial"/>
                <w:i/>
                <w:sz w:val="18"/>
                <w:szCs w:val="18"/>
              </w:rPr>
              <w:t xml:space="preserve"> SD:</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HoLEP</w:t>
            </w:r>
            <w:r w:rsidRPr="00077A75">
              <w:rPr>
                <w:rFonts w:ascii="Arial Narrow" w:hAnsi="Arial Narrow" w:cs="Arial"/>
                <w:sz w:val="18"/>
                <w:szCs w:val="18"/>
              </w:rPr>
              <w:t xml:space="preserve">: </w:t>
            </w:r>
            <w:r>
              <w:rPr>
                <w:rFonts w:ascii="Arial Narrow" w:hAnsi="Arial Narrow" w:cs="Arial"/>
                <w:sz w:val="18"/>
                <w:szCs w:val="18"/>
              </w:rPr>
              <w:t>113.27 ± 35.33</w:t>
            </w:r>
          </w:p>
          <w:p w:rsidR="00786914" w:rsidRPr="00077A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OP</w:t>
            </w:r>
            <w:r w:rsidRPr="00077A75">
              <w:rPr>
                <w:rFonts w:ascii="Arial Narrow" w:hAnsi="Arial Narrow" w:cs="Arial"/>
                <w:sz w:val="18"/>
                <w:szCs w:val="18"/>
              </w:rPr>
              <w:t xml:space="preserve">: </w:t>
            </w:r>
            <w:r>
              <w:rPr>
                <w:rFonts w:ascii="Arial Narrow" w:hAnsi="Arial Narrow" w:cs="Arial"/>
                <w:sz w:val="18"/>
                <w:szCs w:val="18"/>
              </w:rPr>
              <w:t>124.21 ± 38.52</w:t>
            </w:r>
          </w:p>
          <w:p w:rsidR="00786914" w:rsidRPr="00077A75" w:rsidRDefault="00786914" w:rsidP="0006743B">
            <w:pPr>
              <w:spacing w:before="40" w:after="20"/>
              <w:ind w:left="0" w:right="57"/>
              <w:rPr>
                <w:rFonts w:ascii="Arial Narrow" w:hAnsi="Arial Narrow" w:cs="Arial"/>
                <w:i/>
                <w:sz w:val="18"/>
                <w:szCs w:val="18"/>
              </w:rPr>
            </w:pPr>
          </w:p>
        </w:tc>
        <w:tc>
          <w:tcPr>
            <w:tcW w:w="3685" w:type="dxa"/>
          </w:tcPr>
          <w:p w:rsidR="00786914" w:rsidRPr="003F0089" w:rsidRDefault="00786914" w:rsidP="0006743B">
            <w:pPr>
              <w:spacing w:after="0"/>
              <w:ind w:left="0" w:right="57"/>
              <w:rPr>
                <w:rFonts w:ascii="Arial Narrow" w:hAnsi="Arial Narrow" w:cs="Arial"/>
                <w:b/>
                <w:sz w:val="18"/>
                <w:szCs w:val="18"/>
              </w:rPr>
            </w:pPr>
            <w:r w:rsidRPr="003F0089">
              <w:rPr>
                <w:rFonts w:ascii="Arial Narrow" w:hAnsi="Arial Narrow" w:cs="Arial"/>
                <w:b/>
                <w:sz w:val="18"/>
                <w:szCs w:val="18"/>
              </w:rPr>
              <w:lastRenderedPageBreak/>
              <w:t>OUTCOMES</w:t>
            </w:r>
          </w:p>
          <w:p w:rsidR="00786914" w:rsidRDefault="00786914" w:rsidP="0006743B">
            <w:pPr>
              <w:spacing w:after="0"/>
              <w:ind w:left="0" w:right="57"/>
              <w:rPr>
                <w:rFonts w:ascii="Arial Narrow" w:hAnsi="Arial Narrow" w:cs="Arial"/>
                <w:b/>
                <w:i/>
                <w:sz w:val="18"/>
                <w:szCs w:val="18"/>
              </w:rPr>
            </w:pPr>
          </w:p>
          <w:p w:rsidR="00786914" w:rsidRPr="00E51845" w:rsidRDefault="00786914" w:rsidP="0006743B">
            <w:pPr>
              <w:spacing w:after="0"/>
              <w:ind w:left="0" w:right="57"/>
              <w:rPr>
                <w:rFonts w:ascii="Arial Narrow" w:hAnsi="Arial Narrow" w:cs="Arial"/>
                <w:b/>
                <w:sz w:val="18"/>
                <w:szCs w:val="18"/>
              </w:rPr>
            </w:pPr>
            <w:r w:rsidRPr="002A3112">
              <w:rPr>
                <w:rFonts w:ascii="Arial Narrow" w:hAnsi="Arial Narrow" w:cs="Arial"/>
                <w:b/>
                <w:sz w:val="18"/>
                <w:szCs w:val="18"/>
              </w:rPr>
              <w:t>Safety</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sidRPr="00E7083C">
              <w:rPr>
                <w:rFonts w:ascii="Arial Narrow" w:hAnsi="Arial Narrow" w:cs="Arial"/>
                <w:sz w:val="18"/>
                <w:szCs w:val="18"/>
              </w:rPr>
              <w:t xml:space="preserve">- Homologous blood transfusion (n, </w:t>
            </w:r>
            <w:r>
              <w:rPr>
                <w:rFonts w:ascii="Arial Narrow" w:hAnsi="Arial Narrow" w:cs="Arial"/>
                <w:sz w:val="18"/>
                <w:szCs w:val="18"/>
              </w:rPr>
              <w:t>(</w:t>
            </w:r>
            <w:r w:rsidRPr="00E7083C">
              <w:rPr>
                <w:rFonts w:ascii="Arial Narrow" w:hAnsi="Arial Narrow" w:cs="Arial"/>
                <w:sz w:val="18"/>
                <w:szCs w:val="18"/>
              </w:rPr>
              <w:t>%): HoLEP nil; OP 2 (5.1%)</w:t>
            </w:r>
            <w:r>
              <w:rPr>
                <w:rFonts w:ascii="Arial Narrow" w:hAnsi="Arial Narrow" w:cs="Arial"/>
                <w:sz w:val="18"/>
                <w:szCs w:val="18"/>
              </w:rPr>
              <w:t>;</w:t>
            </w:r>
            <w:r w:rsidRPr="00E7083C">
              <w:rPr>
                <w:rFonts w:ascii="Arial Narrow" w:hAnsi="Arial Narrow" w:cs="Arial"/>
                <w:sz w:val="18"/>
                <w:szCs w:val="18"/>
              </w:rPr>
              <w:t xml:space="preserve"> p&lt;0.007</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sidRPr="00E7083C">
              <w:rPr>
                <w:rFonts w:ascii="Arial Narrow" w:hAnsi="Arial Narrow" w:cs="Arial"/>
                <w:sz w:val="18"/>
                <w:szCs w:val="18"/>
              </w:rPr>
              <w:t xml:space="preserve">- Autologous blood transfusion (n, </w:t>
            </w:r>
            <w:r>
              <w:rPr>
                <w:rFonts w:ascii="Arial Narrow" w:hAnsi="Arial Narrow" w:cs="Arial"/>
                <w:sz w:val="18"/>
                <w:szCs w:val="18"/>
              </w:rPr>
              <w:t>(</w:t>
            </w:r>
            <w:r w:rsidRPr="00E7083C">
              <w:rPr>
                <w:rFonts w:ascii="Arial Narrow" w:hAnsi="Arial Narrow" w:cs="Arial"/>
                <w:sz w:val="18"/>
                <w:szCs w:val="18"/>
              </w:rPr>
              <w:t>%): HoLEP 2 (4%)</w:t>
            </w:r>
            <w:r>
              <w:rPr>
                <w:rFonts w:ascii="Arial Narrow" w:hAnsi="Arial Narrow" w:cs="Arial"/>
                <w:sz w:val="18"/>
                <w:szCs w:val="18"/>
              </w:rPr>
              <w:t>;</w:t>
            </w:r>
            <w:r w:rsidRPr="00E7083C">
              <w:rPr>
                <w:rFonts w:ascii="Arial Narrow" w:hAnsi="Arial Narrow" w:cs="Arial"/>
                <w:sz w:val="18"/>
                <w:szCs w:val="18"/>
              </w:rPr>
              <w:t xml:space="preserve"> </w:t>
            </w:r>
            <w:r>
              <w:rPr>
                <w:rFonts w:ascii="Arial Narrow" w:hAnsi="Arial Narrow" w:cs="Arial"/>
                <w:sz w:val="18"/>
                <w:szCs w:val="18"/>
              </w:rPr>
              <w:t>O</w:t>
            </w:r>
            <w:r w:rsidRPr="00E7083C">
              <w:rPr>
                <w:rFonts w:ascii="Arial Narrow" w:hAnsi="Arial Narrow" w:cs="Arial"/>
                <w:sz w:val="18"/>
                <w:szCs w:val="18"/>
              </w:rPr>
              <w:t>P 5 (12.8%)</w:t>
            </w:r>
            <w:r>
              <w:rPr>
                <w:rFonts w:ascii="Arial Narrow" w:hAnsi="Arial Narrow" w:cs="Arial"/>
                <w:sz w:val="18"/>
                <w:szCs w:val="18"/>
              </w:rPr>
              <w:t>;</w:t>
            </w:r>
            <w:r w:rsidRPr="00E7083C">
              <w:rPr>
                <w:rFonts w:ascii="Arial Narrow" w:hAnsi="Arial Narrow" w:cs="Arial"/>
                <w:sz w:val="18"/>
                <w:szCs w:val="18"/>
              </w:rPr>
              <w:t xml:space="preserve"> p&lt;0.001</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Acute urinary retention – 0-3 months post-op (n, (%): HoLEP 5 (12.1%); OP 2 (5.1%); p=0.11</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Urethral stricture (n, %)</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At 12 months: HoLEP 2 (5.4%); OP 2 (5.7%); p=0.3</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At 24 months: HoLEP 1 (2.8%); OP 1 (3.3%); p=0.3</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Other complications: 3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Bladder mucosal injury HoLEP 3/41; TURP 0/39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Transitory urge incontinence HoLEP 14/41; TURP 17/39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Dysuria: HoLEP 28/41; TURP 16/39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Stress incontinence: HoLEP 1/41; TURP 1/39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Reintervention for bleeding HoLEP 1/41; TURP 1/39</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12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Urge incontinence HoLEP 2/41; TURP 3/39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Dysuria: HoLEP 4/41; TURP 3/39</w:t>
            </w:r>
          </w:p>
          <w:p w:rsidR="00786914" w:rsidRDefault="00786914" w:rsidP="0006743B">
            <w:pPr>
              <w:spacing w:after="0"/>
              <w:ind w:left="0" w:right="57"/>
              <w:rPr>
                <w:rFonts w:ascii="Arial Narrow" w:hAnsi="Arial Narrow" w:cs="Arial"/>
                <w:sz w:val="18"/>
                <w:szCs w:val="18"/>
              </w:rPr>
            </w:pPr>
          </w:p>
          <w:p w:rsidR="00786914" w:rsidRPr="00AE6E57" w:rsidRDefault="00786914" w:rsidP="00AE6E57">
            <w:pPr>
              <w:pStyle w:val="ListParagraph"/>
              <w:numPr>
                <w:ilvl w:val="0"/>
                <w:numId w:val="23"/>
              </w:numPr>
              <w:spacing w:after="0"/>
              <w:ind w:right="57"/>
              <w:rPr>
                <w:rFonts w:ascii="Arial Narrow" w:hAnsi="Arial Narrow" w:cs="Arial"/>
                <w:sz w:val="18"/>
                <w:szCs w:val="18"/>
              </w:rPr>
            </w:pPr>
            <w:r w:rsidRPr="00AE6E57">
              <w:rPr>
                <w:rFonts w:ascii="Arial Narrow" w:hAnsi="Arial Narrow" w:cs="Arial"/>
                <w:sz w:val="18"/>
                <w:szCs w:val="18"/>
              </w:rPr>
              <w:t>onths</w:t>
            </w:r>
          </w:p>
          <w:p w:rsidR="00AE6E57" w:rsidRDefault="00786914" w:rsidP="0006743B">
            <w:pPr>
              <w:spacing w:after="0"/>
              <w:ind w:left="0" w:right="57"/>
              <w:rPr>
                <w:rFonts w:ascii="Arial Narrow" w:hAnsi="Arial Narrow" w:cs="Arial"/>
                <w:sz w:val="18"/>
                <w:szCs w:val="18"/>
              </w:rPr>
            </w:pPr>
            <w:r>
              <w:rPr>
                <w:rFonts w:ascii="Arial Narrow" w:hAnsi="Arial Narrow" w:cs="Arial"/>
                <w:sz w:val="18"/>
                <w:szCs w:val="18"/>
              </w:rPr>
              <w:t>Dysuria: HoLEP 1/35; TURP 1/30</w:t>
            </w:r>
          </w:p>
          <w:p w:rsidR="00AE6E57" w:rsidRDefault="00AE6E57" w:rsidP="0006743B">
            <w:pPr>
              <w:spacing w:after="0"/>
              <w:ind w:left="0" w:right="57"/>
              <w:rPr>
                <w:rFonts w:ascii="Arial Narrow" w:hAnsi="Arial Narrow" w:cs="Arial"/>
                <w:sz w:val="18"/>
                <w:szCs w:val="18"/>
              </w:rPr>
            </w:pPr>
          </w:p>
          <w:p w:rsidR="00786914" w:rsidRPr="00322156" w:rsidRDefault="00786914" w:rsidP="0006743B">
            <w:pPr>
              <w:spacing w:after="0"/>
              <w:ind w:left="0" w:right="57"/>
              <w:rPr>
                <w:rFonts w:ascii="Arial Narrow" w:hAnsi="Arial Narrow" w:cs="Arial"/>
                <w:b/>
                <w:i/>
                <w:sz w:val="18"/>
                <w:szCs w:val="18"/>
              </w:rPr>
            </w:pPr>
            <w:r w:rsidRPr="00322156">
              <w:rPr>
                <w:rFonts w:ascii="Arial Narrow" w:hAnsi="Arial Narrow" w:cs="Arial"/>
                <w:b/>
                <w:i/>
                <w:sz w:val="18"/>
                <w:szCs w:val="18"/>
              </w:rPr>
              <w:t xml:space="preserve">Effectiveness </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lastRenderedPageBreak/>
              <w:t>- Peak flow</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12 months: HoLEP 22.32</w:t>
            </w:r>
            <w:r w:rsidRPr="000959BB">
              <w:rPr>
                <w:rFonts w:ascii="Arial Narrow" w:hAnsi="Arial Narrow" w:cs="Arial"/>
                <w:sz w:val="18"/>
                <w:szCs w:val="18"/>
              </w:rPr>
              <w:t>±</w:t>
            </w:r>
            <w:r>
              <w:rPr>
                <w:rFonts w:ascii="Arial Narrow" w:hAnsi="Arial Narrow" w:cs="Arial"/>
                <w:sz w:val="18"/>
                <w:szCs w:val="18"/>
              </w:rPr>
              <w:t>3.8; OP 24.21</w:t>
            </w:r>
            <w:r w:rsidRPr="000959BB">
              <w:rPr>
                <w:rFonts w:ascii="Arial Narrow" w:hAnsi="Arial Narrow" w:cs="Arial"/>
                <w:sz w:val="18"/>
                <w:szCs w:val="18"/>
              </w:rPr>
              <w:t>±</w:t>
            </w:r>
            <w:r>
              <w:rPr>
                <w:rFonts w:ascii="Arial Narrow" w:hAnsi="Arial Narrow" w:cs="Arial"/>
                <w:sz w:val="18"/>
                <w:szCs w:val="18"/>
              </w:rPr>
              <w:t>6.49; p=0.27</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24 months: HoLEP 19.19</w:t>
            </w:r>
            <w:r w:rsidRPr="000959BB">
              <w:rPr>
                <w:rFonts w:ascii="Arial Narrow" w:hAnsi="Arial Narrow" w:cs="Arial"/>
                <w:sz w:val="18"/>
                <w:szCs w:val="18"/>
              </w:rPr>
              <w:t>±</w:t>
            </w:r>
            <w:r>
              <w:rPr>
                <w:rFonts w:ascii="Arial Narrow" w:hAnsi="Arial Narrow" w:cs="Arial"/>
                <w:sz w:val="18"/>
                <w:szCs w:val="18"/>
              </w:rPr>
              <w:t>6.3; OP 20.11</w:t>
            </w:r>
            <w:r w:rsidRPr="000959BB">
              <w:rPr>
                <w:rFonts w:ascii="Arial Narrow" w:hAnsi="Arial Narrow" w:cs="Arial"/>
                <w:sz w:val="18"/>
                <w:szCs w:val="18"/>
              </w:rPr>
              <w:t>±</w:t>
            </w:r>
            <w:r>
              <w:rPr>
                <w:rFonts w:ascii="Arial Narrow" w:hAnsi="Arial Narrow" w:cs="Arial"/>
                <w:sz w:val="18"/>
                <w:szCs w:val="18"/>
              </w:rPr>
              <w:t>8.8; p=0.91</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IPSS Symptom score</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12 months: HoLEP 8.45</w:t>
            </w:r>
            <w:r w:rsidRPr="000959BB">
              <w:rPr>
                <w:rFonts w:ascii="Arial Narrow" w:hAnsi="Arial Narrow" w:cs="Arial"/>
                <w:sz w:val="18"/>
                <w:szCs w:val="18"/>
              </w:rPr>
              <w:t>±</w:t>
            </w:r>
            <w:r>
              <w:rPr>
                <w:rFonts w:ascii="Arial Narrow" w:hAnsi="Arial Narrow" w:cs="Arial"/>
                <w:sz w:val="18"/>
                <w:szCs w:val="18"/>
              </w:rPr>
              <w:t>5.87; OP 8.40</w:t>
            </w:r>
            <w:r w:rsidRPr="000959BB">
              <w:rPr>
                <w:rFonts w:ascii="Arial Narrow" w:hAnsi="Arial Narrow" w:cs="Arial"/>
                <w:sz w:val="18"/>
                <w:szCs w:val="18"/>
              </w:rPr>
              <w:t>±</w:t>
            </w:r>
            <w:r>
              <w:rPr>
                <w:rFonts w:ascii="Arial Narrow" w:hAnsi="Arial Narrow" w:cs="Arial"/>
                <w:sz w:val="18"/>
                <w:szCs w:val="18"/>
              </w:rPr>
              <w:t>6.0; p=0.98</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24 months: HoLEP 7.9</w:t>
            </w:r>
            <w:r w:rsidRPr="000959BB">
              <w:rPr>
                <w:rFonts w:ascii="Arial Narrow" w:hAnsi="Arial Narrow" w:cs="Arial"/>
                <w:sz w:val="18"/>
                <w:szCs w:val="18"/>
              </w:rPr>
              <w:t>±</w:t>
            </w:r>
            <w:r>
              <w:rPr>
                <w:rFonts w:ascii="Arial Narrow" w:hAnsi="Arial Narrow" w:cs="Arial"/>
                <w:sz w:val="18"/>
                <w:szCs w:val="18"/>
              </w:rPr>
              <w:t>6.2; OP 8.1</w:t>
            </w:r>
            <w:r w:rsidRPr="000959BB">
              <w:rPr>
                <w:rFonts w:ascii="Arial Narrow" w:hAnsi="Arial Narrow" w:cs="Arial"/>
                <w:sz w:val="18"/>
                <w:szCs w:val="18"/>
              </w:rPr>
              <w:t>±</w:t>
            </w:r>
            <w:r>
              <w:rPr>
                <w:rFonts w:ascii="Arial Narrow" w:hAnsi="Arial Narrow" w:cs="Arial"/>
                <w:sz w:val="18"/>
                <w:szCs w:val="18"/>
              </w:rPr>
              <w:t>7.1; p=0.44</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Quality of Life</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12 months: HoLEP 1.7</w:t>
            </w:r>
            <w:r w:rsidRPr="000959BB">
              <w:rPr>
                <w:rFonts w:ascii="Arial Narrow" w:hAnsi="Arial Narrow" w:cs="Arial"/>
                <w:sz w:val="18"/>
                <w:szCs w:val="18"/>
              </w:rPr>
              <w:t>±</w:t>
            </w:r>
            <w:r>
              <w:rPr>
                <w:rFonts w:ascii="Arial Narrow" w:hAnsi="Arial Narrow" w:cs="Arial"/>
                <w:sz w:val="18"/>
                <w:szCs w:val="18"/>
              </w:rPr>
              <w:t>0.94; OP 1.77</w:t>
            </w:r>
            <w:r w:rsidRPr="000959BB">
              <w:rPr>
                <w:rFonts w:ascii="Arial Narrow" w:hAnsi="Arial Narrow" w:cs="Arial"/>
                <w:sz w:val="18"/>
                <w:szCs w:val="18"/>
              </w:rPr>
              <w:t>±</w:t>
            </w:r>
            <w:r>
              <w:rPr>
                <w:rFonts w:ascii="Arial Narrow" w:hAnsi="Arial Narrow" w:cs="Arial"/>
                <w:sz w:val="18"/>
                <w:szCs w:val="18"/>
              </w:rPr>
              <w:t>0.83; p=0.85</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24 months: HoLEP 1.5</w:t>
            </w:r>
            <w:r w:rsidRPr="000959BB">
              <w:rPr>
                <w:rFonts w:ascii="Arial Narrow" w:hAnsi="Arial Narrow" w:cs="Arial"/>
                <w:sz w:val="18"/>
                <w:szCs w:val="18"/>
              </w:rPr>
              <w:t>±</w:t>
            </w:r>
            <w:r>
              <w:rPr>
                <w:rFonts w:ascii="Arial Narrow" w:hAnsi="Arial Narrow" w:cs="Arial"/>
                <w:sz w:val="18"/>
                <w:szCs w:val="18"/>
              </w:rPr>
              <w:t>0.87; OP 1.66</w:t>
            </w:r>
            <w:r w:rsidRPr="000959BB">
              <w:rPr>
                <w:rFonts w:ascii="Arial Narrow" w:hAnsi="Arial Narrow" w:cs="Arial"/>
                <w:sz w:val="18"/>
                <w:szCs w:val="18"/>
              </w:rPr>
              <w:t>±</w:t>
            </w:r>
            <w:r>
              <w:rPr>
                <w:rFonts w:ascii="Arial Narrow" w:hAnsi="Arial Narrow" w:cs="Arial"/>
                <w:sz w:val="18"/>
                <w:szCs w:val="18"/>
              </w:rPr>
              <w:t>0.76; p=0.76</w:t>
            </w:r>
          </w:p>
          <w:p w:rsidR="00786914" w:rsidRDefault="00786914" w:rsidP="0006743B">
            <w:pPr>
              <w:spacing w:after="0"/>
              <w:ind w:left="0" w:right="57"/>
              <w:rPr>
                <w:rFonts w:ascii="Arial Narrow" w:hAnsi="Arial Narrow" w:cs="Arial"/>
                <w:b/>
                <w:i/>
                <w:sz w:val="18"/>
                <w:szCs w:val="18"/>
              </w:rPr>
            </w:pPr>
          </w:p>
          <w:p w:rsidR="00786914" w:rsidRDefault="00786914" w:rsidP="0006743B">
            <w:pPr>
              <w:spacing w:after="0"/>
              <w:ind w:left="0" w:right="57"/>
              <w:rPr>
                <w:rFonts w:ascii="Arial Narrow" w:hAnsi="Arial Narrow" w:cs="Arial"/>
                <w:b/>
                <w:i/>
                <w:sz w:val="18"/>
                <w:szCs w:val="18"/>
              </w:rPr>
            </w:pPr>
            <w:r>
              <w:rPr>
                <w:rFonts w:ascii="Arial Narrow" w:hAnsi="Arial Narrow" w:cs="Arial"/>
                <w:b/>
                <w:i/>
                <w:sz w:val="18"/>
                <w:szCs w:val="18"/>
              </w:rPr>
              <w:t>Cost</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Length of operation (min;</w:t>
            </w:r>
            <w:r w:rsidRPr="000959BB">
              <w:rPr>
                <w:rFonts w:ascii="Arial Narrow" w:hAnsi="Arial Narrow" w:cs="Arial"/>
                <w:sz w:val="18"/>
                <w:szCs w:val="18"/>
              </w:rPr>
              <w:t xml:space="preserve"> mean ± SD)</w:t>
            </w:r>
            <w:r>
              <w:rPr>
                <w:rFonts w:ascii="Arial Narrow" w:hAnsi="Arial Narrow" w:cs="Arial"/>
                <w:sz w:val="18"/>
                <w:szCs w:val="18"/>
              </w:rPr>
              <w:t>: HoLEP 72.09</w:t>
            </w:r>
            <w:r w:rsidRPr="000959BB">
              <w:rPr>
                <w:rFonts w:ascii="Arial Narrow" w:hAnsi="Arial Narrow" w:cs="Arial"/>
                <w:sz w:val="18"/>
                <w:szCs w:val="18"/>
              </w:rPr>
              <w:t>±</w:t>
            </w:r>
            <w:r>
              <w:rPr>
                <w:rFonts w:ascii="Arial Narrow" w:hAnsi="Arial Narrow" w:cs="Arial"/>
                <w:sz w:val="18"/>
                <w:szCs w:val="18"/>
              </w:rPr>
              <w:t>21.22; OP 58.31</w:t>
            </w:r>
            <w:r w:rsidRPr="000959BB">
              <w:rPr>
                <w:rFonts w:ascii="Arial Narrow" w:hAnsi="Arial Narrow" w:cs="Arial"/>
                <w:sz w:val="18"/>
                <w:szCs w:val="18"/>
              </w:rPr>
              <w:t>±</w:t>
            </w:r>
            <w:r>
              <w:rPr>
                <w:rFonts w:ascii="Arial Narrow" w:hAnsi="Arial Narrow" w:cs="Arial"/>
                <w:sz w:val="18"/>
                <w:szCs w:val="18"/>
              </w:rPr>
              <w:t xml:space="preserve">11.95; p&lt;0.0001 </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xml:space="preserve">- Length of catheterisation (d; </w:t>
            </w:r>
            <w:r w:rsidRPr="000959BB">
              <w:rPr>
                <w:rFonts w:ascii="Arial Narrow" w:hAnsi="Arial Narrow" w:cs="Arial"/>
                <w:sz w:val="18"/>
                <w:szCs w:val="18"/>
              </w:rPr>
              <w:t>mean ± SD)</w:t>
            </w:r>
            <w:r>
              <w:rPr>
                <w:rFonts w:ascii="Arial Narrow" w:hAnsi="Arial Narrow" w:cs="Arial"/>
                <w:sz w:val="18"/>
                <w:szCs w:val="18"/>
              </w:rPr>
              <w:t>: HoLEP 1.5</w:t>
            </w:r>
            <w:r w:rsidRPr="000959BB">
              <w:rPr>
                <w:rFonts w:ascii="Arial Narrow" w:hAnsi="Arial Narrow" w:cs="Arial"/>
                <w:sz w:val="18"/>
                <w:szCs w:val="18"/>
              </w:rPr>
              <w:t>±</w:t>
            </w:r>
            <w:r>
              <w:rPr>
                <w:rFonts w:ascii="Arial Narrow" w:hAnsi="Arial Narrow" w:cs="Arial"/>
                <w:sz w:val="18"/>
                <w:szCs w:val="18"/>
              </w:rPr>
              <w:t>1.07; 4.1</w:t>
            </w:r>
            <w:r w:rsidRPr="000959BB">
              <w:rPr>
                <w:rFonts w:ascii="Arial Narrow" w:hAnsi="Arial Narrow" w:cs="Arial"/>
                <w:sz w:val="18"/>
                <w:szCs w:val="18"/>
              </w:rPr>
              <w:t>±</w:t>
            </w:r>
            <w:r>
              <w:rPr>
                <w:rFonts w:ascii="Arial Narrow" w:hAnsi="Arial Narrow" w:cs="Arial"/>
                <w:sz w:val="18"/>
                <w:szCs w:val="18"/>
              </w:rPr>
              <w:t>0.5; p&lt;0.0001</w:t>
            </w:r>
          </w:p>
          <w:p w:rsidR="00786914" w:rsidRDefault="00786914" w:rsidP="0006743B">
            <w:pPr>
              <w:spacing w:after="0"/>
              <w:ind w:left="0" w:right="57"/>
              <w:rPr>
                <w:rFonts w:ascii="Arial Narrow" w:hAnsi="Arial Narrow" w:cs="Arial"/>
                <w:sz w:val="18"/>
                <w:szCs w:val="18"/>
              </w:rPr>
            </w:pPr>
          </w:p>
          <w:p w:rsidR="00786914" w:rsidRPr="00690487" w:rsidRDefault="00786914" w:rsidP="0006743B">
            <w:pPr>
              <w:spacing w:after="0"/>
              <w:ind w:left="0" w:right="57"/>
              <w:rPr>
                <w:rFonts w:ascii="Arial Narrow" w:hAnsi="Arial Narrow" w:cs="Arial"/>
                <w:sz w:val="18"/>
                <w:szCs w:val="18"/>
              </w:rPr>
            </w:pPr>
            <w:r>
              <w:rPr>
                <w:rFonts w:ascii="Arial Narrow" w:hAnsi="Arial Narrow" w:cs="Arial"/>
                <w:sz w:val="18"/>
                <w:szCs w:val="18"/>
              </w:rPr>
              <w:t xml:space="preserve">- Length of hospital stay (days; </w:t>
            </w:r>
            <w:r w:rsidRPr="000959BB">
              <w:rPr>
                <w:rFonts w:ascii="Arial Narrow" w:hAnsi="Arial Narrow" w:cs="Arial"/>
                <w:sz w:val="18"/>
                <w:szCs w:val="18"/>
              </w:rPr>
              <w:t>mean ± SD)</w:t>
            </w:r>
            <w:r>
              <w:rPr>
                <w:rFonts w:ascii="Arial Narrow" w:hAnsi="Arial Narrow" w:cs="Arial"/>
                <w:sz w:val="18"/>
                <w:szCs w:val="18"/>
              </w:rPr>
              <w:t>: HoLEP 2.7</w:t>
            </w:r>
            <w:r w:rsidRPr="000959BB">
              <w:rPr>
                <w:rFonts w:ascii="Arial Narrow" w:hAnsi="Arial Narrow" w:cs="Arial"/>
                <w:sz w:val="18"/>
                <w:szCs w:val="18"/>
              </w:rPr>
              <w:t>±</w:t>
            </w:r>
            <w:r>
              <w:rPr>
                <w:rFonts w:ascii="Arial Narrow" w:hAnsi="Arial Narrow" w:cs="Arial"/>
                <w:sz w:val="18"/>
                <w:szCs w:val="18"/>
              </w:rPr>
              <w:t>1.1; OP 5.43</w:t>
            </w:r>
            <w:r w:rsidRPr="000959BB">
              <w:rPr>
                <w:rFonts w:ascii="Arial Narrow" w:hAnsi="Arial Narrow" w:cs="Arial"/>
                <w:sz w:val="18"/>
                <w:szCs w:val="18"/>
              </w:rPr>
              <w:t>±</w:t>
            </w:r>
            <w:r>
              <w:rPr>
                <w:rFonts w:ascii="Arial Narrow" w:hAnsi="Arial Narrow" w:cs="Arial"/>
                <w:sz w:val="18"/>
                <w:szCs w:val="18"/>
              </w:rPr>
              <w:t>1.05; p&lt;0.0001</w:t>
            </w:r>
          </w:p>
        </w:tc>
        <w:tc>
          <w:tcPr>
            <w:tcW w:w="3334" w:type="dxa"/>
          </w:tcPr>
          <w:p w:rsidR="00786914" w:rsidRPr="007C14F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t>Risk of bias/study quality</w:t>
            </w:r>
          </w:p>
          <w:p w:rsidR="00786914" w:rsidRDefault="00786914" w:rsidP="0006743B">
            <w:pPr>
              <w:spacing w:before="40" w:after="20"/>
              <w:ind w:left="0" w:right="57"/>
              <w:rPr>
                <w:rFonts w:ascii="Arial Narrow" w:hAnsi="Arial Narrow" w:cs="Arial"/>
                <w:b/>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 xml:space="preserve">Random sequence generation </w:t>
            </w:r>
            <w:r>
              <w:rPr>
                <w:rFonts w:ascii="Arial Narrow" w:hAnsi="Arial Narrow" w:cs="Arial"/>
                <w:sz w:val="18"/>
                <w:szCs w:val="18"/>
              </w:rPr>
              <w:t>low</w:t>
            </w:r>
            <w:r w:rsidRPr="004238B8">
              <w:rPr>
                <w:rFonts w:ascii="Arial Narrow" w:hAnsi="Arial Narrow" w:cs="Arial"/>
                <w:sz w:val="18"/>
                <w:szCs w:val="18"/>
              </w:rPr>
              <w:t xml:space="preserve"> risk</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Randomised using</w:t>
            </w:r>
            <w:r>
              <w:rPr>
                <w:rFonts w:ascii="Arial Narrow" w:hAnsi="Arial Narrow" w:cs="Arial"/>
                <w:sz w:val="18"/>
                <w:szCs w:val="18"/>
              </w:rPr>
              <w:t xml:space="preserve"> a computer generated random num</w:t>
            </w:r>
            <w:r w:rsidRPr="004238B8">
              <w:rPr>
                <w:rFonts w:ascii="Arial Narrow" w:hAnsi="Arial Narrow" w:cs="Arial"/>
                <w:sz w:val="18"/>
                <w:szCs w:val="18"/>
              </w:rPr>
              <w:t>ber table</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Allocation concealment: unclear risk</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No details given</w:t>
            </w:r>
            <w:r>
              <w:rPr>
                <w:rFonts w:ascii="Arial Narrow" w:hAnsi="Arial Narrow" w:cs="Arial"/>
                <w:sz w:val="18"/>
                <w:szCs w:val="18"/>
              </w:rPr>
              <w:t>;</w:t>
            </w:r>
            <w:r w:rsidRPr="004238B8">
              <w:rPr>
                <w:rFonts w:ascii="Arial Narrow" w:hAnsi="Arial Narrow" w:cs="Arial"/>
                <w:sz w:val="18"/>
                <w:szCs w:val="18"/>
              </w:rPr>
              <w:t xml:space="preserve"> the authors simply state that this is a prospective randomised study</w:t>
            </w:r>
          </w:p>
          <w:p w:rsidR="00786914" w:rsidRDefault="00786914" w:rsidP="0006743B">
            <w:pPr>
              <w:rPr>
                <w:rFonts w:ascii="Arial Narrow" w:hAnsi="Arial Narrow" w:cs="Arial"/>
                <w:sz w:val="18"/>
                <w:szCs w:val="18"/>
              </w:rPr>
            </w:pPr>
            <w:r w:rsidRPr="004238B8">
              <w:rPr>
                <w:rFonts w:ascii="Arial Narrow" w:hAnsi="Arial Narrow" w:cs="Arial"/>
                <w:sz w:val="18"/>
                <w:szCs w:val="18"/>
              </w:rPr>
              <w:t xml:space="preserve">Blinding: unclear risk </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 xml:space="preserve">Difficult to achieve with a surgery trial </w:t>
            </w:r>
            <w:r>
              <w:rPr>
                <w:rFonts w:ascii="Arial Narrow" w:hAnsi="Arial Narrow" w:cs="Arial"/>
                <w:sz w:val="18"/>
                <w:szCs w:val="18"/>
              </w:rPr>
              <w:t>–</w:t>
            </w:r>
            <w:r w:rsidRPr="004238B8">
              <w:rPr>
                <w:rFonts w:ascii="Arial Narrow" w:hAnsi="Arial Narrow" w:cs="Arial"/>
                <w:sz w:val="18"/>
                <w:szCs w:val="18"/>
              </w:rPr>
              <w:t xml:space="preserve"> while most measures were objective IPSS was assessed.</w:t>
            </w:r>
          </w:p>
          <w:p w:rsidR="00786914" w:rsidRDefault="00786914">
            <w:pPr>
              <w:spacing w:before="120" w:after="0"/>
              <w:rPr>
                <w:rFonts w:ascii="Arial Narrow" w:hAnsi="Arial Narrow" w:cs="Arial"/>
                <w:sz w:val="18"/>
                <w:szCs w:val="18"/>
              </w:rPr>
            </w:pPr>
            <w:r w:rsidRPr="004238B8">
              <w:rPr>
                <w:rFonts w:ascii="Arial Narrow" w:hAnsi="Arial Narrow" w:cs="Arial"/>
                <w:sz w:val="18"/>
                <w:szCs w:val="18"/>
              </w:rPr>
              <w:t xml:space="preserve">Incomplete outcome data: </w:t>
            </w:r>
            <w:r>
              <w:rPr>
                <w:rFonts w:ascii="Arial Narrow" w:hAnsi="Arial Narrow" w:cs="Arial"/>
                <w:sz w:val="18"/>
                <w:szCs w:val="18"/>
              </w:rPr>
              <w:t>unclear</w:t>
            </w:r>
            <w:r w:rsidRPr="004238B8">
              <w:rPr>
                <w:rFonts w:ascii="Arial Narrow" w:hAnsi="Arial Narrow" w:cs="Arial"/>
                <w:sz w:val="18"/>
                <w:szCs w:val="18"/>
              </w:rPr>
              <w:t xml:space="preserve"> risk</w:t>
            </w:r>
          </w:p>
          <w:p w:rsidR="00786914" w:rsidRDefault="00786914">
            <w:pPr>
              <w:spacing w:before="120" w:after="0"/>
              <w:rPr>
                <w:rFonts w:ascii="Arial Narrow" w:hAnsi="Arial Narrow" w:cs="Arial"/>
                <w:sz w:val="18"/>
                <w:szCs w:val="18"/>
              </w:rPr>
            </w:pPr>
            <w:r w:rsidRPr="004238B8">
              <w:rPr>
                <w:rFonts w:ascii="Arial Narrow" w:hAnsi="Arial Narrow" w:cs="Arial"/>
                <w:sz w:val="18"/>
                <w:szCs w:val="18"/>
              </w:rPr>
              <w:t>At 24 months 15 patients were lost to follow-up</w:t>
            </w:r>
            <w:r>
              <w:rPr>
                <w:rFonts w:ascii="Arial Narrow" w:hAnsi="Arial Narrow" w:cs="Arial"/>
                <w:sz w:val="18"/>
                <w:szCs w:val="18"/>
              </w:rPr>
              <w:t>;</w:t>
            </w:r>
            <w:r w:rsidRPr="004238B8">
              <w:rPr>
                <w:rFonts w:ascii="Arial Narrow" w:hAnsi="Arial Narrow" w:cs="Arial"/>
                <w:sz w:val="18"/>
                <w:szCs w:val="18"/>
              </w:rPr>
              <w:t xml:space="preserve"> no further details are given (5 in HoLEP group; 10 in OP group)</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Other bias: unclear</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Single centre study</w:t>
            </w:r>
          </w:p>
          <w:p w:rsidR="00786914" w:rsidRDefault="00786914" w:rsidP="0006743B">
            <w:pPr>
              <w:spacing w:before="40" w:after="20"/>
              <w:ind w:left="0" w:right="57"/>
              <w:rPr>
                <w:rFonts w:ascii="Arial Narrow" w:hAnsi="Arial Narrow" w:cs="Arial"/>
                <w:b/>
                <w:i/>
                <w:sz w:val="18"/>
                <w:szCs w:val="18"/>
              </w:rPr>
            </w:pPr>
          </w:p>
          <w:p w:rsidR="00786914" w:rsidRPr="00AA2A16" w:rsidRDefault="00786914" w:rsidP="0006743B">
            <w:pPr>
              <w:spacing w:before="40" w:after="20"/>
              <w:ind w:left="0" w:right="57"/>
              <w:rPr>
                <w:rFonts w:ascii="Arial Narrow" w:hAnsi="Arial Narrow" w:cs="Arial"/>
                <w:i/>
                <w:sz w:val="18"/>
                <w:szCs w:val="18"/>
                <w:highlight w:val="yellow"/>
              </w:rPr>
            </w:pPr>
          </w:p>
        </w:tc>
      </w:tr>
      <w:tr w:rsidR="00786914" w:rsidRPr="00B43256" w:rsidTr="0006743B">
        <w:trPr>
          <w:trHeight w:val="127"/>
        </w:trPr>
        <w:tc>
          <w:tcPr>
            <w:tcW w:w="2376" w:type="dxa"/>
            <w:tcBorders>
              <w:top w:val="single" w:sz="4" w:space="0" w:color="auto"/>
              <w:left w:val="single" w:sz="4" w:space="0" w:color="auto"/>
              <w:bottom w:val="single" w:sz="4" w:space="0" w:color="auto"/>
              <w:right w:val="single" w:sz="4" w:space="0" w:color="auto"/>
            </w:tcBorders>
          </w:tcPr>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lastRenderedPageBreak/>
              <w:t>Kuntz et al 2008</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Kuntz et al 2004</w:t>
            </w:r>
          </w:p>
          <w:p w:rsidR="00786914" w:rsidRDefault="00786914" w:rsidP="0006743B">
            <w:pPr>
              <w:spacing w:before="40" w:after="20"/>
              <w:ind w:left="0" w:right="57"/>
              <w:rPr>
                <w:rFonts w:ascii="Arial Narrow" w:hAnsi="Arial Narrow" w:cs="Arial"/>
                <w:sz w:val="18"/>
                <w:szCs w:val="18"/>
              </w:rPr>
            </w:pPr>
          </w:p>
          <w:p w:rsidR="00786914" w:rsidRPr="00A26475" w:rsidRDefault="00786914" w:rsidP="0006743B">
            <w:pPr>
              <w:spacing w:before="40" w:after="20"/>
              <w:ind w:left="0" w:right="57"/>
              <w:rPr>
                <w:rFonts w:ascii="Arial Narrow" w:hAnsi="Arial Narrow" w:cs="Arial"/>
                <w:sz w:val="18"/>
                <w:szCs w:val="18"/>
              </w:rPr>
            </w:pPr>
          </w:p>
          <w:p w:rsidR="00786914" w:rsidRPr="00A26475" w:rsidRDefault="00786914" w:rsidP="0006743B">
            <w:pPr>
              <w:spacing w:before="40" w:after="20"/>
              <w:ind w:left="0" w:right="57"/>
              <w:rPr>
                <w:rFonts w:ascii="Arial Narrow" w:hAnsi="Arial Narrow" w:cs="Arial"/>
                <w:sz w:val="18"/>
                <w:szCs w:val="18"/>
              </w:rPr>
            </w:pPr>
            <w:r>
              <w:rPr>
                <w:rFonts w:ascii="Arial Narrow" w:hAnsi="Arial Narrow" w:cs="Arial"/>
                <w:sz w:val="18"/>
                <w:szCs w:val="18"/>
              </w:rPr>
              <w:t>Dept. of Urology, Auguste-Viktoria-Hospital, Berlin, Germany</w:t>
            </w:r>
          </w:p>
          <w:p w:rsidR="00786914" w:rsidRPr="001579C3"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Single cent</w:t>
            </w:r>
            <w:r w:rsidRPr="001579C3">
              <w:rPr>
                <w:rFonts w:ascii="Arial Narrow" w:hAnsi="Arial Narrow" w:cs="Arial"/>
                <w:sz w:val="18"/>
                <w:szCs w:val="18"/>
              </w:rPr>
              <w:t>re</w:t>
            </w:r>
          </w:p>
          <w:p w:rsidR="00786914" w:rsidRPr="00A26475" w:rsidRDefault="00786914" w:rsidP="0006743B">
            <w:pPr>
              <w:spacing w:before="40" w:after="20"/>
              <w:ind w:left="0" w:right="57"/>
              <w:rPr>
                <w:rFonts w:ascii="Arial Narrow" w:hAnsi="Arial Narrow" w:cs="Arial"/>
                <w:sz w:val="18"/>
                <w:szCs w:val="18"/>
              </w:rPr>
            </w:pPr>
            <w:r w:rsidRPr="001579C3">
              <w:rPr>
                <w:rFonts w:ascii="Arial Narrow" w:hAnsi="Arial Narrow" w:cs="Arial"/>
                <w:sz w:val="18"/>
                <w:szCs w:val="18"/>
              </w:rPr>
              <w:t xml:space="preserve">Recruitment period: not </w:t>
            </w:r>
            <w:r w:rsidRPr="001579C3">
              <w:rPr>
                <w:rFonts w:ascii="Arial Narrow" w:hAnsi="Arial Narrow" w:cs="Arial"/>
                <w:sz w:val="18"/>
                <w:szCs w:val="18"/>
              </w:rPr>
              <w:lastRenderedPageBreak/>
              <w:t>reported</w:t>
            </w:r>
          </w:p>
          <w:p w:rsidR="00786914" w:rsidRPr="00A26475"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r w:rsidRPr="00A26475">
              <w:rPr>
                <w:rFonts w:ascii="Arial Narrow" w:hAnsi="Arial Narrow" w:cs="Arial"/>
                <w:sz w:val="18"/>
                <w:szCs w:val="18"/>
              </w:rPr>
              <w:t>N=</w:t>
            </w:r>
            <w:r>
              <w:rPr>
                <w:rFonts w:ascii="Arial Narrow" w:hAnsi="Arial Narrow" w:cs="Arial"/>
                <w:sz w:val="18"/>
                <w:szCs w:val="18"/>
              </w:rPr>
              <w:t>120 (60 in OP group, 60 in HoLEP group)</w:t>
            </w:r>
          </w:p>
          <w:p w:rsidR="00786914" w:rsidRDefault="00786914" w:rsidP="0006743B">
            <w:pPr>
              <w:spacing w:before="40" w:after="20"/>
              <w:ind w:left="0" w:right="57"/>
              <w:rPr>
                <w:rFonts w:ascii="Arial Narrow" w:hAnsi="Arial Narrow" w:cs="Arial"/>
                <w:sz w:val="18"/>
                <w:szCs w:val="18"/>
              </w:rPr>
            </w:pPr>
          </w:p>
          <w:p w:rsidR="00786914"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sz w:val="18"/>
                <w:szCs w:val="18"/>
              </w:rPr>
            </w:pPr>
          </w:p>
        </w:tc>
        <w:tc>
          <w:tcPr>
            <w:tcW w:w="2694" w:type="dxa"/>
            <w:tcBorders>
              <w:top w:val="single" w:sz="4" w:space="0" w:color="auto"/>
              <w:left w:val="single" w:sz="4" w:space="0" w:color="auto"/>
              <w:bottom w:val="single" w:sz="4" w:space="0" w:color="auto"/>
              <w:right w:val="single" w:sz="4" w:space="0" w:color="auto"/>
            </w:tcBorders>
          </w:tcPr>
          <w:p w:rsidR="00786914" w:rsidRPr="00077A75" w:rsidRDefault="00786914" w:rsidP="0006743B">
            <w:pPr>
              <w:spacing w:before="40" w:after="20"/>
              <w:ind w:left="0" w:right="57"/>
              <w:rPr>
                <w:rFonts w:ascii="Arial Narrow" w:hAnsi="Arial Narrow" w:cs="Arial"/>
                <w:b/>
                <w:sz w:val="18"/>
                <w:szCs w:val="18"/>
              </w:rPr>
            </w:pPr>
            <w:r w:rsidRPr="00077A75">
              <w:rPr>
                <w:rFonts w:ascii="Arial Narrow" w:hAnsi="Arial Narrow" w:cs="Arial"/>
                <w:b/>
                <w:sz w:val="18"/>
                <w:szCs w:val="18"/>
              </w:rPr>
              <w:lastRenderedPageBreak/>
              <w:t>Objective</w:t>
            </w: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 xml:space="preserve">To report results of a randomised clinical trial comparing holmium laser enucleation of the prostate (HoLEP) with open prostatectomy (OP). </w:t>
            </w:r>
          </w:p>
          <w:p w:rsidR="00786914" w:rsidRPr="00347EF1" w:rsidRDefault="00786914" w:rsidP="0006743B">
            <w:pPr>
              <w:spacing w:before="40" w:after="20"/>
              <w:ind w:left="0" w:right="57"/>
              <w:rPr>
                <w:rFonts w:ascii="Arial Narrow" w:hAnsi="Arial Narrow" w:cs="Arial"/>
                <w:sz w:val="18"/>
                <w:szCs w:val="18"/>
              </w:rPr>
            </w:pP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Study design</w:t>
            </w: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Randomised Controlled Trial</w:t>
            </w:r>
          </w:p>
          <w:p w:rsidR="00786914" w:rsidRPr="00347EF1" w:rsidRDefault="00786914" w:rsidP="0006743B">
            <w:pPr>
              <w:spacing w:before="40" w:after="20"/>
              <w:ind w:left="0" w:right="57"/>
              <w:rPr>
                <w:rFonts w:ascii="Arial Narrow" w:hAnsi="Arial Narrow" w:cs="Arial"/>
                <w:sz w:val="18"/>
                <w:szCs w:val="18"/>
              </w:rPr>
            </w:pP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 xml:space="preserve">Follow-up </w:t>
            </w: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lastRenderedPageBreak/>
              <w:t>5 year</w:t>
            </w:r>
            <w:r>
              <w:rPr>
                <w:rFonts w:ascii="Arial Narrow" w:hAnsi="Arial Narrow" w:cs="Arial"/>
                <w:sz w:val="18"/>
                <w:szCs w:val="18"/>
              </w:rPr>
              <w:t>s</w:t>
            </w:r>
            <w:r w:rsidRPr="00347EF1">
              <w:rPr>
                <w:rFonts w:ascii="Arial Narrow" w:hAnsi="Arial Narrow" w:cs="Arial"/>
                <w:sz w:val="18"/>
                <w:szCs w:val="18"/>
              </w:rPr>
              <w:t>; 46 patients lost to follow-up at 5 years (18 lost in HoLEP</w:t>
            </w:r>
            <w:r>
              <w:rPr>
                <w:rFonts w:ascii="Arial Narrow" w:hAnsi="Arial Narrow" w:cs="Arial"/>
                <w:sz w:val="18"/>
                <w:szCs w:val="18"/>
              </w:rPr>
              <w:t>,</w:t>
            </w:r>
            <w:r w:rsidRPr="00347EF1">
              <w:rPr>
                <w:rFonts w:ascii="Arial Narrow" w:hAnsi="Arial Narrow" w:cs="Arial"/>
                <w:sz w:val="18"/>
                <w:szCs w:val="18"/>
              </w:rPr>
              <w:t xml:space="preserve"> 28 lost in OP group) </w:t>
            </w:r>
          </w:p>
          <w:p w:rsidR="00786914" w:rsidRPr="00347EF1" w:rsidRDefault="00786914" w:rsidP="0006743B">
            <w:pPr>
              <w:spacing w:before="40" w:after="20"/>
              <w:ind w:left="0" w:right="57"/>
              <w:rPr>
                <w:rFonts w:ascii="Arial Narrow" w:hAnsi="Arial Narrow" w:cs="Arial"/>
                <w:sz w:val="18"/>
                <w:szCs w:val="18"/>
              </w:rPr>
            </w:pP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Intervention: HoLEP with mushroom technique (first 50 HoLEP patients) or morcellation (last 10 HoLEP patients)</w:t>
            </w:r>
          </w:p>
          <w:p w:rsidR="00786914" w:rsidRPr="00347EF1" w:rsidRDefault="00786914" w:rsidP="0006743B">
            <w:pPr>
              <w:spacing w:before="40" w:after="20"/>
              <w:ind w:left="0" w:right="57"/>
              <w:rPr>
                <w:rFonts w:ascii="Arial Narrow" w:hAnsi="Arial Narrow" w:cs="Arial"/>
                <w:sz w:val="18"/>
                <w:szCs w:val="18"/>
              </w:rPr>
            </w:pPr>
          </w:p>
          <w:p w:rsidR="00786914" w:rsidRPr="00347EF1" w:rsidRDefault="00786914" w:rsidP="0006743B">
            <w:pPr>
              <w:spacing w:before="40" w:after="20"/>
              <w:ind w:left="0" w:right="57"/>
              <w:rPr>
                <w:rFonts w:ascii="Arial Narrow" w:hAnsi="Arial Narrow" w:cs="Arial"/>
                <w:sz w:val="18"/>
                <w:szCs w:val="18"/>
              </w:rPr>
            </w:pPr>
            <w:r w:rsidRPr="00347EF1">
              <w:rPr>
                <w:rFonts w:ascii="Arial Narrow" w:hAnsi="Arial Narrow" w:cs="Arial"/>
                <w:sz w:val="18"/>
                <w:szCs w:val="18"/>
              </w:rPr>
              <w:t>Comparator: OP</w:t>
            </w:r>
          </w:p>
          <w:p w:rsidR="00786914" w:rsidRPr="00347EF1" w:rsidRDefault="00786914" w:rsidP="0006743B">
            <w:pPr>
              <w:spacing w:before="40" w:after="20"/>
              <w:ind w:left="0" w:right="57"/>
              <w:rPr>
                <w:rFonts w:ascii="Arial Narrow" w:hAnsi="Arial Narrow" w:cs="Arial"/>
                <w:sz w:val="18"/>
                <w:szCs w:val="18"/>
              </w:rPr>
            </w:pPr>
          </w:p>
          <w:p w:rsidR="00786914" w:rsidRPr="008E61BC" w:rsidRDefault="00786914" w:rsidP="0006743B">
            <w:pPr>
              <w:spacing w:before="40" w:after="20"/>
              <w:ind w:left="0" w:right="57"/>
              <w:rPr>
                <w:rFonts w:ascii="Arial Narrow" w:hAnsi="Arial Narrow" w:cs="Arial"/>
                <w:b/>
                <w:sz w:val="18"/>
                <w:szCs w:val="18"/>
              </w:rPr>
            </w:pPr>
          </w:p>
        </w:tc>
        <w:tc>
          <w:tcPr>
            <w:tcW w:w="2693" w:type="dxa"/>
            <w:tcBorders>
              <w:top w:val="single" w:sz="4" w:space="0" w:color="auto"/>
              <w:left w:val="single" w:sz="4" w:space="0" w:color="auto"/>
              <w:bottom w:val="single" w:sz="4" w:space="0" w:color="auto"/>
              <w:right w:val="single" w:sz="4" w:space="0" w:color="auto"/>
            </w:tcBorders>
          </w:tcPr>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lastRenderedPageBreak/>
              <w:t>Inclusion/exclusion criteria</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Inclusion</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AUA score ≥ 8</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Qmax ≤ 12ml</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PVR volume ≥ 50ml</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Schafer grade ≥ 2 in pressure flow studies</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 xml:space="preserve">Total prostate volume ≥ 100cm in transrectal ultrasound </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Exclusion</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lastRenderedPageBreak/>
              <w:t>Previous prostate or urethral surgery</w:t>
            </w:r>
          </w:p>
          <w:p w:rsidR="00786914" w:rsidRPr="00C6556A" w:rsidRDefault="00786914" w:rsidP="0006743B">
            <w:pPr>
              <w:numPr>
                <w:ilvl w:val="0"/>
                <w:numId w:val="9"/>
              </w:numPr>
              <w:spacing w:before="40" w:after="20"/>
              <w:ind w:left="175" w:right="57" w:hanging="142"/>
              <w:rPr>
                <w:rFonts w:ascii="Arial Narrow" w:hAnsi="Arial Narrow" w:cs="Arial"/>
                <w:sz w:val="18"/>
                <w:szCs w:val="18"/>
              </w:rPr>
            </w:pPr>
            <w:r w:rsidRPr="00C6556A">
              <w:rPr>
                <w:rFonts w:ascii="Arial Narrow" w:hAnsi="Arial Narrow" w:cs="Arial"/>
                <w:sz w:val="18"/>
                <w:szCs w:val="18"/>
              </w:rPr>
              <w:t>Non-BPH voiding disorders</w:t>
            </w: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Patient characteristics</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 xml:space="preserve">Age (years): mean ± SD: </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 xml:space="preserve">HoLEP: 69.2±8.4 </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OP: 71.2± 8.3</w:t>
            </w: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AUA symptom score: mean ± SD:</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 xml:space="preserve">HoLEP: 22.1±3.3 </w:t>
            </w:r>
          </w:p>
          <w:p w:rsidR="00786914" w:rsidRPr="00C6556A" w:rsidRDefault="00786914" w:rsidP="0006743B">
            <w:pPr>
              <w:spacing w:before="40" w:after="20"/>
              <w:ind w:left="0" w:right="57"/>
              <w:rPr>
                <w:rFonts w:ascii="Arial Narrow" w:hAnsi="Arial Narrow" w:cs="Arial"/>
                <w:sz w:val="18"/>
                <w:szCs w:val="18"/>
              </w:rPr>
            </w:pPr>
            <w:r w:rsidRPr="00C6556A">
              <w:rPr>
                <w:rFonts w:ascii="Arial Narrow" w:hAnsi="Arial Narrow" w:cs="Arial"/>
                <w:sz w:val="18"/>
                <w:szCs w:val="18"/>
              </w:rPr>
              <w:t>OP: 21.0± 3.6</w:t>
            </w: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Qmax (ml/s): mean ± SD</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 xml:space="preserve">HoLEP: 3.8±3.6 </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OP: 3.6± 3.8</w:t>
            </w: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Prostate volume (ml): mean ± SD:</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 xml:space="preserve">HoLEP: 114.6±21.6 </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 xml:space="preserve">OP: 113.0±19.2 </w:t>
            </w:r>
          </w:p>
          <w:p w:rsidR="00786914" w:rsidRPr="00C6556A" w:rsidRDefault="00786914" w:rsidP="0006743B">
            <w:pPr>
              <w:spacing w:before="40" w:after="20"/>
              <w:ind w:left="0" w:right="57"/>
              <w:rPr>
                <w:rFonts w:ascii="Arial Narrow" w:hAnsi="Arial Narrow" w:cs="Arial"/>
                <w:sz w:val="18"/>
                <w:szCs w:val="18"/>
              </w:rPr>
            </w:pP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PVR volume (ml): mean ± SD</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 xml:space="preserve">HoLEP: 280±273 </w:t>
            </w:r>
          </w:p>
          <w:p w:rsidR="00786914" w:rsidRPr="00C6556A" w:rsidRDefault="00786914" w:rsidP="0006743B">
            <w:pPr>
              <w:spacing w:before="40" w:after="20"/>
              <w:ind w:left="0" w:right="57"/>
              <w:rPr>
                <w:rFonts w:ascii="Arial Narrow" w:hAnsi="Arial Narrow" w:cs="Arial"/>
                <w:sz w:val="18"/>
                <w:szCs w:val="18"/>
              </w:rPr>
            </w:pPr>
            <w:r w:rsidRPr="002A3112">
              <w:rPr>
                <w:rFonts w:ascii="Arial Narrow" w:hAnsi="Arial Narrow" w:cs="Arial"/>
                <w:sz w:val="18"/>
                <w:szCs w:val="18"/>
              </w:rPr>
              <w:t>OP: 292± 191</w:t>
            </w:r>
          </w:p>
          <w:p w:rsidR="00786914" w:rsidRPr="00C6556A" w:rsidRDefault="00786914" w:rsidP="0006743B">
            <w:pPr>
              <w:spacing w:before="40" w:after="20"/>
              <w:ind w:left="0" w:right="57"/>
              <w:rPr>
                <w:rFonts w:ascii="Arial Narrow" w:hAnsi="Arial Narrow" w:cs="Arial"/>
                <w:sz w:val="18"/>
                <w:szCs w:val="18"/>
              </w:rPr>
            </w:pPr>
          </w:p>
        </w:tc>
        <w:tc>
          <w:tcPr>
            <w:tcW w:w="3685" w:type="dxa"/>
            <w:tcBorders>
              <w:top w:val="single" w:sz="4" w:space="0" w:color="auto"/>
              <w:left w:val="single" w:sz="4" w:space="0" w:color="auto"/>
              <w:bottom w:val="single" w:sz="4" w:space="0" w:color="auto"/>
              <w:right w:val="single" w:sz="4" w:space="0" w:color="auto"/>
            </w:tcBorders>
          </w:tcPr>
          <w:p w:rsidR="00786914" w:rsidRPr="003F0089" w:rsidRDefault="00786914" w:rsidP="0006743B">
            <w:pPr>
              <w:spacing w:after="0"/>
              <w:ind w:left="0" w:right="57"/>
              <w:rPr>
                <w:rFonts w:ascii="Arial Narrow" w:hAnsi="Arial Narrow" w:cs="Arial"/>
                <w:b/>
                <w:sz w:val="18"/>
                <w:szCs w:val="18"/>
              </w:rPr>
            </w:pPr>
            <w:r w:rsidRPr="00122A7C">
              <w:rPr>
                <w:rFonts w:ascii="Arial Narrow" w:hAnsi="Arial Narrow" w:cs="Arial"/>
                <w:b/>
                <w:sz w:val="18"/>
                <w:szCs w:val="18"/>
              </w:rPr>
              <w:lastRenderedPageBreak/>
              <w:t>OUTCOMES</w:t>
            </w: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Safety</w:t>
            </w:r>
          </w:p>
          <w:p w:rsidR="00786914" w:rsidRDefault="00786914" w:rsidP="0006743B">
            <w:pPr>
              <w:spacing w:after="0"/>
              <w:ind w:left="0" w:right="57"/>
              <w:rPr>
                <w:rFonts w:ascii="Arial Narrow" w:hAnsi="Arial Narrow" w:cs="Arial"/>
                <w:sz w:val="18"/>
                <w:szCs w:val="18"/>
              </w:rPr>
            </w:pPr>
            <w:r w:rsidRPr="008E61BC">
              <w:rPr>
                <w:rFonts w:ascii="Arial Narrow" w:hAnsi="Arial Narrow" w:cs="Arial"/>
                <w:b/>
                <w:sz w:val="18"/>
                <w:szCs w:val="18"/>
              </w:rPr>
              <w:t xml:space="preserve">- </w:t>
            </w:r>
            <w:r w:rsidRPr="00347EF1">
              <w:rPr>
                <w:rFonts w:ascii="Arial Narrow" w:hAnsi="Arial Narrow" w:cs="Arial"/>
                <w:sz w:val="18"/>
                <w:szCs w:val="18"/>
              </w:rPr>
              <w:t xml:space="preserve">Blood transfusion (n, </w:t>
            </w:r>
            <w:r>
              <w:rPr>
                <w:rFonts w:ascii="Arial Narrow" w:hAnsi="Arial Narrow" w:cs="Arial"/>
                <w:sz w:val="18"/>
                <w:szCs w:val="18"/>
              </w:rPr>
              <w:t>(</w:t>
            </w:r>
            <w:r w:rsidRPr="00347EF1">
              <w:rPr>
                <w:rFonts w:ascii="Arial Narrow" w:hAnsi="Arial Narrow" w:cs="Arial"/>
                <w:sz w:val="18"/>
                <w:szCs w:val="18"/>
              </w:rPr>
              <w:t>%): HoLEP nil</w:t>
            </w:r>
            <w:r>
              <w:rPr>
                <w:rFonts w:ascii="Arial Narrow" w:hAnsi="Arial Narrow" w:cs="Arial"/>
                <w:sz w:val="18"/>
                <w:szCs w:val="18"/>
              </w:rPr>
              <w:t>;</w:t>
            </w:r>
            <w:r w:rsidRPr="00347EF1">
              <w:rPr>
                <w:rFonts w:ascii="Arial Narrow" w:hAnsi="Arial Narrow" w:cs="Arial"/>
                <w:sz w:val="18"/>
                <w:szCs w:val="18"/>
              </w:rPr>
              <w:t xml:space="preserve"> OP 8 (13.3%)</w:t>
            </w:r>
            <w:r>
              <w:rPr>
                <w:rFonts w:ascii="Arial Narrow" w:hAnsi="Arial Narrow" w:cs="Arial"/>
                <w:sz w:val="18"/>
                <w:szCs w:val="18"/>
              </w:rPr>
              <w:t>;</w:t>
            </w:r>
            <w:r w:rsidRPr="00347EF1">
              <w:rPr>
                <w:rFonts w:ascii="Arial Narrow" w:hAnsi="Arial Narrow" w:cs="Arial"/>
                <w:sz w:val="18"/>
                <w:szCs w:val="18"/>
              </w:rPr>
              <w:t xml:space="preserve"> p=0.003</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xml:space="preserve">1 month: </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Bladder Neck Contracture (BNC) HoLEP 0/60; OP 1/60</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 xml:space="preserve">3 months: </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lastRenderedPageBreak/>
              <w:t>BNC HoLEP 0/57; OP 1/53</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Urethral stricture  HoLEP 1/60; OP 0/60</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Death HoLEP 0/60; OP 2/60</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18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Urethral stricture  HoLEP 1/56; OP 0/49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Death HoLEP 1/56; OP 0/49</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24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BNC HoLEP 0/53; OP 1/49</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Urethral stricture  HoLEP 0/53; OP 1/49</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48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BNC HoLEP 1/48; OP 0/40</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Death HoLEP 0/48; OP 2/40</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60 months</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Death HoLEP 1/45; OP 3/36</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Continence:</w:t>
            </w: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Transitory: HoLEP 2/60; OP 5/60 complained of urge incontinence which resolved by 1 month</w:t>
            </w:r>
          </w:p>
          <w:p w:rsidR="00786914" w:rsidRDefault="00786914" w:rsidP="0006743B">
            <w:pPr>
              <w:spacing w:after="0"/>
              <w:ind w:left="0" w:right="57"/>
              <w:rPr>
                <w:rFonts w:ascii="Arial Narrow" w:hAnsi="Arial Narrow" w:cs="Arial"/>
                <w:sz w:val="18"/>
                <w:szCs w:val="18"/>
              </w:rPr>
            </w:pPr>
          </w:p>
          <w:p w:rsidR="00786914" w:rsidRDefault="00786914" w:rsidP="0006743B">
            <w:pPr>
              <w:spacing w:after="0"/>
              <w:ind w:left="0" w:right="57"/>
              <w:rPr>
                <w:rFonts w:ascii="Arial Narrow" w:hAnsi="Arial Narrow" w:cs="Arial"/>
                <w:sz w:val="18"/>
                <w:szCs w:val="18"/>
              </w:rPr>
            </w:pPr>
            <w:r>
              <w:rPr>
                <w:rFonts w:ascii="Arial Narrow" w:hAnsi="Arial Narrow" w:cs="Arial"/>
                <w:sz w:val="18"/>
                <w:szCs w:val="18"/>
              </w:rPr>
              <w:t>In 11 patients HoLEP 5/60; OP 6/60 who had been continent preoperatively some moderate to severe incontinence developed – resolving in all but one HoLEP patient by 3 months</w:t>
            </w:r>
          </w:p>
          <w:p w:rsidR="00786914" w:rsidRPr="00347EF1"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b/>
                <w:sz w:val="18"/>
                <w:szCs w:val="18"/>
              </w:rPr>
            </w:pPr>
          </w:p>
          <w:p w:rsidR="00786914" w:rsidRPr="008E61BC" w:rsidRDefault="00786914" w:rsidP="0006743B">
            <w:pPr>
              <w:spacing w:after="0"/>
              <w:ind w:left="0" w:right="57"/>
              <w:rPr>
                <w:rFonts w:ascii="Arial Narrow" w:hAnsi="Arial Narrow" w:cs="Arial"/>
                <w:b/>
                <w:sz w:val="18"/>
                <w:szCs w:val="18"/>
              </w:rPr>
            </w:pPr>
            <w:r w:rsidRPr="008E61BC">
              <w:rPr>
                <w:rFonts w:ascii="Arial Narrow" w:hAnsi="Arial Narrow" w:cs="Arial"/>
                <w:b/>
                <w:sz w:val="18"/>
                <w:szCs w:val="18"/>
              </w:rPr>
              <w:t xml:space="preserve">Effectiveness </w:t>
            </w:r>
          </w:p>
          <w:p w:rsidR="00786914" w:rsidRPr="00347EF1" w:rsidRDefault="00786914" w:rsidP="0006743B">
            <w:pPr>
              <w:spacing w:after="0"/>
              <w:ind w:left="0" w:right="57"/>
              <w:rPr>
                <w:rFonts w:ascii="Arial Narrow" w:hAnsi="Arial Narrow" w:cs="Arial"/>
                <w:sz w:val="18"/>
                <w:szCs w:val="18"/>
              </w:rPr>
            </w:pPr>
            <w:r w:rsidRPr="008E61BC">
              <w:rPr>
                <w:rFonts w:ascii="Arial Narrow" w:hAnsi="Arial Narrow" w:cs="Arial"/>
                <w:b/>
                <w:sz w:val="18"/>
                <w:szCs w:val="18"/>
              </w:rPr>
              <w:t xml:space="preserve">- </w:t>
            </w:r>
            <w:r w:rsidRPr="00347EF1">
              <w:rPr>
                <w:rFonts w:ascii="Arial Narrow" w:hAnsi="Arial Narrow" w:cs="Arial"/>
                <w:sz w:val="18"/>
                <w:szCs w:val="18"/>
              </w:rPr>
              <w:t>Peak flow (ml/s, mean ± SD)</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mo</w:t>
            </w:r>
            <w:r>
              <w:rPr>
                <w:rFonts w:ascii="Arial Narrow" w:hAnsi="Arial Narrow" w:cs="Arial"/>
                <w:sz w:val="18"/>
                <w:szCs w:val="18"/>
              </w:rPr>
              <w:t>nths</w:t>
            </w:r>
            <w:r w:rsidRPr="00347EF1">
              <w:rPr>
                <w:rFonts w:ascii="Arial Narrow" w:hAnsi="Arial Narrow" w:cs="Arial"/>
                <w:sz w:val="18"/>
                <w:szCs w:val="18"/>
              </w:rPr>
              <w:t>: HoLEP 27.6±7.0</w:t>
            </w:r>
            <w:r>
              <w:rPr>
                <w:rFonts w:ascii="Arial Narrow" w:hAnsi="Arial Narrow" w:cs="Arial"/>
                <w:sz w:val="18"/>
                <w:szCs w:val="18"/>
              </w:rPr>
              <w:t>;</w:t>
            </w:r>
            <w:r w:rsidRPr="00347EF1">
              <w:rPr>
                <w:rFonts w:ascii="Arial Narrow" w:hAnsi="Arial Narrow" w:cs="Arial"/>
                <w:sz w:val="18"/>
                <w:szCs w:val="18"/>
              </w:rPr>
              <w:t xml:space="preserve"> OP 27.3±6.2</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6 mo</w:t>
            </w:r>
            <w:r>
              <w:rPr>
                <w:rFonts w:ascii="Arial Narrow" w:hAnsi="Arial Narrow" w:cs="Arial"/>
                <w:sz w:val="18"/>
                <w:szCs w:val="18"/>
              </w:rPr>
              <w:t>nths</w:t>
            </w:r>
            <w:r w:rsidRPr="00347EF1">
              <w:rPr>
                <w:rFonts w:ascii="Arial Narrow" w:hAnsi="Arial Narrow" w:cs="Arial"/>
                <w:sz w:val="18"/>
                <w:szCs w:val="18"/>
              </w:rPr>
              <w:t>: HoLEP 29.9±8.8</w:t>
            </w:r>
            <w:r>
              <w:rPr>
                <w:rFonts w:ascii="Arial Narrow" w:hAnsi="Arial Narrow" w:cs="Arial"/>
                <w:sz w:val="18"/>
                <w:szCs w:val="18"/>
              </w:rPr>
              <w:t>;</w:t>
            </w:r>
            <w:r w:rsidRPr="00347EF1">
              <w:rPr>
                <w:rFonts w:ascii="Arial Narrow" w:hAnsi="Arial Narrow" w:cs="Arial"/>
                <w:sz w:val="18"/>
                <w:szCs w:val="18"/>
              </w:rPr>
              <w:t xml:space="preserve"> OP 27.0±0.5</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1 year: HoLEP 27.4±9.7; OP 28.3±7.5; p=0.86</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years: HoLEP 27.0±9.8</w:t>
            </w:r>
            <w:r>
              <w:rPr>
                <w:rFonts w:ascii="Arial Narrow" w:hAnsi="Arial Narrow" w:cs="Arial"/>
                <w:sz w:val="18"/>
                <w:szCs w:val="18"/>
              </w:rPr>
              <w:t>;</w:t>
            </w:r>
            <w:r w:rsidRPr="00347EF1">
              <w:rPr>
                <w:rFonts w:ascii="Arial Narrow" w:hAnsi="Arial Narrow" w:cs="Arial"/>
                <w:sz w:val="18"/>
                <w:szCs w:val="18"/>
              </w:rPr>
              <w:t xml:space="preserve"> OP 25.3±6.9; p=0.32</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lastRenderedPageBreak/>
              <w:t>At 5 years: HoLEP 24.3±10.1; OP 24.4±7.4; p=0.97</w:t>
            </w:r>
          </w:p>
          <w:p w:rsidR="00786914" w:rsidRPr="00347EF1" w:rsidRDefault="00786914" w:rsidP="0006743B">
            <w:pPr>
              <w:spacing w:after="0"/>
              <w:ind w:left="0" w:right="57"/>
              <w:rPr>
                <w:rFonts w:ascii="Arial Narrow" w:hAnsi="Arial Narrow" w:cs="Arial"/>
                <w:sz w:val="18"/>
                <w:szCs w:val="18"/>
              </w:rPr>
            </w:pP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xml:space="preserve">- AUA </w:t>
            </w:r>
            <w:r>
              <w:rPr>
                <w:rFonts w:ascii="Arial Narrow" w:hAnsi="Arial Narrow" w:cs="Arial"/>
                <w:sz w:val="18"/>
                <w:szCs w:val="18"/>
              </w:rPr>
              <w:t>s</w:t>
            </w:r>
            <w:r w:rsidRPr="00347EF1">
              <w:rPr>
                <w:rFonts w:ascii="Arial Narrow" w:hAnsi="Arial Narrow" w:cs="Arial"/>
                <w:sz w:val="18"/>
                <w:szCs w:val="18"/>
              </w:rPr>
              <w:t>ymptom score (mean ± SD)</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mo</w:t>
            </w:r>
            <w:r>
              <w:rPr>
                <w:rFonts w:ascii="Arial Narrow" w:hAnsi="Arial Narrow" w:cs="Arial"/>
                <w:sz w:val="18"/>
                <w:szCs w:val="18"/>
              </w:rPr>
              <w:t>nths</w:t>
            </w:r>
            <w:r w:rsidRPr="00347EF1">
              <w:rPr>
                <w:rFonts w:ascii="Arial Narrow" w:hAnsi="Arial Narrow" w:cs="Arial"/>
                <w:sz w:val="18"/>
                <w:szCs w:val="18"/>
              </w:rPr>
              <w:t>: HoLEP 3.3±2.7</w:t>
            </w:r>
            <w:r>
              <w:rPr>
                <w:rFonts w:ascii="Arial Narrow" w:hAnsi="Arial Narrow" w:cs="Arial"/>
                <w:sz w:val="18"/>
                <w:szCs w:val="18"/>
              </w:rPr>
              <w:t>;</w:t>
            </w:r>
            <w:r w:rsidRPr="00347EF1">
              <w:rPr>
                <w:rFonts w:ascii="Arial Narrow" w:hAnsi="Arial Narrow" w:cs="Arial"/>
                <w:sz w:val="18"/>
                <w:szCs w:val="18"/>
              </w:rPr>
              <w:t xml:space="preserve"> OP 3.6±2.7</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6 mo</w:t>
            </w:r>
            <w:r>
              <w:rPr>
                <w:rFonts w:ascii="Arial Narrow" w:hAnsi="Arial Narrow" w:cs="Arial"/>
                <w:sz w:val="18"/>
                <w:szCs w:val="18"/>
              </w:rPr>
              <w:t>nths</w:t>
            </w:r>
            <w:r w:rsidRPr="00347EF1">
              <w:rPr>
                <w:rFonts w:ascii="Arial Narrow" w:hAnsi="Arial Narrow" w:cs="Arial"/>
                <w:sz w:val="18"/>
                <w:szCs w:val="18"/>
              </w:rPr>
              <w:t>: HoLEP 2.4±1.9</w:t>
            </w:r>
            <w:r>
              <w:rPr>
                <w:rFonts w:ascii="Arial Narrow" w:hAnsi="Arial Narrow" w:cs="Arial"/>
                <w:sz w:val="18"/>
                <w:szCs w:val="18"/>
              </w:rPr>
              <w:t>;</w:t>
            </w:r>
            <w:r w:rsidRPr="00347EF1">
              <w:rPr>
                <w:rFonts w:ascii="Arial Narrow" w:hAnsi="Arial Narrow" w:cs="Arial"/>
                <w:sz w:val="18"/>
                <w:szCs w:val="18"/>
              </w:rPr>
              <w:t xml:space="preserve"> OP 2.8±3.9</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1 year: HoLEP 2.3±2.0; OP 2.3±1.7; p=0.94</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years: HoLEP 3.0±3.1; OP 2.8±1.6; p=0.82</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5 years: HoLEP 3.0±3.2; OP 3.0±1.7; p=0.98</w:t>
            </w:r>
          </w:p>
          <w:p w:rsidR="00786914" w:rsidRPr="00347EF1" w:rsidRDefault="00786914" w:rsidP="0006743B">
            <w:pPr>
              <w:spacing w:after="0"/>
              <w:ind w:left="0" w:right="57"/>
              <w:rPr>
                <w:rFonts w:ascii="Arial Narrow" w:hAnsi="Arial Narrow" w:cs="Arial"/>
                <w:sz w:val="18"/>
                <w:szCs w:val="18"/>
              </w:rPr>
            </w:pP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Post-void residual volume (ml; mean ± SD)</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mo</w:t>
            </w:r>
            <w:r>
              <w:rPr>
                <w:rFonts w:ascii="Arial Narrow" w:hAnsi="Arial Narrow" w:cs="Arial"/>
                <w:sz w:val="18"/>
                <w:szCs w:val="18"/>
              </w:rPr>
              <w:t>nths</w:t>
            </w:r>
            <w:r w:rsidRPr="00347EF1">
              <w:rPr>
                <w:rFonts w:ascii="Arial Narrow" w:hAnsi="Arial Narrow" w:cs="Arial"/>
                <w:sz w:val="18"/>
                <w:szCs w:val="18"/>
              </w:rPr>
              <w:t>: HoLEP 7.2±18.8</w:t>
            </w:r>
            <w:r>
              <w:rPr>
                <w:rFonts w:ascii="Arial Narrow" w:hAnsi="Arial Narrow" w:cs="Arial"/>
                <w:sz w:val="18"/>
                <w:szCs w:val="18"/>
              </w:rPr>
              <w:t>;</w:t>
            </w:r>
            <w:r w:rsidRPr="00347EF1">
              <w:rPr>
                <w:rFonts w:ascii="Arial Narrow" w:hAnsi="Arial Narrow" w:cs="Arial"/>
                <w:sz w:val="18"/>
                <w:szCs w:val="18"/>
              </w:rPr>
              <w:t xml:space="preserve"> OP 3.0±7.7</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6 mo</w:t>
            </w:r>
            <w:r>
              <w:rPr>
                <w:rFonts w:ascii="Arial Narrow" w:hAnsi="Arial Narrow" w:cs="Arial"/>
                <w:sz w:val="18"/>
                <w:szCs w:val="18"/>
              </w:rPr>
              <w:t>nths</w:t>
            </w:r>
            <w:r w:rsidRPr="00347EF1">
              <w:rPr>
                <w:rFonts w:ascii="Arial Narrow" w:hAnsi="Arial Narrow" w:cs="Arial"/>
                <w:sz w:val="18"/>
                <w:szCs w:val="18"/>
              </w:rPr>
              <w:t>: HoLEP 4.4±11.0</w:t>
            </w:r>
            <w:r>
              <w:rPr>
                <w:rFonts w:ascii="Arial Narrow" w:hAnsi="Arial Narrow" w:cs="Arial"/>
                <w:sz w:val="18"/>
                <w:szCs w:val="18"/>
              </w:rPr>
              <w:t>;</w:t>
            </w:r>
            <w:r w:rsidRPr="00347EF1">
              <w:rPr>
                <w:rFonts w:ascii="Arial Narrow" w:hAnsi="Arial Narrow" w:cs="Arial"/>
                <w:sz w:val="18"/>
                <w:szCs w:val="18"/>
              </w:rPr>
              <w:t xml:space="preserve"> OP 2.1±6.0</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1 year: HoLEP 5.8±16.7; OP 6.4±12.3; p=0.83</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3 years: HoLEP 6.1±12.1; OP 4.4±10.5; p=0.50</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At 5 years: HoLEP 10.6±24.4; OP 5.3±11.2; p=0.25</w:t>
            </w:r>
          </w:p>
          <w:p w:rsidR="00786914" w:rsidRPr="00347EF1" w:rsidRDefault="00786914" w:rsidP="0006743B">
            <w:pPr>
              <w:spacing w:after="0"/>
              <w:ind w:left="0" w:right="57"/>
              <w:rPr>
                <w:rFonts w:ascii="Arial Narrow" w:hAnsi="Arial Narrow" w:cs="Arial"/>
                <w:sz w:val="18"/>
                <w:szCs w:val="18"/>
              </w:rPr>
            </w:pP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xml:space="preserve">- </w:t>
            </w:r>
            <w:r>
              <w:rPr>
                <w:rFonts w:ascii="Arial Narrow" w:hAnsi="Arial Narrow" w:cs="Arial"/>
                <w:sz w:val="18"/>
                <w:szCs w:val="18"/>
              </w:rPr>
              <w:t>Re-treatment</w:t>
            </w:r>
            <w:r w:rsidRPr="00347EF1">
              <w:rPr>
                <w:rFonts w:ascii="Arial Narrow" w:hAnsi="Arial Narrow" w:cs="Arial"/>
                <w:sz w:val="18"/>
                <w:szCs w:val="18"/>
              </w:rPr>
              <w:t xml:space="preserve"> rate at 18 months (n): HoLEP 5</w:t>
            </w:r>
            <w:r>
              <w:rPr>
                <w:rFonts w:ascii="Arial Narrow" w:hAnsi="Arial Narrow" w:cs="Arial"/>
                <w:sz w:val="18"/>
                <w:szCs w:val="18"/>
              </w:rPr>
              <w:t>;</w:t>
            </w:r>
            <w:r w:rsidRPr="00347EF1">
              <w:rPr>
                <w:rFonts w:ascii="Arial Narrow" w:hAnsi="Arial Narrow" w:cs="Arial"/>
                <w:sz w:val="18"/>
                <w:szCs w:val="18"/>
              </w:rPr>
              <w:t xml:space="preserve"> OP 3</w:t>
            </w:r>
            <w:r>
              <w:rPr>
                <w:rFonts w:ascii="Arial Narrow" w:hAnsi="Arial Narrow" w:cs="Arial"/>
                <w:sz w:val="18"/>
                <w:szCs w:val="18"/>
              </w:rPr>
              <w:t>;</w:t>
            </w:r>
            <w:r w:rsidRPr="00347EF1">
              <w:rPr>
                <w:rFonts w:ascii="Arial Narrow" w:hAnsi="Arial Narrow" w:cs="Arial"/>
                <w:sz w:val="18"/>
                <w:szCs w:val="18"/>
              </w:rPr>
              <w:t xml:space="preserve"> p=NR</w:t>
            </w:r>
          </w:p>
          <w:p w:rsidR="00786914" w:rsidRPr="00347EF1" w:rsidRDefault="00786914" w:rsidP="0006743B">
            <w:pPr>
              <w:spacing w:after="0"/>
              <w:ind w:left="0" w:right="57"/>
              <w:rPr>
                <w:rFonts w:ascii="Arial Narrow" w:hAnsi="Arial Narrow" w:cs="Arial"/>
                <w:sz w:val="18"/>
                <w:szCs w:val="18"/>
              </w:rPr>
            </w:pP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xml:space="preserve">Cost </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Length of operation (min</w:t>
            </w:r>
            <w:r>
              <w:rPr>
                <w:rFonts w:ascii="Arial Narrow" w:hAnsi="Arial Narrow" w:cs="Arial"/>
                <w:sz w:val="18"/>
                <w:szCs w:val="18"/>
              </w:rPr>
              <w:t>utes</w:t>
            </w:r>
            <w:r w:rsidRPr="00347EF1">
              <w:rPr>
                <w:rFonts w:ascii="Arial Narrow" w:hAnsi="Arial Narrow" w:cs="Arial"/>
                <w:sz w:val="18"/>
                <w:szCs w:val="18"/>
              </w:rPr>
              <w:t>; mean ± SD): HoLEP</w:t>
            </w: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135.9±31.2</w:t>
            </w:r>
            <w:r>
              <w:rPr>
                <w:rFonts w:ascii="Arial Narrow" w:hAnsi="Arial Narrow" w:cs="Arial"/>
                <w:sz w:val="18"/>
                <w:szCs w:val="18"/>
              </w:rPr>
              <w:t>;</w:t>
            </w:r>
            <w:r w:rsidRPr="00347EF1">
              <w:rPr>
                <w:rFonts w:ascii="Arial Narrow" w:hAnsi="Arial Narrow" w:cs="Arial"/>
                <w:sz w:val="18"/>
                <w:szCs w:val="18"/>
              </w:rPr>
              <w:t xml:space="preserve"> OP 90.6±19.5</w:t>
            </w:r>
            <w:r>
              <w:rPr>
                <w:rFonts w:ascii="Arial Narrow" w:hAnsi="Arial Narrow" w:cs="Arial"/>
                <w:sz w:val="18"/>
                <w:szCs w:val="18"/>
              </w:rPr>
              <w:t>;</w:t>
            </w:r>
            <w:r w:rsidRPr="00347EF1">
              <w:rPr>
                <w:rFonts w:ascii="Arial Narrow" w:hAnsi="Arial Narrow" w:cs="Arial"/>
                <w:sz w:val="18"/>
                <w:szCs w:val="18"/>
              </w:rPr>
              <w:t xml:space="preserve"> p&lt;0.0001 </w:t>
            </w:r>
          </w:p>
          <w:p w:rsidR="00786914" w:rsidRPr="00347EF1" w:rsidRDefault="00786914" w:rsidP="0006743B">
            <w:pPr>
              <w:spacing w:after="0"/>
              <w:ind w:left="0" w:right="57"/>
              <w:rPr>
                <w:rFonts w:ascii="Arial Narrow" w:hAnsi="Arial Narrow" w:cs="Arial"/>
                <w:sz w:val="18"/>
                <w:szCs w:val="18"/>
              </w:rPr>
            </w:pPr>
          </w:p>
          <w:p w:rsidR="00786914" w:rsidRPr="00347EF1" w:rsidRDefault="00786914" w:rsidP="0006743B">
            <w:pPr>
              <w:spacing w:after="0"/>
              <w:ind w:left="0" w:right="57"/>
              <w:rPr>
                <w:rFonts w:ascii="Arial Narrow" w:hAnsi="Arial Narrow" w:cs="Arial"/>
                <w:sz w:val="18"/>
                <w:szCs w:val="18"/>
              </w:rPr>
            </w:pPr>
            <w:r w:rsidRPr="00347EF1">
              <w:rPr>
                <w:rFonts w:ascii="Arial Narrow" w:hAnsi="Arial Narrow" w:cs="Arial"/>
                <w:sz w:val="18"/>
                <w:szCs w:val="18"/>
              </w:rPr>
              <w:t>- Length of catheterisation (h</w:t>
            </w:r>
            <w:r>
              <w:rPr>
                <w:rFonts w:ascii="Arial Narrow" w:hAnsi="Arial Narrow" w:cs="Arial"/>
                <w:sz w:val="18"/>
                <w:szCs w:val="18"/>
              </w:rPr>
              <w:t>ou</w:t>
            </w:r>
            <w:r w:rsidRPr="00347EF1">
              <w:rPr>
                <w:rFonts w:ascii="Arial Narrow" w:hAnsi="Arial Narrow" w:cs="Arial"/>
                <w:sz w:val="18"/>
                <w:szCs w:val="18"/>
              </w:rPr>
              <w:t>rs; mean ± SD): HoLEP 30.8±17.3; OP 194.4±20.1</w:t>
            </w:r>
            <w:r>
              <w:rPr>
                <w:rFonts w:ascii="Arial Narrow" w:hAnsi="Arial Narrow" w:cs="Arial"/>
                <w:sz w:val="18"/>
                <w:szCs w:val="18"/>
              </w:rPr>
              <w:t>;</w:t>
            </w:r>
            <w:r w:rsidRPr="00347EF1">
              <w:rPr>
                <w:rFonts w:ascii="Arial Narrow" w:hAnsi="Arial Narrow" w:cs="Arial"/>
                <w:sz w:val="18"/>
                <w:szCs w:val="18"/>
              </w:rPr>
              <w:t xml:space="preserve"> p&lt;0.0001</w:t>
            </w:r>
          </w:p>
          <w:p w:rsidR="00786914" w:rsidRPr="00347EF1" w:rsidRDefault="00786914" w:rsidP="0006743B">
            <w:pPr>
              <w:spacing w:after="0"/>
              <w:ind w:left="0" w:right="57"/>
              <w:rPr>
                <w:rFonts w:ascii="Arial Narrow" w:hAnsi="Arial Narrow" w:cs="Arial"/>
                <w:sz w:val="18"/>
                <w:szCs w:val="18"/>
              </w:rPr>
            </w:pPr>
          </w:p>
          <w:p w:rsidR="00786914" w:rsidRPr="008E61BC" w:rsidRDefault="00786914" w:rsidP="0006743B">
            <w:pPr>
              <w:spacing w:after="0"/>
              <w:ind w:left="0" w:right="57"/>
              <w:rPr>
                <w:rFonts w:ascii="Arial Narrow" w:hAnsi="Arial Narrow" w:cs="Arial"/>
                <w:b/>
                <w:sz w:val="18"/>
                <w:szCs w:val="18"/>
              </w:rPr>
            </w:pPr>
            <w:r w:rsidRPr="00347EF1">
              <w:rPr>
                <w:rFonts w:ascii="Arial Narrow" w:hAnsi="Arial Narrow" w:cs="Arial"/>
                <w:sz w:val="18"/>
                <w:szCs w:val="18"/>
              </w:rPr>
              <w:t>- Length of hospital stay (hrs; mean ± SD): HoLEP 69.6±36.4</w:t>
            </w:r>
            <w:r>
              <w:rPr>
                <w:rFonts w:ascii="Arial Narrow" w:hAnsi="Arial Narrow" w:cs="Arial"/>
                <w:sz w:val="18"/>
                <w:szCs w:val="18"/>
              </w:rPr>
              <w:t>;</w:t>
            </w:r>
            <w:r w:rsidRPr="00347EF1">
              <w:rPr>
                <w:rFonts w:ascii="Arial Narrow" w:hAnsi="Arial Narrow" w:cs="Arial"/>
                <w:sz w:val="18"/>
                <w:szCs w:val="18"/>
              </w:rPr>
              <w:t xml:space="preserve"> OP 251.0±45.5</w:t>
            </w:r>
            <w:r>
              <w:rPr>
                <w:rFonts w:ascii="Arial Narrow" w:hAnsi="Arial Narrow" w:cs="Arial"/>
                <w:sz w:val="18"/>
                <w:szCs w:val="18"/>
              </w:rPr>
              <w:t>;</w:t>
            </w:r>
            <w:r w:rsidRPr="00347EF1">
              <w:rPr>
                <w:rFonts w:ascii="Arial Narrow" w:hAnsi="Arial Narrow" w:cs="Arial"/>
                <w:sz w:val="18"/>
                <w:szCs w:val="18"/>
              </w:rPr>
              <w:t xml:space="preserve"> p&lt;0.0001</w:t>
            </w:r>
          </w:p>
        </w:tc>
        <w:tc>
          <w:tcPr>
            <w:tcW w:w="3334" w:type="dxa"/>
            <w:tcBorders>
              <w:top w:val="single" w:sz="4" w:space="0" w:color="auto"/>
              <w:left w:val="single" w:sz="4" w:space="0" w:color="auto"/>
              <w:bottom w:val="single" w:sz="4" w:space="0" w:color="auto"/>
              <w:right w:val="single" w:sz="4" w:space="0" w:color="auto"/>
            </w:tcBorders>
          </w:tcPr>
          <w:p w:rsidR="00786914" w:rsidRPr="007C14F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lastRenderedPageBreak/>
              <w:t>Level II evidence</w:t>
            </w:r>
          </w:p>
          <w:p w:rsidR="00786914" w:rsidRDefault="00786914" w:rsidP="0006743B">
            <w:pPr>
              <w:spacing w:before="40" w:after="20"/>
              <w:ind w:left="0" w:right="57"/>
              <w:rPr>
                <w:rFonts w:ascii="Arial Narrow" w:hAnsi="Arial Narrow" w:cs="Arial"/>
                <w:b/>
                <w:sz w:val="18"/>
                <w:szCs w:val="18"/>
              </w:rPr>
            </w:pPr>
            <w:r>
              <w:rPr>
                <w:rFonts w:ascii="Arial Narrow" w:hAnsi="Arial Narrow" w:cs="Arial"/>
                <w:b/>
                <w:sz w:val="18"/>
                <w:szCs w:val="18"/>
              </w:rPr>
              <w:t>Risk of bias/study quality</w:t>
            </w:r>
          </w:p>
          <w:p w:rsidR="00786914" w:rsidRPr="004238B8" w:rsidRDefault="00786914" w:rsidP="0006743B">
            <w:pPr>
              <w:spacing w:before="40" w:after="20"/>
              <w:ind w:left="0" w:right="57"/>
              <w:rPr>
                <w:rFonts w:ascii="Arial Narrow" w:hAnsi="Arial Narrow" w:cs="Arial"/>
                <w:sz w:val="18"/>
                <w:szCs w:val="18"/>
              </w:rPr>
            </w:pP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 xml:space="preserve">Random sequence generation </w:t>
            </w:r>
            <w:r>
              <w:rPr>
                <w:rFonts w:ascii="Arial Narrow" w:hAnsi="Arial Narrow" w:cs="Arial"/>
                <w:sz w:val="18"/>
                <w:szCs w:val="18"/>
              </w:rPr>
              <w:t xml:space="preserve">low </w:t>
            </w:r>
            <w:r w:rsidRPr="004238B8">
              <w:rPr>
                <w:rFonts w:ascii="Arial Narrow" w:hAnsi="Arial Narrow" w:cs="Arial"/>
                <w:sz w:val="18"/>
                <w:szCs w:val="18"/>
              </w:rPr>
              <w:t>risk</w:t>
            </w:r>
            <w:r>
              <w:rPr>
                <w:rFonts w:ascii="Arial Narrow" w:hAnsi="Arial Narrow" w:cs="Arial"/>
                <w:sz w:val="18"/>
                <w:szCs w:val="18"/>
              </w:rPr>
              <w:t xml:space="preserve">. </w:t>
            </w:r>
            <w:r w:rsidRPr="004238B8">
              <w:rPr>
                <w:rFonts w:ascii="Arial Narrow" w:hAnsi="Arial Narrow" w:cs="Arial"/>
                <w:sz w:val="18"/>
                <w:szCs w:val="18"/>
              </w:rPr>
              <w:t>Patients were randomised with a scheduled balanced in blocks of 4</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Allocation concealment: unclear risk</w:t>
            </w:r>
            <w:r>
              <w:rPr>
                <w:rFonts w:ascii="Arial Narrow" w:hAnsi="Arial Narrow" w:cs="Arial"/>
                <w:sz w:val="18"/>
                <w:szCs w:val="18"/>
              </w:rPr>
              <w:t>/n</w:t>
            </w:r>
            <w:r w:rsidRPr="004238B8">
              <w:rPr>
                <w:rFonts w:ascii="Arial Narrow" w:hAnsi="Arial Narrow" w:cs="Arial"/>
                <w:sz w:val="18"/>
                <w:szCs w:val="18"/>
              </w:rPr>
              <w:t>ot described</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Blinding: unclear risk</w:t>
            </w:r>
            <w:r>
              <w:rPr>
                <w:rFonts w:ascii="Arial Narrow" w:hAnsi="Arial Narrow" w:cs="Arial"/>
                <w:sz w:val="18"/>
                <w:szCs w:val="18"/>
              </w:rPr>
              <w:t>.</w:t>
            </w:r>
            <w:r w:rsidRPr="004238B8">
              <w:rPr>
                <w:rFonts w:ascii="Arial Narrow" w:hAnsi="Arial Narrow" w:cs="Arial"/>
                <w:sz w:val="18"/>
                <w:szCs w:val="18"/>
              </w:rPr>
              <w:t xml:space="preserve"> Difficult to </w:t>
            </w:r>
            <w:r w:rsidRPr="004238B8">
              <w:rPr>
                <w:rFonts w:ascii="Arial Narrow" w:hAnsi="Arial Narrow" w:cs="Arial"/>
                <w:sz w:val="18"/>
                <w:szCs w:val="18"/>
              </w:rPr>
              <w:lastRenderedPageBreak/>
              <w:t xml:space="preserve">achieve with a surgery trial </w:t>
            </w:r>
            <w:r>
              <w:rPr>
                <w:rFonts w:ascii="Arial Narrow" w:hAnsi="Arial Narrow" w:cs="Arial"/>
                <w:sz w:val="18"/>
                <w:szCs w:val="18"/>
              </w:rPr>
              <w:t>–</w:t>
            </w:r>
            <w:r w:rsidRPr="004238B8">
              <w:rPr>
                <w:rFonts w:ascii="Arial Narrow" w:hAnsi="Arial Narrow" w:cs="Arial"/>
                <w:sz w:val="18"/>
                <w:szCs w:val="18"/>
              </w:rPr>
              <w:t xml:space="preserve"> while most measures were objective IPSS was assessed.</w:t>
            </w:r>
          </w:p>
          <w:p w:rsidR="00786914" w:rsidRPr="004238B8" w:rsidRDefault="00786914" w:rsidP="0006743B">
            <w:pPr>
              <w:rPr>
                <w:rFonts w:ascii="Arial Narrow" w:hAnsi="Arial Narrow" w:cs="Arial"/>
                <w:sz w:val="18"/>
                <w:szCs w:val="18"/>
              </w:rPr>
            </w:pPr>
            <w:r w:rsidRPr="004238B8">
              <w:rPr>
                <w:rFonts w:ascii="Arial Narrow" w:hAnsi="Arial Narrow" w:cs="Arial"/>
                <w:sz w:val="18"/>
                <w:szCs w:val="18"/>
              </w:rPr>
              <w:t>Incomplete outcome data: low risk</w:t>
            </w:r>
            <w:r>
              <w:rPr>
                <w:rFonts w:ascii="Arial Narrow" w:hAnsi="Arial Narrow" w:cs="Arial"/>
                <w:sz w:val="18"/>
                <w:szCs w:val="18"/>
              </w:rPr>
              <w:t xml:space="preserve">. </w:t>
            </w:r>
            <w:r w:rsidRPr="004238B8">
              <w:rPr>
                <w:rFonts w:ascii="Arial Narrow" w:hAnsi="Arial Narrow" w:cs="Arial"/>
                <w:sz w:val="18"/>
                <w:szCs w:val="18"/>
              </w:rPr>
              <w:t>Five years postoperatively 38.3% of patients lost to follow-up; reasons are given although it is not stated whether any differences between the two groups</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Other bias: unclear</w:t>
            </w:r>
          </w:p>
          <w:p w:rsidR="00786914" w:rsidRPr="004238B8" w:rsidRDefault="00786914" w:rsidP="0006743B">
            <w:pPr>
              <w:spacing w:before="40" w:after="20"/>
              <w:ind w:left="0" w:right="57"/>
              <w:rPr>
                <w:rFonts w:ascii="Arial Narrow" w:hAnsi="Arial Narrow" w:cs="Arial"/>
                <w:sz w:val="18"/>
                <w:szCs w:val="18"/>
              </w:rPr>
            </w:pPr>
            <w:r w:rsidRPr="004238B8">
              <w:rPr>
                <w:rFonts w:ascii="Arial Narrow" w:hAnsi="Arial Narrow" w:cs="Arial"/>
                <w:sz w:val="18"/>
                <w:szCs w:val="18"/>
              </w:rPr>
              <w:t>Single centre study</w:t>
            </w:r>
          </w:p>
          <w:p w:rsidR="00786914" w:rsidRPr="008E61BC" w:rsidRDefault="00786914" w:rsidP="0006743B">
            <w:pPr>
              <w:spacing w:before="40" w:after="20"/>
              <w:ind w:left="0" w:right="57"/>
              <w:rPr>
                <w:rFonts w:ascii="Arial Narrow" w:hAnsi="Arial Narrow" w:cs="Arial"/>
                <w:b/>
                <w:sz w:val="18"/>
                <w:szCs w:val="18"/>
              </w:rPr>
            </w:pPr>
          </w:p>
        </w:tc>
      </w:tr>
    </w:tbl>
    <w:p w:rsidR="00786914" w:rsidRDefault="00786914" w:rsidP="0006743B"/>
    <w:p w:rsidR="00786914" w:rsidRDefault="00786914" w:rsidP="0006743B">
      <w:pPr>
        <w:ind w:left="0"/>
        <w:sectPr w:rsidR="00786914">
          <w:pgSz w:w="16838" w:h="11906" w:orient="landscape"/>
          <w:pgMar w:top="1440" w:right="1440" w:bottom="1440" w:left="1440" w:header="720" w:footer="720" w:gutter="0"/>
          <w:paperSrc w:first="7" w:other="7"/>
          <w:cols w:space="720"/>
        </w:sectPr>
      </w:pPr>
      <w:bookmarkStart w:id="415" w:name="_Ref192056948"/>
      <w:bookmarkStart w:id="416" w:name="_Ref169423889"/>
    </w:p>
    <w:p w:rsidR="00786914" w:rsidRPr="004C6B15" w:rsidRDefault="00786914" w:rsidP="0006743B">
      <w:pPr>
        <w:pStyle w:val="Heading1"/>
      </w:pPr>
      <w:bookmarkStart w:id="417" w:name="_Toc323642312"/>
      <w:bookmarkStart w:id="418" w:name="_Toc327877937"/>
      <w:bookmarkStart w:id="419" w:name="_Toc365900600"/>
      <w:bookmarkEnd w:id="415"/>
      <w:r w:rsidRPr="004C6B15">
        <w:lastRenderedPageBreak/>
        <w:t xml:space="preserve">Appendix </w:t>
      </w:r>
      <w:r w:rsidR="007C5D64">
        <w:t>D</w:t>
      </w:r>
      <w:r w:rsidRPr="004C6B15">
        <w:tab/>
        <w:t>Ex</w:t>
      </w:r>
      <w:r>
        <w:t>isting Systematic Reviews and HTA reports</w:t>
      </w:r>
      <w:bookmarkEnd w:id="417"/>
      <w:bookmarkEnd w:id="418"/>
      <w:bookmarkEnd w:id="419"/>
    </w:p>
    <w:p w:rsidR="00786914" w:rsidRPr="00D73724" w:rsidRDefault="00786914" w:rsidP="0006743B">
      <w:pPr>
        <w:rPr>
          <w:lang w:val="fr-FR"/>
        </w:rPr>
      </w:pPr>
      <w:r w:rsidRPr="00D73724">
        <w:t xml:space="preserve">The list of electronic databases and websites of agencies involved in HTA are provided in Appendix C. Our searches yielded 9 systematic reviews: </w:t>
      </w:r>
      <w:r w:rsidRPr="00D73724">
        <w:rPr>
          <w:noProof/>
        </w:rPr>
        <w:t>Lourenco et al 2008</w:t>
      </w:r>
      <w:r w:rsidRPr="00D73724">
        <w:t xml:space="preserve">, </w:t>
      </w:r>
      <w:r w:rsidRPr="00D73724">
        <w:rPr>
          <w:noProof/>
        </w:rPr>
        <w:t>(Australia and New Zealand Horizon Scanning Network (ANZHSN) 2010)</w:t>
      </w:r>
      <w:r w:rsidRPr="00D73724">
        <w:t xml:space="preserve">, </w:t>
      </w:r>
      <w:r w:rsidRPr="00D73724">
        <w:rPr>
          <w:noProof/>
        </w:rPr>
        <w:t>(Obyn &amp; Mambourg 2008)</w:t>
      </w:r>
      <w:r w:rsidRPr="00D73724">
        <w:t xml:space="preserve">, </w:t>
      </w:r>
      <w:r w:rsidRPr="00D73724">
        <w:rPr>
          <w:noProof/>
        </w:rPr>
        <w:t>(Medical Advisory Secretariat 2006)</w:t>
      </w:r>
      <w:r w:rsidRPr="00D73724">
        <w:t xml:space="preserve">, </w:t>
      </w:r>
      <w:r w:rsidRPr="00D73724">
        <w:rPr>
          <w:noProof/>
        </w:rPr>
        <w:t>Ahy</w:t>
      </w:r>
      <w:r w:rsidRPr="00D73724">
        <w:rPr>
          <w:noProof/>
          <w:lang w:val="fr-FR"/>
        </w:rPr>
        <w:t>ai et al 2010</w:t>
      </w:r>
      <w:r w:rsidRPr="00D73724">
        <w:rPr>
          <w:lang w:val="fr-FR"/>
        </w:rPr>
        <w:t xml:space="preserve">, </w:t>
      </w:r>
      <w:r w:rsidRPr="00D73724">
        <w:rPr>
          <w:noProof/>
          <w:lang w:val="fr-FR"/>
        </w:rPr>
        <w:t>Biester et al 2011</w:t>
      </w:r>
      <w:r w:rsidRPr="00D73724">
        <w:rPr>
          <w:lang w:val="fr-FR"/>
        </w:rPr>
        <w:t xml:space="preserve">, </w:t>
      </w:r>
      <w:r w:rsidRPr="00D73724">
        <w:rPr>
          <w:noProof/>
          <w:lang w:val="fr-FR"/>
        </w:rPr>
        <w:t>Herrmann et al 2009</w:t>
      </w:r>
      <w:r w:rsidRPr="00D73724">
        <w:rPr>
          <w:lang w:val="fr-FR"/>
        </w:rPr>
        <w:t xml:space="preserve">, </w:t>
      </w:r>
      <w:r w:rsidRPr="00D73724">
        <w:rPr>
          <w:noProof/>
          <w:lang w:val="fr-FR"/>
        </w:rPr>
        <w:t>Rieken et al 2010</w:t>
      </w:r>
      <w:r w:rsidRPr="00D73724">
        <w:rPr>
          <w:lang w:val="fr-FR"/>
        </w:rPr>
        <w:t xml:space="preserve"> and </w:t>
      </w:r>
      <w:r w:rsidRPr="00D73724">
        <w:rPr>
          <w:noProof/>
          <w:lang w:val="fr-FR"/>
        </w:rPr>
        <w:t>(Tan et al 2007)</w:t>
      </w:r>
      <w:r w:rsidRPr="00D73724">
        <w:rPr>
          <w:lang w:val="fr-FR"/>
        </w:rPr>
        <w:t xml:space="preserve">. </w:t>
      </w:r>
    </w:p>
    <w:p w:rsidR="00786914" w:rsidRDefault="00786914" w:rsidP="0006743B">
      <w:r w:rsidRPr="00D73724">
        <w:t xml:space="preserve">The reports were assessed for quality; quality was found to vary from low to high. Three reports were of high quality, three reports were of fair quality and three reports were of low quality. Four reports compared HoLEP with TURP and the five remaining reports compared HoLEP with TURP and OP. None of the reports compared HoLEP with OP alone.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414"/>
        <w:gridCol w:w="3639"/>
      </w:tblGrid>
      <w:tr w:rsidR="00786914" w:rsidTr="0006743B">
        <w:tc>
          <w:tcPr>
            <w:tcW w:w="643" w:type="pct"/>
          </w:tcPr>
          <w:p w:rsidR="00786914" w:rsidRPr="007045B9" w:rsidRDefault="00786914" w:rsidP="0006743B">
            <w:pPr>
              <w:pStyle w:val="Tableheading"/>
            </w:pPr>
            <w:r w:rsidRPr="007045B9">
              <w:lastRenderedPageBreak/>
              <w:t xml:space="preserve">Author </w:t>
            </w:r>
          </w:p>
          <w:p w:rsidR="00786914" w:rsidRPr="007045B9" w:rsidRDefault="00786914" w:rsidP="0006743B">
            <w:pPr>
              <w:pStyle w:val="Tableheading"/>
            </w:pPr>
            <w:r w:rsidRPr="007045B9">
              <w:t>Year</w:t>
            </w:r>
          </w:p>
          <w:p w:rsidR="00786914" w:rsidRPr="007045B9" w:rsidRDefault="00786914" w:rsidP="0006743B">
            <w:pPr>
              <w:pStyle w:val="Tableheading"/>
            </w:pPr>
            <w:r w:rsidRPr="007045B9">
              <w:t>Country</w:t>
            </w:r>
          </w:p>
        </w:tc>
        <w:tc>
          <w:tcPr>
            <w:tcW w:w="2388" w:type="pct"/>
          </w:tcPr>
          <w:p w:rsidR="00786914" w:rsidRPr="007045B9" w:rsidRDefault="00786914" w:rsidP="0006743B">
            <w:pPr>
              <w:pStyle w:val="Tableheading"/>
            </w:pPr>
            <w:r w:rsidRPr="007045B9">
              <w:t>Methods</w:t>
            </w:r>
          </w:p>
          <w:p w:rsidR="00786914" w:rsidRPr="007045B9" w:rsidRDefault="00786914" w:rsidP="0006743B">
            <w:pPr>
              <w:pStyle w:val="Tableheading"/>
            </w:pPr>
          </w:p>
        </w:tc>
        <w:tc>
          <w:tcPr>
            <w:tcW w:w="1970" w:type="pct"/>
          </w:tcPr>
          <w:p w:rsidR="00786914" w:rsidRPr="007045B9" w:rsidRDefault="00786914" w:rsidP="0006743B">
            <w:pPr>
              <w:pStyle w:val="Tableheading"/>
            </w:pPr>
            <w:r w:rsidRPr="007045B9">
              <w:t>Quality assessment</w:t>
            </w:r>
          </w:p>
        </w:tc>
      </w:tr>
      <w:tr w:rsidR="00786914" w:rsidTr="0006743B">
        <w:tc>
          <w:tcPr>
            <w:tcW w:w="643" w:type="pct"/>
          </w:tcPr>
          <w:p w:rsidR="00786914" w:rsidRPr="00442D5C" w:rsidRDefault="00786914" w:rsidP="0006743B">
            <w:pPr>
              <w:pStyle w:val="TableText"/>
            </w:pPr>
            <w:r w:rsidRPr="00442D5C">
              <w:t>Lourenco et al</w:t>
            </w:r>
          </w:p>
          <w:p w:rsidR="00786914" w:rsidRPr="00442D5C" w:rsidRDefault="00786914" w:rsidP="0006743B">
            <w:pPr>
              <w:pStyle w:val="TableText"/>
            </w:pPr>
            <w:r w:rsidRPr="00442D5C">
              <w:t>2008</w:t>
            </w:r>
          </w:p>
          <w:p w:rsidR="00786914" w:rsidRPr="00442D5C" w:rsidRDefault="00786914" w:rsidP="0006743B">
            <w:pPr>
              <w:pStyle w:val="TableText"/>
            </w:pPr>
            <w:r w:rsidRPr="00442D5C">
              <w:t>UK</w:t>
            </w:r>
          </w:p>
        </w:tc>
        <w:tc>
          <w:tcPr>
            <w:tcW w:w="2388" w:type="pct"/>
          </w:tcPr>
          <w:p w:rsidR="00786914" w:rsidRPr="007045B9" w:rsidRDefault="00786914" w:rsidP="0006743B">
            <w:pPr>
              <w:pStyle w:val="TableText"/>
              <w:rPr>
                <w:rFonts w:cs="Garamond"/>
              </w:rPr>
            </w:pPr>
            <w:r w:rsidRPr="007045B9">
              <w:t xml:space="preserve">Databases searched: </w:t>
            </w:r>
            <w:r w:rsidRPr="007045B9">
              <w:rPr>
                <w:rFonts w:cs="Garamond"/>
              </w:rPr>
              <w:t>13 databases, incl. MEDLINE, EMBASE, MEDLINE In-Process, BIOSIS, ISI Science Citation Index, ISI Proceedings, Cochrane Controlled Trials Register (CENTRAL), Cochrane Database of Systematic Reviews, Database of Abstracts of Reviews of Effectiveness, HTA Database, National Research Register, Clinical Trials, Current Controlled Trials. Also conference proceedings of: European Assoc. Of Urology, the American Urological Assoc., British Assoc. Of Urological Surgeons</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1966</w:t>
            </w:r>
            <w:r>
              <w:rPr>
                <w:rFonts w:cs="Garamond"/>
              </w:rPr>
              <w:t>–</w:t>
            </w:r>
            <w:r w:rsidRPr="007045B9">
              <w:rPr>
                <w:rFonts w:cs="Garamond"/>
              </w:rPr>
              <w:t>2006</w:t>
            </w:r>
          </w:p>
          <w:p w:rsidR="00786914" w:rsidRPr="007045B9" w:rsidRDefault="00786914" w:rsidP="0006743B">
            <w:pPr>
              <w:pStyle w:val="TableText"/>
            </w:pPr>
          </w:p>
          <w:p w:rsidR="00786914" w:rsidRPr="007045B9" w:rsidRDefault="00786914" w:rsidP="0006743B">
            <w:pPr>
              <w:pStyle w:val="TableText"/>
            </w:pPr>
            <w:r w:rsidRPr="007045B9">
              <w:t>Comparators: HoLEP vs TURP</w:t>
            </w:r>
          </w:p>
          <w:p w:rsidR="00786914" w:rsidRPr="007045B9" w:rsidRDefault="00786914" w:rsidP="0006743B">
            <w:pPr>
              <w:pStyle w:val="TableText"/>
            </w:pPr>
          </w:p>
          <w:p w:rsidR="00786914" w:rsidRPr="007045B9" w:rsidRDefault="00786914" w:rsidP="0006743B">
            <w:pPr>
              <w:pStyle w:val="TableText"/>
            </w:pPr>
            <w:r w:rsidRPr="007045B9">
              <w:t>Outcomes: Safety, effectiveness, cost-effectiveness</w:t>
            </w:r>
          </w:p>
        </w:tc>
        <w:tc>
          <w:tcPr>
            <w:tcW w:w="1970" w:type="pct"/>
          </w:tcPr>
          <w:p w:rsidR="00786914" w:rsidRPr="007045B9" w:rsidRDefault="00786914" w:rsidP="0006743B">
            <w:pPr>
              <w:pStyle w:val="TableText"/>
              <w:rPr>
                <w:rFonts w:cs="Garamond"/>
              </w:rPr>
            </w:pPr>
            <w:r w:rsidRPr="007045B9">
              <w:rPr>
                <w:rFonts w:cs="Garamond"/>
              </w:rPr>
              <w:t>Quality: High</w:t>
            </w:r>
          </w:p>
          <w:p w:rsidR="00786914" w:rsidRPr="007045B9" w:rsidRDefault="00786914" w:rsidP="0006743B">
            <w:pPr>
              <w:pStyle w:val="TableText"/>
              <w:rPr>
                <w:rFonts w:cs="Garamond"/>
              </w:rPr>
            </w:pPr>
            <w:r w:rsidRPr="007045B9">
              <w:rPr>
                <w:rFonts w:cs="Garamond"/>
              </w:rPr>
              <w:t>Explicit review questions: Yes</w:t>
            </w:r>
          </w:p>
          <w:p w:rsidR="00786914" w:rsidRPr="007045B9" w:rsidRDefault="00786914" w:rsidP="0006743B">
            <w:pPr>
              <w:pStyle w:val="TableText"/>
              <w:rPr>
                <w:rFonts w:cs="Garamond"/>
              </w:rPr>
            </w:pPr>
            <w:r w:rsidRPr="007045B9">
              <w:rPr>
                <w:rFonts w:cs="Garamond"/>
              </w:rPr>
              <w:t>Explicit &amp; appropriate eligibility criteria:  Yes</w:t>
            </w:r>
          </w:p>
          <w:p w:rsidR="00786914" w:rsidRPr="007045B9" w:rsidRDefault="00786914" w:rsidP="0006743B">
            <w:pPr>
              <w:pStyle w:val="TableText"/>
              <w:rPr>
                <w:rFonts w:cs="Garamond"/>
              </w:rPr>
            </w:pPr>
            <w:r w:rsidRPr="007045B9">
              <w:rPr>
                <w:rFonts w:cs="Garamond"/>
              </w:rPr>
              <w:t>Explicit &amp; comprehensive search strategy:  Yes</w:t>
            </w:r>
          </w:p>
          <w:p w:rsidR="00786914" w:rsidRPr="007045B9" w:rsidRDefault="00786914" w:rsidP="0006743B">
            <w:pPr>
              <w:pStyle w:val="TableText"/>
              <w:rPr>
                <w:rFonts w:cs="Garamond"/>
              </w:rPr>
            </w:pPr>
            <w:r w:rsidRPr="007045B9">
              <w:rPr>
                <w:rFonts w:cs="Garamond"/>
              </w:rPr>
              <w:t>Quality of included studies appraised:  Yes</w:t>
            </w:r>
          </w:p>
          <w:p w:rsidR="00786914" w:rsidRPr="007045B9" w:rsidRDefault="00786914" w:rsidP="0006743B">
            <w:pPr>
              <w:pStyle w:val="TableText"/>
              <w:rPr>
                <w:rFonts w:cs="Garamond"/>
              </w:rPr>
            </w:pPr>
            <w:r w:rsidRPr="007045B9">
              <w:rPr>
                <w:rFonts w:cs="Garamond"/>
              </w:rPr>
              <w:t>Methods of study appraisal reproducible:  Yes</w:t>
            </w:r>
          </w:p>
          <w:p w:rsidR="00786914" w:rsidRPr="007045B9" w:rsidRDefault="00786914" w:rsidP="0006743B">
            <w:pPr>
              <w:pStyle w:val="TableText"/>
              <w:rPr>
                <w:rFonts w:cs="Garamond"/>
              </w:rPr>
            </w:pPr>
            <w:r w:rsidRPr="007045B9">
              <w:rPr>
                <w:rFonts w:cs="Garamond"/>
              </w:rPr>
              <w:t>Heterogeneity between studies assessed:  Yes</w:t>
            </w:r>
          </w:p>
          <w:p w:rsidR="00786914" w:rsidRPr="007045B9" w:rsidRDefault="00786914" w:rsidP="0006743B">
            <w:pPr>
              <w:pStyle w:val="TableText"/>
              <w:rPr>
                <w:rFonts w:cs="Garamond"/>
              </w:rPr>
            </w:pPr>
            <w:r w:rsidRPr="007045B9">
              <w:rPr>
                <w:rFonts w:cs="Garamond"/>
              </w:rPr>
              <w:t>Summary of main results clear and appropriate:  Yes</w:t>
            </w:r>
          </w:p>
          <w:p w:rsidR="00786914" w:rsidRPr="007045B9" w:rsidRDefault="00786914" w:rsidP="0006743B">
            <w:pPr>
              <w:pStyle w:val="TableText"/>
              <w:rPr>
                <w:rFonts w:cs="Garamond"/>
              </w:rPr>
            </w:pPr>
          </w:p>
          <w:p w:rsidR="00786914" w:rsidRPr="007045B9" w:rsidRDefault="00786914" w:rsidP="0006743B">
            <w:pPr>
              <w:pStyle w:val="TableText"/>
            </w:pPr>
            <w:r w:rsidRPr="007045B9">
              <w:rPr>
                <w:rFonts w:cs="Garamond"/>
              </w:rPr>
              <w:t xml:space="preserve">(NB: </w:t>
            </w:r>
            <w:r w:rsidRPr="007045B9">
              <w:t xml:space="preserve">Has no PICO or actual explicit review questions, but does provide </w:t>
            </w:r>
            <w:r w:rsidRPr="007045B9">
              <w:rPr>
                <w:i/>
              </w:rPr>
              <w:t>very clear</w:t>
            </w:r>
            <w:r w:rsidRPr="007045B9">
              <w:t xml:space="preserve"> inclusion criteria (page 23))</w:t>
            </w:r>
          </w:p>
        </w:tc>
      </w:tr>
      <w:tr w:rsidR="00786914" w:rsidTr="0006743B">
        <w:tc>
          <w:tcPr>
            <w:tcW w:w="643" w:type="pct"/>
          </w:tcPr>
          <w:p w:rsidR="00786914" w:rsidRPr="00442D5C" w:rsidRDefault="00786914" w:rsidP="0006743B">
            <w:pPr>
              <w:pStyle w:val="TableText"/>
            </w:pPr>
            <w:r w:rsidRPr="00442D5C">
              <w:t>ANZHSN</w:t>
            </w:r>
          </w:p>
          <w:p w:rsidR="00786914" w:rsidRPr="00442D5C" w:rsidRDefault="00786914" w:rsidP="0006743B">
            <w:pPr>
              <w:pStyle w:val="TableText"/>
            </w:pPr>
            <w:r w:rsidRPr="00442D5C">
              <w:t>2010</w:t>
            </w:r>
          </w:p>
          <w:p w:rsidR="00786914" w:rsidRPr="00442D5C" w:rsidRDefault="00786914" w:rsidP="0006743B">
            <w:pPr>
              <w:pStyle w:val="TableText"/>
            </w:pPr>
            <w:r w:rsidRPr="00442D5C">
              <w:t>Australia</w:t>
            </w:r>
          </w:p>
        </w:tc>
        <w:tc>
          <w:tcPr>
            <w:tcW w:w="2388" w:type="pct"/>
          </w:tcPr>
          <w:p w:rsidR="00786914" w:rsidRPr="007045B9" w:rsidRDefault="00786914" w:rsidP="0006743B">
            <w:pPr>
              <w:pStyle w:val="TableText"/>
              <w:rPr>
                <w:rFonts w:cs="Garamond"/>
                <w:highlight w:val="yellow"/>
              </w:rPr>
            </w:pPr>
            <w:r w:rsidRPr="007045B9">
              <w:t xml:space="preserve">Databases searched: </w:t>
            </w:r>
            <w:r w:rsidRPr="007045B9">
              <w:rPr>
                <w:rFonts w:cs="Garamond"/>
              </w:rPr>
              <w:t xml:space="preserve">AustHealth, Australian Medical index, CINAHL, Cochrane Library, Current Contents, Embase, Pre-Medline, Medline, PyscINFO, RACS electronic library. </w:t>
            </w:r>
          </w:p>
          <w:p w:rsidR="00786914" w:rsidRPr="007045B9" w:rsidRDefault="00786914" w:rsidP="0006743B">
            <w:pPr>
              <w:pStyle w:val="TableText"/>
              <w:rPr>
                <w:rFonts w:cs="Garamond"/>
                <w:sz w:val="8"/>
                <w:szCs w:val="8"/>
                <w:highlight w:val="yellow"/>
              </w:rPr>
            </w:pPr>
          </w:p>
          <w:p w:rsidR="00786914" w:rsidRPr="007045B9" w:rsidRDefault="00786914" w:rsidP="0006743B">
            <w:pPr>
              <w:pStyle w:val="TableText"/>
              <w:rPr>
                <w:rFonts w:cs="Garamond"/>
              </w:rPr>
            </w:pPr>
            <w:r w:rsidRPr="007045B9">
              <w:rPr>
                <w:rFonts w:cs="Garamond"/>
              </w:rPr>
              <w:t>11 HTA websites were also searched.</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To 20 March 2010</w:t>
            </w:r>
          </w:p>
          <w:p w:rsidR="00786914" w:rsidRPr="007045B9" w:rsidRDefault="00786914" w:rsidP="0006743B">
            <w:pPr>
              <w:pStyle w:val="TableText"/>
            </w:pPr>
          </w:p>
          <w:p w:rsidR="00786914" w:rsidRPr="007045B9" w:rsidRDefault="00786914" w:rsidP="0006743B">
            <w:pPr>
              <w:pStyle w:val="TableText"/>
            </w:pPr>
            <w:r w:rsidRPr="007045B9">
              <w:t xml:space="preserve">Comparators: </w:t>
            </w:r>
            <w:r w:rsidRPr="007045B9">
              <w:rPr>
                <w:rFonts w:cs="Garamond"/>
              </w:rPr>
              <w:t>HoLEP v</w:t>
            </w:r>
            <w:r>
              <w:rPr>
                <w:rFonts w:cs="Garamond"/>
              </w:rPr>
              <w:t>ersu</w:t>
            </w:r>
            <w:r w:rsidRPr="007045B9">
              <w:rPr>
                <w:rFonts w:cs="Garamond"/>
              </w:rPr>
              <w:t>s TURP and OP</w:t>
            </w:r>
          </w:p>
          <w:p w:rsidR="00786914" w:rsidRPr="007045B9" w:rsidRDefault="00786914" w:rsidP="0006743B">
            <w:pPr>
              <w:pStyle w:val="TableText"/>
            </w:pPr>
          </w:p>
          <w:p w:rsidR="00786914" w:rsidRPr="007045B9" w:rsidRDefault="00786914" w:rsidP="0006743B">
            <w:pPr>
              <w:pStyle w:val="TableText"/>
              <w:rPr>
                <w:u w:val="single"/>
              </w:rPr>
            </w:pPr>
            <w:r w:rsidRPr="007045B9">
              <w:t>Outcomes:</w:t>
            </w:r>
            <w:r>
              <w:t xml:space="preserve"> </w:t>
            </w:r>
            <w:r w:rsidRPr="007045B9">
              <w:t>Safety, effectiveness, cost-effectiveness</w:t>
            </w:r>
          </w:p>
        </w:tc>
        <w:tc>
          <w:tcPr>
            <w:tcW w:w="1970" w:type="pct"/>
          </w:tcPr>
          <w:p w:rsidR="00786914" w:rsidRPr="007045B9" w:rsidRDefault="00786914" w:rsidP="0006743B">
            <w:pPr>
              <w:pStyle w:val="TableText"/>
              <w:rPr>
                <w:rFonts w:cs="Garamond"/>
              </w:rPr>
            </w:pPr>
            <w:r w:rsidRPr="007045B9">
              <w:rPr>
                <w:rFonts w:cs="Garamond"/>
              </w:rPr>
              <w:t>Quality: Low</w:t>
            </w:r>
          </w:p>
          <w:p w:rsidR="00786914" w:rsidRPr="007045B9" w:rsidRDefault="00786914" w:rsidP="0006743B">
            <w:pPr>
              <w:pStyle w:val="TableText"/>
              <w:rPr>
                <w:rFonts w:cs="Garamond"/>
              </w:rPr>
            </w:pPr>
            <w:r w:rsidRPr="007045B9">
              <w:rPr>
                <w:rFonts w:cs="Garamond"/>
              </w:rPr>
              <w:t>Explicit review questions:</w:t>
            </w:r>
            <w:r>
              <w:rPr>
                <w:rFonts w:cs="Garamond"/>
              </w:rPr>
              <w:t xml:space="preserve"> </w:t>
            </w:r>
            <w:r w:rsidRPr="007045B9">
              <w:rPr>
                <w:rFonts w:cs="Garamond"/>
              </w:rPr>
              <w:t>No</w:t>
            </w:r>
          </w:p>
          <w:p w:rsidR="00786914" w:rsidRPr="007045B9" w:rsidRDefault="00786914" w:rsidP="0006743B">
            <w:pPr>
              <w:pStyle w:val="TableText"/>
              <w:rPr>
                <w:rFonts w:cs="Garamond"/>
              </w:rPr>
            </w:pPr>
            <w:r w:rsidRPr="007045B9">
              <w:rPr>
                <w:rFonts w:cs="Garamond"/>
              </w:rPr>
              <w:t>Explicit &amp; appropriate eligibility criteria: No</w:t>
            </w:r>
          </w:p>
          <w:p w:rsidR="00786914" w:rsidRPr="007045B9" w:rsidRDefault="00786914" w:rsidP="0006743B">
            <w:pPr>
              <w:pStyle w:val="TableText"/>
              <w:rPr>
                <w:rFonts w:cs="Garamond"/>
              </w:rPr>
            </w:pPr>
            <w:r w:rsidRPr="007045B9">
              <w:rPr>
                <w:rFonts w:cs="Garamond"/>
              </w:rPr>
              <w:t>Explicit &amp; comprehensive search strategy:  Yes</w:t>
            </w:r>
          </w:p>
          <w:p w:rsidR="00786914" w:rsidRPr="007045B9" w:rsidRDefault="00786914" w:rsidP="0006743B">
            <w:pPr>
              <w:pStyle w:val="TableText"/>
              <w:rPr>
                <w:rFonts w:cs="Garamond"/>
              </w:rPr>
            </w:pPr>
            <w:r w:rsidRPr="007045B9">
              <w:rPr>
                <w:rFonts w:cs="Garamond"/>
              </w:rPr>
              <w:t>Quality of included studies appraised:  Yes</w:t>
            </w:r>
          </w:p>
          <w:p w:rsidR="00786914" w:rsidRPr="007045B9" w:rsidRDefault="00786914" w:rsidP="0006743B">
            <w:pPr>
              <w:pStyle w:val="TableText"/>
              <w:rPr>
                <w:rFonts w:cs="Garamond"/>
              </w:rPr>
            </w:pPr>
            <w:r w:rsidRPr="007045B9">
              <w:rPr>
                <w:rFonts w:cs="Garamond"/>
              </w:rPr>
              <w:t>Methods of study appraisal reproducible:  No.</w:t>
            </w:r>
          </w:p>
          <w:p w:rsidR="00786914" w:rsidRPr="007045B9" w:rsidRDefault="00786914" w:rsidP="0006743B">
            <w:pPr>
              <w:pStyle w:val="TableText"/>
              <w:rPr>
                <w:rFonts w:cs="Garamond"/>
              </w:rPr>
            </w:pPr>
            <w:r w:rsidRPr="007045B9">
              <w:rPr>
                <w:rFonts w:cs="Garamond"/>
              </w:rPr>
              <w:t>Heterogeneity between studies assessed: N/A</w:t>
            </w:r>
          </w:p>
          <w:p w:rsidR="00786914" w:rsidRPr="007045B9" w:rsidRDefault="00786914" w:rsidP="0006743B">
            <w:pPr>
              <w:pStyle w:val="TableText"/>
            </w:pPr>
            <w:r w:rsidRPr="007045B9">
              <w:rPr>
                <w:rFonts w:cs="Garamond"/>
              </w:rPr>
              <w:t>Summary of main results clear and appropriate:  Yes</w:t>
            </w:r>
          </w:p>
        </w:tc>
      </w:tr>
      <w:tr w:rsidR="00786914" w:rsidTr="0006743B">
        <w:tc>
          <w:tcPr>
            <w:tcW w:w="643" w:type="pct"/>
          </w:tcPr>
          <w:p w:rsidR="00786914" w:rsidRPr="00442D5C" w:rsidRDefault="00786914" w:rsidP="0006743B">
            <w:pPr>
              <w:pStyle w:val="TableText"/>
              <w:rPr>
                <w:bCs/>
              </w:rPr>
            </w:pPr>
            <w:r w:rsidRPr="00442D5C">
              <w:rPr>
                <w:bCs/>
              </w:rPr>
              <w:t>Obyn &amp; Mambourg  (KCE)</w:t>
            </w:r>
          </w:p>
          <w:p w:rsidR="00786914" w:rsidRPr="00442D5C" w:rsidRDefault="00786914" w:rsidP="0006743B">
            <w:pPr>
              <w:pStyle w:val="TableText"/>
            </w:pPr>
            <w:r w:rsidRPr="00442D5C">
              <w:t>2008</w:t>
            </w:r>
          </w:p>
          <w:p w:rsidR="00786914" w:rsidRPr="00442D5C" w:rsidRDefault="00786914" w:rsidP="0006743B">
            <w:pPr>
              <w:pStyle w:val="TableText"/>
            </w:pPr>
            <w:r w:rsidRPr="00442D5C">
              <w:t>Belgium</w:t>
            </w:r>
          </w:p>
        </w:tc>
        <w:tc>
          <w:tcPr>
            <w:tcW w:w="2388" w:type="pct"/>
          </w:tcPr>
          <w:p w:rsidR="00786914" w:rsidRPr="007045B9" w:rsidRDefault="00786914" w:rsidP="0006743B">
            <w:pPr>
              <w:pStyle w:val="TableText"/>
              <w:rPr>
                <w:rFonts w:cs="Garamond"/>
              </w:rPr>
            </w:pPr>
            <w:r w:rsidRPr="007045B9">
              <w:t xml:space="preserve">Databases searched: </w:t>
            </w:r>
            <w:r w:rsidRPr="007045B9">
              <w:rPr>
                <w:rFonts w:cs="Garamond"/>
              </w:rPr>
              <w:t xml:space="preserve">Medline and the Cochrane Database of Systematic Reviews. </w:t>
            </w:r>
          </w:p>
          <w:p w:rsidR="00786914" w:rsidRPr="007045B9" w:rsidRDefault="00786914" w:rsidP="0006743B">
            <w:pPr>
              <w:pStyle w:val="TableText"/>
              <w:rPr>
                <w:rFonts w:cs="Garamond"/>
              </w:rPr>
            </w:pPr>
          </w:p>
          <w:p w:rsidR="00786914" w:rsidRPr="007045B9" w:rsidRDefault="00786914" w:rsidP="0006743B">
            <w:pPr>
              <w:pStyle w:val="TableText"/>
              <w:rPr>
                <w:rFonts w:cs="Garamond"/>
              </w:rPr>
            </w:pPr>
            <w:r w:rsidRPr="007045B9">
              <w:rPr>
                <w:rFonts w:cs="Garamond"/>
              </w:rPr>
              <w:t xml:space="preserve">Also, HTA agencies’ websites were searched for relevant HTA reports. </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2002</w:t>
            </w:r>
            <w:r>
              <w:rPr>
                <w:rFonts w:cs="Garamond"/>
              </w:rPr>
              <w:t>–</w:t>
            </w:r>
            <w:r w:rsidRPr="007045B9">
              <w:rPr>
                <w:rFonts w:cs="Garamond"/>
              </w:rPr>
              <w:t>2008</w:t>
            </w:r>
          </w:p>
          <w:p w:rsidR="00786914" w:rsidRPr="007045B9" w:rsidRDefault="00786914" w:rsidP="0006743B">
            <w:pPr>
              <w:pStyle w:val="TableText"/>
              <w:rPr>
                <w:rFonts w:cs="Garamond"/>
              </w:rPr>
            </w:pPr>
          </w:p>
          <w:p w:rsidR="00786914" w:rsidRPr="007045B9" w:rsidRDefault="00786914" w:rsidP="0006743B">
            <w:pPr>
              <w:pStyle w:val="TableText"/>
            </w:pPr>
            <w:r w:rsidRPr="007045B9">
              <w:t>Comparators: HoLEP v</w:t>
            </w:r>
            <w:r>
              <w:t>ersu</w:t>
            </w:r>
            <w:r w:rsidRPr="007045B9">
              <w:t>s TURP</w:t>
            </w:r>
          </w:p>
          <w:p w:rsidR="00786914" w:rsidRPr="007045B9" w:rsidRDefault="00786914" w:rsidP="0006743B">
            <w:pPr>
              <w:pStyle w:val="TableText"/>
            </w:pPr>
          </w:p>
          <w:p w:rsidR="00786914" w:rsidRPr="007045B9" w:rsidRDefault="00786914" w:rsidP="0006743B">
            <w:pPr>
              <w:pStyle w:val="TableText"/>
            </w:pPr>
            <w:r w:rsidRPr="007045B9">
              <w:t>Outcomes:</w:t>
            </w:r>
            <w:r>
              <w:t xml:space="preserve"> O</w:t>
            </w:r>
            <w:r w:rsidRPr="007045B9">
              <w:rPr>
                <w:rFonts w:cs="Garamond"/>
              </w:rPr>
              <w:t>nly</w:t>
            </w:r>
            <w:r>
              <w:rPr>
                <w:rFonts w:cs="Garamond"/>
              </w:rPr>
              <w:t xml:space="preserve"> one</w:t>
            </w:r>
            <w:r w:rsidRPr="007045B9">
              <w:rPr>
                <w:rFonts w:cs="Garamond"/>
              </w:rPr>
              <w:t xml:space="preserve"> HoLEP-relevant study assessed in this report</w:t>
            </w:r>
            <w:r>
              <w:rPr>
                <w:rFonts w:cs="Garamond"/>
              </w:rPr>
              <w:t>.</w:t>
            </w:r>
          </w:p>
        </w:tc>
        <w:tc>
          <w:tcPr>
            <w:tcW w:w="1970" w:type="pct"/>
          </w:tcPr>
          <w:p w:rsidR="00786914" w:rsidRPr="007045B9" w:rsidRDefault="00786914" w:rsidP="0006743B">
            <w:pPr>
              <w:pStyle w:val="TableText"/>
              <w:rPr>
                <w:rFonts w:cs="Garamond"/>
              </w:rPr>
            </w:pPr>
            <w:r w:rsidRPr="007045B9">
              <w:rPr>
                <w:rFonts w:cs="Garamond"/>
              </w:rPr>
              <w:t>Quality: High</w:t>
            </w:r>
          </w:p>
          <w:p w:rsidR="00786914" w:rsidRPr="007045B9" w:rsidRDefault="00786914" w:rsidP="0006743B">
            <w:pPr>
              <w:pStyle w:val="TableText"/>
              <w:rPr>
                <w:rFonts w:cs="Garamond"/>
              </w:rPr>
            </w:pPr>
            <w:r w:rsidRPr="007045B9">
              <w:rPr>
                <w:rFonts w:cs="Garamond"/>
              </w:rPr>
              <w:t>Explicit review questions: Yes</w:t>
            </w:r>
          </w:p>
          <w:p w:rsidR="00786914" w:rsidRPr="007045B9" w:rsidRDefault="00786914" w:rsidP="0006743B">
            <w:pPr>
              <w:pStyle w:val="TableText"/>
              <w:rPr>
                <w:rFonts w:cs="Garamond"/>
              </w:rPr>
            </w:pPr>
            <w:r w:rsidRPr="007045B9">
              <w:rPr>
                <w:rFonts w:cs="Garamond"/>
              </w:rPr>
              <w:t>Explicit &amp; appropriate eligibility criteria: Yes</w:t>
            </w:r>
          </w:p>
          <w:p w:rsidR="00786914" w:rsidRPr="007045B9" w:rsidRDefault="00786914" w:rsidP="0006743B">
            <w:pPr>
              <w:pStyle w:val="TableText"/>
              <w:rPr>
                <w:rFonts w:cs="Garamond"/>
              </w:rPr>
            </w:pPr>
            <w:r w:rsidRPr="007045B9">
              <w:rPr>
                <w:rFonts w:cs="Garamond"/>
              </w:rPr>
              <w:t>Explicit &amp; comprehensive search strategy: Yes</w:t>
            </w:r>
          </w:p>
          <w:p w:rsidR="00786914" w:rsidRPr="007045B9" w:rsidRDefault="00786914" w:rsidP="0006743B">
            <w:pPr>
              <w:pStyle w:val="TableText"/>
              <w:rPr>
                <w:rFonts w:cs="Garamond"/>
              </w:rPr>
            </w:pPr>
            <w:r w:rsidRPr="007045B9">
              <w:rPr>
                <w:rFonts w:cs="Garamond"/>
              </w:rPr>
              <w:t>Quality of included studies appraised:  Yes</w:t>
            </w:r>
          </w:p>
          <w:p w:rsidR="00786914" w:rsidRPr="007045B9" w:rsidRDefault="00786914" w:rsidP="0006743B">
            <w:pPr>
              <w:pStyle w:val="TableText"/>
              <w:rPr>
                <w:rFonts w:cs="Garamond"/>
              </w:rPr>
            </w:pPr>
            <w:r w:rsidRPr="007045B9">
              <w:rPr>
                <w:rFonts w:cs="Garamond"/>
              </w:rPr>
              <w:t>Methods of study appraisal reproducible:  Yes</w:t>
            </w:r>
          </w:p>
          <w:p w:rsidR="00786914" w:rsidRPr="007045B9" w:rsidRDefault="00786914" w:rsidP="0006743B">
            <w:pPr>
              <w:pStyle w:val="TableText"/>
              <w:rPr>
                <w:rFonts w:cs="Garamond"/>
              </w:rPr>
            </w:pPr>
            <w:r w:rsidRPr="007045B9">
              <w:rPr>
                <w:rFonts w:cs="Garamond"/>
              </w:rPr>
              <w:t>Heterogeneity between studies assessed:  N/A</w:t>
            </w:r>
          </w:p>
          <w:p w:rsidR="00786914" w:rsidRPr="007045B9" w:rsidRDefault="00786914" w:rsidP="0006743B">
            <w:pPr>
              <w:pStyle w:val="TableText"/>
              <w:rPr>
                <w:rFonts w:cs="Garamond"/>
              </w:rPr>
            </w:pPr>
            <w:r w:rsidRPr="007045B9">
              <w:rPr>
                <w:rFonts w:cs="Garamond"/>
              </w:rPr>
              <w:t>Summary of main results clear and appropriate:  Yes</w:t>
            </w:r>
          </w:p>
          <w:p w:rsidR="00786914" w:rsidRPr="007045B9" w:rsidRDefault="00786914" w:rsidP="0006743B">
            <w:pPr>
              <w:pStyle w:val="TableText"/>
            </w:pPr>
          </w:p>
        </w:tc>
      </w:tr>
      <w:tr w:rsidR="00786914" w:rsidTr="0006743B">
        <w:tc>
          <w:tcPr>
            <w:tcW w:w="643" w:type="pct"/>
          </w:tcPr>
          <w:p w:rsidR="00786914" w:rsidRPr="00875AB9" w:rsidRDefault="00786914" w:rsidP="0006743B">
            <w:pPr>
              <w:pStyle w:val="TableText"/>
            </w:pPr>
            <w:r w:rsidRPr="00875AB9">
              <w:t>Medical Advisory Secretariat (MAS)</w:t>
            </w:r>
          </w:p>
          <w:p w:rsidR="00786914" w:rsidRPr="00875AB9" w:rsidRDefault="00786914" w:rsidP="0006743B">
            <w:pPr>
              <w:pStyle w:val="TableText"/>
            </w:pPr>
            <w:r w:rsidRPr="00875AB9">
              <w:t>2006</w:t>
            </w:r>
          </w:p>
          <w:p w:rsidR="00786914" w:rsidRPr="00875AB9" w:rsidRDefault="00786914" w:rsidP="0006743B">
            <w:pPr>
              <w:pStyle w:val="TableText"/>
            </w:pPr>
            <w:r w:rsidRPr="00875AB9">
              <w:t>Canada</w:t>
            </w:r>
          </w:p>
        </w:tc>
        <w:tc>
          <w:tcPr>
            <w:tcW w:w="2388" w:type="pct"/>
          </w:tcPr>
          <w:p w:rsidR="00786914" w:rsidRPr="007045B9" w:rsidRDefault="00786914" w:rsidP="0006743B">
            <w:pPr>
              <w:pStyle w:val="TableText"/>
              <w:rPr>
                <w:rFonts w:cs="Garamond"/>
              </w:rPr>
            </w:pPr>
            <w:r w:rsidRPr="007045B9">
              <w:t xml:space="preserve">Databases searched: </w:t>
            </w:r>
            <w:r w:rsidRPr="007045B9">
              <w:rPr>
                <w:rFonts w:cs="Garamond"/>
              </w:rPr>
              <w:t xml:space="preserve">OVID Medline, Medline In-Process &amp; Other Non-Indexed Citations, EMBASE, The Cochrane Library, INAHTA. </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1</w:t>
            </w:r>
            <w:r>
              <w:rPr>
                <w:rFonts w:cs="Garamond"/>
              </w:rPr>
              <w:t xml:space="preserve"> </w:t>
            </w:r>
            <w:r w:rsidRPr="007045B9">
              <w:rPr>
                <w:rFonts w:cs="Garamond"/>
              </w:rPr>
              <w:t>Jan</w:t>
            </w:r>
            <w:r>
              <w:rPr>
                <w:rFonts w:cs="Garamond"/>
              </w:rPr>
              <w:t>uary</w:t>
            </w:r>
            <w:r w:rsidRPr="007045B9">
              <w:rPr>
                <w:rFonts w:cs="Garamond"/>
              </w:rPr>
              <w:t xml:space="preserve"> 2000– </w:t>
            </w:r>
            <w:r>
              <w:rPr>
                <w:rFonts w:cs="Garamond"/>
              </w:rPr>
              <w:t xml:space="preserve">21 </w:t>
            </w:r>
            <w:r w:rsidRPr="007045B9">
              <w:rPr>
                <w:rFonts w:cs="Garamond"/>
              </w:rPr>
              <w:t xml:space="preserve">June 2006 </w:t>
            </w:r>
          </w:p>
          <w:p w:rsidR="00786914" w:rsidRPr="007045B9" w:rsidRDefault="00786914" w:rsidP="0006743B">
            <w:pPr>
              <w:pStyle w:val="TableText"/>
            </w:pPr>
          </w:p>
          <w:p w:rsidR="00786914" w:rsidRPr="007045B9" w:rsidRDefault="00786914" w:rsidP="0006743B">
            <w:pPr>
              <w:pStyle w:val="TableText"/>
            </w:pPr>
            <w:r w:rsidRPr="007045B9">
              <w:t xml:space="preserve">Comparators: </w:t>
            </w:r>
            <w:r w:rsidRPr="007045B9">
              <w:rPr>
                <w:rFonts w:cs="Garamond"/>
              </w:rPr>
              <w:t>HoLEP v</w:t>
            </w:r>
            <w:r>
              <w:rPr>
                <w:rFonts w:cs="Garamond"/>
              </w:rPr>
              <w:t>ersu</w:t>
            </w:r>
            <w:r w:rsidRPr="007045B9">
              <w:rPr>
                <w:rFonts w:cs="Garamond"/>
              </w:rPr>
              <w:t>s TURP and OP</w:t>
            </w:r>
          </w:p>
          <w:p w:rsidR="00786914" w:rsidRPr="007045B9" w:rsidRDefault="00786914" w:rsidP="0006743B">
            <w:pPr>
              <w:pStyle w:val="TableText"/>
            </w:pPr>
          </w:p>
          <w:p w:rsidR="00786914" w:rsidRPr="007045B9" w:rsidRDefault="00786914" w:rsidP="0006743B">
            <w:pPr>
              <w:pStyle w:val="TableText"/>
            </w:pPr>
            <w:r w:rsidRPr="007045B9">
              <w:t>Outcomes:</w:t>
            </w:r>
            <w:r>
              <w:t xml:space="preserve"> </w:t>
            </w:r>
            <w:r w:rsidRPr="007045B9">
              <w:t>Safety, effectiveness, cost-effectiveness</w:t>
            </w:r>
          </w:p>
        </w:tc>
        <w:tc>
          <w:tcPr>
            <w:tcW w:w="1970" w:type="pct"/>
          </w:tcPr>
          <w:p w:rsidR="00786914" w:rsidRPr="007045B9" w:rsidRDefault="00786914" w:rsidP="0006743B">
            <w:pPr>
              <w:pStyle w:val="TableText"/>
              <w:rPr>
                <w:rFonts w:cs="Garamond"/>
              </w:rPr>
            </w:pPr>
            <w:r w:rsidRPr="007045B9">
              <w:rPr>
                <w:rFonts w:cs="Garamond"/>
              </w:rPr>
              <w:t>Quality: Fair</w:t>
            </w:r>
          </w:p>
          <w:p w:rsidR="00786914" w:rsidRPr="007045B9" w:rsidRDefault="00786914" w:rsidP="0006743B">
            <w:pPr>
              <w:pStyle w:val="TableText"/>
              <w:rPr>
                <w:rFonts w:cs="Garamond"/>
              </w:rPr>
            </w:pPr>
            <w:r w:rsidRPr="007045B9">
              <w:rPr>
                <w:rFonts w:cs="Garamond"/>
              </w:rPr>
              <w:t>Explicit review questions: Yes</w:t>
            </w:r>
          </w:p>
          <w:p w:rsidR="00786914" w:rsidRPr="007045B9" w:rsidRDefault="00786914" w:rsidP="0006743B">
            <w:pPr>
              <w:pStyle w:val="TableText"/>
              <w:rPr>
                <w:rFonts w:cs="Garamond"/>
              </w:rPr>
            </w:pPr>
            <w:r w:rsidRPr="007045B9">
              <w:rPr>
                <w:rFonts w:cs="Garamond"/>
              </w:rPr>
              <w:t>Explicit &amp; appropriate eligibility criteria: Yes</w:t>
            </w:r>
          </w:p>
          <w:p w:rsidR="00786914" w:rsidRPr="007045B9" w:rsidRDefault="00786914" w:rsidP="0006743B">
            <w:pPr>
              <w:pStyle w:val="TableText"/>
              <w:rPr>
                <w:rFonts w:cs="Garamond"/>
              </w:rPr>
            </w:pPr>
            <w:r w:rsidRPr="007045B9">
              <w:rPr>
                <w:rFonts w:cs="Garamond"/>
              </w:rPr>
              <w:t>Explicit &amp; comprehensive search strategy: Yes</w:t>
            </w:r>
          </w:p>
          <w:p w:rsidR="00786914" w:rsidRPr="007045B9" w:rsidRDefault="00786914" w:rsidP="0006743B">
            <w:pPr>
              <w:pStyle w:val="TableText"/>
              <w:rPr>
                <w:rFonts w:cs="Garamond"/>
              </w:rPr>
            </w:pPr>
            <w:r w:rsidRPr="007045B9">
              <w:rPr>
                <w:rFonts w:cs="Garamond"/>
              </w:rPr>
              <w:t>Quality of included studies appraised:  No</w:t>
            </w:r>
          </w:p>
          <w:p w:rsidR="00786914" w:rsidRPr="007045B9" w:rsidRDefault="00786914" w:rsidP="0006743B">
            <w:pPr>
              <w:pStyle w:val="TableText"/>
              <w:rPr>
                <w:rFonts w:cs="Garamond"/>
              </w:rPr>
            </w:pPr>
            <w:r w:rsidRPr="007045B9">
              <w:rPr>
                <w:rFonts w:cs="Garamond"/>
              </w:rPr>
              <w:t>Methods of study appraisal reproducible:  No.</w:t>
            </w:r>
          </w:p>
          <w:p w:rsidR="00786914" w:rsidRPr="007045B9" w:rsidRDefault="00786914" w:rsidP="0006743B">
            <w:pPr>
              <w:pStyle w:val="TableText"/>
              <w:rPr>
                <w:rFonts w:cs="Garamond"/>
              </w:rPr>
            </w:pPr>
            <w:r w:rsidRPr="007045B9">
              <w:rPr>
                <w:rFonts w:cs="Garamond"/>
              </w:rPr>
              <w:t xml:space="preserve">Heterogeneity between studies assessed: Yes </w:t>
            </w:r>
          </w:p>
          <w:p w:rsidR="00786914" w:rsidRPr="007045B9" w:rsidRDefault="00786914" w:rsidP="0006743B">
            <w:pPr>
              <w:pStyle w:val="TableText"/>
              <w:rPr>
                <w:rFonts w:cs="Garamond"/>
              </w:rPr>
            </w:pPr>
            <w:r w:rsidRPr="007045B9">
              <w:rPr>
                <w:rFonts w:cs="Garamond"/>
              </w:rPr>
              <w:t>Summary of main results clear and appropriate: Yes</w:t>
            </w:r>
          </w:p>
          <w:p w:rsidR="00786914" w:rsidRPr="007045B9" w:rsidRDefault="00786914" w:rsidP="0006743B">
            <w:pPr>
              <w:pStyle w:val="TableText"/>
            </w:pPr>
            <w:r w:rsidRPr="007045B9">
              <w:rPr>
                <w:rFonts w:cs="Garamond"/>
              </w:rPr>
              <w:t xml:space="preserve">(NB: </w:t>
            </w:r>
            <w:r w:rsidRPr="007045B9">
              <w:t>PICO not provided, but research question clearly stated (p</w:t>
            </w:r>
            <w:r>
              <w:t>a</w:t>
            </w:r>
            <w:r w:rsidRPr="007045B9">
              <w:t>g</w:t>
            </w:r>
            <w:r>
              <w:t>e</w:t>
            </w:r>
            <w:r w:rsidRPr="007045B9">
              <w:t xml:space="preserve"> 23))</w:t>
            </w:r>
          </w:p>
        </w:tc>
      </w:tr>
      <w:tr w:rsidR="00786914" w:rsidTr="0006743B">
        <w:tc>
          <w:tcPr>
            <w:tcW w:w="643" w:type="pct"/>
          </w:tcPr>
          <w:p w:rsidR="00786914" w:rsidRPr="00875AB9" w:rsidRDefault="00786914" w:rsidP="0006743B">
            <w:pPr>
              <w:pStyle w:val="TableText"/>
              <w:rPr>
                <w:lang w:val="fr-FR"/>
              </w:rPr>
            </w:pPr>
            <w:r w:rsidRPr="00875AB9">
              <w:rPr>
                <w:lang w:val="fr-FR"/>
              </w:rPr>
              <w:t>Ahayi et al</w:t>
            </w:r>
          </w:p>
          <w:p w:rsidR="00786914" w:rsidRPr="00875AB9" w:rsidRDefault="00786914" w:rsidP="0006743B">
            <w:pPr>
              <w:pStyle w:val="TableText"/>
              <w:rPr>
                <w:lang w:val="fr-FR"/>
              </w:rPr>
            </w:pPr>
            <w:r w:rsidRPr="00875AB9">
              <w:rPr>
                <w:lang w:val="fr-FR"/>
              </w:rPr>
              <w:t>2010</w:t>
            </w:r>
          </w:p>
          <w:p w:rsidR="00786914" w:rsidRPr="00875AB9" w:rsidRDefault="00786914" w:rsidP="0006743B">
            <w:pPr>
              <w:pStyle w:val="TableText"/>
              <w:rPr>
                <w:lang w:val="fr-FR"/>
              </w:rPr>
            </w:pPr>
            <w:r w:rsidRPr="00875AB9">
              <w:rPr>
                <w:lang w:val="fr-FR"/>
              </w:rPr>
              <w:t>Multinational</w:t>
            </w:r>
          </w:p>
        </w:tc>
        <w:tc>
          <w:tcPr>
            <w:tcW w:w="2388" w:type="pct"/>
          </w:tcPr>
          <w:p w:rsidR="00786914" w:rsidRPr="007045B9" w:rsidRDefault="00786914" w:rsidP="0006743B">
            <w:pPr>
              <w:pStyle w:val="TableText"/>
              <w:rPr>
                <w:rFonts w:cs="Garamond"/>
              </w:rPr>
            </w:pPr>
            <w:r w:rsidRPr="007045B9">
              <w:t xml:space="preserve">Databases searched: </w:t>
            </w:r>
            <w:r w:rsidRPr="007045B9">
              <w:rPr>
                <w:rFonts w:cs="Garamond"/>
              </w:rPr>
              <w:t>Medline.</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1997 to 2009</w:t>
            </w:r>
          </w:p>
          <w:p w:rsidR="00786914" w:rsidRPr="0096771D" w:rsidRDefault="00786914" w:rsidP="0006743B">
            <w:pPr>
              <w:pStyle w:val="TableText"/>
            </w:pPr>
          </w:p>
          <w:p w:rsidR="00786914" w:rsidRPr="007045B9" w:rsidRDefault="00786914" w:rsidP="0006743B">
            <w:pPr>
              <w:pStyle w:val="TableText"/>
            </w:pPr>
            <w:r w:rsidRPr="007045B9">
              <w:t>Comparators: HoLEP v</w:t>
            </w:r>
            <w:r>
              <w:t>ersu</w:t>
            </w:r>
            <w:r w:rsidRPr="007045B9">
              <w:t>s TURP</w:t>
            </w:r>
          </w:p>
          <w:p w:rsidR="00786914" w:rsidRPr="007045B9" w:rsidRDefault="00786914" w:rsidP="0006743B">
            <w:pPr>
              <w:pStyle w:val="TableText"/>
            </w:pPr>
          </w:p>
          <w:p w:rsidR="00786914" w:rsidRPr="007045B9" w:rsidRDefault="00786914" w:rsidP="0006743B">
            <w:pPr>
              <w:pStyle w:val="TableText"/>
            </w:pPr>
            <w:r w:rsidRPr="007045B9">
              <w:t>Outcomes:</w:t>
            </w:r>
            <w:r>
              <w:t xml:space="preserve"> </w:t>
            </w:r>
            <w:r w:rsidRPr="007045B9">
              <w:t>Safety, effectiveness, cost-effectiveness</w:t>
            </w:r>
          </w:p>
        </w:tc>
        <w:tc>
          <w:tcPr>
            <w:tcW w:w="1970" w:type="pct"/>
          </w:tcPr>
          <w:p w:rsidR="00786914" w:rsidRPr="007045B9" w:rsidRDefault="00786914" w:rsidP="0006743B">
            <w:pPr>
              <w:pStyle w:val="TableText"/>
              <w:rPr>
                <w:rFonts w:cs="Garamond"/>
              </w:rPr>
            </w:pPr>
            <w:r w:rsidRPr="007045B9">
              <w:rPr>
                <w:rFonts w:cs="Garamond"/>
              </w:rPr>
              <w:lastRenderedPageBreak/>
              <w:t>Quality: Low</w:t>
            </w:r>
          </w:p>
          <w:p w:rsidR="00786914" w:rsidRPr="007045B9" w:rsidRDefault="00786914" w:rsidP="0006743B">
            <w:pPr>
              <w:pStyle w:val="TableText"/>
              <w:rPr>
                <w:rFonts w:cs="Garamond"/>
              </w:rPr>
            </w:pPr>
            <w:r w:rsidRPr="007045B9">
              <w:rPr>
                <w:rFonts w:cs="Garamond"/>
              </w:rPr>
              <w:t>Explicit review questions: No</w:t>
            </w:r>
          </w:p>
          <w:p w:rsidR="00786914" w:rsidRPr="007045B9" w:rsidRDefault="00786914" w:rsidP="0006743B">
            <w:pPr>
              <w:pStyle w:val="TableText"/>
              <w:rPr>
                <w:rFonts w:cs="Garamond"/>
              </w:rPr>
            </w:pPr>
            <w:r w:rsidRPr="007045B9">
              <w:rPr>
                <w:rFonts w:cs="Garamond"/>
              </w:rPr>
              <w:t>Explicit &amp; appropriate eligibility criteria: No</w:t>
            </w:r>
          </w:p>
          <w:p w:rsidR="00786914" w:rsidRPr="007045B9" w:rsidRDefault="00786914" w:rsidP="0006743B">
            <w:pPr>
              <w:pStyle w:val="TableText"/>
              <w:rPr>
                <w:rFonts w:cs="Garamond"/>
              </w:rPr>
            </w:pPr>
            <w:r w:rsidRPr="007045B9">
              <w:rPr>
                <w:rFonts w:cs="Garamond"/>
              </w:rPr>
              <w:t>Explicit &amp; comprehensive search strategy:  No</w:t>
            </w:r>
          </w:p>
          <w:p w:rsidR="00786914" w:rsidRPr="007045B9" w:rsidRDefault="00786914" w:rsidP="0006743B">
            <w:pPr>
              <w:pStyle w:val="TableText"/>
              <w:rPr>
                <w:rFonts w:cs="Garamond"/>
              </w:rPr>
            </w:pPr>
            <w:r w:rsidRPr="007045B9">
              <w:rPr>
                <w:rFonts w:cs="Garamond"/>
              </w:rPr>
              <w:t>Quality of included studies appraised:  No</w:t>
            </w:r>
          </w:p>
          <w:p w:rsidR="00786914" w:rsidRPr="007045B9" w:rsidRDefault="00786914" w:rsidP="0006743B">
            <w:pPr>
              <w:pStyle w:val="TableText"/>
              <w:rPr>
                <w:rFonts w:cs="Garamond"/>
              </w:rPr>
            </w:pPr>
            <w:r w:rsidRPr="007045B9">
              <w:rPr>
                <w:rFonts w:cs="Garamond"/>
              </w:rPr>
              <w:lastRenderedPageBreak/>
              <w:t xml:space="preserve">Methods of study appraisal reproducible:  No. </w:t>
            </w:r>
          </w:p>
          <w:p w:rsidR="00786914" w:rsidRPr="007045B9" w:rsidRDefault="00786914" w:rsidP="0006743B">
            <w:pPr>
              <w:pStyle w:val="TableText"/>
              <w:rPr>
                <w:rFonts w:cs="Garamond"/>
              </w:rPr>
            </w:pPr>
            <w:r w:rsidRPr="007045B9">
              <w:rPr>
                <w:rFonts w:cs="Garamond"/>
              </w:rPr>
              <w:t>Heterogeneity between studies assessed:  No</w:t>
            </w:r>
          </w:p>
          <w:p w:rsidR="00786914" w:rsidRPr="007045B9" w:rsidRDefault="00786914" w:rsidP="0006743B">
            <w:pPr>
              <w:pStyle w:val="TableText"/>
              <w:rPr>
                <w:rFonts w:cs="Garamond"/>
              </w:rPr>
            </w:pPr>
            <w:r w:rsidRPr="007045B9">
              <w:rPr>
                <w:rFonts w:cs="Garamond"/>
              </w:rPr>
              <w:t>Summary of main results clear and appropriate:  Yes</w:t>
            </w:r>
          </w:p>
          <w:p w:rsidR="00786914" w:rsidRPr="007045B9" w:rsidRDefault="00786914" w:rsidP="0006743B">
            <w:pPr>
              <w:pStyle w:val="TableText"/>
            </w:pPr>
            <w:r w:rsidRPr="007045B9">
              <w:rPr>
                <w:rFonts w:cs="Garamond"/>
              </w:rPr>
              <w:t xml:space="preserve">(NB: </w:t>
            </w:r>
            <w:r w:rsidRPr="007045B9">
              <w:t>Heterogeneity was assessed (page 385) but not reported.)</w:t>
            </w:r>
          </w:p>
        </w:tc>
      </w:tr>
      <w:tr w:rsidR="00786914" w:rsidTr="0006743B">
        <w:tc>
          <w:tcPr>
            <w:tcW w:w="643" w:type="pct"/>
          </w:tcPr>
          <w:p w:rsidR="00786914" w:rsidRPr="00875AB9" w:rsidRDefault="00786914" w:rsidP="0006743B">
            <w:pPr>
              <w:pStyle w:val="TableText"/>
            </w:pPr>
            <w:r w:rsidRPr="00875AB9">
              <w:lastRenderedPageBreak/>
              <w:t>Biester et al</w:t>
            </w:r>
          </w:p>
          <w:p w:rsidR="00786914" w:rsidRPr="00875AB9" w:rsidRDefault="00786914" w:rsidP="0006743B">
            <w:pPr>
              <w:pStyle w:val="TableText"/>
            </w:pPr>
            <w:r w:rsidRPr="00875AB9">
              <w:t>2011</w:t>
            </w:r>
          </w:p>
          <w:p w:rsidR="00786914" w:rsidRPr="00875AB9" w:rsidRDefault="00786914" w:rsidP="0006743B">
            <w:pPr>
              <w:pStyle w:val="TableText"/>
            </w:pPr>
            <w:r w:rsidRPr="00875AB9">
              <w:t>Germany</w:t>
            </w:r>
          </w:p>
        </w:tc>
        <w:tc>
          <w:tcPr>
            <w:tcW w:w="2388" w:type="pct"/>
          </w:tcPr>
          <w:p w:rsidR="00786914" w:rsidRPr="007045B9" w:rsidRDefault="00786914" w:rsidP="0006743B">
            <w:pPr>
              <w:pStyle w:val="TableText"/>
              <w:rPr>
                <w:rFonts w:cs="Garamond"/>
              </w:rPr>
            </w:pPr>
            <w:r w:rsidRPr="007045B9">
              <w:t xml:space="preserve">Databases searched: </w:t>
            </w:r>
            <w:r w:rsidRPr="007045B9">
              <w:rPr>
                <w:rFonts w:cs="Garamond"/>
              </w:rPr>
              <w:t>Medline, Embase, the Cochrane Central Register of Controlled Trials (Clinical Trials), Cochrane Database of Systematic Reviews (Cochrane Reviews), the Database of Abstracts of Reviews of Effects (Other Reviews) and the Health Technology Assessment Database (Technology Assessments).</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 xml:space="preserve">Time period of search: Up to October 2009 </w:t>
            </w:r>
          </w:p>
          <w:p w:rsidR="00786914" w:rsidRPr="007045B9" w:rsidRDefault="00786914" w:rsidP="0006743B">
            <w:pPr>
              <w:pStyle w:val="TableText"/>
            </w:pPr>
          </w:p>
          <w:p w:rsidR="00786914" w:rsidRPr="007045B9" w:rsidRDefault="00786914" w:rsidP="0006743B">
            <w:pPr>
              <w:pStyle w:val="TableText"/>
              <w:rPr>
                <w:rFonts w:cs="Garamond"/>
              </w:rPr>
            </w:pPr>
            <w:r w:rsidRPr="007045B9">
              <w:t xml:space="preserve">Comparators: </w:t>
            </w:r>
            <w:r w:rsidRPr="007045B9">
              <w:rPr>
                <w:rFonts w:cs="Garamond"/>
              </w:rPr>
              <w:t>HoLEP v</w:t>
            </w:r>
            <w:r>
              <w:rPr>
                <w:rFonts w:cs="Garamond"/>
              </w:rPr>
              <w:t>ersu</w:t>
            </w:r>
            <w:r w:rsidRPr="007045B9">
              <w:rPr>
                <w:rFonts w:cs="Garamond"/>
              </w:rPr>
              <w:t xml:space="preserve">s TURP and OP </w:t>
            </w:r>
          </w:p>
          <w:p w:rsidR="00786914" w:rsidRPr="007045B9" w:rsidRDefault="00786914" w:rsidP="0006743B">
            <w:pPr>
              <w:pStyle w:val="TableText"/>
            </w:pPr>
          </w:p>
          <w:p w:rsidR="00786914" w:rsidRPr="007045B9" w:rsidRDefault="00786914" w:rsidP="0006743B">
            <w:pPr>
              <w:pStyle w:val="TableText"/>
            </w:pPr>
            <w:r w:rsidRPr="007045B9">
              <w:t>Outcomes: Effectiveness</w:t>
            </w:r>
          </w:p>
        </w:tc>
        <w:tc>
          <w:tcPr>
            <w:tcW w:w="1970" w:type="pct"/>
          </w:tcPr>
          <w:p w:rsidR="00786914" w:rsidRPr="007045B9" w:rsidRDefault="00786914" w:rsidP="0006743B">
            <w:pPr>
              <w:pStyle w:val="TableText"/>
              <w:rPr>
                <w:rFonts w:cs="Garamond"/>
              </w:rPr>
            </w:pPr>
            <w:r w:rsidRPr="007045B9">
              <w:rPr>
                <w:rFonts w:cs="Garamond"/>
              </w:rPr>
              <w:t>Quality: High</w:t>
            </w:r>
          </w:p>
          <w:p w:rsidR="00786914" w:rsidRPr="007045B9" w:rsidRDefault="00786914" w:rsidP="0006743B">
            <w:pPr>
              <w:pStyle w:val="TableText"/>
              <w:rPr>
                <w:rFonts w:cs="Garamond"/>
              </w:rPr>
            </w:pPr>
            <w:r w:rsidRPr="007045B9">
              <w:rPr>
                <w:rFonts w:cs="Garamond"/>
              </w:rPr>
              <w:t>Explicit review questions: Yes</w:t>
            </w:r>
          </w:p>
          <w:p w:rsidR="00786914" w:rsidRPr="007045B9" w:rsidRDefault="00786914" w:rsidP="0006743B">
            <w:pPr>
              <w:pStyle w:val="TableText"/>
              <w:rPr>
                <w:rFonts w:cs="Garamond"/>
              </w:rPr>
            </w:pPr>
            <w:r w:rsidRPr="007045B9">
              <w:rPr>
                <w:rFonts w:cs="Garamond"/>
              </w:rPr>
              <w:t>Explicit &amp; appropriate eligibility criteria: Yes</w:t>
            </w:r>
          </w:p>
          <w:p w:rsidR="00786914" w:rsidRPr="007045B9" w:rsidRDefault="00786914" w:rsidP="0006743B">
            <w:pPr>
              <w:pStyle w:val="TableText"/>
              <w:rPr>
                <w:rFonts w:cs="Garamond"/>
              </w:rPr>
            </w:pPr>
            <w:r w:rsidRPr="007045B9">
              <w:rPr>
                <w:rFonts w:cs="Garamond"/>
              </w:rPr>
              <w:t>Explicit &amp; comprehensive search strategy: Yes</w:t>
            </w:r>
          </w:p>
          <w:p w:rsidR="00786914" w:rsidRPr="007045B9" w:rsidRDefault="00786914" w:rsidP="0006743B">
            <w:pPr>
              <w:pStyle w:val="TableText"/>
              <w:rPr>
                <w:rFonts w:cs="Garamond"/>
              </w:rPr>
            </w:pPr>
            <w:r w:rsidRPr="007045B9">
              <w:rPr>
                <w:rFonts w:cs="Garamond"/>
              </w:rPr>
              <w:t>Quality of included studies appraised: Yes</w:t>
            </w:r>
          </w:p>
          <w:p w:rsidR="00786914" w:rsidRPr="007045B9" w:rsidRDefault="00786914" w:rsidP="0006743B">
            <w:pPr>
              <w:pStyle w:val="TableText"/>
              <w:rPr>
                <w:rFonts w:cs="Garamond"/>
              </w:rPr>
            </w:pPr>
            <w:r w:rsidRPr="007045B9">
              <w:rPr>
                <w:rFonts w:cs="Garamond"/>
              </w:rPr>
              <w:t>Methods of study appraisal reproducible:  Yes</w:t>
            </w:r>
          </w:p>
          <w:p w:rsidR="00786914" w:rsidRPr="007045B9" w:rsidRDefault="00786914" w:rsidP="0006743B">
            <w:pPr>
              <w:pStyle w:val="TableText"/>
              <w:rPr>
                <w:rFonts w:cs="Garamond"/>
              </w:rPr>
            </w:pPr>
            <w:r w:rsidRPr="007045B9">
              <w:rPr>
                <w:rFonts w:cs="Garamond"/>
              </w:rPr>
              <w:t xml:space="preserve">Heterogeneity between studies assessed: Yes </w:t>
            </w:r>
          </w:p>
          <w:p w:rsidR="00786914" w:rsidRPr="007045B9" w:rsidRDefault="00786914" w:rsidP="0006743B">
            <w:pPr>
              <w:pStyle w:val="TableText"/>
              <w:rPr>
                <w:rFonts w:cs="Garamond"/>
              </w:rPr>
            </w:pPr>
            <w:r w:rsidRPr="007045B9">
              <w:rPr>
                <w:rFonts w:cs="Garamond"/>
              </w:rPr>
              <w:t>Summary of main results clear and appropriate: Yes</w:t>
            </w:r>
          </w:p>
          <w:p w:rsidR="00786914" w:rsidRPr="007045B9" w:rsidRDefault="00786914" w:rsidP="0006743B">
            <w:pPr>
              <w:pStyle w:val="TableText"/>
            </w:pPr>
          </w:p>
        </w:tc>
      </w:tr>
      <w:tr w:rsidR="00786914" w:rsidTr="0006743B">
        <w:tc>
          <w:tcPr>
            <w:tcW w:w="643" w:type="pct"/>
          </w:tcPr>
          <w:p w:rsidR="00786914" w:rsidRPr="00875AB9" w:rsidRDefault="00786914" w:rsidP="0006743B">
            <w:pPr>
              <w:pStyle w:val="TableText"/>
            </w:pPr>
            <w:r w:rsidRPr="00875AB9">
              <w:t>Hermann et al</w:t>
            </w:r>
          </w:p>
          <w:p w:rsidR="00786914" w:rsidRPr="00875AB9" w:rsidRDefault="00786914" w:rsidP="0006743B">
            <w:pPr>
              <w:pStyle w:val="TableText"/>
            </w:pPr>
            <w:r w:rsidRPr="00875AB9">
              <w:t>2009</w:t>
            </w:r>
          </w:p>
          <w:p w:rsidR="00786914" w:rsidRPr="00875AB9" w:rsidRDefault="00786914" w:rsidP="0006743B">
            <w:pPr>
              <w:pStyle w:val="TableText"/>
            </w:pPr>
            <w:r w:rsidRPr="00875AB9">
              <w:t>Multinational</w:t>
            </w:r>
          </w:p>
        </w:tc>
        <w:tc>
          <w:tcPr>
            <w:tcW w:w="2388" w:type="pct"/>
          </w:tcPr>
          <w:p w:rsidR="00786914" w:rsidRPr="000E2EB4" w:rsidRDefault="00786914" w:rsidP="0006743B">
            <w:pPr>
              <w:pStyle w:val="TableText"/>
              <w:rPr>
                <w:rFonts w:cs="Garamond"/>
              </w:rPr>
            </w:pPr>
            <w:r w:rsidRPr="000E2EB4">
              <w:t xml:space="preserve">Databases searched: </w:t>
            </w:r>
            <w:r w:rsidRPr="000E2EB4">
              <w:rPr>
                <w:rFonts w:cs="Garamond"/>
              </w:rPr>
              <w:t>Medline, Embase, Cochrane Central Register of Controlled Trials (CENTRAL), HTA Database, the Prostatic Diseases and Urologic Cancers Group registry, Science Citation Index, reference lists of all identified trials and previous reviews.</w:t>
            </w:r>
          </w:p>
          <w:p w:rsidR="00786914" w:rsidRPr="000E2EB4" w:rsidRDefault="00786914" w:rsidP="0006743B">
            <w:pPr>
              <w:pStyle w:val="TableText"/>
            </w:pPr>
          </w:p>
          <w:p w:rsidR="00786914" w:rsidRPr="000E2EB4" w:rsidRDefault="00786914" w:rsidP="0006743B">
            <w:pPr>
              <w:pStyle w:val="TableText"/>
              <w:rPr>
                <w:rFonts w:cs="Garamond"/>
              </w:rPr>
            </w:pPr>
            <w:r w:rsidRPr="000E2EB4">
              <w:rPr>
                <w:rFonts w:cs="Garamond"/>
              </w:rPr>
              <w:t xml:space="preserve">Time period of search: January 1995–December 2008 </w:t>
            </w:r>
          </w:p>
          <w:p w:rsidR="00786914" w:rsidRPr="000E2EB4" w:rsidRDefault="00786914" w:rsidP="0006743B">
            <w:pPr>
              <w:pStyle w:val="TableText"/>
            </w:pPr>
          </w:p>
          <w:p w:rsidR="00786914" w:rsidRPr="000E2EB4" w:rsidRDefault="00786914" w:rsidP="0006743B">
            <w:pPr>
              <w:pStyle w:val="TableText"/>
              <w:rPr>
                <w:rFonts w:cs="Garamond"/>
              </w:rPr>
            </w:pPr>
            <w:r w:rsidRPr="000E2EB4">
              <w:t xml:space="preserve">Comparators: </w:t>
            </w:r>
            <w:r w:rsidRPr="000E2EB4">
              <w:rPr>
                <w:rFonts w:cs="Garamond"/>
              </w:rPr>
              <w:t>HoLEP v</w:t>
            </w:r>
            <w:r>
              <w:rPr>
                <w:rFonts w:cs="Garamond"/>
              </w:rPr>
              <w:t>ersu</w:t>
            </w:r>
            <w:r w:rsidRPr="000E2EB4">
              <w:rPr>
                <w:rFonts w:cs="Garamond"/>
              </w:rPr>
              <w:t xml:space="preserve">s TURP and OP </w:t>
            </w:r>
          </w:p>
          <w:p w:rsidR="00786914" w:rsidRPr="000E2EB4" w:rsidRDefault="00786914" w:rsidP="0006743B">
            <w:pPr>
              <w:pStyle w:val="TableText"/>
            </w:pPr>
          </w:p>
          <w:p w:rsidR="00786914" w:rsidRPr="000E2EB4" w:rsidRDefault="00786914" w:rsidP="0006743B">
            <w:pPr>
              <w:pStyle w:val="TableText"/>
            </w:pPr>
            <w:r w:rsidRPr="000E2EB4">
              <w:t>Outcomes:</w:t>
            </w:r>
            <w:r>
              <w:t xml:space="preserve"> </w:t>
            </w:r>
            <w:r w:rsidRPr="000E2EB4">
              <w:t>Effectiveness</w:t>
            </w:r>
          </w:p>
        </w:tc>
        <w:tc>
          <w:tcPr>
            <w:tcW w:w="1970" w:type="pct"/>
          </w:tcPr>
          <w:p w:rsidR="00786914" w:rsidRPr="000E2EB4" w:rsidRDefault="00786914" w:rsidP="0006743B">
            <w:pPr>
              <w:pStyle w:val="TableText"/>
              <w:rPr>
                <w:rFonts w:cs="Garamond"/>
              </w:rPr>
            </w:pPr>
            <w:r w:rsidRPr="000E2EB4">
              <w:rPr>
                <w:rFonts w:cs="Garamond"/>
              </w:rPr>
              <w:t>Quality: Fair</w:t>
            </w:r>
          </w:p>
          <w:p w:rsidR="00786914" w:rsidRPr="000E2EB4" w:rsidRDefault="00786914" w:rsidP="0006743B">
            <w:pPr>
              <w:pStyle w:val="TableText"/>
              <w:rPr>
                <w:rFonts w:cs="Garamond"/>
              </w:rPr>
            </w:pPr>
            <w:r w:rsidRPr="000E2EB4">
              <w:rPr>
                <w:rFonts w:cs="Garamond"/>
              </w:rPr>
              <w:t>Explicit review questions: Yes</w:t>
            </w:r>
          </w:p>
          <w:p w:rsidR="00786914" w:rsidRPr="000E2EB4" w:rsidRDefault="00786914" w:rsidP="0006743B">
            <w:pPr>
              <w:pStyle w:val="TableText"/>
              <w:rPr>
                <w:rFonts w:cs="Garamond"/>
              </w:rPr>
            </w:pPr>
            <w:r w:rsidRPr="000E2EB4">
              <w:rPr>
                <w:rFonts w:cs="Garamond"/>
              </w:rPr>
              <w:t>Explicit &amp; appropriate eligibility criteria: Yes</w:t>
            </w:r>
          </w:p>
          <w:p w:rsidR="00786914" w:rsidRPr="000E2EB4" w:rsidRDefault="00786914" w:rsidP="0006743B">
            <w:pPr>
              <w:pStyle w:val="TableText"/>
              <w:rPr>
                <w:rFonts w:cs="Garamond"/>
              </w:rPr>
            </w:pPr>
            <w:r w:rsidRPr="000E2EB4">
              <w:rPr>
                <w:rFonts w:cs="Garamond"/>
              </w:rPr>
              <w:t>Explicit &amp; comprehensive search strategy: Yes</w:t>
            </w:r>
          </w:p>
          <w:p w:rsidR="00786914" w:rsidRPr="000E2EB4" w:rsidRDefault="00786914" w:rsidP="0006743B">
            <w:pPr>
              <w:pStyle w:val="TableText"/>
              <w:rPr>
                <w:rFonts w:cs="Garamond"/>
              </w:rPr>
            </w:pPr>
            <w:r w:rsidRPr="000E2EB4">
              <w:rPr>
                <w:rFonts w:cs="Garamond"/>
              </w:rPr>
              <w:t>Quality of included studies appraised: No</w:t>
            </w:r>
          </w:p>
          <w:p w:rsidR="00786914" w:rsidRPr="000E2EB4" w:rsidRDefault="00786914" w:rsidP="0006743B">
            <w:pPr>
              <w:pStyle w:val="TableText"/>
              <w:rPr>
                <w:rFonts w:cs="Garamond"/>
              </w:rPr>
            </w:pPr>
            <w:r w:rsidRPr="000E2EB4">
              <w:rPr>
                <w:rFonts w:cs="Garamond"/>
              </w:rPr>
              <w:t>Methods of study appraisal reproducible:  No.</w:t>
            </w:r>
          </w:p>
          <w:p w:rsidR="00786914" w:rsidRPr="000E2EB4" w:rsidRDefault="00786914" w:rsidP="0006743B">
            <w:pPr>
              <w:pStyle w:val="TableText"/>
              <w:rPr>
                <w:rFonts w:cs="Garamond"/>
              </w:rPr>
            </w:pPr>
            <w:r w:rsidRPr="000E2EB4">
              <w:rPr>
                <w:rFonts w:cs="Garamond"/>
              </w:rPr>
              <w:t>Heterogeneity between studies assessed: N/A</w:t>
            </w:r>
          </w:p>
          <w:p w:rsidR="00786914" w:rsidRPr="000E2EB4" w:rsidRDefault="00786914" w:rsidP="0006743B">
            <w:pPr>
              <w:pStyle w:val="TableText"/>
            </w:pPr>
            <w:r w:rsidRPr="000E2EB4">
              <w:rPr>
                <w:rFonts w:cs="Garamond"/>
              </w:rPr>
              <w:t>Summary of main results clear and appropriate: Yes</w:t>
            </w:r>
          </w:p>
        </w:tc>
      </w:tr>
      <w:tr w:rsidR="00786914" w:rsidTr="0006743B">
        <w:tc>
          <w:tcPr>
            <w:tcW w:w="643" w:type="pct"/>
          </w:tcPr>
          <w:p w:rsidR="00786914" w:rsidRPr="00875AB9" w:rsidRDefault="00786914" w:rsidP="0006743B">
            <w:pPr>
              <w:pStyle w:val="TableText"/>
            </w:pPr>
            <w:r w:rsidRPr="00875AB9">
              <w:t>Rieken et al</w:t>
            </w:r>
          </w:p>
          <w:p w:rsidR="00786914" w:rsidRPr="00875AB9" w:rsidRDefault="00786914" w:rsidP="0006743B">
            <w:pPr>
              <w:pStyle w:val="TableText"/>
            </w:pPr>
            <w:r w:rsidRPr="00875AB9">
              <w:t xml:space="preserve">2010  </w:t>
            </w:r>
          </w:p>
          <w:p w:rsidR="00786914" w:rsidRPr="00875AB9" w:rsidRDefault="00786914" w:rsidP="0006743B">
            <w:pPr>
              <w:pStyle w:val="TableText"/>
            </w:pPr>
            <w:r w:rsidRPr="00875AB9">
              <w:t>Switzerland</w:t>
            </w:r>
          </w:p>
        </w:tc>
        <w:tc>
          <w:tcPr>
            <w:tcW w:w="2388" w:type="pct"/>
          </w:tcPr>
          <w:p w:rsidR="00786914" w:rsidRPr="000E2EB4" w:rsidRDefault="00786914" w:rsidP="0006743B">
            <w:pPr>
              <w:pStyle w:val="TableText"/>
              <w:rPr>
                <w:rFonts w:cs="Garamond"/>
              </w:rPr>
            </w:pPr>
            <w:r w:rsidRPr="000E2EB4">
              <w:t xml:space="preserve">Databases searched: </w:t>
            </w:r>
            <w:r w:rsidRPr="000E2EB4">
              <w:rPr>
                <w:rFonts w:cs="Garamond"/>
              </w:rPr>
              <w:t>Medline.</w:t>
            </w:r>
          </w:p>
          <w:p w:rsidR="00786914" w:rsidRPr="000E2EB4" w:rsidRDefault="00786914" w:rsidP="0006743B">
            <w:pPr>
              <w:pStyle w:val="TableText"/>
            </w:pPr>
          </w:p>
          <w:p w:rsidR="00786914" w:rsidRPr="000E2EB4" w:rsidRDefault="00786914" w:rsidP="0006743B">
            <w:pPr>
              <w:pStyle w:val="TableText"/>
              <w:rPr>
                <w:rFonts w:cs="Garamond"/>
              </w:rPr>
            </w:pPr>
            <w:r w:rsidRPr="000E2EB4">
              <w:rPr>
                <w:rFonts w:cs="Garamond"/>
              </w:rPr>
              <w:t>Time period of search:</w:t>
            </w:r>
            <w:r>
              <w:rPr>
                <w:rFonts w:cs="Garamond"/>
              </w:rPr>
              <w:t xml:space="preserve"> </w:t>
            </w:r>
            <w:r w:rsidRPr="000E2EB4">
              <w:rPr>
                <w:rFonts w:cs="Garamond"/>
              </w:rPr>
              <w:t>Approx. 2005-2009 (</w:t>
            </w:r>
            <w:r w:rsidRPr="000E2EB4">
              <w:rPr>
                <w:rFonts w:cs="Arial"/>
              </w:rPr>
              <w:t>the article indicates that data w</w:t>
            </w:r>
            <w:r>
              <w:rPr>
                <w:rFonts w:cs="Arial"/>
              </w:rPr>
              <w:t xml:space="preserve">ere </w:t>
            </w:r>
            <w:r w:rsidRPr="000E2EB4">
              <w:rPr>
                <w:rFonts w:cs="Arial"/>
              </w:rPr>
              <w:t xml:space="preserve"> based on a MEDLINE search conducted “over the past 4 years”; the article was received for publication on July 28, 2009.)</w:t>
            </w:r>
          </w:p>
          <w:p w:rsidR="00786914" w:rsidRPr="000E2EB4" w:rsidRDefault="00786914" w:rsidP="0006743B">
            <w:pPr>
              <w:pStyle w:val="TableText"/>
            </w:pPr>
          </w:p>
          <w:p w:rsidR="00786914" w:rsidRPr="000E2EB4" w:rsidRDefault="00786914" w:rsidP="0006743B">
            <w:pPr>
              <w:pStyle w:val="TableText"/>
            </w:pPr>
            <w:r w:rsidRPr="000E2EB4">
              <w:t xml:space="preserve">Comparators: </w:t>
            </w:r>
            <w:r w:rsidRPr="000E2EB4">
              <w:rPr>
                <w:rFonts w:cs="Garamond"/>
              </w:rPr>
              <w:t>HoLEP vs. TURP and OP.</w:t>
            </w:r>
          </w:p>
          <w:p w:rsidR="00786914" w:rsidRPr="000E2EB4" w:rsidRDefault="00786914" w:rsidP="0006743B">
            <w:pPr>
              <w:pStyle w:val="TableText"/>
            </w:pPr>
          </w:p>
          <w:p w:rsidR="00786914" w:rsidRPr="000E2EB4" w:rsidRDefault="00786914" w:rsidP="0006743B">
            <w:pPr>
              <w:pStyle w:val="TableText"/>
            </w:pPr>
            <w:r w:rsidRPr="000E2EB4">
              <w:t>Outcomes: safety, effectiveness.</w:t>
            </w:r>
          </w:p>
        </w:tc>
        <w:tc>
          <w:tcPr>
            <w:tcW w:w="1970" w:type="pct"/>
          </w:tcPr>
          <w:p w:rsidR="00786914" w:rsidRPr="000E2EB4" w:rsidRDefault="00786914" w:rsidP="0006743B">
            <w:pPr>
              <w:pStyle w:val="TableText"/>
              <w:rPr>
                <w:rFonts w:cs="Garamond"/>
              </w:rPr>
            </w:pPr>
            <w:r w:rsidRPr="000E2EB4">
              <w:rPr>
                <w:rFonts w:cs="Garamond"/>
              </w:rPr>
              <w:t>Quality: Low</w:t>
            </w:r>
          </w:p>
          <w:p w:rsidR="00786914" w:rsidRPr="000E2EB4" w:rsidRDefault="00786914" w:rsidP="0006743B">
            <w:pPr>
              <w:pStyle w:val="TableText"/>
              <w:rPr>
                <w:rFonts w:cs="Garamond"/>
              </w:rPr>
            </w:pPr>
            <w:r w:rsidRPr="000E2EB4">
              <w:rPr>
                <w:rFonts w:cs="Garamond"/>
              </w:rPr>
              <w:t>Explicit review questions: No</w:t>
            </w:r>
          </w:p>
          <w:p w:rsidR="00786914" w:rsidRPr="000E2EB4" w:rsidRDefault="00786914" w:rsidP="0006743B">
            <w:pPr>
              <w:pStyle w:val="TableText"/>
              <w:rPr>
                <w:rFonts w:cs="Garamond"/>
              </w:rPr>
            </w:pPr>
            <w:r w:rsidRPr="000E2EB4">
              <w:rPr>
                <w:rFonts w:cs="Garamond"/>
              </w:rPr>
              <w:t>Explicit &amp; appropriate eligibility criteria: No</w:t>
            </w:r>
          </w:p>
          <w:p w:rsidR="00786914" w:rsidRPr="000E2EB4" w:rsidRDefault="00786914" w:rsidP="0006743B">
            <w:pPr>
              <w:pStyle w:val="TableText"/>
              <w:rPr>
                <w:rFonts w:cs="Garamond"/>
              </w:rPr>
            </w:pPr>
            <w:r w:rsidRPr="000E2EB4">
              <w:rPr>
                <w:rFonts w:cs="Garamond"/>
              </w:rPr>
              <w:t>Explicit &amp; comprehensive search strategy: No</w:t>
            </w:r>
          </w:p>
          <w:p w:rsidR="00786914" w:rsidRPr="000E2EB4" w:rsidRDefault="00786914" w:rsidP="0006743B">
            <w:pPr>
              <w:pStyle w:val="TableText"/>
              <w:rPr>
                <w:rFonts w:cs="Garamond"/>
              </w:rPr>
            </w:pPr>
            <w:r w:rsidRPr="000E2EB4">
              <w:rPr>
                <w:rFonts w:cs="Garamond"/>
              </w:rPr>
              <w:t>Quality of included studies appraised: No</w:t>
            </w:r>
          </w:p>
          <w:p w:rsidR="00786914" w:rsidRPr="000E2EB4" w:rsidRDefault="00786914" w:rsidP="0006743B">
            <w:pPr>
              <w:pStyle w:val="TableText"/>
              <w:rPr>
                <w:rFonts w:cs="Garamond"/>
              </w:rPr>
            </w:pPr>
            <w:r w:rsidRPr="000E2EB4">
              <w:rPr>
                <w:rFonts w:cs="Garamond"/>
              </w:rPr>
              <w:t xml:space="preserve">Methods of study appraisal reproducible: No. </w:t>
            </w:r>
          </w:p>
          <w:p w:rsidR="00786914" w:rsidRPr="000E2EB4" w:rsidRDefault="00786914" w:rsidP="0006743B">
            <w:pPr>
              <w:pStyle w:val="TableText"/>
              <w:rPr>
                <w:rFonts w:cs="Garamond"/>
              </w:rPr>
            </w:pPr>
            <w:r w:rsidRPr="000E2EB4">
              <w:rPr>
                <w:rFonts w:cs="Garamond"/>
              </w:rPr>
              <w:t>Heterogeneity between studies assessed: N/A.</w:t>
            </w:r>
          </w:p>
          <w:p w:rsidR="00786914" w:rsidRPr="000E2EB4" w:rsidRDefault="00786914" w:rsidP="0006743B">
            <w:pPr>
              <w:pStyle w:val="TableText"/>
              <w:rPr>
                <w:rFonts w:cs="Garamond"/>
              </w:rPr>
            </w:pPr>
            <w:r w:rsidRPr="000E2EB4">
              <w:rPr>
                <w:rFonts w:cs="Garamond"/>
              </w:rPr>
              <w:t>Summary of main results clear and appropriate: Yes</w:t>
            </w:r>
          </w:p>
          <w:p w:rsidR="00786914" w:rsidRPr="000E2EB4" w:rsidRDefault="00786914" w:rsidP="0006743B">
            <w:pPr>
              <w:pStyle w:val="TableText"/>
              <w:rPr>
                <w:rFonts w:cs="Garamond"/>
              </w:rPr>
            </w:pPr>
          </w:p>
          <w:p w:rsidR="00786914" w:rsidRPr="000E2EB4" w:rsidRDefault="00786914" w:rsidP="0006743B">
            <w:pPr>
              <w:pStyle w:val="TableText"/>
            </w:pPr>
            <w:r w:rsidRPr="000E2EB4">
              <w:rPr>
                <w:rFonts w:cs="Garamond"/>
              </w:rPr>
              <w:t xml:space="preserve">(NB: </w:t>
            </w:r>
            <w:r w:rsidRPr="000E2EB4">
              <w:rPr>
                <w:rFonts w:cs="Arial"/>
                <w:u w:val="single"/>
              </w:rPr>
              <w:t>Levels</w:t>
            </w:r>
            <w:r w:rsidRPr="000E2EB4">
              <w:rPr>
                <w:rFonts w:cs="Arial"/>
              </w:rPr>
              <w:t xml:space="preserve"> of evidence were assessed, however, the </w:t>
            </w:r>
            <w:r w:rsidRPr="000E2EB4">
              <w:rPr>
                <w:rFonts w:cs="Arial"/>
                <w:u w:val="single"/>
              </w:rPr>
              <w:t>quality</w:t>
            </w:r>
            <w:r w:rsidRPr="000E2EB4">
              <w:rPr>
                <w:rFonts w:cs="Arial"/>
              </w:rPr>
              <w:t xml:space="preserve"> of evidence was NOT assessed.)</w:t>
            </w:r>
          </w:p>
        </w:tc>
      </w:tr>
      <w:tr w:rsidR="00786914" w:rsidTr="0006743B">
        <w:tc>
          <w:tcPr>
            <w:tcW w:w="643" w:type="pct"/>
          </w:tcPr>
          <w:p w:rsidR="00786914" w:rsidRPr="00875AB9" w:rsidRDefault="00786914" w:rsidP="0006743B">
            <w:pPr>
              <w:pStyle w:val="TableText"/>
            </w:pPr>
            <w:r w:rsidRPr="00875AB9">
              <w:t>Tan et al</w:t>
            </w:r>
          </w:p>
          <w:p w:rsidR="00786914" w:rsidRPr="00875AB9" w:rsidRDefault="00786914" w:rsidP="0006743B">
            <w:pPr>
              <w:pStyle w:val="TableText"/>
            </w:pPr>
            <w:r w:rsidRPr="00875AB9">
              <w:t xml:space="preserve">2007  </w:t>
            </w:r>
          </w:p>
          <w:p w:rsidR="00786914" w:rsidRPr="00875AB9" w:rsidRDefault="00786914" w:rsidP="0006743B">
            <w:pPr>
              <w:pStyle w:val="TableText"/>
            </w:pPr>
            <w:r w:rsidRPr="00875AB9">
              <w:t>China</w:t>
            </w:r>
          </w:p>
        </w:tc>
        <w:tc>
          <w:tcPr>
            <w:tcW w:w="2388" w:type="pct"/>
          </w:tcPr>
          <w:p w:rsidR="00786914" w:rsidRPr="007045B9" w:rsidRDefault="00786914" w:rsidP="0006743B">
            <w:pPr>
              <w:pStyle w:val="TableText"/>
              <w:rPr>
                <w:rFonts w:cs="Garamond"/>
                <w:highlight w:val="yellow"/>
              </w:rPr>
            </w:pPr>
            <w:r w:rsidRPr="007045B9">
              <w:t xml:space="preserve">Databases searched: </w:t>
            </w:r>
            <w:r w:rsidRPr="007045B9">
              <w:rPr>
                <w:rFonts w:cs="Garamond"/>
              </w:rPr>
              <w:t xml:space="preserve">Medline, Embase and The Cochrane Library. </w:t>
            </w:r>
          </w:p>
          <w:p w:rsidR="00786914" w:rsidRPr="007045B9" w:rsidRDefault="00786914" w:rsidP="0006743B">
            <w:pPr>
              <w:pStyle w:val="TableText"/>
            </w:pPr>
          </w:p>
          <w:p w:rsidR="00786914" w:rsidRPr="007045B9" w:rsidRDefault="00786914" w:rsidP="0006743B">
            <w:pPr>
              <w:pStyle w:val="TableText"/>
              <w:rPr>
                <w:rFonts w:cs="Garamond"/>
              </w:rPr>
            </w:pPr>
            <w:r w:rsidRPr="007045B9">
              <w:rPr>
                <w:rFonts w:cs="Garamond"/>
              </w:rPr>
              <w:t>Time period of search: 1990</w:t>
            </w:r>
            <w:r>
              <w:rPr>
                <w:rFonts w:cs="Garamond"/>
              </w:rPr>
              <w:t>–</w:t>
            </w:r>
            <w:r w:rsidRPr="007045B9">
              <w:rPr>
                <w:rFonts w:cs="Garamond"/>
              </w:rPr>
              <w:t>2007.</w:t>
            </w:r>
          </w:p>
          <w:p w:rsidR="00786914" w:rsidRPr="007045B9" w:rsidRDefault="00786914" w:rsidP="0006743B">
            <w:pPr>
              <w:pStyle w:val="TableText"/>
            </w:pPr>
          </w:p>
          <w:p w:rsidR="00786914" w:rsidRPr="007045B9" w:rsidRDefault="00786914" w:rsidP="0006743B">
            <w:pPr>
              <w:pStyle w:val="TableText"/>
              <w:rPr>
                <w:rFonts w:cs="Garamond"/>
              </w:rPr>
            </w:pPr>
            <w:r w:rsidRPr="007045B9">
              <w:t xml:space="preserve">Comparators: </w:t>
            </w:r>
            <w:r w:rsidRPr="007045B9">
              <w:rPr>
                <w:rFonts w:cs="Garamond"/>
              </w:rPr>
              <w:t>HoLEP v</w:t>
            </w:r>
            <w:r>
              <w:rPr>
                <w:rFonts w:cs="Garamond"/>
              </w:rPr>
              <w:t>ersu</w:t>
            </w:r>
            <w:r w:rsidRPr="007045B9">
              <w:rPr>
                <w:rFonts w:cs="Garamond"/>
              </w:rPr>
              <w:t>s TURP</w:t>
            </w:r>
          </w:p>
          <w:p w:rsidR="00786914" w:rsidRPr="007045B9" w:rsidRDefault="00786914" w:rsidP="0006743B">
            <w:pPr>
              <w:pStyle w:val="TableText"/>
            </w:pPr>
          </w:p>
          <w:p w:rsidR="00786914" w:rsidRPr="007045B9" w:rsidRDefault="00786914" w:rsidP="0006743B">
            <w:pPr>
              <w:pStyle w:val="TableText"/>
            </w:pPr>
            <w:r w:rsidRPr="007045B9">
              <w:t>Outcomes:</w:t>
            </w:r>
            <w:r>
              <w:t xml:space="preserve"> </w:t>
            </w:r>
            <w:r w:rsidRPr="007045B9">
              <w:t>Safety, effectiveness, cost-effectiveness</w:t>
            </w:r>
          </w:p>
        </w:tc>
        <w:tc>
          <w:tcPr>
            <w:tcW w:w="1970" w:type="pct"/>
          </w:tcPr>
          <w:p w:rsidR="00786914" w:rsidRPr="007045B9" w:rsidRDefault="00786914" w:rsidP="0006743B">
            <w:pPr>
              <w:pStyle w:val="TableText"/>
              <w:rPr>
                <w:rFonts w:cs="Garamond"/>
              </w:rPr>
            </w:pPr>
            <w:r w:rsidRPr="007045B9">
              <w:rPr>
                <w:rFonts w:cs="Garamond"/>
              </w:rPr>
              <w:t>Quality: Fair</w:t>
            </w:r>
          </w:p>
          <w:p w:rsidR="00786914" w:rsidRPr="007045B9" w:rsidRDefault="00786914" w:rsidP="0006743B">
            <w:pPr>
              <w:pStyle w:val="TableText"/>
              <w:rPr>
                <w:rFonts w:cs="Garamond"/>
              </w:rPr>
            </w:pPr>
            <w:r w:rsidRPr="007045B9">
              <w:rPr>
                <w:rFonts w:cs="Garamond"/>
              </w:rPr>
              <w:t>Explicit review questions: Yes</w:t>
            </w:r>
          </w:p>
          <w:p w:rsidR="00786914" w:rsidRPr="007045B9" w:rsidRDefault="00786914" w:rsidP="0006743B">
            <w:pPr>
              <w:pStyle w:val="TableText"/>
              <w:rPr>
                <w:rFonts w:cs="Garamond"/>
              </w:rPr>
            </w:pPr>
            <w:r w:rsidRPr="007045B9">
              <w:rPr>
                <w:rFonts w:cs="Garamond"/>
              </w:rPr>
              <w:t>Explicit &amp; appropriate eligibility criteria: Yes</w:t>
            </w:r>
          </w:p>
          <w:p w:rsidR="00786914" w:rsidRPr="007045B9" w:rsidRDefault="00786914" w:rsidP="0006743B">
            <w:pPr>
              <w:pStyle w:val="TableText"/>
              <w:rPr>
                <w:rFonts w:cs="Garamond"/>
              </w:rPr>
            </w:pPr>
            <w:r w:rsidRPr="007045B9">
              <w:rPr>
                <w:rFonts w:cs="Garamond"/>
              </w:rPr>
              <w:t>Explicit &amp; comprehensive search strategy:  No</w:t>
            </w:r>
          </w:p>
          <w:p w:rsidR="00786914" w:rsidRPr="007045B9" w:rsidRDefault="00786914" w:rsidP="0006743B">
            <w:pPr>
              <w:pStyle w:val="TableText"/>
              <w:rPr>
                <w:rFonts w:cs="Garamond"/>
              </w:rPr>
            </w:pPr>
            <w:r w:rsidRPr="007045B9">
              <w:rPr>
                <w:rFonts w:cs="Garamond"/>
              </w:rPr>
              <w:t>Quality of included studies appraised:  Yes</w:t>
            </w:r>
          </w:p>
          <w:p w:rsidR="00786914" w:rsidRPr="007045B9" w:rsidRDefault="00786914" w:rsidP="0006743B">
            <w:pPr>
              <w:pStyle w:val="TableText"/>
              <w:rPr>
                <w:rFonts w:cs="Garamond"/>
              </w:rPr>
            </w:pPr>
            <w:r w:rsidRPr="007045B9">
              <w:rPr>
                <w:rFonts w:cs="Garamond"/>
              </w:rPr>
              <w:t xml:space="preserve">Methods of study appraisal reproducible: Yes. </w:t>
            </w:r>
          </w:p>
          <w:p w:rsidR="00786914" w:rsidRPr="007045B9" w:rsidRDefault="00786914" w:rsidP="0006743B">
            <w:pPr>
              <w:pStyle w:val="TableText"/>
              <w:rPr>
                <w:rFonts w:cs="Garamond"/>
              </w:rPr>
            </w:pPr>
            <w:r w:rsidRPr="007045B9">
              <w:rPr>
                <w:rFonts w:cs="Garamond"/>
              </w:rPr>
              <w:t xml:space="preserve">Heterogeneity between studies assessed: Yes </w:t>
            </w:r>
          </w:p>
          <w:p w:rsidR="00786914" w:rsidRPr="007045B9" w:rsidRDefault="00786914" w:rsidP="0006743B">
            <w:pPr>
              <w:pStyle w:val="TableText"/>
              <w:rPr>
                <w:rFonts w:cs="Garamond"/>
              </w:rPr>
            </w:pPr>
            <w:r w:rsidRPr="007045B9">
              <w:rPr>
                <w:rFonts w:cs="Garamond"/>
              </w:rPr>
              <w:t>Summary of main results clear and appropriate:  No</w:t>
            </w:r>
          </w:p>
          <w:p w:rsidR="00786914" w:rsidRPr="007045B9" w:rsidRDefault="00786914" w:rsidP="0006743B">
            <w:pPr>
              <w:pStyle w:val="TableText"/>
            </w:pPr>
          </w:p>
          <w:p w:rsidR="00786914" w:rsidRPr="007045B9" w:rsidRDefault="00786914" w:rsidP="0006743B">
            <w:pPr>
              <w:pStyle w:val="TableText"/>
            </w:pPr>
            <w:r w:rsidRPr="007045B9">
              <w:t xml:space="preserve">(NB: Has no PICO or actual explicit review questions, but does provide </w:t>
            </w:r>
            <w:r w:rsidRPr="00875AB9">
              <w:t>very clear</w:t>
            </w:r>
            <w:r w:rsidRPr="007045B9">
              <w:t xml:space="preserve"> inclusion criteria (page 1202))</w:t>
            </w:r>
          </w:p>
        </w:tc>
      </w:tr>
    </w:tbl>
    <w:p w:rsidR="00786914" w:rsidRDefault="00786914" w:rsidP="0006743B">
      <w:pPr>
        <w:rPr>
          <w:rFonts w:ascii="Times New Roman" w:hAnsi="Times New Roman"/>
          <w:szCs w:val="24"/>
        </w:rPr>
      </w:pPr>
    </w:p>
    <w:p w:rsidR="00786914" w:rsidRPr="004C6B15" w:rsidRDefault="00786914" w:rsidP="0006743B">
      <w:pPr>
        <w:pStyle w:val="Heading1"/>
      </w:pPr>
      <w:bookmarkStart w:id="420" w:name="_Toc323642313"/>
      <w:bookmarkStart w:id="421" w:name="_Toc327877938"/>
      <w:bookmarkStart w:id="422" w:name="_Toc365900601"/>
      <w:r>
        <w:lastRenderedPageBreak/>
        <w:t xml:space="preserve">Appendix </w:t>
      </w:r>
      <w:r w:rsidR="007C5D64">
        <w:t>E</w:t>
      </w:r>
      <w:r>
        <w:tab/>
      </w:r>
      <w:r w:rsidRPr="004C6B15">
        <w:t>Excluded studies</w:t>
      </w:r>
      <w:bookmarkEnd w:id="420"/>
      <w:bookmarkEnd w:id="421"/>
      <w:bookmarkEnd w:id="422"/>
    </w:p>
    <w:p w:rsidR="00786914" w:rsidRPr="00611E0E" w:rsidRDefault="00786914" w:rsidP="0006743B">
      <w:pPr>
        <w:rPr>
          <w:b/>
        </w:rPr>
      </w:pPr>
      <w:r w:rsidRPr="00611E0E">
        <w:rPr>
          <w:b/>
        </w:rPr>
        <w:t xml:space="preserve">Wrong publication type </w:t>
      </w:r>
    </w:p>
    <w:p w:rsidR="00786914" w:rsidRPr="00EB5AB2" w:rsidRDefault="00786914" w:rsidP="0006743B">
      <w:pPr>
        <w:pStyle w:val="ListParagraph"/>
        <w:numPr>
          <w:ilvl w:val="0"/>
          <w:numId w:val="8"/>
        </w:numPr>
        <w:rPr>
          <w:rFonts w:cs="Garamond"/>
          <w:sz w:val="22"/>
          <w:szCs w:val="24"/>
        </w:rPr>
      </w:pPr>
      <w:r w:rsidRPr="00EB5AB2">
        <w:rPr>
          <w:rFonts w:cs="Garamond"/>
          <w:sz w:val="22"/>
          <w:szCs w:val="24"/>
        </w:rPr>
        <w:t>Aho, TF &amp; Gilling, PJ</w:t>
      </w:r>
      <w:r>
        <w:rPr>
          <w:rFonts w:cs="Garamond"/>
          <w:sz w:val="22"/>
          <w:szCs w:val="24"/>
        </w:rPr>
        <w:t>,</w:t>
      </w:r>
      <w:r w:rsidRPr="00EB5AB2">
        <w:rPr>
          <w:rFonts w:cs="Garamond"/>
          <w:sz w:val="22"/>
          <w:szCs w:val="24"/>
        </w:rPr>
        <w:t xml:space="preserve"> 2008. ‘Current techniques for laser prostatectomy-PVP and HoLEP’, </w:t>
      </w:r>
      <w:r w:rsidRPr="00EB5AB2">
        <w:rPr>
          <w:rFonts w:cs="Garamond"/>
          <w:i/>
          <w:iCs/>
          <w:sz w:val="22"/>
          <w:szCs w:val="24"/>
        </w:rPr>
        <w:t xml:space="preserve">Archivosespanoles de urologia, </w:t>
      </w:r>
      <w:r w:rsidRPr="00EB5AB2">
        <w:rPr>
          <w:rFonts w:cs="Garamond"/>
          <w:iCs/>
          <w:sz w:val="22"/>
          <w:szCs w:val="24"/>
        </w:rPr>
        <w:t>61,</w:t>
      </w:r>
      <w:r w:rsidRPr="00EB5AB2">
        <w:rPr>
          <w:rFonts w:cs="Garamond"/>
          <w:sz w:val="22"/>
          <w:szCs w:val="24"/>
        </w:rPr>
        <w:t xml:space="preserve"> 1005-1013.</w:t>
      </w:r>
    </w:p>
    <w:p w:rsidR="00786914" w:rsidRPr="001376A6" w:rsidRDefault="00786914" w:rsidP="0006743B">
      <w:pPr>
        <w:numPr>
          <w:ilvl w:val="0"/>
          <w:numId w:val="8"/>
        </w:numPr>
      </w:pPr>
      <w:r w:rsidRPr="001376A6">
        <w:t>Centre for Reviews and Dissemination</w:t>
      </w:r>
      <w:r>
        <w:t>, 2</w:t>
      </w:r>
      <w:r w:rsidRPr="001376A6">
        <w:t xml:space="preserve">006. </w:t>
      </w:r>
      <w:r>
        <w:t>‘</w:t>
      </w:r>
      <w:r w:rsidRPr="001376A6">
        <w:t>A clinical outcomes and cost analysis comparing photoselective vaporization of the prostate to alternative minimally invasive therapies and transurethral prostate resection for the treatment of benign prostatic hyperplasia (Structured abstract)</w:t>
      </w:r>
      <w:r>
        <w:t>’</w:t>
      </w:r>
      <w:r w:rsidRPr="001376A6">
        <w:t>[</w:t>
      </w:r>
      <w:r>
        <w:t>internet</w:t>
      </w:r>
      <w:r w:rsidRPr="001376A6">
        <w:t>]. NHS Economic Evaluation Database (NHSEED).</w:t>
      </w:r>
      <w:r>
        <w:t xml:space="preserve"> Available from: </w:t>
      </w:r>
      <w:hyperlink r:id="rId89" w:tooltip="Ms Anne McKenzie-- Healthcare Consumer - Consumer Health Forum" w:history="1">
        <w:r w:rsidRPr="00EF0342">
          <w:rPr>
            <w:rStyle w:val="Hyperlink"/>
          </w:rPr>
          <w:t>http://www.ncbi.nlm.nih.gov/pubmed/16952668</w:t>
        </w:r>
      </w:hyperlink>
      <w:r>
        <w:t xml:space="preserve"> [accessed 26 April 2012].</w:t>
      </w:r>
    </w:p>
    <w:p w:rsidR="00786914" w:rsidRPr="001376A6" w:rsidRDefault="00786914" w:rsidP="0006743B">
      <w:pPr>
        <w:numPr>
          <w:ilvl w:val="0"/>
          <w:numId w:val="8"/>
        </w:numPr>
      </w:pPr>
      <w:r w:rsidRPr="001376A6">
        <w:t>Centre for Reviews and Dissemination</w:t>
      </w:r>
      <w:r>
        <w:t>, 2003.</w:t>
      </w:r>
      <w:r w:rsidRPr="001376A6">
        <w:t xml:space="preserve"> </w:t>
      </w:r>
      <w:r>
        <w:t>‘</w:t>
      </w:r>
      <w:r w:rsidRPr="001376A6">
        <w:t>A systematic review of holmium laser prostatectomy (Structured abstract)</w:t>
      </w:r>
      <w:r>
        <w:t>’</w:t>
      </w:r>
      <w:r w:rsidRPr="001376A6">
        <w:t>. Database of Abstracts of Reviews of Effects [</w:t>
      </w:r>
      <w:r>
        <w:t>internet</w:t>
      </w:r>
      <w:r w:rsidRPr="001376A6">
        <w:t>]</w:t>
      </w:r>
      <w:r>
        <w:t xml:space="preserve">. Available from: </w:t>
      </w:r>
      <w:hyperlink r:id="rId90" w:tooltip="3. Centre for Reviews and Dissemination," w:history="1">
        <w:r w:rsidRPr="00CA26D2">
          <w:rPr>
            <w:rStyle w:val="Hyperlink"/>
          </w:rPr>
          <w:t>http://www.crd.york.ac.uk/crdweb/ShowRecord.asp?AccessionNumber=12003008492&amp;UserID=0</w:t>
        </w:r>
      </w:hyperlink>
      <w:r>
        <w:t xml:space="preserve"> [accessed 30 April 2012].</w:t>
      </w:r>
    </w:p>
    <w:p w:rsidR="00786914" w:rsidRPr="001376A6" w:rsidRDefault="00786914" w:rsidP="0006743B">
      <w:pPr>
        <w:numPr>
          <w:ilvl w:val="0"/>
          <w:numId w:val="8"/>
        </w:numPr>
      </w:pPr>
      <w:r w:rsidRPr="001376A6">
        <w:t>Centre for Reviews and Dissemination</w:t>
      </w:r>
      <w:r>
        <w:t>, 2000. ‘</w:t>
      </w:r>
      <w:r w:rsidRPr="001376A6">
        <w:t>A systematic review of the clinical efficacy and effectiveness of the holmium: YAG laser in urology (Structured abstract)</w:t>
      </w:r>
      <w:r>
        <w:t>’</w:t>
      </w:r>
      <w:r w:rsidRPr="001376A6">
        <w:t>. Database of Abstracts of Reviews of Effects [</w:t>
      </w:r>
      <w:r>
        <w:t>internet</w:t>
      </w:r>
      <w:r w:rsidRPr="001376A6">
        <w:t>]</w:t>
      </w:r>
      <w:r>
        <w:t xml:space="preserve">. Available from: </w:t>
      </w:r>
      <w:hyperlink r:id="rId91" w:tooltip="3. Centre for Reviews and Dissemination," w:history="1">
        <w:r w:rsidRPr="00CA26D2">
          <w:rPr>
            <w:rStyle w:val="Hyperlink"/>
          </w:rPr>
          <w:t>http://www.crd.york.ac.uk/crdweb/ShowRecord.asp?AccessionNumber=11999004093&amp;UserID=0</w:t>
        </w:r>
      </w:hyperlink>
      <w:r>
        <w:t xml:space="preserve"> [accessed 30 April 2012].</w:t>
      </w:r>
    </w:p>
    <w:p w:rsidR="00786914" w:rsidRPr="001376A6" w:rsidRDefault="00786914" w:rsidP="0006743B">
      <w:pPr>
        <w:numPr>
          <w:ilvl w:val="0"/>
          <w:numId w:val="8"/>
        </w:numPr>
      </w:pPr>
      <w:r w:rsidRPr="001376A6">
        <w:t>Centre for Reviews and Dissemination</w:t>
      </w:r>
      <w:r>
        <w:t>, 2008. ‘</w:t>
      </w:r>
      <w:r w:rsidRPr="001376A6">
        <w:t>Alternative approaches to endoscopic ablation for benign enlargement of the prostate: systematic review of randomised controlled trials (Structured abstract)</w:t>
      </w:r>
      <w:r>
        <w:t>’</w:t>
      </w:r>
      <w:r w:rsidRPr="001376A6">
        <w:t>. Database of Abstracts of Reviews of Effects [</w:t>
      </w:r>
      <w:r>
        <w:t>internet</w:t>
      </w:r>
      <w:r w:rsidRPr="001376A6">
        <w:t>]</w:t>
      </w:r>
      <w:r>
        <w:t xml:space="preserve">. Available from: </w:t>
      </w:r>
      <w:hyperlink r:id="rId92" w:tooltip="3. Centre for Reviews and Dissemination," w:history="1">
        <w:r w:rsidRPr="00CA26D2">
          <w:rPr>
            <w:rStyle w:val="Hyperlink"/>
          </w:rPr>
          <w:t>http://www.crd.york.ac.uk/crdweb/ShowRecord.asp?AccessionNumber=12008103393&amp;UserID=0</w:t>
        </w:r>
      </w:hyperlink>
      <w:r>
        <w:t xml:space="preserve"> [accessed 30 April 2012].</w:t>
      </w:r>
    </w:p>
    <w:p w:rsidR="00786914" w:rsidRPr="001376A6" w:rsidRDefault="00786914" w:rsidP="0006743B">
      <w:pPr>
        <w:numPr>
          <w:ilvl w:val="0"/>
          <w:numId w:val="8"/>
        </w:numPr>
      </w:pPr>
      <w:r w:rsidRPr="001376A6">
        <w:t>Centre for Reviews and Dissemination</w:t>
      </w:r>
      <w:r>
        <w:t>, 2009.</w:t>
      </w:r>
      <w:r w:rsidRPr="001376A6">
        <w:t xml:space="preserve"> </w:t>
      </w:r>
      <w:r>
        <w:t>‘</w:t>
      </w:r>
      <w:r w:rsidRPr="001376A6">
        <w:t>Efficacy and safety of holmium laser prostatectomy: a systematic review (Provisional abstract)</w:t>
      </w:r>
      <w:r>
        <w:t>’</w:t>
      </w:r>
      <w:r w:rsidRPr="001376A6">
        <w:t>. Database of Abstracts of Reviews of Effects</w:t>
      </w:r>
      <w:r>
        <w:t xml:space="preserve"> [internet]. Available from: </w:t>
      </w:r>
      <w:hyperlink r:id="rId93" w:tooltip="This is a link to York University UK" w:history="1">
        <w:r w:rsidRPr="00CA26D2">
          <w:rPr>
            <w:rStyle w:val="Hyperlink"/>
          </w:rPr>
          <w:t>http://www.crd.york.ac.uk/crdweb/ShowRecord.asp?AccessionNumber=12005000394&amp;UserID=0</w:t>
        </w:r>
      </w:hyperlink>
      <w:r>
        <w:t xml:space="preserve"> [accessed 30 April 2012].</w:t>
      </w:r>
    </w:p>
    <w:p w:rsidR="00786914" w:rsidRPr="00333968" w:rsidRDefault="00786914" w:rsidP="0006743B">
      <w:pPr>
        <w:numPr>
          <w:ilvl w:val="0"/>
          <w:numId w:val="8"/>
        </w:numPr>
      </w:pPr>
      <w:r w:rsidRPr="001376A6">
        <w:t>Centre for Reviews and Dissemination</w:t>
      </w:r>
      <w:r>
        <w:t>, 2004. ‘</w:t>
      </w:r>
      <w:r w:rsidRPr="001376A6">
        <w:t>Laser prostatectomy versus transurethral resection for treating benign prostatic obstruction: a systematic review (Structured abstract)</w:t>
      </w:r>
      <w:r>
        <w:t>’</w:t>
      </w:r>
      <w:r w:rsidRPr="001376A6">
        <w:t xml:space="preserve">. Database of Abstracts of Reviews of Effects </w:t>
      </w:r>
      <w:r>
        <w:t>[internet]. Available from:</w:t>
      </w:r>
      <w:r w:rsidRPr="00333968">
        <w:t xml:space="preserve"> </w:t>
      </w:r>
      <w:hyperlink r:id="rId94" w:tooltip="This is a link to York University UK" w:history="1">
        <w:r w:rsidRPr="00CA26D2">
          <w:rPr>
            <w:rStyle w:val="Hyperlink"/>
          </w:rPr>
          <w:t>http://www.crd.york.ac.uk/crdweb/ShowRecord.asp?AccessionNumber=12003000176&amp;UserID=0</w:t>
        </w:r>
      </w:hyperlink>
      <w:r>
        <w:t xml:space="preserve">  [accessed 30 April 2012].</w:t>
      </w:r>
    </w:p>
    <w:p w:rsidR="00786914" w:rsidRPr="001376A6" w:rsidRDefault="00786914" w:rsidP="0006743B">
      <w:pPr>
        <w:numPr>
          <w:ilvl w:val="0"/>
          <w:numId w:val="8"/>
        </w:numPr>
      </w:pPr>
      <w:r w:rsidRPr="001376A6">
        <w:t>Centre for Reviews and Dissemination</w:t>
      </w:r>
      <w:r>
        <w:t>, 2</w:t>
      </w:r>
      <w:r w:rsidRPr="001376A6">
        <w:t xml:space="preserve">011. </w:t>
      </w:r>
      <w:r>
        <w:t>‘</w:t>
      </w:r>
      <w:r w:rsidRPr="001376A6">
        <w:t>Meta-analysis of functional outcomes and complications following transurethral procedures for lower urinary tract symptoms resulting from benign prostatic enlargement (Structured abstract)</w:t>
      </w:r>
      <w:r>
        <w:t>’</w:t>
      </w:r>
      <w:r w:rsidRPr="001376A6">
        <w:t>. Database of Abstracts of Reviews of Effects</w:t>
      </w:r>
      <w:r>
        <w:t xml:space="preserve"> [internet]. Available from: </w:t>
      </w:r>
      <w:hyperlink r:id="rId95" w:tooltip="This is a link to York University UK" w:history="1">
        <w:r w:rsidRPr="00CA26D2">
          <w:rPr>
            <w:rStyle w:val="Hyperlink"/>
          </w:rPr>
          <w:t>http://www.crd.york.ac.uk/crdweb/ShowRecord.asp?AccessionNumber=12010006327&amp;UserID=0</w:t>
        </w:r>
      </w:hyperlink>
      <w:r>
        <w:t xml:space="preserve">  [accessed 30 April 2012].</w:t>
      </w:r>
    </w:p>
    <w:p w:rsidR="00786914" w:rsidRPr="001376A6" w:rsidRDefault="00786914" w:rsidP="0006743B">
      <w:pPr>
        <w:numPr>
          <w:ilvl w:val="0"/>
          <w:numId w:val="8"/>
        </w:numPr>
      </w:pPr>
      <w:r w:rsidRPr="001376A6">
        <w:rPr>
          <w:rFonts w:cs="Garamond"/>
          <w:szCs w:val="24"/>
        </w:rPr>
        <w:t>Centre for Reviews and Dissemination</w:t>
      </w:r>
      <w:r>
        <w:rPr>
          <w:rFonts w:cs="Garamond"/>
          <w:szCs w:val="24"/>
        </w:rPr>
        <w:t>, 2</w:t>
      </w:r>
      <w:r w:rsidRPr="001376A6">
        <w:rPr>
          <w:rFonts w:cs="Garamond"/>
          <w:szCs w:val="24"/>
        </w:rPr>
        <w:t xml:space="preserve">009. </w:t>
      </w:r>
      <w:r>
        <w:rPr>
          <w:rFonts w:cs="Garamond"/>
          <w:szCs w:val="24"/>
        </w:rPr>
        <w:t>‘</w:t>
      </w:r>
      <w:r w:rsidRPr="001376A6">
        <w:rPr>
          <w:rFonts w:cs="Garamond"/>
          <w:szCs w:val="24"/>
        </w:rPr>
        <w:t>Surgical treatments for men with benign prostatic enlargement: cost-effectiveness study (Structured abstract)</w:t>
      </w:r>
      <w:r>
        <w:rPr>
          <w:rFonts w:cs="Garamond"/>
          <w:szCs w:val="24"/>
        </w:rPr>
        <w:t>’</w:t>
      </w:r>
      <w:r w:rsidRPr="001376A6">
        <w:rPr>
          <w:rFonts w:cs="Garamond"/>
          <w:szCs w:val="24"/>
        </w:rPr>
        <w:t>. NHS Economic Evaluation Database (NHSEED)</w:t>
      </w:r>
      <w:r>
        <w:rPr>
          <w:rFonts w:cs="Garamond"/>
          <w:szCs w:val="24"/>
        </w:rPr>
        <w:t xml:space="preserve"> </w:t>
      </w:r>
      <w:r>
        <w:t xml:space="preserve">[internet]. Available from: </w:t>
      </w:r>
      <w:hyperlink r:id="rId96" w:tooltip="3. Centre for Reviews and Dissemination," w:history="1">
        <w:r w:rsidRPr="00CA26D2">
          <w:rPr>
            <w:rStyle w:val="Hyperlink"/>
          </w:rPr>
          <w:t>http://www.crd.york.ac.uk/crdweb/ShowRecord.asp?AccessionNumber=22009101385&amp;UserID=0</w:t>
        </w:r>
      </w:hyperlink>
      <w:r>
        <w:t xml:space="preserve"> [accessed 30 April 2012].</w:t>
      </w:r>
    </w:p>
    <w:p w:rsidR="00786914" w:rsidRPr="001376A6" w:rsidRDefault="00786914" w:rsidP="0006743B">
      <w:pPr>
        <w:numPr>
          <w:ilvl w:val="0"/>
          <w:numId w:val="8"/>
        </w:numPr>
      </w:pPr>
      <w:r w:rsidRPr="001376A6">
        <w:rPr>
          <w:rFonts w:cs="Garamond"/>
          <w:szCs w:val="24"/>
        </w:rPr>
        <w:t>Centre for Reviews and Dissemination</w:t>
      </w:r>
      <w:r>
        <w:rPr>
          <w:rFonts w:cs="Garamond"/>
          <w:szCs w:val="24"/>
        </w:rPr>
        <w:t>, 2009. ‘</w:t>
      </w:r>
      <w:r w:rsidRPr="001376A6">
        <w:rPr>
          <w:rFonts w:cs="Garamond"/>
          <w:szCs w:val="24"/>
        </w:rPr>
        <w:t>Systematic review and economic modelling of effectiveness and cost utility of surgical treatments for men with benign prostatic enlargement (Structured abstract)</w:t>
      </w:r>
      <w:r>
        <w:rPr>
          <w:rFonts w:cs="Garamond"/>
          <w:szCs w:val="24"/>
        </w:rPr>
        <w:t>’</w:t>
      </w:r>
      <w:r w:rsidRPr="001376A6">
        <w:rPr>
          <w:rFonts w:cs="Garamond"/>
          <w:szCs w:val="24"/>
        </w:rPr>
        <w:t>. Database of Abstracts of Reviews of Effects</w:t>
      </w:r>
      <w:r>
        <w:rPr>
          <w:rFonts w:cs="Garamond"/>
          <w:szCs w:val="24"/>
        </w:rPr>
        <w:t xml:space="preserve"> </w:t>
      </w:r>
      <w:r>
        <w:t xml:space="preserve">[internet]. Available from: </w:t>
      </w:r>
      <w:hyperlink r:id="rId97" w:tooltip="This is a link to York University UK" w:history="1">
        <w:r w:rsidRPr="00CA26D2">
          <w:rPr>
            <w:rStyle w:val="Hyperlink"/>
          </w:rPr>
          <w:t>http://www.crd.york.ac.uk/crdweb/ShowRecord.asp?AccessionNumber=12009102367&amp;UserID=0</w:t>
        </w:r>
      </w:hyperlink>
      <w:r>
        <w:t xml:space="preserve"> [accessed 30 April 2012].</w:t>
      </w:r>
    </w:p>
    <w:p w:rsidR="00786914" w:rsidRPr="001376A6" w:rsidRDefault="00786914" w:rsidP="0006743B">
      <w:pPr>
        <w:numPr>
          <w:ilvl w:val="0"/>
          <w:numId w:val="8"/>
        </w:numPr>
      </w:pPr>
      <w:r w:rsidRPr="001376A6">
        <w:rPr>
          <w:rFonts w:cs="Garamond"/>
          <w:szCs w:val="24"/>
        </w:rPr>
        <w:t>Centre for Reviews and Dissemination</w:t>
      </w:r>
      <w:r>
        <w:rPr>
          <w:rFonts w:cs="Garamond"/>
          <w:szCs w:val="24"/>
        </w:rPr>
        <w:t>, 2</w:t>
      </w:r>
      <w:r w:rsidRPr="001376A6">
        <w:rPr>
          <w:rFonts w:cs="Garamond"/>
          <w:szCs w:val="24"/>
        </w:rPr>
        <w:t xml:space="preserve">011. </w:t>
      </w:r>
      <w:r>
        <w:rPr>
          <w:rFonts w:cs="Garamond"/>
          <w:szCs w:val="24"/>
        </w:rPr>
        <w:t>‘</w:t>
      </w:r>
      <w:r w:rsidRPr="001376A6">
        <w:rPr>
          <w:rFonts w:cs="Garamond"/>
          <w:szCs w:val="24"/>
        </w:rPr>
        <w:t>Systematic review and meta-analysis of transurethral resection of the prostate versus minimally invasive procedures for the treatment of benign prostatic obstruction (Structured abstract)</w:t>
      </w:r>
      <w:r>
        <w:rPr>
          <w:rFonts w:cs="Garamond"/>
          <w:szCs w:val="24"/>
        </w:rPr>
        <w:t>’</w:t>
      </w:r>
      <w:r w:rsidRPr="001376A6">
        <w:rPr>
          <w:rFonts w:cs="Garamond"/>
          <w:szCs w:val="24"/>
        </w:rPr>
        <w:t xml:space="preserve">. Database of Abstracts of Reviews of Effects </w:t>
      </w:r>
      <w:r>
        <w:t xml:space="preserve">[internet]. Available from:  </w:t>
      </w:r>
      <w:hyperlink r:id="rId98" w:tooltip="This is a link to York University UK" w:history="1">
        <w:r w:rsidRPr="00CA26D2">
          <w:rPr>
            <w:rStyle w:val="Hyperlink"/>
          </w:rPr>
          <w:t>http://www.crd.york.ac.uk/crdweb/ShowRecord.asp?AccessionNumber=12010003874&amp;UserID=0</w:t>
        </w:r>
      </w:hyperlink>
      <w:r>
        <w:t xml:space="preserve">  [accessed 30 April 2012].</w:t>
      </w:r>
    </w:p>
    <w:p w:rsidR="00786914" w:rsidRPr="001376A6" w:rsidRDefault="00786914" w:rsidP="0006743B">
      <w:pPr>
        <w:numPr>
          <w:ilvl w:val="0"/>
          <w:numId w:val="8"/>
        </w:numPr>
      </w:pPr>
      <w:r w:rsidRPr="001376A6">
        <w:rPr>
          <w:rFonts w:cs="Garamond"/>
          <w:szCs w:val="24"/>
        </w:rPr>
        <w:t>Centre for Reviews and Dissemination</w:t>
      </w:r>
      <w:r>
        <w:rPr>
          <w:rFonts w:cs="Garamond"/>
          <w:szCs w:val="24"/>
        </w:rPr>
        <w:t>, 2003. ‘</w:t>
      </w:r>
      <w:r w:rsidRPr="001376A6">
        <w:rPr>
          <w:rFonts w:cs="Garamond"/>
          <w:szCs w:val="24"/>
        </w:rPr>
        <w:t>Systematic review of minimally invasive techniques for relief of bladder outflow obstruction: update and re-appraisal (Structured abstract)</w:t>
      </w:r>
      <w:r>
        <w:rPr>
          <w:rFonts w:cs="Garamond"/>
          <w:szCs w:val="24"/>
        </w:rPr>
        <w:t>’</w:t>
      </w:r>
      <w:r w:rsidRPr="001376A6">
        <w:rPr>
          <w:rFonts w:cs="Garamond"/>
          <w:szCs w:val="24"/>
        </w:rPr>
        <w:t>. Database of Abstracts of Reviews of Effects</w:t>
      </w:r>
      <w:r>
        <w:rPr>
          <w:rFonts w:cs="Garamond"/>
          <w:szCs w:val="24"/>
        </w:rPr>
        <w:t xml:space="preserve"> </w:t>
      </w:r>
      <w:r>
        <w:t xml:space="preserve">[internet]. Available from: </w:t>
      </w:r>
      <w:hyperlink r:id="rId99" w:tooltip="This is a link to York University UK" w:history="1">
        <w:r w:rsidRPr="00CA26D2">
          <w:rPr>
            <w:rStyle w:val="Hyperlink"/>
          </w:rPr>
          <w:t>http://www.crd.york.ac.uk/crdweb/ShowRecord.asp?AccessionNumber=12002008381&amp;UserID=0</w:t>
        </w:r>
      </w:hyperlink>
      <w:r>
        <w:t xml:space="preserve"> [accessed 30 April 2012].</w:t>
      </w:r>
    </w:p>
    <w:p w:rsidR="00786914" w:rsidRPr="001376A6" w:rsidRDefault="00786914" w:rsidP="0006743B">
      <w:pPr>
        <w:numPr>
          <w:ilvl w:val="0"/>
          <w:numId w:val="8"/>
        </w:numPr>
      </w:pPr>
      <w:r w:rsidRPr="001376A6">
        <w:rPr>
          <w:rFonts w:cs="Garamond"/>
          <w:szCs w:val="24"/>
        </w:rPr>
        <w:t>Djavan B, Eckersberger E, Handl MJ, Brandner R, Sadri H,Lepor H</w:t>
      </w:r>
      <w:r>
        <w:rPr>
          <w:rFonts w:cs="Garamond"/>
          <w:szCs w:val="24"/>
        </w:rPr>
        <w:t>, 2</w:t>
      </w:r>
      <w:r w:rsidRPr="001376A6">
        <w:rPr>
          <w:rFonts w:cs="Garamond"/>
          <w:szCs w:val="24"/>
        </w:rPr>
        <w:t xml:space="preserve">010. </w:t>
      </w:r>
      <w:r>
        <w:rPr>
          <w:rFonts w:cs="Garamond"/>
          <w:szCs w:val="24"/>
        </w:rPr>
        <w:t>‘</w:t>
      </w:r>
      <w:r w:rsidRPr="001376A6">
        <w:rPr>
          <w:rFonts w:cs="Garamond"/>
          <w:szCs w:val="24"/>
        </w:rPr>
        <w:t xml:space="preserve">Durability and </w:t>
      </w:r>
      <w:r>
        <w:rPr>
          <w:rFonts w:cs="Garamond"/>
          <w:szCs w:val="24"/>
        </w:rPr>
        <w:t>re-treatment</w:t>
      </w:r>
      <w:r w:rsidRPr="001376A6">
        <w:rPr>
          <w:rFonts w:cs="Garamond"/>
          <w:szCs w:val="24"/>
        </w:rPr>
        <w:t xml:space="preserve"> rates of minimal invasive treatments of benign prostatic hyperplasia: a cross-analysis of the literature</w:t>
      </w:r>
      <w:r>
        <w:rPr>
          <w:rFonts w:cs="Garamond"/>
          <w:szCs w:val="24"/>
        </w:rPr>
        <w:t>’,</w:t>
      </w:r>
      <w:r w:rsidRPr="001376A6">
        <w:rPr>
          <w:rFonts w:cs="Garamond"/>
          <w:i/>
          <w:iCs/>
          <w:szCs w:val="24"/>
        </w:rPr>
        <w:t xml:space="preserve">The Canadian </w:t>
      </w:r>
      <w:r>
        <w:rPr>
          <w:rFonts w:cs="Garamond"/>
          <w:i/>
          <w:iCs/>
          <w:szCs w:val="24"/>
        </w:rPr>
        <w:t>J</w:t>
      </w:r>
      <w:r w:rsidRPr="001376A6">
        <w:rPr>
          <w:rFonts w:cs="Garamond"/>
          <w:i/>
          <w:iCs/>
          <w:szCs w:val="24"/>
        </w:rPr>
        <w:t xml:space="preserve">ournal of </w:t>
      </w:r>
      <w:r>
        <w:rPr>
          <w:rFonts w:cs="Garamond"/>
          <w:i/>
          <w:iCs/>
          <w:szCs w:val="24"/>
        </w:rPr>
        <w:t>U</w:t>
      </w:r>
      <w:r w:rsidRPr="001376A6">
        <w:rPr>
          <w:rFonts w:cs="Garamond"/>
          <w:i/>
          <w:iCs/>
          <w:szCs w:val="24"/>
        </w:rPr>
        <w:t xml:space="preserve">rology, </w:t>
      </w:r>
      <w:r w:rsidRPr="00EB5AB2">
        <w:rPr>
          <w:rFonts w:cs="Garamond"/>
          <w:iCs/>
          <w:szCs w:val="24"/>
        </w:rPr>
        <w:t>17,</w:t>
      </w:r>
      <w:r w:rsidRPr="001376A6">
        <w:rPr>
          <w:rFonts w:cs="Garamond"/>
          <w:szCs w:val="24"/>
        </w:rPr>
        <w:t xml:space="preserve"> 5249-5254.</w:t>
      </w:r>
    </w:p>
    <w:p w:rsidR="00786914" w:rsidRPr="001376A6" w:rsidRDefault="00786914" w:rsidP="0006743B">
      <w:pPr>
        <w:numPr>
          <w:ilvl w:val="0"/>
          <w:numId w:val="8"/>
        </w:numPr>
      </w:pPr>
      <w:r w:rsidRPr="001376A6">
        <w:rPr>
          <w:rFonts w:cs="Garamond"/>
          <w:szCs w:val="24"/>
        </w:rPr>
        <w:t>Fayad AS, El Sheikh MG, Zakaria T, Elfottoh HA, Alsergany R</w:t>
      </w:r>
      <w:r>
        <w:rPr>
          <w:rFonts w:cs="Garamond"/>
          <w:szCs w:val="24"/>
        </w:rPr>
        <w:t>,</w:t>
      </w:r>
      <w:r w:rsidRPr="001376A6">
        <w:rPr>
          <w:rFonts w:cs="Garamond"/>
          <w:szCs w:val="24"/>
        </w:rPr>
        <w:t xml:space="preserve"> 2011. </w:t>
      </w:r>
      <w:r>
        <w:rPr>
          <w:rFonts w:cs="Garamond"/>
          <w:szCs w:val="24"/>
        </w:rPr>
        <w:t>‘</w:t>
      </w:r>
      <w:r w:rsidRPr="001376A6">
        <w:rPr>
          <w:rFonts w:cs="Garamond"/>
          <w:szCs w:val="24"/>
        </w:rPr>
        <w:t xml:space="preserve">Holmium laser enucleation versus bipolar resection of the prostate: A prospective randomized study. </w:t>
      </w:r>
      <w:r>
        <w:rPr>
          <w:rFonts w:cs="Garamond"/>
          <w:szCs w:val="24"/>
        </w:rPr>
        <w:t>W</w:t>
      </w:r>
      <w:r w:rsidRPr="001376A6">
        <w:rPr>
          <w:rFonts w:cs="Garamond"/>
          <w:szCs w:val="24"/>
        </w:rPr>
        <w:t>hich to choose?</w:t>
      </w:r>
      <w:r>
        <w:rPr>
          <w:rFonts w:cs="Garamond"/>
          <w:szCs w:val="24"/>
        </w:rPr>
        <w:t xml:space="preserve">’, </w:t>
      </w:r>
      <w:r w:rsidRPr="001376A6">
        <w:rPr>
          <w:rFonts w:cs="Garamond"/>
          <w:i/>
          <w:iCs/>
          <w:szCs w:val="24"/>
        </w:rPr>
        <w:t>Journal of Endourology</w:t>
      </w:r>
      <w:r w:rsidRPr="00EB5AB2">
        <w:rPr>
          <w:rFonts w:cs="Garamond"/>
          <w:iCs/>
          <w:szCs w:val="24"/>
        </w:rPr>
        <w:t>, 25,</w:t>
      </w:r>
      <w:r>
        <w:rPr>
          <w:rFonts w:cs="Garamond"/>
          <w:iCs/>
          <w:szCs w:val="24"/>
        </w:rPr>
        <w:t xml:space="preserve"> </w:t>
      </w:r>
      <w:r w:rsidRPr="001376A6">
        <w:rPr>
          <w:rFonts w:cs="Garamond"/>
          <w:szCs w:val="24"/>
        </w:rPr>
        <w:t>1347-1352.</w:t>
      </w:r>
    </w:p>
    <w:p w:rsidR="00786914" w:rsidRPr="001376A6" w:rsidRDefault="00786914" w:rsidP="0006743B">
      <w:pPr>
        <w:numPr>
          <w:ilvl w:val="0"/>
          <w:numId w:val="8"/>
        </w:numPr>
      </w:pPr>
      <w:r w:rsidRPr="001376A6">
        <w:rPr>
          <w:rFonts w:cs="Garamond"/>
          <w:szCs w:val="24"/>
        </w:rPr>
        <w:t>Gravas S, Bachmann A, Reich O, Roehrborn CG, Gilling PJ, De La Rosette J</w:t>
      </w:r>
      <w:r>
        <w:rPr>
          <w:rFonts w:cs="Garamond"/>
          <w:szCs w:val="24"/>
        </w:rPr>
        <w:t>, 2</w:t>
      </w:r>
      <w:r w:rsidRPr="001376A6">
        <w:rPr>
          <w:rFonts w:cs="Garamond"/>
          <w:szCs w:val="24"/>
        </w:rPr>
        <w:t xml:space="preserve">011. </w:t>
      </w:r>
      <w:r>
        <w:rPr>
          <w:rFonts w:cs="Garamond"/>
          <w:szCs w:val="24"/>
        </w:rPr>
        <w:t>‘</w:t>
      </w:r>
      <w:r w:rsidRPr="001376A6">
        <w:rPr>
          <w:rFonts w:cs="Garamond"/>
          <w:szCs w:val="24"/>
        </w:rPr>
        <w:t>Critical review of lasers in benign prostatic hyperplasia (BPH)</w:t>
      </w:r>
      <w:r>
        <w:rPr>
          <w:rFonts w:cs="Garamond"/>
          <w:szCs w:val="24"/>
        </w:rPr>
        <w:t xml:space="preserve">’, </w:t>
      </w:r>
      <w:r w:rsidRPr="001376A6">
        <w:rPr>
          <w:rFonts w:cs="Garamond"/>
          <w:i/>
          <w:iCs/>
          <w:szCs w:val="24"/>
        </w:rPr>
        <w:t>BJU International</w:t>
      </w:r>
      <w:r w:rsidRPr="00EB5AB2">
        <w:rPr>
          <w:rFonts w:cs="Garamond"/>
          <w:iCs/>
          <w:szCs w:val="24"/>
        </w:rPr>
        <w:t>, 107,</w:t>
      </w:r>
      <w:r w:rsidRPr="001376A6">
        <w:rPr>
          <w:rFonts w:cs="Garamond"/>
          <w:szCs w:val="24"/>
        </w:rPr>
        <w:t xml:space="preserve"> 1030-1043.</w:t>
      </w:r>
    </w:p>
    <w:p w:rsidR="00786914" w:rsidRPr="001376A6" w:rsidRDefault="00786914" w:rsidP="0006743B">
      <w:pPr>
        <w:numPr>
          <w:ilvl w:val="0"/>
          <w:numId w:val="8"/>
        </w:numPr>
      </w:pPr>
      <w:r w:rsidRPr="001376A6">
        <w:rPr>
          <w:rFonts w:cs="Garamond"/>
          <w:szCs w:val="24"/>
        </w:rPr>
        <w:t>Kacker R &amp; Williams SB</w:t>
      </w:r>
      <w:r>
        <w:rPr>
          <w:rFonts w:cs="Garamond"/>
          <w:szCs w:val="24"/>
        </w:rPr>
        <w:t>, 2</w:t>
      </w:r>
      <w:r w:rsidRPr="001376A6">
        <w:rPr>
          <w:rFonts w:cs="Garamond"/>
          <w:szCs w:val="24"/>
        </w:rPr>
        <w:t xml:space="preserve">011. </w:t>
      </w:r>
      <w:r>
        <w:rPr>
          <w:rFonts w:cs="Garamond"/>
          <w:szCs w:val="24"/>
        </w:rPr>
        <w:t>‘</w:t>
      </w:r>
      <w:r w:rsidRPr="001376A6">
        <w:rPr>
          <w:rFonts w:cs="Garamond"/>
          <w:szCs w:val="24"/>
        </w:rPr>
        <w:t>Endourologic procedures for benign prostatic hyperplasia: review of indications and outcomes</w:t>
      </w:r>
      <w:r>
        <w:rPr>
          <w:rFonts w:cs="Garamond"/>
          <w:szCs w:val="24"/>
        </w:rPr>
        <w:t xml:space="preserve">’, </w:t>
      </w:r>
      <w:r w:rsidRPr="001376A6">
        <w:rPr>
          <w:rFonts w:cs="Garamond"/>
          <w:i/>
          <w:iCs/>
          <w:szCs w:val="24"/>
        </w:rPr>
        <w:t>Urology Journal</w:t>
      </w:r>
      <w:r w:rsidRPr="00EB5AB2">
        <w:rPr>
          <w:rFonts w:cs="Garamond"/>
          <w:iCs/>
          <w:szCs w:val="24"/>
        </w:rPr>
        <w:t>, 8,</w:t>
      </w:r>
      <w:r w:rsidRPr="001376A6">
        <w:rPr>
          <w:rFonts w:cs="Garamond"/>
          <w:szCs w:val="24"/>
        </w:rPr>
        <w:t xml:space="preserve"> 171-176.</w:t>
      </w:r>
    </w:p>
    <w:p w:rsidR="00786914" w:rsidRPr="001376A6" w:rsidRDefault="00786914" w:rsidP="0006743B">
      <w:pPr>
        <w:numPr>
          <w:ilvl w:val="0"/>
          <w:numId w:val="8"/>
        </w:numPr>
      </w:pPr>
      <w:r w:rsidRPr="001376A6">
        <w:rPr>
          <w:rFonts w:cs="Garamond"/>
          <w:szCs w:val="24"/>
        </w:rPr>
        <w:t>Krambeck AE</w:t>
      </w:r>
      <w:r>
        <w:rPr>
          <w:rFonts w:cs="Garamond"/>
          <w:szCs w:val="24"/>
        </w:rPr>
        <w:t>, 2</w:t>
      </w:r>
      <w:r w:rsidRPr="001376A6">
        <w:rPr>
          <w:rFonts w:cs="Garamond"/>
          <w:szCs w:val="24"/>
        </w:rPr>
        <w:t xml:space="preserve">010. </w:t>
      </w:r>
      <w:r>
        <w:rPr>
          <w:rFonts w:cs="Garamond"/>
          <w:szCs w:val="24"/>
        </w:rPr>
        <w:t>‘</w:t>
      </w:r>
      <w:r w:rsidRPr="001376A6">
        <w:rPr>
          <w:rFonts w:cs="Garamond"/>
          <w:szCs w:val="24"/>
        </w:rPr>
        <w:t>Evolution and success of holmium laser enucleation of the prostate</w:t>
      </w:r>
      <w:r>
        <w:rPr>
          <w:rFonts w:cs="Garamond"/>
          <w:szCs w:val="24"/>
        </w:rPr>
        <w:t xml:space="preserve">’, </w:t>
      </w:r>
      <w:r w:rsidRPr="001376A6">
        <w:rPr>
          <w:rFonts w:cs="Garamond"/>
          <w:i/>
          <w:iCs/>
          <w:szCs w:val="24"/>
        </w:rPr>
        <w:t>Indian Journal of Urology</w:t>
      </w:r>
      <w:r w:rsidRPr="00EB5AB2">
        <w:rPr>
          <w:rFonts w:cs="Garamond"/>
          <w:iCs/>
          <w:szCs w:val="24"/>
        </w:rPr>
        <w:t>, 26,</w:t>
      </w:r>
      <w:r w:rsidRPr="001376A6">
        <w:rPr>
          <w:rFonts w:cs="Garamond"/>
          <w:szCs w:val="24"/>
        </w:rPr>
        <w:t xml:space="preserve"> 404-409.</w:t>
      </w:r>
    </w:p>
    <w:p w:rsidR="00786914" w:rsidRPr="001376A6" w:rsidRDefault="00786914" w:rsidP="0006743B">
      <w:pPr>
        <w:numPr>
          <w:ilvl w:val="0"/>
          <w:numId w:val="8"/>
        </w:numPr>
      </w:pPr>
      <w:r w:rsidRPr="001376A6">
        <w:rPr>
          <w:rFonts w:cs="Garamond"/>
          <w:szCs w:val="24"/>
        </w:rPr>
        <w:t>Kuntz RM</w:t>
      </w:r>
      <w:r>
        <w:rPr>
          <w:rFonts w:cs="Garamond"/>
          <w:szCs w:val="24"/>
        </w:rPr>
        <w:t>, 2</w:t>
      </w:r>
      <w:r w:rsidRPr="001376A6">
        <w:rPr>
          <w:rFonts w:cs="Garamond"/>
          <w:szCs w:val="24"/>
        </w:rPr>
        <w:t xml:space="preserve">006. </w:t>
      </w:r>
      <w:r>
        <w:rPr>
          <w:rFonts w:cs="Garamond"/>
          <w:szCs w:val="24"/>
        </w:rPr>
        <w:t>‘</w:t>
      </w:r>
      <w:r w:rsidRPr="001376A6">
        <w:rPr>
          <w:rFonts w:cs="Garamond"/>
          <w:szCs w:val="24"/>
        </w:rPr>
        <w:t xml:space="preserve">Current </w:t>
      </w:r>
      <w:r>
        <w:rPr>
          <w:rFonts w:cs="Garamond"/>
          <w:szCs w:val="24"/>
        </w:rPr>
        <w:t>r</w:t>
      </w:r>
      <w:r w:rsidRPr="001376A6">
        <w:rPr>
          <w:rFonts w:cs="Garamond"/>
          <w:szCs w:val="24"/>
        </w:rPr>
        <w:t xml:space="preserve">ole of </w:t>
      </w:r>
      <w:r>
        <w:rPr>
          <w:rFonts w:cs="Garamond"/>
          <w:szCs w:val="24"/>
        </w:rPr>
        <w:t>l</w:t>
      </w:r>
      <w:r w:rsidRPr="001376A6">
        <w:rPr>
          <w:rFonts w:cs="Garamond"/>
          <w:szCs w:val="24"/>
        </w:rPr>
        <w:t xml:space="preserve">asers in the </w:t>
      </w:r>
      <w:r>
        <w:rPr>
          <w:rFonts w:cs="Garamond"/>
          <w:szCs w:val="24"/>
        </w:rPr>
        <w:t>t</w:t>
      </w:r>
      <w:r w:rsidRPr="001376A6">
        <w:rPr>
          <w:rFonts w:cs="Garamond"/>
          <w:szCs w:val="24"/>
        </w:rPr>
        <w:t xml:space="preserve">reatment of </w:t>
      </w:r>
      <w:r>
        <w:rPr>
          <w:rFonts w:cs="Garamond"/>
          <w:szCs w:val="24"/>
        </w:rPr>
        <w:t>b</w:t>
      </w:r>
      <w:r w:rsidRPr="001376A6">
        <w:rPr>
          <w:rFonts w:cs="Garamond"/>
          <w:szCs w:val="24"/>
        </w:rPr>
        <w:t xml:space="preserve">enign </w:t>
      </w:r>
      <w:r>
        <w:rPr>
          <w:rFonts w:cs="Garamond"/>
          <w:szCs w:val="24"/>
        </w:rPr>
        <w:t>p</w:t>
      </w:r>
      <w:r w:rsidRPr="001376A6">
        <w:rPr>
          <w:rFonts w:cs="Garamond"/>
          <w:szCs w:val="24"/>
        </w:rPr>
        <w:t xml:space="preserve">rostatic </w:t>
      </w:r>
      <w:r>
        <w:rPr>
          <w:rFonts w:cs="Garamond"/>
          <w:szCs w:val="24"/>
        </w:rPr>
        <w:t>h</w:t>
      </w:r>
      <w:r w:rsidRPr="001376A6">
        <w:rPr>
          <w:rFonts w:cs="Garamond"/>
          <w:szCs w:val="24"/>
        </w:rPr>
        <w:t>yperplasia (BPH)</w:t>
      </w:r>
      <w:r>
        <w:rPr>
          <w:rFonts w:cs="Garamond"/>
          <w:szCs w:val="24"/>
        </w:rPr>
        <w:t xml:space="preserve">’, </w:t>
      </w:r>
      <w:r w:rsidRPr="001376A6">
        <w:rPr>
          <w:rFonts w:cs="Garamond"/>
          <w:i/>
          <w:iCs/>
          <w:szCs w:val="24"/>
        </w:rPr>
        <w:t>European Urology</w:t>
      </w:r>
      <w:r w:rsidRPr="00EB5AB2">
        <w:rPr>
          <w:rFonts w:cs="Garamond"/>
          <w:iCs/>
          <w:szCs w:val="24"/>
        </w:rPr>
        <w:t>,</w:t>
      </w:r>
      <w:r>
        <w:rPr>
          <w:rFonts w:cs="Garamond"/>
          <w:iCs/>
          <w:szCs w:val="24"/>
        </w:rPr>
        <w:t xml:space="preserve"> </w:t>
      </w:r>
      <w:r w:rsidRPr="00EB5AB2">
        <w:rPr>
          <w:rFonts w:cs="Garamond"/>
          <w:iCs/>
          <w:szCs w:val="24"/>
        </w:rPr>
        <w:t>49</w:t>
      </w:r>
      <w:r w:rsidRPr="001376A6">
        <w:rPr>
          <w:rFonts w:cs="Garamond"/>
          <w:i/>
          <w:iCs/>
          <w:szCs w:val="24"/>
        </w:rPr>
        <w:t>,</w:t>
      </w:r>
      <w:r w:rsidRPr="001376A6">
        <w:rPr>
          <w:rFonts w:cs="Garamond"/>
          <w:szCs w:val="24"/>
        </w:rPr>
        <w:t xml:space="preserve"> 961-969.</w:t>
      </w:r>
    </w:p>
    <w:p w:rsidR="00786914" w:rsidRPr="001376A6" w:rsidRDefault="00786914" w:rsidP="0006743B">
      <w:pPr>
        <w:numPr>
          <w:ilvl w:val="0"/>
          <w:numId w:val="8"/>
        </w:numPr>
        <w:rPr>
          <w:rFonts w:cs="Garamond"/>
          <w:szCs w:val="24"/>
        </w:rPr>
      </w:pPr>
      <w:r w:rsidRPr="001376A6">
        <w:rPr>
          <w:rFonts w:cs="Garamond"/>
          <w:szCs w:val="24"/>
        </w:rPr>
        <w:lastRenderedPageBreak/>
        <w:t>Kuntz RM</w:t>
      </w:r>
      <w:r>
        <w:rPr>
          <w:rFonts w:cs="Garamond"/>
          <w:szCs w:val="24"/>
        </w:rPr>
        <w:t>, 2</w:t>
      </w:r>
      <w:r w:rsidRPr="001376A6">
        <w:rPr>
          <w:rFonts w:cs="Garamond"/>
          <w:szCs w:val="24"/>
        </w:rPr>
        <w:t xml:space="preserve">007. </w:t>
      </w:r>
      <w:r>
        <w:rPr>
          <w:rFonts w:cs="Garamond"/>
          <w:szCs w:val="24"/>
        </w:rPr>
        <w:t>‘</w:t>
      </w:r>
      <w:r w:rsidRPr="001376A6">
        <w:rPr>
          <w:rFonts w:cs="Garamond"/>
          <w:szCs w:val="24"/>
        </w:rPr>
        <w:t>Laser treatment of benign prostatic hyperplasia</w:t>
      </w:r>
      <w:r>
        <w:rPr>
          <w:rFonts w:cs="Garamond"/>
          <w:szCs w:val="24"/>
        </w:rPr>
        <w:t xml:space="preserve">’, </w:t>
      </w:r>
      <w:r w:rsidRPr="001376A6">
        <w:rPr>
          <w:rFonts w:cs="Garamond"/>
          <w:i/>
          <w:iCs/>
          <w:szCs w:val="24"/>
        </w:rPr>
        <w:t xml:space="preserve">World Journal of Urology, </w:t>
      </w:r>
      <w:r w:rsidRPr="00EB5AB2">
        <w:rPr>
          <w:rFonts w:cs="Garamond"/>
          <w:iCs/>
          <w:szCs w:val="24"/>
        </w:rPr>
        <w:t>25,</w:t>
      </w:r>
      <w:r w:rsidRPr="001376A6">
        <w:rPr>
          <w:rFonts w:cs="Garamond"/>
          <w:szCs w:val="24"/>
        </w:rPr>
        <w:t xml:space="preserve"> 241-247.</w:t>
      </w:r>
    </w:p>
    <w:p w:rsidR="00786914" w:rsidRPr="001376A6" w:rsidRDefault="00786914" w:rsidP="0006743B">
      <w:pPr>
        <w:numPr>
          <w:ilvl w:val="0"/>
          <w:numId w:val="8"/>
        </w:numPr>
        <w:rPr>
          <w:rFonts w:cs="Garamond"/>
          <w:szCs w:val="24"/>
        </w:rPr>
      </w:pPr>
      <w:r w:rsidRPr="00EB5AB2">
        <w:rPr>
          <w:rFonts w:cs="Garamond"/>
          <w:szCs w:val="24"/>
          <w:lang w:val="fr-FR"/>
        </w:rPr>
        <w:t xml:space="preserve">Matlaga BR, Miller NL, Lingeman JE, 2007. </w:t>
      </w:r>
      <w:r>
        <w:rPr>
          <w:rFonts w:cs="Garamond"/>
          <w:szCs w:val="24"/>
        </w:rPr>
        <w:t>‘</w:t>
      </w:r>
      <w:r w:rsidRPr="001376A6">
        <w:rPr>
          <w:rFonts w:cs="Garamond"/>
          <w:szCs w:val="24"/>
        </w:rPr>
        <w:t>Holmium laser treatment of benign prostatic hyperplasia: An update</w:t>
      </w:r>
      <w:r>
        <w:rPr>
          <w:rFonts w:cs="Garamond"/>
          <w:szCs w:val="24"/>
        </w:rPr>
        <w:t xml:space="preserve">’, </w:t>
      </w:r>
      <w:r w:rsidRPr="001376A6">
        <w:rPr>
          <w:rFonts w:cs="Garamond"/>
          <w:i/>
          <w:iCs/>
          <w:szCs w:val="24"/>
        </w:rPr>
        <w:t xml:space="preserve">Current Opinion in Urology, </w:t>
      </w:r>
      <w:r w:rsidRPr="00EB5AB2">
        <w:rPr>
          <w:rFonts w:cs="Garamond"/>
          <w:iCs/>
          <w:szCs w:val="24"/>
        </w:rPr>
        <w:t>17,</w:t>
      </w:r>
      <w:r w:rsidRPr="001376A6">
        <w:rPr>
          <w:rFonts w:cs="Garamond"/>
          <w:szCs w:val="24"/>
        </w:rPr>
        <w:t xml:space="preserve"> 27-31.</w:t>
      </w:r>
    </w:p>
    <w:p w:rsidR="00786914" w:rsidRPr="001376A6" w:rsidRDefault="00786914" w:rsidP="0006743B">
      <w:pPr>
        <w:numPr>
          <w:ilvl w:val="0"/>
          <w:numId w:val="8"/>
        </w:numPr>
        <w:rPr>
          <w:rFonts w:cs="Garamond"/>
          <w:szCs w:val="24"/>
        </w:rPr>
      </w:pPr>
      <w:r w:rsidRPr="001376A6">
        <w:rPr>
          <w:rFonts w:cs="Garamond"/>
          <w:szCs w:val="24"/>
        </w:rPr>
        <w:t>McNicholas T &amp; Kirby R</w:t>
      </w:r>
      <w:r>
        <w:rPr>
          <w:rFonts w:cs="Garamond"/>
          <w:szCs w:val="24"/>
        </w:rPr>
        <w:t>, 2011. ‘</w:t>
      </w:r>
      <w:r w:rsidRPr="001376A6">
        <w:rPr>
          <w:rFonts w:cs="Garamond"/>
          <w:szCs w:val="24"/>
        </w:rPr>
        <w:t>Benign prostatic hyperplasia and male lower urinary tract symptoms (LUTS)</w:t>
      </w:r>
      <w:r>
        <w:rPr>
          <w:rFonts w:cs="Garamond"/>
          <w:szCs w:val="24"/>
        </w:rPr>
        <w:t>’</w:t>
      </w:r>
      <w:r w:rsidRPr="001376A6">
        <w:rPr>
          <w:rFonts w:cs="Garamond"/>
          <w:szCs w:val="24"/>
        </w:rPr>
        <w:t xml:space="preserve">. </w:t>
      </w:r>
      <w:r w:rsidRPr="001376A6">
        <w:rPr>
          <w:rFonts w:cs="Garamond"/>
          <w:i/>
          <w:iCs/>
          <w:szCs w:val="24"/>
        </w:rPr>
        <w:t>Clinical Evidence</w:t>
      </w:r>
      <w:r w:rsidRPr="001376A6">
        <w:rPr>
          <w:rFonts w:cs="Garamond"/>
          <w:szCs w:val="24"/>
        </w:rPr>
        <w:t>.</w:t>
      </w:r>
      <w:r>
        <w:rPr>
          <w:rFonts w:cs="Garamond"/>
          <w:szCs w:val="24"/>
        </w:rPr>
        <w:t xml:space="preserve"> Available from: </w:t>
      </w:r>
      <w:hyperlink r:id="rId100" w:tooltip="This is a link to Best practise BMJ website" w:history="1">
        <w:r w:rsidRPr="00CA26D2">
          <w:rPr>
            <w:rStyle w:val="Hyperlink"/>
            <w:rFonts w:cs="Garamond"/>
            <w:szCs w:val="24"/>
          </w:rPr>
          <w:t>http://bestpractice.bmj.com/best-practice/evidence/1801.html</w:t>
        </w:r>
      </w:hyperlink>
      <w:r>
        <w:rPr>
          <w:rFonts w:cs="Garamond"/>
          <w:szCs w:val="24"/>
        </w:rPr>
        <w:t xml:space="preserve"> </w:t>
      </w:r>
      <w:r>
        <w:t>[accessed 30 April 2012].</w:t>
      </w:r>
    </w:p>
    <w:p w:rsidR="00786914" w:rsidRPr="001376A6" w:rsidRDefault="00786914" w:rsidP="0006743B">
      <w:pPr>
        <w:numPr>
          <w:ilvl w:val="0"/>
          <w:numId w:val="8"/>
        </w:numPr>
        <w:rPr>
          <w:rFonts w:cs="Garamond"/>
          <w:szCs w:val="24"/>
        </w:rPr>
      </w:pPr>
      <w:r w:rsidRPr="001376A6">
        <w:rPr>
          <w:rFonts w:cs="Garamond"/>
          <w:szCs w:val="24"/>
        </w:rPr>
        <w:t>Reich O, Gratzke C, Stief CG</w:t>
      </w:r>
      <w:r>
        <w:rPr>
          <w:rFonts w:cs="Garamond"/>
          <w:szCs w:val="24"/>
        </w:rPr>
        <w:t>, 2</w:t>
      </w:r>
      <w:r w:rsidRPr="001376A6">
        <w:rPr>
          <w:rFonts w:cs="Garamond"/>
          <w:szCs w:val="24"/>
        </w:rPr>
        <w:t xml:space="preserve">006. </w:t>
      </w:r>
      <w:r>
        <w:rPr>
          <w:rFonts w:cs="Garamond"/>
          <w:szCs w:val="24"/>
        </w:rPr>
        <w:t>‘</w:t>
      </w:r>
      <w:r w:rsidRPr="001376A6">
        <w:rPr>
          <w:rFonts w:cs="Garamond"/>
          <w:szCs w:val="24"/>
        </w:rPr>
        <w:t xml:space="preserve">Techniques and </w:t>
      </w:r>
      <w:r>
        <w:rPr>
          <w:rFonts w:cs="Garamond"/>
          <w:szCs w:val="24"/>
        </w:rPr>
        <w:t>l</w:t>
      </w:r>
      <w:r w:rsidRPr="001376A6">
        <w:rPr>
          <w:rFonts w:cs="Garamond"/>
          <w:szCs w:val="24"/>
        </w:rPr>
        <w:t>ong-</w:t>
      </w:r>
      <w:r>
        <w:rPr>
          <w:rFonts w:cs="Garamond"/>
          <w:szCs w:val="24"/>
        </w:rPr>
        <w:t>t</w:t>
      </w:r>
      <w:r w:rsidRPr="001376A6">
        <w:rPr>
          <w:rFonts w:cs="Garamond"/>
          <w:szCs w:val="24"/>
        </w:rPr>
        <w:t xml:space="preserve">erm </w:t>
      </w:r>
      <w:r>
        <w:rPr>
          <w:rFonts w:cs="Garamond"/>
          <w:szCs w:val="24"/>
        </w:rPr>
        <w:t>r</w:t>
      </w:r>
      <w:r w:rsidRPr="001376A6">
        <w:rPr>
          <w:rFonts w:cs="Garamond"/>
          <w:szCs w:val="24"/>
        </w:rPr>
        <w:t xml:space="preserve">esults of </w:t>
      </w:r>
      <w:r>
        <w:rPr>
          <w:rFonts w:cs="Garamond"/>
          <w:szCs w:val="24"/>
        </w:rPr>
        <w:t>s</w:t>
      </w:r>
      <w:r w:rsidRPr="001376A6">
        <w:rPr>
          <w:rFonts w:cs="Garamond"/>
          <w:szCs w:val="24"/>
        </w:rPr>
        <w:t xml:space="preserve">urgical </w:t>
      </w:r>
      <w:r>
        <w:rPr>
          <w:rFonts w:cs="Garamond"/>
          <w:szCs w:val="24"/>
        </w:rPr>
        <w:t>p</w:t>
      </w:r>
      <w:r w:rsidRPr="001376A6">
        <w:rPr>
          <w:rFonts w:cs="Garamond"/>
          <w:szCs w:val="24"/>
        </w:rPr>
        <w:t>rocedures for BPH</w:t>
      </w:r>
      <w:r>
        <w:rPr>
          <w:rFonts w:cs="Garamond"/>
          <w:szCs w:val="24"/>
        </w:rPr>
        <w:t xml:space="preserve">’, </w:t>
      </w:r>
      <w:r w:rsidRPr="001376A6">
        <w:rPr>
          <w:rFonts w:cs="Garamond"/>
          <w:i/>
          <w:iCs/>
          <w:szCs w:val="24"/>
        </w:rPr>
        <w:t xml:space="preserve">European Urology, </w:t>
      </w:r>
      <w:r w:rsidRPr="00EB5AB2">
        <w:rPr>
          <w:rFonts w:cs="Garamond"/>
          <w:iCs/>
          <w:szCs w:val="24"/>
        </w:rPr>
        <w:t>49,</w:t>
      </w:r>
      <w:r w:rsidRPr="001376A6">
        <w:rPr>
          <w:rFonts w:cs="Garamond"/>
          <w:szCs w:val="24"/>
        </w:rPr>
        <w:t xml:space="preserve"> 970-978.</w:t>
      </w:r>
    </w:p>
    <w:p w:rsidR="00786914" w:rsidRPr="001376A6" w:rsidRDefault="00786914" w:rsidP="0006743B">
      <w:pPr>
        <w:numPr>
          <w:ilvl w:val="0"/>
          <w:numId w:val="8"/>
        </w:numPr>
        <w:rPr>
          <w:rFonts w:cs="Garamond"/>
          <w:szCs w:val="24"/>
        </w:rPr>
      </w:pPr>
      <w:r w:rsidRPr="001376A6">
        <w:rPr>
          <w:rFonts w:cs="Garamond"/>
          <w:szCs w:val="24"/>
        </w:rPr>
        <w:t>Seki N &amp; Naito S</w:t>
      </w:r>
      <w:r>
        <w:rPr>
          <w:rFonts w:cs="Garamond"/>
          <w:szCs w:val="24"/>
        </w:rPr>
        <w:t>, 2</w:t>
      </w:r>
      <w:r w:rsidRPr="001376A6">
        <w:rPr>
          <w:rFonts w:cs="Garamond"/>
          <w:szCs w:val="24"/>
        </w:rPr>
        <w:t xml:space="preserve">008. </w:t>
      </w:r>
      <w:r>
        <w:rPr>
          <w:rFonts w:cs="Garamond"/>
          <w:szCs w:val="24"/>
        </w:rPr>
        <w:t>‘</w:t>
      </w:r>
      <w:r w:rsidRPr="001376A6">
        <w:rPr>
          <w:rFonts w:cs="Garamond"/>
          <w:szCs w:val="24"/>
        </w:rPr>
        <w:t>Holmium laser for benign prostatic hyperplasia</w:t>
      </w:r>
      <w:r>
        <w:rPr>
          <w:rFonts w:cs="Garamond"/>
          <w:szCs w:val="24"/>
        </w:rPr>
        <w:t xml:space="preserve">’, </w:t>
      </w:r>
      <w:r w:rsidRPr="001376A6">
        <w:rPr>
          <w:rFonts w:cs="Garamond"/>
          <w:i/>
          <w:iCs/>
          <w:szCs w:val="24"/>
        </w:rPr>
        <w:t xml:space="preserve">Current Opinion in Urology, </w:t>
      </w:r>
      <w:r w:rsidRPr="00EB5AB2">
        <w:rPr>
          <w:rFonts w:cs="Garamond"/>
          <w:iCs/>
          <w:szCs w:val="24"/>
        </w:rPr>
        <w:t>18,</w:t>
      </w:r>
      <w:r w:rsidRPr="001376A6">
        <w:rPr>
          <w:rFonts w:cs="Garamond"/>
          <w:szCs w:val="24"/>
        </w:rPr>
        <w:t xml:space="preserve"> 41-45.</w:t>
      </w:r>
    </w:p>
    <w:p w:rsidR="00786914" w:rsidRPr="001376A6" w:rsidRDefault="00786914" w:rsidP="0006743B">
      <w:pPr>
        <w:numPr>
          <w:ilvl w:val="0"/>
          <w:numId w:val="8"/>
        </w:numPr>
        <w:rPr>
          <w:rFonts w:cs="Garamond"/>
          <w:szCs w:val="24"/>
        </w:rPr>
      </w:pPr>
      <w:r w:rsidRPr="001376A6">
        <w:rPr>
          <w:rFonts w:cs="Garamond"/>
          <w:szCs w:val="24"/>
        </w:rPr>
        <w:t>Seki N &amp; Naito S</w:t>
      </w:r>
      <w:r>
        <w:rPr>
          <w:rFonts w:cs="Garamond"/>
          <w:szCs w:val="24"/>
        </w:rPr>
        <w:t>, 2</w:t>
      </w:r>
      <w:r w:rsidRPr="001376A6">
        <w:rPr>
          <w:rFonts w:cs="Garamond"/>
          <w:szCs w:val="24"/>
        </w:rPr>
        <w:t xml:space="preserve">007. </w:t>
      </w:r>
      <w:r>
        <w:rPr>
          <w:rFonts w:cs="Garamond"/>
          <w:szCs w:val="24"/>
        </w:rPr>
        <w:t>‘</w:t>
      </w:r>
      <w:r w:rsidRPr="001376A6">
        <w:rPr>
          <w:rFonts w:cs="Garamond"/>
          <w:szCs w:val="24"/>
        </w:rPr>
        <w:t>Instrumental treatments for benign prostatic obstruction</w:t>
      </w:r>
      <w:r>
        <w:rPr>
          <w:rFonts w:cs="Garamond"/>
          <w:szCs w:val="24"/>
        </w:rPr>
        <w:t xml:space="preserve">’, </w:t>
      </w:r>
      <w:r w:rsidRPr="001376A6">
        <w:rPr>
          <w:rFonts w:cs="Garamond"/>
          <w:i/>
          <w:iCs/>
          <w:szCs w:val="24"/>
        </w:rPr>
        <w:t xml:space="preserve">Current Opinion in Urology, </w:t>
      </w:r>
      <w:r w:rsidRPr="00EB5AB2">
        <w:rPr>
          <w:rFonts w:cs="Garamond"/>
          <w:iCs/>
          <w:szCs w:val="24"/>
        </w:rPr>
        <w:t>17,</w:t>
      </w:r>
      <w:r w:rsidRPr="001376A6">
        <w:rPr>
          <w:rFonts w:cs="Garamond"/>
          <w:szCs w:val="24"/>
        </w:rPr>
        <w:t xml:space="preserve"> 17-21.</w:t>
      </w:r>
    </w:p>
    <w:p w:rsidR="00786914" w:rsidRPr="001376A6" w:rsidRDefault="00786914" w:rsidP="0006743B">
      <w:pPr>
        <w:numPr>
          <w:ilvl w:val="0"/>
          <w:numId w:val="8"/>
        </w:numPr>
        <w:rPr>
          <w:rFonts w:cs="Garamond"/>
          <w:szCs w:val="24"/>
        </w:rPr>
      </w:pPr>
      <w:r w:rsidRPr="001376A6">
        <w:rPr>
          <w:rFonts w:cs="Garamond"/>
          <w:szCs w:val="24"/>
        </w:rPr>
        <w:t>Son H, Song SH, Paick JS</w:t>
      </w:r>
      <w:r>
        <w:rPr>
          <w:rFonts w:cs="Garamond"/>
          <w:szCs w:val="24"/>
        </w:rPr>
        <w:t>, 2</w:t>
      </w:r>
      <w:r w:rsidRPr="001376A6">
        <w:rPr>
          <w:rFonts w:cs="Garamond"/>
          <w:szCs w:val="24"/>
        </w:rPr>
        <w:t xml:space="preserve">010. </w:t>
      </w:r>
      <w:r>
        <w:rPr>
          <w:rFonts w:cs="Garamond"/>
          <w:szCs w:val="24"/>
        </w:rPr>
        <w:t>‘</w:t>
      </w:r>
      <w:r w:rsidRPr="001376A6">
        <w:rPr>
          <w:rFonts w:cs="Garamond"/>
          <w:szCs w:val="24"/>
        </w:rPr>
        <w:t>Current laser treatments for benign prostatic hyperplasia</w:t>
      </w:r>
      <w:r>
        <w:rPr>
          <w:rFonts w:cs="Garamond"/>
          <w:szCs w:val="24"/>
        </w:rPr>
        <w:t xml:space="preserve">’, </w:t>
      </w:r>
      <w:r w:rsidRPr="001376A6">
        <w:rPr>
          <w:rFonts w:cs="Garamond"/>
          <w:i/>
          <w:iCs/>
          <w:szCs w:val="24"/>
        </w:rPr>
        <w:t>Korean Journal of Urology,</w:t>
      </w:r>
      <w:r w:rsidRPr="00EB5AB2">
        <w:rPr>
          <w:rFonts w:cs="Garamond"/>
          <w:iCs/>
          <w:szCs w:val="24"/>
        </w:rPr>
        <w:t xml:space="preserve"> 51,</w:t>
      </w:r>
      <w:r w:rsidRPr="001376A6">
        <w:rPr>
          <w:rFonts w:cs="Garamond"/>
          <w:szCs w:val="24"/>
        </w:rPr>
        <w:t>737-744.</w:t>
      </w:r>
    </w:p>
    <w:p w:rsidR="00786914" w:rsidRPr="001376A6" w:rsidRDefault="00786914" w:rsidP="0006743B">
      <w:pPr>
        <w:numPr>
          <w:ilvl w:val="0"/>
          <w:numId w:val="8"/>
        </w:numPr>
        <w:rPr>
          <w:rFonts w:cs="Garamond"/>
          <w:szCs w:val="24"/>
        </w:rPr>
      </w:pPr>
      <w:r w:rsidRPr="001376A6">
        <w:rPr>
          <w:rFonts w:cs="Garamond"/>
          <w:szCs w:val="24"/>
        </w:rPr>
        <w:t>Spatafora S, Conti G, Perachino M, Casarico A, Mazzi G, Pappagallo GL</w:t>
      </w:r>
      <w:r>
        <w:rPr>
          <w:rFonts w:cs="Garamond"/>
          <w:szCs w:val="24"/>
        </w:rPr>
        <w:t>, 2</w:t>
      </w:r>
      <w:r w:rsidRPr="001376A6">
        <w:rPr>
          <w:rFonts w:cs="Garamond"/>
          <w:szCs w:val="24"/>
        </w:rPr>
        <w:t xml:space="preserve">007. </w:t>
      </w:r>
      <w:r>
        <w:rPr>
          <w:rFonts w:cs="Garamond"/>
          <w:szCs w:val="24"/>
        </w:rPr>
        <w:t>‘</w:t>
      </w:r>
      <w:r w:rsidRPr="001376A6">
        <w:rPr>
          <w:rFonts w:cs="Garamond"/>
          <w:szCs w:val="24"/>
        </w:rPr>
        <w:t>Evidence-based guidelines for the management of lower urinary tract symptoms related to uncomplicated benign prostatic hyperplasia in Italy: Updated summary</w:t>
      </w:r>
      <w:r>
        <w:rPr>
          <w:rFonts w:cs="Garamond"/>
          <w:szCs w:val="24"/>
        </w:rPr>
        <w:t xml:space="preserve">’, </w:t>
      </w:r>
      <w:r w:rsidRPr="001376A6">
        <w:rPr>
          <w:rFonts w:cs="Garamond"/>
          <w:i/>
          <w:iCs/>
          <w:szCs w:val="24"/>
        </w:rPr>
        <w:t>Current Medical Research and Opinion</w:t>
      </w:r>
      <w:r w:rsidRPr="00EB5AB2">
        <w:rPr>
          <w:rFonts w:cs="Garamond"/>
          <w:iCs/>
          <w:szCs w:val="24"/>
        </w:rPr>
        <w:t>, 23,</w:t>
      </w:r>
      <w:r>
        <w:rPr>
          <w:rFonts w:cs="Garamond"/>
          <w:iCs/>
          <w:szCs w:val="24"/>
        </w:rPr>
        <w:t xml:space="preserve"> </w:t>
      </w:r>
      <w:r w:rsidRPr="001376A6">
        <w:rPr>
          <w:rFonts w:cs="Garamond"/>
          <w:szCs w:val="24"/>
        </w:rPr>
        <w:t>1715-1732.</w:t>
      </w:r>
    </w:p>
    <w:p w:rsidR="00786914" w:rsidRPr="001376A6" w:rsidRDefault="00786914" w:rsidP="0006743B">
      <w:pPr>
        <w:numPr>
          <w:ilvl w:val="0"/>
          <w:numId w:val="8"/>
        </w:numPr>
        <w:rPr>
          <w:rFonts w:cs="Garamond"/>
          <w:szCs w:val="24"/>
        </w:rPr>
      </w:pPr>
      <w:r w:rsidRPr="00567F2B">
        <w:rPr>
          <w:rFonts w:cs="Garamond"/>
          <w:szCs w:val="24"/>
          <w:lang w:val="fr-FR"/>
        </w:rPr>
        <w:t xml:space="preserve">Tzortzis V, Gravas S, de la Rosette JJMCH, 2009. </w:t>
      </w:r>
      <w:r>
        <w:rPr>
          <w:rFonts w:cs="Garamond"/>
          <w:szCs w:val="24"/>
        </w:rPr>
        <w:t>‘</w:t>
      </w:r>
      <w:r w:rsidRPr="001376A6">
        <w:rPr>
          <w:rFonts w:cs="Garamond"/>
          <w:szCs w:val="24"/>
        </w:rPr>
        <w:t xml:space="preserve">Minimally </w:t>
      </w:r>
      <w:r>
        <w:rPr>
          <w:rFonts w:cs="Garamond"/>
          <w:szCs w:val="24"/>
        </w:rPr>
        <w:t>i</w:t>
      </w:r>
      <w:r w:rsidRPr="001376A6">
        <w:rPr>
          <w:rFonts w:cs="Garamond"/>
          <w:szCs w:val="24"/>
        </w:rPr>
        <w:t xml:space="preserve">nvasive </w:t>
      </w:r>
      <w:r>
        <w:rPr>
          <w:rFonts w:cs="Garamond"/>
          <w:szCs w:val="24"/>
        </w:rPr>
        <w:t>s</w:t>
      </w:r>
      <w:r w:rsidRPr="001376A6">
        <w:rPr>
          <w:rFonts w:cs="Garamond"/>
          <w:szCs w:val="24"/>
        </w:rPr>
        <w:t xml:space="preserve">urgical </w:t>
      </w:r>
      <w:r>
        <w:rPr>
          <w:rFonts w:cs="Garamond"/>
          <w:szCs w:val="24"/>
        </w:rPr>
        <w:t>t</w:t>
      </w:r>
      <w:r w:rsidRPr="001376A6">
        <w:rPr>
          <w:rFonts w:cs="Garamond"/>
          <w:szCs w:val="24"/>
        </w:rPr>
        <w:t xml:space="preserve">reatments for </w:t>
      </w:r>
      <w:r>
        <w:rPr>
          <w:rFonts w:cs="Garamond"/>
          <w:szCs w:val="24"/>
        </w:rPr>
        <w:t>b</w:t>
      </w:r>
      <w:r w:rsidRPr="001376A6">
        <w:rPr>
          <w:rFonts w:cs="Garamond"/>
          <w:szCs w:val="24"/>
        </w:rPr>
        <w:t xml:space="preserve">enign </w:t>
      </w:r>
      <w:r>
        <w:rPr>
          <w:rFonts w:cs="Garamond"/>
          <w:szCs w:val="24"/>
        </w:rPr>
        <w:t>p</w:t>
      </w:r>
      <w:r w:rsidRPr="001376A6">
        <w:rPr>
          <w:rFonts w:cs="Garamond"/>
          <w:szCs w:val="24"/>
        </w:rPr>
        <w:t xml:space="preserve">rostatic </w:t>
      </w:r>
      <w:r>
        <w:rPr>
          <w:rFonts w:cs="Garamond"/>
          <w:szCs w:val="24"/>
        </w:rPr>
        <w:t>h</w:t>
      </w:r>
      <w:r w:rsidRPr="001376A6">
        <w:rPr>
          <w:rFonts w:cs="Garamond"/>
          <w:szCs w:val="24"/>
        </w:rPr>
        <w:t>yperplasia</w:t>
      </w:r>
      <w:r>
        <w:rPr>
          <w:rFonts w:cs="Garamond"/>
          <w:szCs w:val="24"/>
        </w:rPr>
        <w:t>’,</w:t>
      </w:r>
      <w:r w:rsidRPr="001376A6">
        <w:rPr>
          <w:rFonts w:cs="Garamond"/>
          <w:i/>
          <w:iCs/>
          <w:szCs w:val="24"/>
        </w:rPr>
        <w:t xml:space="preserve"> European Urology, Supplements</w:t>
      </w:r>
      <w:r w:rsidRPr="00EB5AB2">
        <w:rPr>
          <w:rFonts w:cs="Garamond"/>
          <w:iCs/>
          <w:szCs w:val="24"/>
        </w:rPr>
        <w:t>, 8,</w:t>
      </w:r>
      <w:r w:rsidRPr="001376A6">
        <w:rPr>
          <w:rFonts w:cs="Garamond"/>
          <w:szCs w:val="24"/>
        </w:rPr>
        <w:t xml:space="preserve"> 513-522.</w:t>
      </w:r>
    </w:p>
    <w:p w:rsidR="00786914" w:rsidRPr="00611E0E" w:rsidRDefault="00786914" w:rsidP="0006743B">
      <w:pPr>
        <w:rPr>
          <w:b/>
        </w:rPr>
      </w:pPr>
      <w:r w:rsidRPr="00611E0E">
        <w:rPr>
          <w:b/>
        </w:rPr>
        <w:t xml:space="preserve">Wrong patient group </w:t>
      </w:r>
    </w:p>
    <w:p w:rsidR="00786914" w:rsidRPr="001376A6" w:rsidRDefault="00786914" w:rsidP="0006743B">
      <w:pPr>
        <w:numPr>
          <w:ilvl w:val="0"/>
          <w:numId w:val="8"/>
        </w:numPr>
      </w:pPr>
      <w:r w:rsidRPr="001376A6">
        <w:t xml:space="preserve">Descazeaud A, Robert G, Azzousi AR, Ballereau C, Lukacs B, Haillot O </w:t>
      </w:r>
      <w:r>
        <w:t>et al, 2</w:t>
      </w:r>
      <w:r w:rsidRPr="001376A6">
        <w:t xml:space="preserve">009. </w:t>
      </w:r>
      <w:r>
        <w:t>‘</w:t>
      </w:r>
      <w:r w:rsidRPr="001376A6">
        <w:t>Laser treatment of benign prostatic hyperplasia in patients on oral anticoagulant therapy: A review</w:t>
      </w:r>
      <w:r>
        <w:t xml:space="preserve">’, </w:t>
      </w:r>
      <w:r w:rsidRPr="001376A6">
        <w:rPr>
          <w:i/>
          <w:iCs/>
        </w:rPr>
        <w:t>BJU International</w:t>
      </w:r>
      <w:r w:rsidRPr="00EB5AB2">
        <w:rPr>
          <w:iCs/>
        </w:rPr>
        <w:t>, 103,</w:t>
      </w:r>
      <w:r w:rsidRPr="001376A6">
        <w:t xml:space="preserve"> 1162-1165.</w:t>
      </w:r>
    </w:p>
    <w:p w:rsidR="00786914" w:rsidRPr="00611E0E" w:rsidRDefault="00786914" w:rsidP="0006743B">
      <w:pPr>
        <w:rPr>
          <w:b/>
        </w:rPr>
      </w:pPr>
      <w:r w:rsidRPr="00611E0E">
        <w:rPr>
          <w:b/>
        </w:rPr>
        <w:t xml:space="preserve">Wrong intervention </w:t>
      </w:r>
    </w:p>
    <w:p w:rsidR="00786914" w:rsidRPr="001376A6" w:rsidRDefault="00786914" w:rsidP="0006743B">
      <w:pPr>
        <w:numPr>
          <w:ilvl w:val="0"/>
          <w:numId w:val="8"/>
        </w:numPr>
        <w:rPr>
          <w:rFonts w:cs="Garamond"/>
          <w:szCs w:val="24"/>
        </w:rPr>
      </w:pPr>
      <w:r w:rsidRPr="001376A6">
        <w:rPr>
          <w:rFonts w:cs="Garamond"/>
          <w:szCs w:val="24"/>
        </w:rPr>
        <w:t>Hoekstra RJ, Van Melick HHE, Kok ET, Ruud Bosch JLH</w:t>
      </w:r>
      <w:r>
        <w:rPr>
          <w:rFonts w:cs="Garamond"/>
          <w:szCs w:val="24"/>
        </w:rPr>
        <w:t>, 2</w:t>
      </w:r>
      <w:r w:rsidRPr="001376A6">
        <w:rPr>
          <w:rFonts w:cs="Garamond"/>
          <w:szCs w:val="24"/>
        </w:rPr>
        <w:t xml:space="preserve">010. </w:t>
      </w:r>
      <w:r>
        <w:rPr>
          <w:rFonts w:cs="Garamond"/>
          <w:szCs w:val="24"/>
        </w:rPr>
        <w:t>‘</w:t>
      </w:r>
      <w:r w:rsidRPr="001376A6">
        <w:rPr>
          <w:rFonts w:cs="Garamond"/>
          <w:szCs w:val="24"/>
        </w:rPr>
        <w:t>A 10-year follow-up after transurethral resection of the prostate, contact laser prostatectomy and electrovaporization in men with benign prostatic hyperplasia; Long-term results of a randomized controlled trial</w:t>
      </w:r>
      <w:r>
        <w:rPr>
          <w:rFonts w:cs="Garamond"/>
          <w:szCs w:val="24"/>
        </w:rPr>
        <w:t xml:space="preserve">’, </w:t>
      </w:r>
      <w:r w:rsidRPr="001376A6">
        <w:rPr>
          <w:rFonts w:cs="Garamond"/>
          <w:i/>
          <w:iCs/>
          <w:szCs w:val="24"/>
        </w:rPr>
        <w:t>BJU International</w:t>
      </w:r>
      <w:r w:rsidRPr="00EB5AB2">
        <w:rPr>
          <w:rFonts w:cs="Garamond"/>
          <w:iCs/>
          <w:szCs w:val="24"/>
        </w:rPr>
        <w:t>, 106,</w:t>
      </w:r>
      <w:r w:rsidRPr="001376A6">
        <w:rPr>
          <w:rFonts w:cs="Garamond"/>
          <w:szCs w:val="24"/>
        </w:rPr>
        <w:t xml:space="preserve"> 822-826.</w:t>
      </w:r>
    </w:p>
    <w:p w:rsidR="00786914" w:rsidRPr="001376A6" w:rsidRDefault="00786914" w:rsidP="0006743B">
      <w:pPr>
        <w:numPr>
          <w:ilvl w:val="0"/>
          <w:numId w:val="8"/>
        </w:numPr>
        <w:rPr>
          <w:rFonts w:cs="Garamond"/>
          <w:szCs w:val="24"/>
        </w:rPr>
      </w:pPr>
      <w:r w:rsidRPr="001376A6">
        <w:rPr>
          <w:rFonts w:cs="Garamond"/>
          <w:szCs w:val="24"/>
        </w:rPr>
        <w:t>Montorsi F &amp;</w:t>
      </w:r>
      <w:r>
        <w:rPr>
          <w:rFonts w:cs="Garamond"/>
          <w:szCs w:val="24"/>
        </w:rPr>
        <w:t xml:space="preserve"> </w:t>
      </w:r>
      <w:r w:rsidRPr="001376A6">
        <w:rPr>
          <w:rFonts w:cs="Garamond"/>
          <w:szCs w:val="24"/>
        </w:rPr>
        <w:t>Moncada I</w:t>
      </w:r>
      <w:r>
        <w:rPr>
          <w:rFonts w:cs="Garamond"/>
          <w:szCs w:val="24"/>
        </w:rPr>
        <w:t>, 2</w:t>
      </w:r>
      <w:r w:rsidRPr="001376A6">
        <w:rPr>
          <w:rFonts w:cs="Garamond"/>
          <w:szCs w:val="24"/>
        </w:rPr>
        <w:t xml:space="preserve">006. </w:t>
      </w:r>
      <w:r>
        <w:rPr>
          <w:rFonts w:cs="Garamond"/>
          <w:szCs w:val="24"/>
        </w:rPr>
        <w:t>‘</w:t>
      </w:r>
      <w:r w:rsidRPr="001376A6">
        <w:rPr>
          <w:rFonts w:cs="Garamond"/>
          <w:szCs w:val="24"/>
        </w:rPr>
        <w:t xml:space="preserve">Safety and </w:t>
      </w:r>
      <w:r>
        <w:rPr>
          <w:rFonts w:cs="Garamond"/>
          <w:szCs w:val="24"/>
        </w:rPr>
        <w:t>t</w:t>
      </w:r>
      <w:r w:rsidRPr="001376A6">
        <w:rPr>
          <w:rFonts w:cs="Garamond"/>
          <w:szCs w:val="24"/>
        </w:rPr>
        <w:t xml:space="preserve">olerability of </w:t>
      </w:r>
      <w:r>
        <w:rPr>
          <w:rFonts w:cs="Garamond"/>
          <w:szCs w:val="24"/>
        </w:rPr>
        <w:t>t</w:t>
      </w:r>
      <w:r w:rsidRPr="001376A6">
        <w:rPr>
          <w:rFonts w:cs="Garamond"/>
          <w:szCs w:val="24"/>
        </w:rPr>
        <w:t>reatment for BPH</w:t>
      </w:r>
      <w:r>
        <w:rPr>
          <w:rFonts w:cs="Garamond"/>
          <w:szCs w:val="24"/>
        </w:rPr>
        <w:t xml:space="preserve">’, </w:t>
      </w:r>
      <w:r w:rsidRPr="001376A6">
        <w:rPr>
          <w:rFonts w:cs="Garamond"/>
          <w:i/>
          <w:iCs/>
          <w:szCs w:val="24"/>
        </w:rPr>
        <w:t>European Urology, Supplements</w:t>
      </w:r>
      <w:r w:rsidRPr="00EB5AB2">
        <w:rPr>
          <w:rFonts w:cs="Garamond"/>
          <w:iCs/>
          <w:szCs w:val="24"/>
        </w:rPr>
        <w:t>, 5,</w:t>
      </w:r>
      <w:r w:rsidRPr="001376A6">
        <w:rPr>
          <w:rFonts w:cs="Garamond"/>
          <w:szCs w:val="24"/>
        </w:rPr>
        <w:t xml:space="preserve"> 1004-1012.</w:t>
      </w:r>
    </w:p>
    <w:p w:rsidR="00786914" w:rsidRPr="001376A6" w:rsidRDefault="00786914" w:rsidP="0006743B">
      <w:pPr>
        <w:numPr>
          <w:ilvl w:val="0"/>
          <w:numId w:val="8"/>
        </w:numPr>
        <w:rPr>
          <w:rFonts w:cs="Garamond"/>
          <w:szCs w:val="24"/>
        </w:rPr>
      </w:pPr>
      <w:r w:rsidRPr="001376A6">
        <w:rPr>
          <w:rFonts w:cs="Garamond"/>
          <w:szCs w:val="24"/>
        </w:rPr>
        <w:t>Razzaghi MR, Habibi G, Djavid GE, Gholamrezaee H</w:t>
      </w:r>
      <w:r>
        <w:rPr>
          <w:rFonts w:cs="Garamond"/>
          <w:szCs w:val="24"/>
        </w:rPr>
        <w:t>, 2</w:t>
      </w:r>
      <w:r w:rsidRPr="001376A6">
        <w:rPr>
          <w:rFonts w:cs="Garamond"/>
          <w:szCs w:val="24"/>
        </w:rPr>
        <w:t xml:space="preserve">007. </w:t>
      </w:r>
      <w:r>
        <w:rPr>
          <w:rFonts w:cs="Garamond"/>
          <w:szCs w:val="24"/>
        </w:rPr>
        <w:t>‘</w:t>
      </w:r>
      <w:r w:rsidRPr="001376A6">
        <w:rPr>
          <w:rFonts w:cs="Garamond"/>
          <w:szCs w:val="24"/>
        </w:rPr>
        <w:t>Laser prostatectomy versus transurethral resection of prostate in the treatment of benign prostatic hyperplasia</w:t>
      </w:r>
      <w:r>
        <w:rPr>
          <w:rFonts w:cs="Garamond"/>
          <w:szCs w:val="24"/>
        </w:rPr>
        <w:t>’</w:t>
      </w:r>
      <w:r w:rsidRPr="001376A6">
        <w:rPr>
          <w:rFonts w:cs="Garamond"/>
          <w:szCs w:val="24"/>
        </w:rPr>
        <w:t xml:space="preserve">. </w:t>
      </w:r>
      <w:r w:rsidRPr="001376A6">
        <w:rPr>
          <w:rFonts w:cs="Garamond"/>
          <w:i/>
          <w:iCs/>
          <w:szCs w:val="24"/>
        </w:rPr>
        <w:t xml:space="preserve">Saudi Medical Journal, </w:t>
      </w:r>
      <w:r w:rsidRPr="00EB5AB2">
        <w:rPr>
          <w:rFonts w:cs="Garamond"/>
          <w:iCs/>
          <w:szCs w:val="24"/>
        </w:rPr>
        <w:t>28,</w:t>
      </w:r>
      <w:r w:rsidRPr="001376A6">
        <w:rPr>
          <w:rFonts w:cs="Garamond"/>
          <w:szCs w:val="24"/>
        </w:rPr>
        <w:t xml:space="preserve"> 68-72.</w:t>
      </w:r>
    </w:p>
    <w:p w:rsidR="00786914" w:rsidRPr="00611E0E" w:rsidRDefault="00786914" w:rsidP="0006743B">
      <w:pPr>
        <w:rPr>
          <w:b/>
        </w:rPr>
      </w:pPr>
      <w:r w:rsidRPr="00611E0E">
        <w:rPr>
          <w:b/>
        </w:rPr>
        <w:lastRenderedPageBreak/>
        <w:t xml:space="preserve">Wrong outcomes </w:t>
      </w:r>
    </w:p>
    <w:p w:rsidR="00786914" w:rsidRPr="001376A6" w:rsidRDefault="00786914" w:rsidP="0006743B">
      <w:pPr>
        <w:numPr>
          <w:ilvl w:val="0"/>
          <w:numId w:val="8"/>
        </w:numPr>
        <w:rPr>
          <w:szCs w:val="24"/>
        </w:rPr>
      </w:pPr>
      <w:r w:rsidRPr="001376A6">
        <w:rPr>
          <w:szCs w:val="24"/>
        </w:rPr>
        <w:t xml:space="preserve">Briganti A, Naspro R, Gallina A, Salonia A, Vavassori I, Hurle R </w:t>
      </w:r>
      <w:r>
        <w:rPr>
          <w:szCs w:val="24"/>
        </w:rPr>
        <w:t>et al, 2</w:t>
      </w:r>
      <w:r w:rsidRPr="001376A6">
        <w:rPr>
          <w:szCs w:val="24"/>
        </w:rPr>
        <w:t xml:space="preserve">006. </w:t>
      </w:r>
      <w:r>
        <w:rPr>
          <w:szCs w:val="24"/>
        </w:rPr>
        <w:t>‘</w:t>
      </w:r>
      <w:r w:rsidRPr="001376A6">
        <w:rPr>
          <w:szCs w:val="24"/>
        </w:rPr>
        <w:t xml:space="preserve">Impact on </w:t>
      </w:r>
      <w:r>
        <w:rPr>
          <w:szCs w:val="24"/>
        </w:rPr>
        <w:t>s</w:t>
      </w:r>
      <w:r w:rsidRPr="001376A6">
        <w:rPr>
          <w:szCs w:val="24"/>
        </w:rPr>
        <w:t xml:space="preserve">exual </w:t>
      </w:r>
      <w:r>
        <w:rPr>
          <w:szCs w:val="24"/>
        </w:rPr>
        <w:t>f</w:t>
      </w:r>
      <w:r w:rsidRPr="001376A6">
        <w:rPr>
          <w:szCs w:val="24"/>
        </w:rPr>
        <w:t xml:space="preserve">unction of </w:t>
      </w:r>
      <w:r>
        <w:rPr>
          <w:szCs w:val="24"/>
        </w:rPr>
        <w:t>h</w:t>
      </w:r>
      <w:r w:rsidRPr="001376A6">
        <w:rPr>
          <w:szCs w:val="24"/>
        </w:rPr>
        <w:t xml:space="preserve">olmium </w:t>
      </w:r>
      <w:r>
        <w:rPr>
          <w:szCs w:val="24"/>
        </w:rPr>
        <w:t>l</w:t>
      </w:r>
      <w:r w:rsidRPr="001376A6">
        <w:rPr>
          <w:szCs w:val="24"/>
        </w:rPr>
        <w:t xml:space="preserve">aser </w:t>
      </w:r>
      <w:r>
        <w:rPr>
          <w:szCs w:val="24"/>
        </w:rPr>
        <w:t>e</w:t>
      </w:r>
      <w:r w:rsidRPr="001376A6">
        <w:rPr>
          <w:szCs w:val="24"/>
        </w:rPr>
        <w:t>nucleation</w:t>
      </w:r>
      <w:r>
        <w:rPr>
          <w:szCs w:val="24"/>
        </w:rPr>
        <w:t xml:space="preserve"> v</w:t>
      </w:r>
      <w:r w:rsidRPr="001376A6">
        <w:rPr>
          <w:szCs w:val="24"/>
        </w:rPr>
        <w:t xml:space="preserve">ersus </w:t>
      </w:r>
      <w:r>
        <w:rPr>
          <w:szCs w:val="24"/>
        </w:rPr>
        <w:t>t</w:t>
      </w:r>
      <w:r w:rsidRPr="001376A6">
        <w:rPr>
          <w:szCs w:val="24"/>
        </w:rPr>
        <w:t xml:space="preserve">ransurethral </w:t>
      </w:r>
      <w:r>
        <w:rPr>
          <w:szCs w:val="24"/>
        </w:rPr>
        <w:t>r</w:t>
      </w:r>
      <w:r w:rsidRPr="001376A6">
        <w:rPr>
          <w:szCs w:val="24"/>
        </w:rPr>
        <w:t xml:space="preserve">esection of the </w:t>
      </w:r>
      <w:r>
        <w:rPr>
          <w:szCs w:val="24"/>
        </w:rPr>
        <w:t>p</w:t>
      </w:r>
      <w:r w:rsidRPr="001376A6">
        <w:rPr>
          <w:szCs w:val="24"/>
        </w:rPr>
        <w:t xml:space="preserve">rostate: Results of a </w:t>
      </w:r>
      <w:r>
        <w:rPr>
          <w:szCs w:val="24"/>
        </w:rPr>
        <w:t>p</w:t>
      </w:r>
      <w:r w:rsidRPr="001376A6">
        <w:rPr>
          <w:szCs w:val="24"/>
        </w:rPr>
        <w:t>rospective, 2-</w:t>
      </w:r>
      <w:r>
        <w:rPr>
          <w:szCs w:val="24"/>
        </w:rPr>
        <w:t>c</w:t>
      </w:r>
      <w:r w:rsidRPr="001376A6">
        <w:rPr>
          <w:szCs w:val="24"/>
        </w:rPr>
        <w:t xml:space="preserve">enter, </w:t>
      </w:r>
      <w:r>
        <w:rPr>
          <w:szCs w:val="24"/>
        </w:rPr>
        <w:t>r</w:t>
      </w:r>
      <w:r w:rsidRPr="001376A6">
        <w:rPr>
          <w:szCs w:val="24"/>
        </w:rPr>
        <w:t xml:space="preserve">andomized </w:t>
      </w:r>
      <w:r>
        <w:rPr>
          <w:szCs w:val="24"/>
        </w:rPr>
        <w:t>t</w:t>
      </w:r>
      <w:r w:rsidRPr="001376A6">
        <w:rPr>
          <w:szCs w:val="24"/>
        </w:rPr>
        <w:t>rial</w:t>
      </w:r>
      <w:r>
        <w:rPr>
          <w:szCs w:val="24"/>
        </w:rPr>
        <w:t xml:space="preserve">’, </w:t>
      </w:r>
      <w:r w:rsidRPr="001376A6">
        <w:rPr>
          <w:i/>
          <w:iCs/>
          <w:szCs w:val="24"/>
        </w:rPr>
        <w:t>Journal of Urology</w:t>
      </w:r>
      <w:r w:rsidRPr="00EB5AB2">
        <w:rPr>
          <w:iCs/>
          <w:szCs w:val="24"/>
        </w:rPr>
        <w:t>, 175,</w:t>
      </w:r>
      <w:r w:rsidRPr="001376A6">
        <w:rPr>
          <w:szCs w:val="24"/>
        </w:rPr>
        <w:t xml:space="preserve"> 1817-1821.</w:t>
      </w:r>
    </w:p>
    <w:p w:rsidR="00786914" w:rsidRPr="001376A6" w:rsidRDefault="00786914" w:rsidP="0006743B">
      <w:pPr>
        <w:numPr>
          <w:ilvl w:val="0"/>
          <w:numId w:val="8"/>
        </w:numPr>
        <w:rPr>
          <w:szCs w:val="24"/>
        </w:rPr>
      </w:pPr>
      <w:r w:rsidRPr="001376A6">
        <w:rPr>
          <w:szCs w:val="24"/>
        </w:rPr>
        <w:t>Frieben RW, Lin HC, Hinh PP, Berardinelli F, Canfield SE, Wang R</w:t>
      </w:r>
      <w:r>
        <w:rPr>
          <w:szCs w:val="24"/>
        </w:rPr>
        <w:t>, 2</w:t>
      </w:r>
      <w:r w:rsidRPr="001376A6">
        <w:rPr>
          <w:szCs w:val="24"/>
        </w:rPr>
        <w:t xml:space="preserve">010. </w:t>
      </w:r>
      <w:r>
        <w:rPr>
          <w:szCs w:val="24"/>
        </w:rPr>
        <w:t>‘</w:t>
      </w:r>
      <w:r w:rsidRPr="001376A6">
        <w:rPr>
          <w:szCs w:val="24"/>
        </w:rPr>
        <w:t>The impact of minimally invasive surgeries for the treatment of symptomatic benign prostatic hyperplasia on male sexual function: A systematic review</w:t>
      </w:r>
      <w:r>
        <w:rPr>
          <w:szCs w:val="24"/>
        </w:rPr>
        <w:t xml:space="preserve">’, </w:t>
      </w:r>
      <w:r w:rsidRPr="001376A6">
        <w:rPr>
          <w:i/>
          <w:iCs/>
          <w:szCs w:val="24"/>
        </w:rPr>
        <w:t>Asian Journal of Andrology</w:t>
      </w:r>
      <w:r w:rsidRPr="00EB5AB2">
        <w:rPr>
          <w:iCs/>
          <w:szCs w:val="24"/>
        </w:rPr>
        <w:t>, 12,</w:t>
      </w:r>
      <w:r w:rsidRPr="001376A6">
        <w:rPr>
          <w:szCs w:val="24"/>
        </w:rPr>
        <w:t xml:space="preserve"> 500-508.</w:t>
      </w:r>
    </w:p>
    <w:p w:rsidR="00786914" w:rsidRPr="00611E0E" w:rsidRDefault="00786914" w:rsidP="0006743B">
      <w:pPr>
        <w:rPr>
          <w:b/>
        </w:rPr>
      </w:pPr>
      <w:r w:rsidRPr="00611E0E">
        <w:rPr>
          <w:b/>
        </w:rPr>
        <w:t>Not in English</w:t>
      </w:r>
    </w:p>
    <w:p w:rsidR="00786914" w:rsidRPr="001376A6" w:rsidRDefault="00786914" w:rsidP="0006743B">
      <w:pPr>
        <w:numPr>
          <w:ilvl w:val="0"/>
          <w:numId w:val="8"/>
        </w:numPr>
      </w:pPr>
      <w:r w:rsidRPr="001376A6">
        <w:t>Wu HZ</w:t>
      </w:r>
      <w:r>
        <w:t>, 2</w:t>
      </w:r>
      <w:r w:rsidRPr="001376A6">
        <w:t xml:space="preserve">007. </w:t>
      </w:r>
      <w:r>
        <w:t>‘</w:t>
      </w:r>
      <w:r w:rsidRPr="001376A6">
        <w:t>Application and development of all solid state green laser and photoselective vaporization of prostate</w:t>
      </w:r>
      <w:r>
        <w:t xml:space="preserve">’, </w:t>
      </w:r>
      <w:r w:rsidRPr="001376A6">
        <w:rPr>
          <w:i/>
          <w:iCs/>
        </w:rPr>
        <w:t>Journal of Clinical Rehabilitative Tissue Engineering Research</w:t>
      </w:r>
      <w:r w:rsidRPr="00EB5AB2">
        <w:rPr>
          <w:iCs/>
        </w:rPr>
        <w:t>, 11,</w:t>
      </w:r>
      <w:r w:rsidRPr="001376A6">
        <w:t xml:space="preserve"> 170-172.</w:t>
      </w:r>
    </w:p>
    <w:p w:rsidR="00786914" w:rsidRPr="00611E0E" w:rsidRDefault="00786914" w:rsidP="0006743B">
      <w:pPr>
        <w:rPr>
          <w:b/>
          <w:szCs w:val="24"/>
        </w:rPr>
      </w:pPr>
      <w:r w:rsidRPr="00611E0E">
        <w:rPr>
          <w:b/>
        </w:rPr>
        <w:t>Duplicates</w:t>
      </w:r>
    </w:p>
    <w:p w:rsidR="00786914" w:rsidRPr="00EB5AB2" w:rsidRDefault="00786914" w:rsidP="0006743B">
      <w:pPr>
        <w:numPr>
          <w:ilvl w:val="0"/>
          <w:numId w:val="8"/>
        </w:numPr>
        <w:rPr>
          <w:sz w:val="18"/>
          <w:szCs w:val="18"/>
        </w:rPr>
      </w:pPr>
      <w:r w:rsidRPr="00EB5AB2">
        <w:rPr>
          <w:szCs w:val="24"/>
          <w:lang w:val="fr-FR"/>
        </w:rPr>
        <w:t xml:space="preserve">Lourenco T, Pickard R, Vale L, Grant A, Fraser C, MacLennan G et al, 2008. </w:t>
      </w:r>
      <w:r w:rsidRPr="00EB5AB2">
        <w:rPr>
          <w:szCs w:val="24"/>
        </w:rPr>
        <w:t>‘Alternative approaches to endoscopic ablation for benign enlargement of the prostate: Syste</w:t>
      </w:r>
      <w:r w:rsidRPr="00EB5AB2">
        <w:t>matic review of randomised controlled trials’,</w:t>
      </w:r>
      <w:r>
        <w:t xml:space="preserve"> </w:t>
      </w:r>
      <w:r w:rsidRPr="00EB5AB2">
        <w:rPr>
          <w:i/>
          <w:iCs/>
        </w:rPr>
        <w:t>BMJ</w:t>
      </w:r>
      <w:r w:rsidRPr="00EB5AB2">
        <w:rPr>
          <w:iCs/>
        </w:rPr>
        <w:t>, 337,</w:t>
      </w:r>
      <w:r w:rsidRPr="00EB5AB2">
        <w:t xml:space="preserve"> 36-39. </w:t>
      </w:r>
    </w:p>
    <w:p w:rsidR="00786914" w:rsidRPr="00EB5AB2" w:rsidRDefault="00786914" w:rsidP="0006743B">
      <w:pPr>
        <w:numPr>
          <w:ilvl w:val="0"/>
          <w:numId w:val="8"/>
        </w:numPr>
        <w:rPr>
          <w:sz w:val="18"/>
          <w:szCs w:val="18"/>
        </w:rPr>
      </w:pPr>
      <w:r w:rsidRPr="00EB5AB2">
        <w:rPr>
          <w:rFonts w:cs="Garamond"/>
          <w:szCs w:val="24"/>
          <w:lang w:val="fr-FR"/>
        </w:rPr>
        <w:t xml:space="preserve">Montorsi F, Naspro R, Salonia A, Suardi N, Briganti A, Zanoni M et al, 2008. </w:t>
      </w:r>
      <w:r w:rsidRPr="00EB5AB2">
        <w:rPr>
          <w:rFonts w:cs="Garamond"/>
          <w:szCs w:val="24"/>
        </w:rPr>
        <w:t>‘Holmium laser enucleation</w:t>
      </w:r>
      <w:r>
        <w:rPr>
          <w:rFonts w:cs="Garamond"/>
          <w:szCs w:val="24"/>
        </w:rPr>
        <w:t xml:space="preserve"> </w:t>
      </w:r>
      <w:r w:rsidRPr="00EB5AB2">
        <w:rPr>
          <w:rFonts w:cs="Garamond"/>
          <w:szCs w:val="24"/>
        </w:rPr>
        <w:t xml:space="preserve">versus transurethral resection of the prostate: Results from a 2-center prospective randomized trial in patients with obstructive benign prostatic hyperplasia’. </w:t>
      </w:r>
      <w:r w:rsidRPr="00EB5AB2">
        <w:rPr>
          <w:rFonts w:cs="Garamond"/>
          <w:i/>
          <w:iCs/>
          <w:szCs w:val="24"/>
        </w:rPr>
        <w:t>Journal of Urology</w:t>
      </w:r>
      <w:r w:rsidRPr="00EB5AB2">
        <w:rPr>
          <w:rFonts w:cs="Garamond"/>
          <w:iCs/>
          <w:szCs w:val="24"/>
        </w:rPr>
        <w:t>, 179,</w:t>
      </w:r>
      <w:r w:rsidRPr="00EB5AB2">
        <w:rPr>
          <w:rFonts w:cs="Garamond"/>
          <w:szCs w:val="24"/>
        </w:rPr>
        <w:t xml:space="preserve"> S87-S90. </w:t>
      </w:r>
    </w:p>
    <w:p w:rsidR="00786914" w:rsidRPr="001376A6" w:rsidRDefault="00786914" w:rsidP="0006743B">
      <w:pPr>
        <w:numPr>
          <w:ilvl w:val="0"/>
          <w:numId w:val="8"/>
        </w:numPr>
        <w:rPr>
          <w:sz w:val="18"/>
          <w:szCs w:val="18"/>
        </w:rPr>
      </w:pPr>
      <w:r w:rsidRPr="001376A6">
        <w:rPr>
          <w:rFonts w:cs="Garamond"/>
          <w:szCs w:val="24"/>
        </w:rPr>
        <w:t xml:space="preserve">Rigatti L, Naspro R, Salonia A, Centemero A, Ghezzi M, Guazzoni G </w:t>
      </w:r>
      <w:r>
        <w:rPr>
          <w:rFonts w:cs="Garamond"/>
          <w:szCs w:val="24"/>
        </w:rPr>
        <w:t>et al, 2</w:t>
      </w:r>
      <w:r w:rsidRPr="001376A6">
        <w:rPr>
          <w:rFonts w:cs="Garamond"/>
          <w:szCs w:val="24"/>
        </w:rPr>
        <w:t xml:space="preserve">006. </w:t>
      </w:r>
      <w:r>
        <w:rPr>
          <w:rFonts w:cs="Garamond"/>
          <w:szCs w:val="24"/>
        </w:rPr>
        <w:t>‘</w:t>
      </w:r>
      <w:r w:rsidRPr="001376A6">
        <w:rPr>
          <w:rFonts w:cs="Garamond"/>
          <w:szCs w:val="24"/>
        </w:rPr>
        <w:t>Urodynamics after TURP and HoLEP in urodynamically obstructed patients: Are there any differences at 1 year of follow-up?</w:t>
      </w:r>
      <w:r>
        <w:rPr>
          <w:rFonts w:cs="Garamond"/>
          <w:szCs w:val="24"/>
        </w:rPr>
        <w:t xml:space="preserve">’, </w:t>
      </w:r>
      <w:r w:rsidRPr="001376A6">
        <w:rPr>
          <w:rFonts w:cs="Garamond"/>
          <w:i/>
          <w:iCs/>
          <w:szCs w:val="24"/>
        </w:rPr>
        <w:t>Urology</w:t>
      </w:r>
      <w:r w:rsidRPr="00EB5AB2">
        <w:rPr>
          <w:rFonts w:cs="Garamond"/>
          <w:iCs/>
          <w:szCs w:val="24"/>
        </w:rPr>
        <w:t>, 67,</w:t>
      </w:r>
      <w:r w:rsidRPr="001376A6">
        <w:rPr>
          <w:rFonts w:cs="Garamond"/>
          <w:szCs w:val="24"/>
        </w:rPr>
        <w:t xml:space="preserve"> 1193-1198. </w:t>
      </w:r>
    </w:p>
    <w:p w:rsidR="00786914" w:rsidRPr="00611E0E" w:rsidRDefault="00786914" w:rsidP="0006743B">
      <w:pPr>
        <w:rPr>
          <w:b/>
        </w:rPr>
      </w:pPr>
      <w:r w:rsidRPr="00611E0E">
        <w:rPr>
          <w:b/>
        </w:rPr>
        <w:t>Additional HTAs and systematic reviews</w:t>
      </w:r>
    </w:p>
    <w:p w:rsidR="00786914" w:rsidRDefault="00786914" w:rsidP="0006743B">
      <w:pPr>
        <w:numPr>
          <w:ilvl w:val="0"/>
          <w:numId w:val="8"/>
        </w:numPr>
        <w:rPr>
          <w:szCs w:val="24"/>
        </w:rPr>
      </w:pPr>
      <w:r w:rsidRPr="001376A6">
        <w:rPr>
          <w:szCs w:val="24"/>
        </w:rPr>
        <w:t>Ahyai S &amp;</w:t>
      </w:r>
      <w:r>
        <w:rPr>
          <w:szCs w:val="24"/>
        </w:rPr>
        <w:t xml:space="preserve"> </w:t>
      </w:r>
      <w:r w:rsidRPr="001376A6">
        <w:rPr>
          <w:szCs w:val="24"/>
        </w:rPr>
        <w:t>Lehrich K</w:t>
      </w:r>
      <w:r>
        <w:rPr>
          <w:szCs w:val="24"/>
        </w:rPr>
        <w:t>, 2</w:t>
      </w:r>
      <w:r w:rsidRPr="001376A6">
        <w:rPr>
          <w:szCs w:val="24"/>
        </w:rPr>
        <w:t xml:space="preserve">007. </w:t>
      </w:r>
      <w:r>
        <w:rPr>
          <w:szCs w:val="24"/>
        </w:rPr>
        <w:t>‘</w:t>
      </w:r>
      <w:r w:rsidRPr="001376A6">
        <w:rPr>
          <w:szCs w:val="24"/>
        </w:rPr>
        <w:t>Holmium laser enucleation versus transurethral resection of the prostate: 3-year follow-up results of a randomized clinical trial</w:t>
      </w:r>
      <w:r>
        <w:rPr>
          <w:szCs w:val="24"/>
        </w:rPr>
        <w:t xml:space="preserve">’, </w:t>
      </w:r>
      <w:r w:rsidRPr="00EB5AB2">
        <w:rPr>
          <w:i/>
          <w:szCs w:val="24"/>
        </w:rPr>
        <w:t>European Urology</w:t>
      </w:r>
      <w:r>
        <w:rPr>
          <w:szCs w:val="24"/>
        </w:rPr>
        <w:t xml:space="preserve">, 52, 1456-63. </w:t>
      </w:r>
    </w:p>
    <w:p w:rsidR="00786914" w:rsidRPr="001376A6" w:rsidRDefault="00786914" w:rsidP="0006743B">
      <w:pPr>
        <w:numPr>
          <w:ilvl w:val="0"/>
          <w:numId w:val="8"/>
        </w:numPr>
        <w:rPr>
          <w:szCs w:val="24"/>
        </w:rPr>
      </w:pPr>
      <w:r w:rsidRPr="001376A6">
        <w:rPr>
          <w:szCs w:val="24"/>
        </w:rPr>
        <w:t>Berardinelli F, Hinh P, Wang R</w:t>
      </w:r>
      <w:r>
        <w:rPr>
          <w:szCs w:val="24"/>
        </w:rPr>
        <w:t>, 2</w:t>
      </w:r>
      <w:r w:rsidRPr="001376A6">
        <w:rPr>
          <w:szCs w:val="24"/>
        </w:rPr>
        <w:t xml:space="preserve">009. </w:t>
      </w:r>
      <w:r>
        <w:rPr>
          <w:szCs w:val="24"/>
        </w:rPr>
        <w:t>‘</w:t>
      </w:r>
      <w:r w:rsidRPr="001376A6">
        <w:rPr>
          <w:szCs w:val="24"/>
        </w:rPr>
        <w:t>Minimally invasive surgery in the management of benign prostatic hyperplasia</w:t>
      </w:r>
      <w:r>
        <w:rPr>
          <w:szCs w:val="24"/>
        </w:rPr>
        <w:t xml:space="preserve">’, </w:t>
      </w:r>
      <w:r w:rsidRPr="001376A6">
        <w:rPr>
          <w:i/>
          <w:iCs/>
          <w:szCs w:val="24"/>
        </w:rPr>
        <w:t>Minerva Urologica e Nefrologica</w:t>
      </w:r>
      <w:r w:rsidRPr="00EB5AB2">
        <w:rPr>
          <w:iCs/>
          <w:szCs w:val="24"/>
        </w:rPr>
        <w:t>, 61,</w:t>
      </w:r>
      <w:r w:rsidRPr="001376A6">
        <w:rPr>
          <w:szCs w:val="24"/>
        </w:rPr>
        <w:t xml:space="preserve"> 269-289.</w:t>
      </w:r>
    </w:p>
    <w:p w:rsidR="00786914" w:rsidRPr="001376A6" w:rsidRDefault="00786914" w:rsidP="0006743B">
      <w:pPr>
        <w:numPr>
          <w:ilvl w:val="0"/>
          <w:numId w:val="8"/>
        </w:numPr>
        <w:rPr>
          <w:szCs w:val="24"/>
        </w:rPr>
      </w:pPr>
      <w:r w:rsidRPr="001376A6">
        <w:rPr>
          <w:szCs w:val="24"/>
        </w:rPr>
        <w:t>Biester K, Skipka G, Jahn R, Buchberger B, Rohde V, Lange S</w:t>
      </w:r>
      <w:r>
        <w:rPr>
          <w:szCs w:val="24"/>
        </w:rPr>
        <w:t>, 2</w:t>
      </w:r>
      <w:r w:rsidRPr="001376A6">
        <w:rPr>
          <w:szCs w:val="24"/>
        </w:rPr>
        <w:t>01</w:t>
      </w:r>
      <w:r>
        <w:rPr>
          <w:szCs w:val="24"/>
        </w:rPr>
        <w:t>2</w:t>
      </w:r>
      <w:r w:rsidRPr="001376A6">
        <w:rPr>
          <w:szCs w:val="24"/>
        </w:rPr>
        <w:t xml:space="preserve">. </w:t>
      </w:r>
      <w:r>
        <w:rPr>
          <w:szCs w:val="24"/>
        </w:rPr>
        <w:t>‘</w:t>
      </w:r>
      <w:r w:rsidRPr="001376A6">
        <w:rPr>
          <w:szCs w:val="24"/>
        </w:rPr>
        <w:t>Systematic review of surgical treatments for benign prostatic hyperplasia and presentation of an approach to investigate therapeutic equivalence (non-inferiority)</w:t>
      </w:r>
      <w:r>
        <w:rPr>
          <w:szCs w:val="24"/>
        </w:rPr>
        <w:t>’,</w:t>
      </w:r>
      <w:r w:rsidRPr="001376A6">
        <w:rPr>
          <w:i/>
          <w:iCs/>
          <w:szCs w:val="24"/>
        </w:rPr>
        <w:t>BJU International</w:t>
      </w:r>
      <w:r>
        <w:rPr>
          <w:szCs w:val="24"/>
        </w:rPr>
        <w:t>, 109, 722-730.</w:t>
      </w:r>
    </w:p>
    <w:p w:rsidR="00786914" w:rsidRPr="004A0092" w:rsidRDefault="00786914" w:rsidP="0006743B">
      <w:pPr>
        <w:numPr>
          <w:ilvl w:val="0"/>
          <w:numId w:val="8"/>
        </w:numPr>
        <w:rPr>
          <w:szCs w:val="24"/>
        </w:rPr>
      </w:pPr>
      <w:r w:rsidRPr="00EB5AB2">
        <w:rPr>
          <w:szCs w:val="24"/>
        </w:rPr>
        <w:t xml:space="preserve">Centre for Reviews and Dissemination, 2011. ‘Meta-analysis of holmium laser enucleation versus transurethral resection of the prostate for symptomatic prostatic obstruction (Structured abstract). </w:t>
      </w:r>
      <w:r w:rsidRPr="004A0092">
        <w:t xml:space="preserve">Available from: </w:t>
      </w:r>
      <w:hyperlink r:id="rId101" w:tooltip="This is a link to York University UK" w:history="1">
        <w:r w:rsidRPr="00CA26D2">
          <w:rPr>
            <w:rStyle w:val="Hyperlink"/>
            <w:szCs w:val="24"/>
          </w:rPr>
          <w:t>http://www.crd.york.ac.uk/crdweb/ShowRecord.asp?AccessionNumber=12007003746&amp;UserID=0</w:t>
        </w:r>
      </w:hyperlink>
      <w:r>
        <w:rPr>
          <w:szCs w:val="24"/>
        </w:rPr>
        <w:t xml:space="preserve"> </w:t>
      </w:r>
      <w:r w:rsidRPr="004A0092">
        <w:t>[accessed 30 April 2012].</w:t>
      </w:r>
    </w:p>
    <w:p w:rsidR="00786914" w:rsidRPr="001376A6" w:rsidRDefault="00786914" w:rsidP="0006743B">
      <w:pPr>
        <w:numPr>
          <w:ilvl w:val="0"/>
          <w:numId w:val="8"/>
        </w:numPr>
        <w:rPr>
          <w:szCs w:val="24"/>
        </w:rPr>
      </w:pPr>
      <w:r w:rsidRPr="001376A6">
        <w:rPr>
          <w:szCs w:val="24"/>
        </w:rPr>
        <w:lastRenderedPageBreak/>
        <w:t>Herrmann TRW, Georgiou A, Bach T, Gross AJ, Oelke M</w:t>
      </w:r>
      <w:r>
        <w:rPr>
          <w:szCs w:val="24"/>
        </w:rPr>
        <w:t>, 2</w:t>
      </w:r>
      <w:r w:rsidRPr="001376A6">
        <w:rPr>
          <w:szCs w:val="24"/>
        </w:rPr>
        <w:t xml:space="preserve">009. </w:t>
      </w:r>
      <w:r>
        <w:rPr>
          <w:szCs w:val="24"/>
        </w:rPr>
        <w:t>‘</w:t>
      </w:r>
      <w:r w:rsidRPr="001376A6">
        <w:rPr>
          <w:szCs w:val="24"/>
        </w:rPr>
        <w:t>Laser treatments of the prostate vs. TURP/open prostatectomy: Systematic review of urodynamic data</w:t>
      </w:r>
      <w:r>
        <w:rPr>
          <w:szCs w:val="24"/>
        </w:rPr>
        <w:t xml:space="preserve">’, </w:t>
      </w:r>
      <w:r w:rsidRPr="001376A6">
        <w:rPr>
          <w:i/>
          <w:iCs/>
          <w:szCs w:val="24"/>
        </w:rPr>
        <w:t xml:space="preserve">Minerva Urologica e Nefrologica, </w:t>
      </w:r>
      <w:r w:rsidRPr="00EB5AB2">
        <w:rPr>
          <w:iCs/>
          <w:szCs w:val="24"/>
        </w:rPr>
        <w:t>61,</w:t>
      </w:r>
      <w:r w:rsidRPr="001376A6">
        <w:rPr>
          <w:szCs w:val="24"/>
        </w:rPr>
        <w:t xml:space="preserve"> 309-324.</w:t>
      </w:r>
    </w:p>
    <w:p w:rsidR="00786914" w:rsidRPr="001376A6" w:rsidRDefault="00786914" w:rsidP="0006743B">
      <w:pPr>
        <w:numPr>
          <w:ilvl w:val="0"/>
          <w:numId w:val="8"/>
        </w:numPr>
        <w:rPr>
          <w:szCs w:val="24"/>
        </w:rPr>
      </w:pPr>
      <w:r w:rsidRPr="001376A6">
        <w:rPr>
          <w:szCs w:val="24"/>
        </w:rPr>
        <w:t>Medical Advisory Secretariat &amp; Ontario Ministry of Health and Long-Term Care (MAS)</w:t>
      </w:r>
      <w:r>
        <w:rPr>
          <w:szCs w:val="24"/>
        </w:rPr>
        <w:t>, 2</w:t>
      </w:r>
      <w:r w:rsidRPr="001376A6">
        <w:rPr>
          <w:szCs w:val="24"/>
        </w:rPr>
        <w:t>0</w:t>
      </w:r>
      <w:r>
        <w:rPr>
          <w:szCs w:val="24"/>
        </w:rPr>
        <w:t>06</w:t>
      </w:r>
      <w:r w:rsidRPr="001376A6">
        <w:rPr>
          <w:szCs w:val="24"/>
        </w:rPr>
        <w:t xml:space="preserve">. </w:t>
      </w:r>
      <w:r>
        <w:rPr>
          <w:szCs w:val="24"/>
        </w:rPr>
        <w:t>‘</w:t>
      </w:r>
      <w:r w:rsidRPr="001376A6">
        <w:rPr>
          <w:szCs w:val="24"/>
        </w:rPr>
        <w:t>Energy delivery systems for treatment of benign prostatic hyperplasia: an evidence-based analysis (Structured abstract)</w:t>
      </w:r>
      <w:r>
        <w:rPr>
          <w:szCs w:val="24"/>
        </w:rPr>
        <w:t>’</w:t>
      </w:r>
      <w:r w:rsidRPr="001376A6">
        <w:rPr>
          <w:szCs w:val="24"/>
        </w:rPr>
        <w:t xml:space="preserve">. Health </w:t>
      </w:r>
      <w:r w:rsidRPr="00692288">
        <w:rPr>
          <w:szCs w:val="24"/>
        </w:rPr>
        <w:t>Technology Assessment Database [On-line].</w:t>
      </w:r>
      <w:r w:rsidRPr="00692288">
        <w:rPr>
          <w:rFonts w:cs="Garamond"/>
          <w:szCs w:val="24"/>
        </w:rPr>
        <w:t xml:space="preserve"> Available from:  </w:t>
      </w:r>
      <w:hyperlink r:id="rId102" w:tooltip="This is a link to York University UK" w:history="1">
        <w:r w:rsidRPr="00692288">
          <w:rPr>
            <w:rStyle w:val="Hyperlink"/>
            <w:rFonts w:cs="Garamond"/>
            <w:szCs w:val="24"/>
          </w:rPr>
          <w:t>http://www.crd.york.ac.uk/crdweb/ShowRecord.asp?AccessionNumber=32006001045&amp;UserID=0</w:t>
        </w:r>
      </w:hyperlink>
      <w:r w:rsidRPr="00692288">
        <w:rPr>
          <w:rFonts w:cs="Garamond"/>
          <w:szCs w:val="24"/>
        </w:rPr>
        <w:t xml:space="preserve"> </w:t>
      </w:r>
      <w:r w:rsidRPr="00692288">
        <w:t>[accessed 30 April 2012].</w:t>
      </w:r>
    </w:p>
    <w:p w:rsidR="00786914" w:rsidRPr="000E27B1" w:rsidRDefault="00786914" w:rsidP="0006743B">
      <w:pPr>
        <w:numPr>
          <w:ilvl w:val="0"/>
          <w:numId w:val="8"/>
        </w:numPr>
        <w:rPr>
          <w:szCs w:val="24"/>
          <w:lang w:val="fr-FR"/>
        </w:rPr>
      </w:pPr>
      <w:r w:rsidRPr="00567F2B">
        <w:rPr>
          <w:rFonts w:cs="Garamond"/>
          <w:szCs w:val="24"/>
          <w:lang w:val="fr-FR"/>
        </w:rPr>
        <w:t>Obyn C &amp;</w:t>
      </w:r>
      <w:r>
        <w:rPr>
          <w:rFonts w:cs="Garamond"/>
          <w:szCs w:val="24"/>
          <w:lang w:val="fr-FR"/>
        </w:rPr>
        <w:t xml:space="preserve"> </w:t>
      </w:r>
      <w:r w:rsidRPr="00567F2B">
        <w:rPr>
          <w:rFonts w:cs="Garamond"/>
          <w:szCs w:val="24"/>
          <w:lang w:val="fr-FR"/>
        </w:rPr>
        <w:t xml:space="preserve">Mambourg F, 2008. </w:t>
      </w:r>
      <w:r w:rsidRPr="0007070C">
        <w:rPr>
          <w:rFonts w:cs="Garamond"/>
          <w:iCs/>
          <w:szCs w:val="24"/>
          <w:lang w:val="fr-FR"/>
        </w:rPr>
        <w:t>Evaluation des certains nouveaux traitements du cancer de la prostate et de l'hypertrophie bénigne de la prostate: Ultrasons focalisés de haute densité (HIFU) pour le cancer de la prostate. Vaporisation photosélective de la prostate (PVP) et holmium laser pour l'hypertrophie bénigne de la prostate</w:t>
      </w:r>
      <w:r w:rsidRPr="00567F2B">
        <w:rPr>
          <w:rFonts w:cs="Garamond"/>
          <w:szCs w:val="24"/>
          <w:lang w:val="fr-FR"/>
        </w:rPr>
        <w:t xml:space="preserve"> (Rep. No. KCE reports 89B (D/2008/10.273/62)), Bruxelles: Centre fédéral d'expertise des soins de santé (KCE).</w:t>
      </w:r>
      <w:r>
        <w:rPr>
          <w:rFonts w:cs="Garamond"/>
          <w:szCs w:val="24"/>
          <w:lang w:val="fr-FR"/>
        </w:rPr>
        <w:t xml:space="preserve"> </w:t>
      </w:r>
      <w:r w:rsidRPr="000E27B1">
        <w:rPr>
          <w:rFonts w:cs="Garamond"/>
          <w:szCs w:val="24"/>
        </w:rPr>
        <w:t xml:space="preserve">Available from: </w:t>
      </w:r>
      <w:r w:rsidRPr="00ED011C">
        <w:rPr>
          <w:rStyle w:val="HTMLCite"/>
          <w:rFonts w:cs="Arial"/>
          <w:color w:val="auto"/>
          <w:u w:val="single"/>
        </w:rPr>
        <w:t>old.kce.fgov.be/Download.aspx?ID=1670</w:t>
      </w:r>
      <w:r w:rsidRPr="000E27B1">
        <w:rPr>
          <w:rStyle w:val="HTMLCite"/>
          <w:rFonts w:cs="Arial"/>
          <w:color w:val="auto"/>
        </w:rPr>
        <w:t xml:space="preserve"> </w:t>
      </w:r>
      <w:r w:rsidRPr="000E27B1">
        <w:t>[accessed 30 April 2012].</w:t>
      </w:r>
    </w:p>
    <w:p w:rsidR="00786914" w:rsidRPr="001376A6" w:rsidRDefault="00786914" w:rsidP="0006743B">
      <w:pPr>
        <w:numPr>
          <w:ilvl w:val="0"/>
          <w:numId w:val="8"/>
        </w:numPr>
        <w:rPr>
          <w:szCs w:val="24"/>
        </w:rPr>
      </w:pPr>
      <w:r w:rsidRPr="001376A6">
        <w:rPr>
          <w:szCs w:val="24"/>
        </w:rPr>
        <w:t>Rieken M, Mundorff NE, Bonkat G, Wyler S, Bachmann A</w:t>
      </w:r>
      <w:r>
        <w:rPr>
          <w:szCs w:val="24"/>
        </w:rPr>
        <w:t>, 2</w:t>
      </w:r>
      <w:r w:rsidRPr="001376A6">
        <w:rPr>
          <w:szCs w:val="24"/>
        </w:rPr>
        <w:t xml:space="preserve">010. </w:t>
      </w:r>
      <w:r>
        <w:rPr>
          <w:szCs w:val="24"/>
        </w:rPr>
        <w:t>‘</w:t>
      </w:r>
      <w:r w:rsidRPr="001376A6">
        <w:rPr>
          <w:szCs w:val="24"/>
        </w:rPr>
        <w:t>Complications of laser prostatectomy: A review of recent data</w:t>
      </w:r>
      <w:r>
        <w:rPr>
          <w:szCs w:val="24"/>
        </w:rPr>
        <w:t>’</w:t>
      </w:r>
      <w:r w:rsidRPr="001376A6">
        <w:rPr>
          <w:szCs w:val="24"/>
        </w:rPr>
        <w:t xml:space="preserve">. </w:t>
      </w:r>
      <w:r w:rsidRPr="001376A6">
        <w:rPr>
          <w:i/>
          <w:iCs/>
          <w:szCs w:val="24"/>
        </w:rPr>
        <w:t>World Journal of Urology</w:t>
      </w:r>
      <w:r w:rsidRPr="00EB5AB2">
        <w:rPr>
          <w:iCs/>
          <w:szCs w:val="24"/>
        </w:rPr>
        <w:t>, 28,</w:t>
      </w:r>
      <w:r w:rsidRPr="001376A6">
        <w:rPr>
          <w:szCs w:val="24"/>
        </w:rPr>
        <w:t xml:space="preserve"> 53-62.</w:t>
      </w:r>
    </w:p>
    <w:p w:rsidR="00786914" w:rsidRPr="001376A6" w:rsidRDefault="00786914" w:rsidP="0006743B">
      <w:pPr>
        <w:numPr>
          <w:ilvl w:val="0"/>
          <w:numId w:val="8"/>
        </w:numPr>
        <w:rPr>
          <w:szCs w:val="24"/>
        </w:rPr>
      </w:pPr>
      <w:r w:rsidRPr="001376A6">
        <w:rPr>
          <w:szCs w:val="24"/>
        </w:rPr>
        <w:t>Tooher RL</w:t>
      </w:r>
      <w:r>
        <w:rPr>
          <w:szCs w:val="24"/>
        </w:rPr>
        <w:t>, 2</w:t>
      </w:r>
      <w:r w:rsidRPr="001376A6">
        <w:rPr>
          <w:szCs w:val="24"/>
        </w:rPr>
        <w:t xml:space="preserve">011. </w:t>
      </w:r>
      <w:r>
        <w:rPr>
          <w:szCs w:val="24"/>
        </w:rPr>
        <w:t>‘</w:t>
      </w:r>
      <w:r w:rsidRPr="001376A6">
        <w:rPr>
          <w:szCs w:val="24"/>
        </w:rPr>
        <w:t>Holmium laser prostatectomy for benign prostatic hyperplasia: a systematic review (Structured abstract)</w:t>
      </w:r>
      <w:r>
        <w:rPr>
          <w:szCs w:val="24"/>
        </w:rPr>
        <w:t>’</w:t>
      </w:r>
      <w:r w:rsidRPr="001376A6">
        <w:rPr>
          <w:szCs w:val="24"/>
        </w:rPr>
        <w:t>. Health Technology Assessment Database [On-line].</w:t>
      </w:r>
      <w:r>
        <w:rPr>
          <w:szCs w:val="24"/>
        </w:rPr>
        <w:t xml:space="preserve"> Available from: </w:t>
      </w:r>
      <w:hyperlink r:id="rId103" w:tooltip="This is a link to York University UK" w:history="1">
        <w:r w:rsidRPr="00CA26D2">
          <w:rPr>
            <w:rStyle w:val="Hyperlink"/>
            <w:szCs w:val="24"/>
          </w:rPr>
          <w:t>http://www.crd.york.ac.uk/crdweb/ShowRecord.asp?AccessionNumber=32003000532&amp;UserID=0</w:t>
        </w:r>
      </w:hyperlink>
      <w:r>
        <w:rPr>
          <w:szCs w:val="24"/>
        </w:rPr>
        <w:t xml:space="preserve">  </w:t>
      </w:r>
      <w:r w:rsidRPr="000E27B1">
        <w:t>[accessed 30 April 2012].</w:t>
      </w:r>
    </w:p>
    <w:p w:rsidR="00786914" w:rsidRPr="00611E0E" w:rsidRDefault="00786914" w:rsidP="0006743B">
      <w:pPr>
        <w:rPr>
          <w:b/>
        </w:rPr>
      </w:pPr>
      <w:r w:rsidRPr="00611E0E">
        <w:rPr>
          <w:b/>
        </w:rPr>
        <w:t xml:space="preserve">Studies extracted in systemic reviews selected for updating in this report </w:t>
      </w:r>
    </w:p>
    <w:p w:rsidR="00786914" w:rsidRPr="001376A6" w:rsidRDefault="00786914" w:rsidP="0006743B">
      <w:pPr>
        <w:numPr>
          <w:ilvl w:val="0"/>
          <w:numId w:val="8"/>
        </w:numPr>
        <w:rPr>
          <w:szCs w:val="24"/>
        </w:rPr>
      </w:pPr>
      <w:r w:rsidRPr="001376A6">
        <w:rPr>
          <w:szCs w:val="24"/>
        </w:rPr>
        <w:t>Gupta N, Sivaramakrishna</w:t>
      </w:r>
      <w:r>
        <w:rPr>
          <w:szCs w:val="24"/>
        </w:rPr>
        <w:t>,</w:t>
      </w:r>
      <w:r w:rsidRPr="001376A6">
        <w:rPr>
          <w:szCs w:val="24"/>
        </w:rPr>
        <w:t xml:space="preserve"> Kumar R, Dogra PN, Seth A</w:t>
      </w:r>
      <w:r>
        <w:rPr>
          <w:szCs w:val="24"/>
        </w:rPr>
        <w:t>, 2</w:t>
      </w:r>
      <w:r w:rsidRPr="001376A6">
        <w:rPr>
          <w:szCs w:val="24"/>
        </w:rPr>
        <w:t xml:space="preserve">006. </w:t>
      </w:r>
      <w:r>
        <w:rPr>
          <w:szCs w:val="24"/>
        </w:rPr>
        <w:t>‘</w:t>
      </w:r>
      <w:r w:rsidRPr="001376A6">
        <w:rPr>
          <w:szCs w:val="24"/>
        </w:rPr>
        <w:t>Comparison of standard transurethral resection, transurethral vapour resection and holmium laser enucleation of the prostate for managing benign prostatic hyperplasia of &gt;40 g</w:t>
      </w:r>
      <w:r>
        <w:rPr>
          <w:szCs w:val="24"/>
        </w:rPr>
        <w:t xml:space="preserve">’, </w:t>
      </w:r>
      <w:r w:rsidRPr="001376A6">
        <w:rPr>
          <w:i/>
          <w:iCs/>
          <w:szCs w:val="24"/>
        </w:rPr>
        <w:t>BJU International</w:t>
      </w:r>
      <w:r w:rsidRPr="00EB5AB2">
        <w:rPr>
          <w:iCs/>
          <w:szCs w:val="24"/>
        </w:rPr>
        <w:t>, 97,</w:t>
      </w:r>
      <w:r w:rsidRPr="001376A6">
        <w:rPr>
          <w:szCs w:val="24"/>
        </w:rPr>
        <w:t xml:space="preserve"> 85-89.</w:t>
      </w:r>
    </w:p>
    <w:p w:rsidR="00786914" w:rsidRPr="001376A6" w:rsidRDefault="00786914" w:rsidP="0006743B">
      <w:pPr>
        <w:numPr>
          <w:ilvl w:val="0"/>
          <w:numId w:val="8"/>
        </w:numPr>
        <w:rPr>
          <w:szCs w:val="24"/>
        </w:rPr>
      </w:pPr>
      <w:r w:rsidRPr="001376A6">
        <w:rPr>
          <w:szCs w:val="24"/>
        </w:rPr>
        <w:t xml:space="preserve">Wilson LC, Gilling PJ, Williams A, Kennett KM, Frampton CM, Westenberg AM </w:t>
      </w:r>
      <w:r>
        <w:rPr>
          <w:szCs w:val="24"/>
        </w:rPr>
        <w:t>et al, 2</w:t>
      </w:r>
      <w:r w:rsidRPr="001376A6">
        <w:rPr>
          <w:szCs w:val="24"/>
        </w:rPr>
        <w:t xml:space="preserve">006. </w:t>
      </w:r>
      <w:r>
        <w:rPr>
          <w:szCs w:val="24"/>
        </w:rPr>
        <w:t>‘</w:t>
      </w:r>
      <w:r w:rsidRPr="001376A6">
        <w:rPr>
          <w:szCs w:val="24"/>
        </w:rPr>
        <w:t xml:space="preserve">A </w:t>
      </w:r>
      <w:r>
        <w:rPr>
          <w:szCs w:val="24"/>
        </w:rPr>
        <w:t>r</w:t>
      </w:r>
      <w:r w:rsidRPr="001376A6">
        <w:rPr>
          <w:szCs w:val="24"/>
        </w:rPr>
        <w:t xml:space="preserve">andomised </w:t>
      </w:r>
      <w:r>
        <w:rPr>
          <w:szCs w:val="24"/>
        </w:rPr>
        <w:t>t</w:t>
      </w:r>
      <w:r w:rsidRPr="001376A6">
        <w:rPr>
          <w:szCs w:val="24"/>
        </w:rPr>
        <w:t xml:space="preserve">rial </w:t>
      </w:r>
      <w:r>
        <w:rPr>
          <w:szCs w:val="24"/>
        </w:rPr>
        <w:t>c</w:t>
      </w:r>
      <w:r w:rsidRPr="001376A6">
        <w:rPr>
          <w:szCs w:val="24"/>
        </w:rPr>
        <w:t xml:space="preserve">omparing </w:t>
      </w:r>
      <w:r>
        <w:rPr>
          <w:szCs w:val="24"/>
        </w:rPr>
        <w:t>h</w:t>
      </w:r>
      <w:r w:rsidRPr="001376A6">
        <w:rPr>
          <w:szCs w:val="24"/>
        </w:rPr>
        <w:t xml:space="preserve">olmium </w:t>
      </w:r>
      <w:r>
        <w:rPr>
          <w:szCs w:val="24"/>
        </w:rPr>
        <w:t>l</w:t>
      </w:r>
      <w:r w:rsidRPr="001376A6">
        <w:rPr>
          <w:szCs w:val="24"/>
        </w:rPr>
        <w:t xml:space="preserve">aser </w:t>
      </w:r>
      <w:r>
        <w:rPr>
          <w:szCs w:val="24"/>
        </w:rPr>
        <w:t>e</w:t>
      </w:r>
      <w:r w:rsidRPr="001376A6">
        <w:rPr>
          <w:szCs w:val="24"/>
        </w:rPr>
        <w:t>nucleation</w:t>
      </w:r>
      <w:r>
        <w:rPr>
          <w:szCs w:val="24"/>
        </w:rPr>
        <w:t xml:space="preserve"> v</w:t>
      </w:r>
      <w:r w:rsidRPr="001376A6">
        <w:rPr>
          <w:szCs w:val="24"/>
        </w:rPr>
        <w:t xml:space="preserve">ersus </w:t>
      </w:r>
      <w:r>
        <w:rPr>
          <w:szCs w:val="24"/>
        </w:rPr>
        <w:t>t</w:t>
      </w:r>
      <w:r w:rsidRPr="001376A6">
        <w:rPr>
          <w:szCs w:val="24"/>
        </w:rPr>
        <w:t xml:space="preserve">ransurethral </w:t>
      </w:r>
      <w:r>
        <w:rPr>
          <w:szCs w:val="24"/>
        </w:rPr>
        <w:t>r</w:t>
      </w:r>
      <w:r w:rsidRPr="001376A6">
        <w:rPr>
          <w:szCs w:val="24"/>
        </w:rPr>
        <w:t xml:space="preserve">esection in the </w:t>
      </w:r>
      <w:r>
        <w:rPr>
          <w:szCs w:val="24"/>
        </w:rPr>
        <w:t>t</w:t>
      </w:r>
      <w:r w:rsidRPr="001376A6">
        <w:rPr>
          <w:szCs w:val="24"/>
        </w:rPr>
        <w:t xml:space="preserve">reatment of </w:t>
      </w:r>
      <w:r>
        <w:rPr>
          <w:szCs w:val="24"/>
        </w:rPr>
        <w:t>p</w:t>
      </w:r>
      <w:r w:rsidRPr="001376A6">
        <w:rPr>
          <w:szCs w:val="24"/>
        </w:rPr>
        <w:t xml:space="preserve">rostates </w:t>
      </w:r>
      <w:r>
        <w:rPr>
          <w:szCs w:val="24"/>
        </w:rPr>
        <w:t>l</w:t>
      </w:r>
      <w:r w:rsidRPr="001376A6">
        <w:rPr>
          <w:szCs w:val="24"/>
        </w:rPr>
        <w:t xml:space="preserve">arger </w:t>
      </w:r>
      <w:r>
        <w:rPr>
          <w:szCs w:val="24"/>
        </w:rPr>
        <w:t>t</w:t>
      </w:r>
      <w:r w:rsidRPr="001376A6">
        <w:rPr>
          <w:szCs w:val="24"/>
        </w:rPr>
        <w:t xml:space="preserve">han 40 </w:t>
      </w:r>
      <w:r>
        <w:rPr>
          <w:szCs w:val="24"/>
        </w:rPr>
        <w:t>g</w:t>
      </w:r>
      <w:r w:rsidRPr="001376A6">
        <w:rPr>
          <w:szCs w:val="24"/>
        </w:rPr>
        <w:t xml:space="preserve">rams: Results at 2 </w:t>
      </w:r>
      <w:r>
        <w:rPr>
          <w:szCs w:val="24"/>
        </w:rPr>
        <w:t>y</w:t>
      </w:r>
      <w:r w:rsidRPr="001376A6">
        <w:rPr>
          <w:szCs w:val="24"/>
        </w:rPr>
        <w:t>ears</w:t>
      </w:r>
      <w:r>
        <w:rPr>
          <w:szCs w:val="24"/>
        </w:rPr>
        <w:t xml:space="preserve">’, </w:t>
      </w:r>
      <w:r w:rsidRPr="001376A6">
        <w:rPr>
          <w:i/>
          <w:iCs/>
          <w:szCs w:val="24"/>
        </w:rPr>
        <w:t>European Urology</w:t>
      </w:r>
      <w:r w:rsidRPr="00EB5AB2">
        <w:rPr>
          <w:iCs/>
          <w:szCs w:val="24"/>
        </w:rPr>
        <w:t>, 50,</w:t>
      </w:r>
      <w:r w:rsidRPr="001376A6">
        <w:rPr>
          <w:szCs w:val="24"/>
        </w:rPr>
        <w:t xml:space="preserve"> 569-573.</w:t>
      </w:r>
    </w:p>
    <w:p w:rsidR="00786914" w:rsidRDefault="00786914" w:rsidP="0006743B">
      <w:pPr>
        <w:spacing w:after="0"/>
        <w:ind w:left="0"/>
        <w:rPr>
          <w:sz w:val="18"/>
          <w:szCs w:val="18"/>
        </w:rPr>
      </w:pPr>
    </w:p>
    <w:p w:rsidR="00786914" w:rsidRPr="004C6B15" w:rsidRDefault="00786914" w:rsidP="0006743B">
      <w:pPr>
        <w:pStyle w:val="Heading1"/>
      </w:pPr>
      <w:bookmarkStart w:id="423" w:name="_Toc323642314"/>
      <w:bookmarkStart w:id="424" w:name="_Toc327877939"/>
      <w:bookmarkStart w:id="425" w:name="_Toc365900602"/>
      <w:r w:rsidRPr="004C6B15">
        <w:lastRenderedPageBreak/>
        <w:t xml:space="preserve">Appendix </w:t>
      </w:r>
      <w:r w:rsidR="007C5D64">
        <w:t>F</w:t>
      </w:r>
      <w:r w:rsidRPr="004C6B15">
        <w:tab/>
      </w:r>
      <w:r>
        <w:t>Additional economic information</w:t>
      </w:r>
      <w:bookmarkEnd w:id="423"/>
      <w:bookmarkEnd w:id="424"/>
      <w:bookmarkEnd w:id="425"/>
    </w:p>
    <w:p w:rsidR="00786914" w:rsidRDefault="00786914" w:rsidP="0006743B">
      <w:pPr>
        <w:pStyle w:val="Normalbold"/>
      </w:pPr>
      <w:r w:rsidRPr="00D73724">
        <w:t>Summary of economic reviews identified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7113"/>
      </w:tblGrid>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heading"/>
            </w:pPr>
            <w:r w:rsidRPr="00D73724">
              <w:t>Author and date</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heading"/>
            </w:pPr>
            <w:r w:rsidRPr="00F62026">
              <w:t>Lourenco et al 2008</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Title</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Text"/>
            </w:pPr>
            <w:r w:rsidRPr="00F62026">
              <w:t>Systematic review and economic modelling of effectiveness and cost utility of surgical treatments for men with benign prostatic enlargement.</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 xml:space="preserve">Type of economic evaluation </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Text"/>
            </w:pPr>
            <w:r w:rsidRPr="00F62026">
              <w:t>Cost-effectiveness analysis</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Study objective</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Text"/>
            </w:pPr>
            <w:r w:rsidRPr="00F62026">
              <w:t>To assess the treatment option (or combination of options) that is the most cost-effective in treating BPH.</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Interventions</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Text"/>
            </w:pPr>
            <w:r w:rsidRPr="00F62026">
              <w:t>TUMP, TUVP, KTP laser, TURP, HoLEP</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Location/Setting</w:t>
            </w:r>
          </w:p>
        </w:tc>
        <w:tc>
          <w:tcPr>
            <w:tcW w:w="3848" w:type="pct"/>
            <w:tcBorders>
              <w:top w:val="single" w:sz="4" w:space="0" w:color="000000"/>
              <w:left w:val="single" w:sz="4" w:space="0" w:color="000000"/>
              <w:bottom w:val="single" w:sz="4" w:space="0" w:color="000000"/>
              <w:right w:val="single" w:sz="4" w:space="0" w:color="000000"/>
            </w:tcBorders>
            <w:hideMark/>
          </w:tcPr>
          <w:p w:rsidR="00786914" w:rsidRPr="00F62026" w:rsidRDefault="00786914" w:rsidP="0006743B">
            <w:pPr>
              <w:pStyle w:val="TableText"/>
            </w:pPr>
            <w:r w:rsidRPr="00F62026">
              <w:t>United Kingdom</w:t>
            </w:r>
            <w:r>
              <w:t xml:space="preserve">. </w:t>
            </w:r>
            <w:r w:rsidRPr="00F62026">
              <w:t>The patient treatment setting was not specified although costs were calculated on the basis of a hospital inpatient setting.</w:t>
            </w:r>
          </w:p>
        </w:tc>
      </w:tr>
      <w:tr w:rsidR="00786914" w:rsidTr="0006743B">
        <w:tc>
          <w:tcPr>
            <w:tcW w:w="115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Methods</w:t>
            </w:r>
          </w:p>
        </w:tc>
        <w:tc>
          <w:tcPr>
            <w:tcW w:w="3848" w:type="pct"/>
            <w:tcBorders>
              <w:top w:val="single" w:sz="4" w:space="0" w:color="000000"/>
              <w:left w:val="single" w:sz="4" w:space="0" w:color="000000"/>
              <w:bottom w:val="single" w:sz="4" w:space="0" w:color="000000"/>
              <w:right w:val="single" w:sz="4" w:space="0" w:color="000000"/>
            </w:tcBorders>
          </w:tcPr>
          <w:p w:rsidR="00786914" w:rsidRPr="00F62026" w:rsidRDefault="00786914" w:rsidP="0006743B">
            <w:pPr>
              <w:pStyle w:val="TableText"/>
            </w:pPr>
            <w:r w:rsidRPr="00F62026">
              <w:t>Analytical approach: A Markov model was developed</w:t>
            </w:r>
            <w:r>
              <w:t xml:space="preserve">. </w:t>
            </w:r>
            <w:r w:rsidRPr="00F62026">
              <w:t>The time horizon was 10 years, with individual cycle lengths of three months</w:t>
            </w:r>
            <w:r>
              <w:t xml:space="preserve">. </w:t>
            </w:r>
            <w:r w:rsidRPr="00F62026">
              <w:t>Four health states were included in the model.</w:t>
            </w:r>
          </w:p>
          <w:p w:rsidR="00786914" w:rsidRPr="00F62026" w:rsidRDefault="00786914" w:rsidP="0006743B">
            <w:pPr>
              <w:pStyle w:val="TableText"/>
            </w:pPr>
          </w:p>
          <w:p w:rsidR="00786914" w:rsidRPr="00F62026" w:rsidRDefault="00786914" w:rsidP="0006743B">
            <w:pPr>
              <w:pStyle w:val="TableText"/>
            </w:pPr>
            <w:r w:rsidRPr="00F62026">
              <w:t>Effectiveness data:  Clinical effectiveness data were drawn from meta-analysis of published primary studies</w:t>
            </w:r>
            <w:r>
              <w:t xml:space="preserve">. </w:t>
            </w:r>
            <w:r w:rsidRPr="00F62026">
              <w:t xml:space="preserve">Utility (QALY) data were imputed from studies exploring utility as a function of IPSS scores published by Kok et al </w:t>
            </w:r>
            <w:r w:rsidRPr="00F62026">
              <w:rPr>
                <w:noProof/>
              </w:rPr>
              <w:t>(2002)</w:t>
            </w:r>
            <w:r w:rsidRPr="00F62026">
              <w:t>. Utility associated with procedural complications was mathematically ‘mapped’ to IPSS utility values.</w:t>
            </w:r>
          </w:p>
          <w:p w:rsidR="00786914" w:rsidRPr="00F62026" w:rsidRDefault="00786914" w:rsidP="0006743B">
            <w:pPr>
              <w:pStyle w:val="TableText"/>
            </w:pPr>
          </w:p>
          <w:p w:rsidR="00786914" w:rsidRPr="00F62026" w:rsidRDefault="00786914" w:rsidP="0006743B">
            <w:pPr>
              <w:pStyle w:val="TableText"/>
            </w:pPr>
            <w:r w:rsidRPr="00F62026">
              <w:t>Cost data:  Only costs incurred by the English NHS were considered</w:t>
            </w:r>
            <w:r>
              <w:t xml:space="preserve">. </w:t>
            </w:r>
            <w:r w:rsidRPr="00F62026">
              <w:t>The price year was 2006 and the currency used was the UK pound sterling</w:t>
            </w:r>
            <w:r>
              <w:t xml:space="preserve">. </w:t>
            </w:r>
            <w:r w:rsidRPr="00F62026">
              <w:t>A discount factor of 3.5% per annum was applied.</w:t>
            </w:r>
          </w:p>
          <w:p w:rsidR="00786914" w:rsidRPr="00F62026" w:rsidRDefault="00786914" w:rsidP="0006743B">
            <w:pPr>
              <w:pStyle w:val="TableText"/>
            </w:pPr>
          </w:p>
          <w:p w:rsidR="00786914" w:rsidRPr="00F62026" w:rsidRDefault="00786914" w:rsidP="0006743B">
            <w:pPr>
              <w:pStyle w:val="TableText"/>
            </w:pPr>
            <w:r w:rsidRPr="00F62026">
              <w:t>Treatment sequences – guiding principles:</w:t>
            </w:r>
          </w:p>
          <w:p w:rsidR="00786914" w:rsidRPr="00F62026" w:rsidRDefault="00786914" w:rsidP="0006743B">
            <w:pPr>
              <w:pStyle w:val="TableText"/>
              <w:rPr>
                <w:lang w:eastAsia="en-AU"/>
              </w:rPr>
            </w:pPr>
            <w:r w:rsidRPr="00F62026">
              <w:rPr>
                <w:lang w:eastAsia="en-AU"/>
              </w:rPr>
              <w:t>Patients proceeded from treatment that was less to more invasive.</w:t>
            </w:r>
          </w:p>
          <w:p w:rsidR="00786914" w:rsidRPr="00F62026" w:rsidRDefault="00786914" w:rsidP="0006743B">
            <w:pPr>
              <w:pStyle w:val="TableText"/>
              <w:rPr>
                <w:lang w:eastAsia="en-AU"/>
              </w:rPr>
            </w:pPr>
            <w:r w:rsidRPr="00F62026">
              <w:rPr>
                <w:lang w:eastAsia="en-AU"/>
              </w:rPr>
              <w:t>Tissue ablative procedures (including HoLEP) would not be repeated.</w:t>
            </w:r>
          </w:p>
          <w:p w:rsidR="00786914" w:rsidRPr="00F62026" w:rsidRDefault="00786914" w:rsidP="0006743B">
            <w:pPr>
              <w:pStyle w:val="TableText"/>
              <w:rPr>
                <w:lang w:eastAsia="en-AU"/>
              </w:rPr>
            </w:pPr>
            <w:r w:rsidRPr="00F62026">
              <w:rPr>
                <w:lang w:eastAsia="en-AU"/>
              </w:rPr>
              <w:t>Minimally invasive procedures were not repeated more than once.</w:t>
            </w:r>
          </w:p>
          <w:p w:rsidR="00786914" w:rsidRPr="00F62026" w:rsidRDefault="00786914" w:rsidP="0006743B">
            <w:pPr>
              <w:pStyle w:val="TableText"/>
              <w:rPr>
                <w:lang w:eastAsia="en-AU"/>
              </w:rPr>
            </w:pPr>
            <w:r w:rsidRPr="00F62026">
              <w:rPr>
                <w:lang w:eastAsia="en-AU"/>
              </w:rPr>
              <w:t>TURP would only be repeated once and only after performing a pressure test.</w:t>
            </w:r>
          </w:p>
          <w:p w:rsidR="00786914" w:rsidRPr="00F62026" w:rsidRDefault="00786914" w:rsidP="0006743B">
            <w:pPr>
              <w:pStyle w:val="TableText"/>
              <w:rPr>
                <w:lang w:eastAsia="en-AU"/>
              </w:rPr>
            </w:pPr>
            <w:r w:rsidRPr="00F62026">
              <w:rPr>
                <w:lang w:eastAsia="en-AU"/>
              </w:rPr>
              <w:t>Never change to another treatment from the same category.</w:t>
            </w:r>
          </w:p>
          <w:p w:rsidR="00786914" w:rsidRPr="00F62026" w:rsidRDefault="00786914" w:rsidP="0006743B">
            <w:pPr>
              <w:pStyle w:val="TableText"/>
            </w:pPr>
          </w:p>
          <w:p w:rsidR="00786914" w:rsidRPr="00F62026" w:rsidRDefault="00786914" w:rsidP="0006743B">
            <w:pPr>
              <w:pStyle w:val="TableText"/>
            </w:pPr>
            <w:r w:rsidRPr="00F62026">
              <w:t xml:space="preserve">Analysis of uncertainty:  </w:t>
            </w:r>
          </w:p>
          <w:p w:rsidR="00786914" w:rsidRPr="00F62026" w:rsidRDefault="00786914" w:rsidP="0006743B">
            <w:pPr>
              <w:pStyle w:val="TableText"/>
            </w:pPr>
            <w:r w:rsidRPr="00F62026">
              <w:t>One-way sensitivity analysis was performed on eight variables used in the model</w:t>
            </w:r>
            <w:r>
              <w:t xml:space="preserve">. </w:t>
            </w:r>
            <w:r w:rsidRPr="00F62026">
              <w:t>The authors commented that variation of these variables did not affect the set of non-dominated or non-extendedly dominated strategies</w:t>
            </w:r>
            <w:r>
              <w:t xml:space="preserve">. </w:t>
            </w:r>
            <w:r w:rsidRPr="00F62026">
              <w:t>The impact of the sensitivity analysis on the decision to change treatment strategy was reported as being dependent on the function of willingness to pay for a QALY. In all but two cases however a change from base case treatment (defined as TURP with the option of a second TURP following initial treatment failure) would prove cost-effective.</w:t>
            </w:r>
          </w:p>
        </w:tc>
      </w:tr>
    </w:tbl>
    <w:p w:rsidR="00786914" w:rsidRDefault="00786914" w:rsidP="0006743B">
      <w:pPr>
        <w:pStyle w:val="Caption"/>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7131"/>
      </w:tblGrid>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C42A5" w:rsidRDefault="00786914" w:rsidP="0006743B">
            <w:pPr>
              <w:pStyle w:val="Tableheading"/>
            </w:pPr>
            <w:r w:rsidRPr="00DC42A5">
              <w:lastRenderedPageBreak/>
              <w:t>Author and date</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C42A5" w:rsidRDefault="00786914" w:rsidP="0006743B">
            <w:pPr>
              <w:pStyle w:val="Tableheading"/>
            </w:pPr>
            <w:r w:rsidRPr="00DC42A5">
              <w:t>Stovsky et al 2006</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Title</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A clinical outcomes and cost analysis comparing photoselective vaporization of the prostate to alternative minimally invasive therapies and transurethral prostate resection for the treatment of benign prostatic hyperplasia.</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Type of economic evaluation presented</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Cost analysis</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Study objective</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To compare the clinical outcomes and costs of seven alternative procedural options for the treatment of BPH.</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Interventions</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PVP, ILC, TURP, TUNA, TUMT (TUMT was subdivided into three separate approaches)</w:t>
            </w:r>
            <w:r>
              <w:t xml:space="preserve">. </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Location/Setting</w:t>
            </w:r>
          </w:p>
        </w:tc>
        <w:tc>
          <w:tcPr>
            <w:tcW w:w="385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United States of America</w:t>
            </w:r>
            <w:r>
              <w:t xml:space="preserve">. </w:t>
            </w:r>
            <w:r w:rsidRPr="00D73724">
              <w:t>It was assumed that: PVP procedures were performed in a hospital outpatient setting, TUNA and TUMT services were performed in a primary care setting, ILC was performed in a variety of settings including a freestanding ambulatory surgery centre and TURP procedures were performed in a hospital inpatient setting.</w:t>
            </w:r>
          </w:p>
        </w:tc>
      </w:tr>
      <w:tr w:rsidR="00786914" w:rsidTr="0006743B">
        <w:tc>
          <w:tcPr>
            <w:tcW w:w="114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Methods</w:t>
            </w:r>
          </w:p>
        </w:tc>
        <w:tc>
          <w:tcPr>
            <w:tcW w:w="3858" w:type="pct"/>
            <w:tcBorders>
              <w:top w:val="single" w:sz="4" w:space="0" w:color="000000"/>
              <w:left w:val="single" w:sz="4" w:space="0" w:color="000000"/>
              <w:bottom w:val="single" w:sz="4" w:space="0" w:color="000000"/>
              <w:right w:val="single" w:sz="4" w:space="0" w:color="000000"/>
            </w:tcBorders>
          </w:tcPr>
          <w:p w:rsidR="00786914" w:rsidRPr="00D73724" w:rsidRDefault="00786914" w:rsidP="0006743B">
            <w:pPr>
              <w:pStyle w:val="TableText"/>
            </w:pPr>
            <w:r w:rsidRPr="00D73724">
              <w:t>Analytical approach: A Markov model was developed</w:t>
            </w:r>
            <w:r>
              <w:t xml:space="preserve">. </w:t>
            </w:r>
            <w:r w:rsidRPr="00D73724">
              <w:t>The time horizon was two years, with individual cycle lengths of one month.</w:t>
            </w:r>
          </w:p>
          <w:p w:rsidR="00786914" w:rsidRPr="00D73724" w:rsidRDefault="00786914" w:rsidP="0006743B">
            <w:pPr>
              <w:pStyle w:val="TableText"/>
            </w:pPr>
          </w:p>
          <w:p w:rsidR="00786914" w:rsidRPr="00D73724" w:rsidRDefault="00786914" w:rsidP="0006743B">
            <w:pPr>
              <w:pStyle w:val="TableText"/>
            </w:pPr>
            <w:r w:rsidRPr="00D73724">
              <w:t>The study outlined eight adverse events associated with the procedural interventions including: incontinence, urinary tract infection, impotence/erectile dysfunction, dysuria/irritative voiding, bladder neck stenosis/stricture, urinary retention, hematuria and re-operation.</w:t>
            </w:r>
          </w:p>
          <w:p w:rsidR="00786914" w:rsidRPr="00D73724" w:rsidRDefault="00786914" w:rsidP="0006743B">
            <w:pPr>
              <w:pStyle w:val="TableText"/>
            </w:pPr>
          </w:p>
          <w:p w:rsidR="00786914" w:rsidRPr="00D73724" w:rsidRDefault="00786914" w:rsidP="0006743B">
            <w:pPr>
              <w:pStyle w:val="TableText"/>
            </w:pPr>
            <w:r w:rsidRPr="00D73724">
              <w:t>Effectiveness data:  The main outcomes of the model were average scores for AUASSI/I-PSS, QMAX and QOL</w:t>
            </w:r>
            <w:r>
              <w:t xml:space="preserve">. </w:t>
            </w:r>
            <w:r w:rsidRPr="00D73724">
              <w:t xml:space="preserve"> Clinical effectiveness data were drawn from meta-analysis of published primary studies</w:t>
            </w:r>
            <w:r>
              <w:t xml:space="preserve">. </w:t>
            </w:r>
            <w:r w:rsidRPr="00D73724">
              <w:t>The methods used in the review were not thoroughly described and it is unclear how the utility (QOL) values were derived.</w:t>
            </w:r>
          </w:p>
          <w:p w:rsidR="00786914" w:rsidRPr="00D73724" w:rsidRDefault="00786914" w:rsidP="0006743B">
            <w:pPr>
              <w:pStyle w:val="TableText"/>
            </w:pPr>
          </w:p>
          <w:p w:rsidR="00786914" w:rsidRPr="00D73724" w:rsidRDefault="00786914" w:rsidP="0006743B">
            <w:pPr>
              <w:pStyle w:val="TableText"/>
            </w:pPr>
            <w:r w:rsidRPr="00D73724">
              <w:t xml:space="preserve">Cost data:  The costs included in the model included those associated with the initial intervention (which varied in setting), routine follow-up care related to BPH, the treatment of adverse events and procedural </w:t>
            </w:r>
            <w:r>
              <w:t>re-treatment</w:t>
            </w:r>
            <w:r w:rsidRPr="00D73724">
              <w:t>.</w:t>
            </w:r>
          </w:p>
          <w:p w:rsidR="00786914" w:rsidRPr="00D73724" w:rsidRDefault="00786914" w:rsidP="0006743B">
            <w:pPr>
              <w:pStyle w:val="TableText"/>
            </w:pPr>
          </w:p>
          <w:p w:rsidR="00786914" w:rsidRPr="00D73724" w:rsidRDefault="00786914" w:rsidP="0006743B">
            <w:pPr>
              <w:pStyle w:val="TableText"/>
            </w:pPr>
            <w:r w:rsidRPr="00D73724">
              <w:t>Only costs incurred by a third-party payer (US Medicare) were considered</w:t>
            </w:r>
            <w:r>
              <w:t xml:space="preserve">. </w:t>
            </w:r>
            <w:r w:rsidRPr="00D73724">
              <w:t>The price year was 2005 and the currency used was US dollars</w:t>
            </w:r>
            <w:r>
              <w:t xml:space="preserve">. </w:t>
            </w:r>
            <w:r w:rsidRPr="00D73724">
              <w:t>Despite the model incorporating costs across a two-year time horizon no discount factor was applied.</w:t>
            </w:r>
          </w:p>
          <w:p w:rsidR="00786914" w:rsidRPr="00D73724" w:rsidRDefault="00786914" w:rsidP="0006743B">
            <w:pPr>
              <w:pStyle w:val="TableText"/>
            </w:pPr>
          </w:p>
          <w:p w:rsidR="00786914" w:rsidRPr="00D73724" w:rsidRDefault="00786914" w:rsidP="0006743B">
            <w:pPr>
              <w:pStyle w:val="TableText"/>
            </w:pPr>
            <w:r w:rsidRPr="00D73724">
              <w:t>Analysis of uncertainty:  Several one-way sensitivity analyses were performed to test the robustness of the model results to different parameter values</w:t>
            </w:r>
            <w:r>
              <w:t xml:space="preserve">. </w:t>
            </w:r>
            <w:r w:rsidRPr="00D73724">
              <w:t xml:space="preserve">A threshold analysis was used to determine the </w:t>
            </w:r>
            <w:r>
              <w:t>re-treatment</w:t>
            </w:r>
            <w:r w:rsidRPr="00D73724">
              <w:t xml:space="preserve"> rate at which the cost of PVP would be equal to that of TURP.</w:t>
            </w:r>
          </w:p>
        </w:tc>
      </w:tr>
    </w:tbl>
    <w:p w:rsidR="00786914" w:rsidRDefault="00786914" w:rsidP="0006743B">
      <w:pPr>
        <w:ind w:left="0"/>
        <w:rPr>
          <w:rFonts w:ascii="Verdana" w:hAnsi="Verdana"/>
          <w:color w:val="000000"/>
          <w:sz w:val="14"/>
          <w:szCs w:val="14"/>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150"/>
      </w:tblGrid>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heading"/>
            </w:pPr>
            <w:r w:rsidRPr="00D73724">
              <w:lastRenderedPageBreak/>
              <w:t>Author and date</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heading"/>
            </w:pPr>
            <w:r w:rsidRPr="00D73724">
              <w:t>Fraundorfer et al 2001</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Title</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 xml:space="preserve">Holmium laser resection of the prostate is more </w:t>
            </w:r>
            <w:r>
              <w:t>cost-effective</w:t>
            </w:r>
            <w:r w:rsidRPr="00D73724">
              <w:t xml:space="preserve"> than transurethral resection of the prostate: results of a randomized prospective study.</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Type of economic evaluation presented</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Cost minimisation analysis</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Study objective</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To conduct an analysis comparing the treatment costs of HoLRP to TURP.</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Interventions</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 xml:space="preserve">HoLRP and TURP  </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Location/Setting</w:t>
            </w:r>
          </w:p>
        </w:tc>
        <w:tc>
          <w:tcPr>
            <w:tcW w:w="3868"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New Zealand</w:t>
            </w:r>
            <w:r>
              <w:t xml:space="preserve">. </w:t>
            </w:r>
            <w:r w:rsidRPr="00D73724">
              <w:t>All procedures were performed as hospital inpatient procedures.</w:t>
            </w:r>
          </w:p>
        </w:tc>
      </w:tr>
      <w:tr w:rsidR="00786914" w:rsidTr="0006743B">
        <w:tc>
          <w:tcPr>
            <w:tcW w:w="1132" w:type="pct"/>
            <w:tcBorders>
              <w:top w:val="single" w:sz="4" w:space="0" w:color="000000"/>
              <w:left w:val="single" w:sz="4" w:space="0" w:color="000000"/>
              <w:bottom w:val="single" w:sz="4" w:space="0" w:color="000000"/>
              <w:right w:val="single" w:sz="4" w:space="0" w:color="000000"/>
            </w:tcBorders>
            <w:hideMark/>
          </w:tcPr>
          <w:p w:rsidR="00786914" w:rsidRPr="00D73724" w:rsidRDefault="00786914" w:rsidP="0006743B">
            <w:pPr>
              <w:pStyle w:val="TableText"/>
            </w:pPr>
            <w:r w:rsidRPr="00D73724">
              <w:t>Methods</w:t>
            </w:r>
          </w:p>
        </w:tc>
        <w:tc>
          <w:tcPr>
            <w:tcW w:w="3868" w:type="pct"/>
            <w:tcBorders>
              <w:top w:val="single" w:sz="4" w:space="0" w:color="000000"/>
              <w:left w:val="single" w:sz="4" w:space="0" w:color="000000"/>
              <w:bottom w:val="single" w:sz="4" w:space="0" w:color="000000"/>
              <w:right w:val="single" w:sz="4" w:space="0" w:color="000000"/>
            </w:tcBorders>
          </w:tcPr>
          <w:p w:rsidR="00786914" w:rsidRPr="00D73724" w:rsidRDefault="00786914" w:rsidP="0006743B">
            <w:pPr>
              <w:pStyle w:val="TableText"/>
            </w:pPr>
            <w:r w:rsidRPr="00D73724">
              <w:t xml:space="preserve">Analytical approach: A cost-minimisation study was conducted using data collected from </w:t>
            </w:r>
            <w:r>
              <w:t xml:space="preserve">a </w:t>
            </w:r>
            <w:r w:rsidRPr="00D73724">
              <w:t>randomised, single-centre, prospective study.</w:t>
            </w:r>
          </w:p>
          <w:p w:rsidR="00786914" w:rsidRPr="00D73724" w:rsidRDefault="00786914" w:rsidP="0006743B">
            <w:pPr>
              <w:pStyle w:val="TableText"/>
            </w:pPr>
          </w:p>
          <w:p w:rsidR="00786914" w:rsidRPr="00D73724" w:rsidRDefault="00786914" w:rsidP="0006743B">
            <w:pPr>
              <w:pStyle w:val="TableText"/>
            </w:pPr>
            <w:r w:rsidRPr="00D73724">
              <w:t>Effectiveness data:  The main effectiveness outcomes used in the model were: resection time (minutes), catheterisation time (hours), nursing contact time (minutes), hospital stay (hours), blood transfusion (n).</w:t>
            </w:r>
          </w:p>
          <w:p w:rsidR="00786914" w:rsidRPr="00D73724" w:rsidRDefault="00786914" w:rsidP="0006743B">
            <w:pPr>
              <w:pStyle w:val="TableText"/>
            </w:pPr>
            <w:r w:rsidRPr="00D73724">
              <w:t>The clinical outcomes presented were: urodynamic outcomes at six and 12 months (Qmax (mL/s), AUA score and Schafer grade.</w:t>
            </w:r>
          </w:p>
          <w:p w:rsidR="00786914" w:rsidRPr="00D73724" w:rsidRDefault="00786914" w:rsidP="0006743B">
            <w:pPr>
              <w:pStyle w:val="TableText"/>
            </w:pPr>
          </w:p>
          <w:p w:rsidR="00786914" w:rsidRPr="00D73724" w:rsidRDefault="00786914" w:rsidP="0006743B">
            <w:pPr>
              <w:pStyle w:val="TableText"/>
            </w:pPr>
            <w:r w:rsidRPr="00D73724">
              <w:t>Questionnaires on quality of life and sexual/continence function</w:t>
            </w:r>
            <w:r>
              <w:t xml:space="preserve"> were</w:t>
            </w:r>
            <w:r w:rsidRPr="00D73724">
              <w:t xml:space="preserve"> described to have been administered; however, the results of these were not detailed.</w:t>
            </w:r>
          </w:p>
          <w:p w:rsidR="00786914" w:rsidRPr="00D73724" w:rsidRDefault="00786914" w:rsidP="0006743B">
            <w:pPr>
              <w:pStyle w:val="TableText"/>
            </w:pPr>
          </w:p>
          <w:p w:rsidR="00786914" w:rsidRPr="00D73724" w:rsidRDefault="00786914" w:rsidP="0006743B">
            <w:pPr>
              <w:pStyle w:val="TableText"/>
            </w:pPr>
            <w:r w:rsidRPr="00D73724">
              <w:t>Cost data:  Only direct hospital costs were considered including: preoperative components, blood group and hold, operating room set-up/disposable and time, anaesthesia, recovery, catheter, fibre or loop, irrigation fluid, blood products, hospital stay, nursing extras, unplanned events in year 1, outpatient visits, operating suite, specific consumables, accommodation</w:t>
            </w:r>
            <w:r>
              <w:t xml:space="preserve">. </w:t>
            </w:r>
            <w:r w:rsidRPr="00D73724">
              <w:t>Quantities and costs were not presented separately.</w:t>
            </w:r>
          </w:p>
          <w:p w:rsidR="00786914" w:rsidRPr="00D73724" w:rsidRDefault="00786914" w:rsidP="0006743B">
            <w:pPr>
              <w:pStyle w:val="TableText"/>
            </w:pPr>
          </w:p>
          <w:p w:rsidR="00786914" w:rsidRPr="00D73724" w:rsidRDefault="00786914" w:rsidP="0006743B">
            <w:pPr>
              <w:pStyle w:val="TableText"/>
            </w:pPr>
            <w:r w:rsidRPr="00D73724">
              <w:t>All costs were presented in New Zealand dollars</w:t>
            </w:r>
            <w:r>
              <w:t xml:space="preserve">. </w:t>
            </w:r>
            <w:r w:rsidRPr="00D73724">
              <w:t>The price year was not specified.</w:t>
            </w:r>
          </w:p>
          <w:p w:rsidR="00786914" w:rsidRPr="00D73724" w:rsidRDefault="00786914" w:rsidP="0006743B">
            <w:pPr>
              <w:pStyle w:val="TableText"/>
            </w:pPr>
          </w:p>
          <w:p w:rsidR="00786914" w:rsidRPr="00D73724" w:rsidRDefault="00786914" w:rsidP="0006743B">
            <w:pPr>
              <w:pStyle w:val="TableText"/>
            </w:pPr>
            <w:r w:rsidRPr="00D73724">
              <w:t>Medical salary costs (urologist and anaesthesiologist) were not included.</w:t>
            </w:r>
          </w:p>
          <w:p w:rsidR="00786914" w:rsidRPr="00D73724" w:rsidRDefault="00786914" w:rsidP="0006743B">
            <w:pPr>
              <w:pStyle w:val="TableText"/>
            </w:pPr>
          </w:p>
          <w:p w:rsidR="00786914" w:rsidRPr="00D73724" w:rsidRDefault="00786914" w:rsidP="0006743B">
            <w:pPr>
              <w:pStyle w:val="TableText"/>
            </w:pPr>
            <w:r w:rsidRPr="00D73724">
              <w:t>Analysis of uncertainty:  No sensitivity analysis was performed.</w:t>
            </w:r>
          </w:p>
        </w:tc>
      </w:tr>
    </w:tbl>
    <w:p w:rsidR="00786914" w:rsidRDefault="00786914" w:rsidP="0006743B">
      <w:pPr>
        <w:spacing w:after="0" w:line="276" w:lineRule="auto"/>
        <w:rPr>
          <w:rFonts w:ascii="Verdana" w:hAnsi="Verdana"/>
          <w:color w:val="000000"/>
          <w:sz w:val="14"/>
          <w:szCs w:val="14"/>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6985"/>
      </w:tblGrid>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heading"/>
            </w:pPr>
            <w:r w:rsidRPr="00DC082B">
              <w:lastRenderedPageBreak/>
              <w:t>Author and date</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heading"/>
            </w:pPr>
            <w:r w:rsidRPr="00DC082B">
              <w:t>Salonia et al 2006</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Title</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Holmium laser enucleation versus open prostatectomy for benign prostatic hyperplasia: An inpatient cost analysis</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Type of economic evaluation presented</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Cost analysis</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Study objective</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To compare the cost of HoLEP compared to OP in the treatment of BPH for men with a large prostate</w:t>
            </w:r>
            <w:r>
              <w:t xml:space="preserve">. </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Interventions</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 xml:space="preserve">HoLEP and OP  </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Location/Setting</w:t>
            </w:r>
          </w:p>
        </w:tc>
        <w:tc>
          <w:tcPr>
            <w:tcW w:w="3779"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Italy</w:t>
            </w:r>
            <w:r>
              <w:t xml:space="preserve">. </w:t>
            </w:r>
            <w:r w:rsidRPr="00DC082B">
              <w:t>All procedures were performed as hospital inpatient procedures.</w:t>
            </w:r>
          </w:p>
        </w:tc>
      </w:tr>
      <w:tr w:rsidR="00786914" w:rsidTr="0006743B">
        <w:tc>
          <w:tcPr>
            <w:tcW w:w="1221" w:type="pct"/>
            <w:tcBorders>
              <w:top w:val="single" w:sz="4" w:space="0" w:color="000000"/>
              <w:left w:val="single" w:sz="4" w:space="0" w:color="000000"/>
              <w:bottom w:val="single" w:sz="4" w:space="0" w:color="000000"/>
              <w:right w:val="single" w:sz="4" w:space="0" w:color="000000"/>
            </w:tcBorders>
            <w:hideMark/>
          </w:tcPr>
          <w:p w:rsidR="00786914" w:rsidRPr="00DC082B" w:rsidRDefault="00786914" w:rsidP="0006743B">
            <w:pPr>
              <w:pStyle w:val="TableText"/>
            </w:pPr>
            <w:r w:rsidRPr="00DC082B">
              <w:t>Methods</w:t>
            </w:r>
          </w:p>
        </w:tc>
        <w:tc>
          <w:tcPr>
            <w:tcW w:w="3779" w:type="pct"/>
            <w:tcBorders>
              <w:top w:val="single" w:sz="4" w:space="0" w:color="000000"/>
              <w:left w:val="single" w:sz="4" w:space="0" w:color="000000"/>
              <w:bottom w:val="single" w:sz="4" w:space="0" w:color="000000"/>
              <w:right w:val="single" w:sz="4" w:space="0" w:color="000000"/>
            </w:tcBorders>
          </w:tcPr>
          <w:p w:rsidR="00786914" w:rsidRPr="00DC082B" w:rsidRDefault="00786914" w:rsidP="0006743B">
            <w:pPr>
              <w:pStyle w:val="TableText"/>
            </w:pPr>
            <w:r w:rsidRPr="00DC082B">
              <w:t xml:space="preserve">Analytical approach: A cost analysis was conducted using economic data collected from </w:t>
            </w:r>
            <w:r>
              <w:t xml:space="preserve">a </w:t>
            </w:r>
            <w:r w:rsidRPr="00DC082B">
              <w:t>randomised, single-centre, prospective clinical trial.</w:t>
            </w:r>
          </w:p>
          <w:p w:rsidR="00786914" w:rsidRPr="00DC082B" w:rsidRDefault="00786914" w:rsidP="0006743B">
            <w:pPr>
              <w:pStyle w:val="TableText"/>
            </w:pPr>
          </w:p>
          <w:p w:rsidR="00786914" w:rsidRPr="00DC082B" w:rsidRDefault="00786914" w:rsidP="0006743B">
            <w:pPr>
              <w:pStyle w:val="TableText"/>
            </w:pPr>
            <w:r w:rsidRPr="00DC082B">
              <w:t>Effectiveness data:  Preoperative clinical data were presented; however, no postoperative clinical data were presented.</w:t>
            </w:r>
          </w:p>
          <w:p w:rsidR="00786914" w:rsidRPr="00DC082B" w:rsidRDefault="00786914" w:rsidP="0006743B">
            <w:pPr>
              <w:pStyle w:val="TableText"/>
            </w:pPr>
          </w:p>
          <w:p w:rsidR="00786914" w:rsidRPr="00DC082B" w:rsidRDefault="00786914" w:rsidP="0006743B">
            <w:pPr>
              <w:pStyle w:val="TableText"/>
            </w:pPr>
            <w:r w:rsidRPr="00DC082B">
              <w:t>Cost data:  Only direct hospital costs were considered in the analysis</w:t>
            </w:r>
            <w:r>
              <w:t xml:space="preserve">. </w:t>
            </w:r>
            <w:r w:rsidRPr="00DC082B">
              <w:t>The costs used in the analysis included: premedication and prophylaxis, anaesthesia, OR surgical setup/disposables/fibres, irrigation fluid, autologous blood transfusion, homologous blood transfusion, OR time, postoperative holding area time, perioperative analgesic solution use, hospital stay, unplanned events.</w:t>
            </w:r>
          </w:p>
          <w:p w:rsidR="00786914" w:rsidRPr="00DC082B" w:rsidRDefault="00786914" w:rsidP="0006743B">
            <w:pPr>
              <w:pStyle w:val="TableText"/>
            </w:pPr>
          </w:p>
          <w:p w:rsidR="00786914" w:rsidRPr="00DC082B" w:rsidRDefault="00786914" w:rsidP="0006743B">
            <w:pPr>
              <w:pStyle w:val="TableText"/>
            </w:pPr>
            <w:r w:rsidRPr="00DC082B">
              <w:t>Quantities and costs were not presented separately.</w:t>
            </w:r>
          </w:p>
          <w:p w:rsidR="00786914" w:rsidRPr="00DC082B" w:rsidRDefault="00786914" w:rsidP="0006743B">
            <w:pPr>
              <w:pStyle w:val="TableText"/>
            </w:pPr>
          </w:p>
          <w:p w:rsidR="00786914" w:rsidRPr="00DC082B" w:rsidRDefault="00786914" w:rsidP="0006743B">
            <w:pPr>
              <w:pStyle w:val="TableText"/>
            </w:pPr>
            <w:r w:rsidRPr="00DC082B">
              <w:t>All costs were presented in both euros and US dollars although a currency conversion rate was not specified</w:t>
            </w:r>
            <w:r>
              <w:t xml:space="preserve">. </w:t>
            </w:r>
            <w:r w:rsidRPr="00DC082B">
              <w:t>The price year was not specified; however, as the trial took place between February and May 2004 it will be assumed that this was also the price year.</w:t>
            </w:r>
          </w:p>
          <w:p w:rsidR="00786914" w:rsidRPr="00DC082B" w:rsidRDefault="00786914" w:rsidP="0006743B">
            <w:pPr>
              <w:pStyle w:val="TableText"/>
            </w:pPr>
          </w:p>
          <w:p w:rsidR="00786914" w:rsidRPr="00DC082B" w:rsidRDefault="00786914" w:rsidP="0006743B">
            <w:pPr>
              <w:pStyle w:val="TableText"/>
            </w:pPr>
            <w:r w:rsidRPr="00DC082B">
              <w:t>Medical salary costs (urologist and anaesthesiologist) were not included.</w:t>
            </w:r>
          </w:p>
          <w:p w:rsidR="00786914" w:rsidRPr="00DC082B" w:rsidRDefault="00786914" w:rsidP="0006743B">
            <w:pPr>
              <w:pStyle w:val="TableText"/>
            </w:pPr>
          </w:p>
          <w:p w:rsidR="00786914" w:rsidRPr="00DC082B" w:rsidRDefault="00786914" w:rsidP="0006743B">
            <w:pPr>
              <w:pStyle w:val="TableText"/>
            </w:pPr>
            <w:r w:rsidRPr="00DC082B">
              <w:t>Analysis of uncertainty:  No sensitivity analysis was performed.</w:t>
            </w:r>
          </w:p>
        </w:tc>
      </w:tr>
    </w:tbl>
    <w:p w:rsidR="00786914" w:rsidRPr="004C6B15" w:rsidRDefault="00786914" w:rsidP="0006743B"/>
    <w:p w:rsidR="00786914" w:rsidRDefault="00786914">
      <w:pPr>
        <w:spacing w:after="0"/>
        <w:ind w:left="0"/>
        <w:rPr>
          <w:b/>
        </w:rPr>
      </w:pPr>
      <w:r>
        <w:rPr>
          <w:b/>
        </w:rPr>
        <w:br w:type="page"/>
      </w:r>
    </w:p>
    <w:p w:rsidR="00786914" w:rsidRPr="00ED2C57" w:rsidRDefault="00786914" w:rsidP="0006743B">
      <w:pPr>
        <w:pStyle w:val="Heading1"/>
      </w:pPr>
      <w:bookmarkStart w:id="426" w:name="_Toc323642315"/>
      <w:bookmarkStart w:id="427" w:name="_Toc327877940"/>
      <w:bookmarkStart w:id="428" w:name="_Toc365900603"/>
      <w:bookmarkEnd w:id="416"/>
      <w:r w:rsidRPr="00ED2C57">
        <w:lastRenderedPageBreak/>
        <w:t>Glossary and abbreviations</w:t>
      </w:r>
      <w:bookmarkEnd w:id="426"/>
      <w:bookmarkEnd w:id="427"/>
      <w:bookmarkEnd w:id="428"/>
    </w:p>
    <w:tbl>
      <w:tblPr>
        <w:tblW w:w="0" w:type="auto"/>
        <w:tblInd w:w="720" w:type="dxa"/>
        <w:tblLook w:val="04A0" w:firstRow="1" w:lastRow="0" w:firstColumn="1" w:lastColumn="0" w:noHBand="0" w:noVBand="1"/>
      </w:tblPr>
      <w:tblGrid>
        <w:gridCol w:w="2245"/>
        <w:gridCol w:w="5529"/>
      </w:tblGrid>
      <w:tr w:rsidR="00786914" w:rsidTr="0006743B">
        <w:tc>
          <w:tcPr>
            <w:tcW w:w="2245" w:type="dxa"/>
          </w:tcPr>
          <w:p w:rsidR="00786914" w:rsidRDefault="00786914" w:rsidP="0006743B">
            <w:pPr>
              <w:ind w:left="0"/>
            </w:pPr>
            <w:r>
              <w:t>AHMAC</w:t>
            </w:r>
          </w:p>
        </w:tc>
        <w:tc>
          <w:tcPr>
            <w:tcW w:w="5529" w:type="dxa"/>
          </w:tcPr>
          <w:p w:rsidR="00786914" w:rsidRDefault="00786914" w:rsidP="0006743B">
            <w:pPr>
              <w:ind w:left="0"/>
            </w:pPr>
            <w:r>
              <w:t>Australian Health Ministers’ Advisory Council</w:t>
            </w:r>
          </w:p>
        </w:tc>
      </w:tr>
      <w:tr w:rsidR="00786914" w:rsidTr="0006743B">
        <w:tc>
          <w:tcPr>
            <w:tcW w:w="2245" w:type="dxa"/>
          </w:tcPr>
          <w:p w:rsidR="00786914" w:rsidRDefault="00786914" w:rsidP="0006743B">
            <w:pPr>
              <w:ind w:left="0"/>
            </w:pPr>
            <w:r>
              <w:t>AIHW</w:t>
            </w:r>
          </w:p>
        </w:tc>
        <w:tc>
          <w:tcPr>
            <w:tcW w:w="5529" w:type="dxa"/>
          </w:tcPr>
          <w:p w:rsidR="00786914" w:rsidRDefault="00786914" w:rsidP="0006743B">
            <w:pPr>
              <w:ind w:left="0"/>
            </w:pPr>
            <w:r>
              <w:t>Australian Institute of Health and Welfare</w:t>
            </w:r>
          </w:p>
        </w:tc>
      </w:tr>
      <w:tr w:rsidR="00786914" w:rsidTr="0006743B">
        <w:tc>
          <w:tcPr>
            <w:tcW w:w="2245" w:type="dxa"/>
          </w:tcPr>
          <w:p w:rsidR="00786914" w:rsidRDefault="00786914" w:rsidP="0006743B">
            <w:pPr>
              <w:ind w:left="0"/>
            </w:pPr>
            <w:r>
              <w:t>ANZHSN</w:t>
            </w:r>
          </w:p>
        </w:tc>
        <w:tc>
          <w:tcPr>
            <w:tcW w:w="5529" w:type="dxa"/>
          </w:tcPr>
          <w:p w:rsidR="00786914" w:rsidRDefault="00786914" w:rsidP="0006743B">
            <w:pPr>
              <w:ind w:left="0"/>
            </w:pPr>
            <w:r>
              <w:t>Australian and New Zealand Horizon Scanning Network</w:t>
            </w:r>
          </w:p>
        </w:tc>
      </w:tr>
      <w:tr w:rsidR="00786914" w:rsidTr="0006743B">
        <w:tc>
          <w:tcPr>
            <w:tcW w:w="2245" w:type="dxa"/>
          </w:tcPr>
          <w:p w:rsidR="00786914" w:rsidRDefault="00786914" w:rsidP="0006743B">
            <w:pPr>
              <w:ind w:left="0"/>
            </w:pPr>
            <w:r>
              <w:t>ARTG</w:t>
            </w:r>
          </w:p>
        </w:tc>
        <w:tc>
          <w:tcPr>
            <w:tcW w:w="5529" w:type="dxa"/>
          </w:tcPr>
          <w:p w:rsidR="00786914" w:rsidRDefault="00786914" w:rsidP="0006743B">
            <w:pPr>
              <w:ind w:left="0"/>
            </w:pPr>
            <w:r>
              <w:t>Australian Register of Therapeutic Goods</w:t>
            </w:r>
          </w:p>
        </w:tc>
      </w:tr>
      <w:tr w:rsidR="00786914" w:rsidTr="0006743B">
        <w:tc>
          <w:tcPr>
            <w:tcW w:w="2245" w:type="dxa"/>
          </w:tcPr>
          <w:p w:rsidR="00786914" w:rsidRDefault="00786914" w:rsidP="0006743B">
            <w:pPr>
              <w:ind w:left="0"/>
            </w:pPr>
            <w:r>
              <w:t>AUA</w:t>
            </w:r>
          </w:p>
        </w:tc>
        <w:tc>
          <w:tcPr>
            <w:tcW w:w="5529" w:type="dxa"/>
          </w:tcPr>
          <w:p w:rsidR="00786914" w:rsidRDefault="00786914" w:rsidP="0006743B">
            <w:pPr>
              <w:ind w:left="0"/>
            </w:pPr>
            <w:r>
              <w:t>American Urological Association</w:t>
            </w:r>
          </w:p>
        </w:tc>
      </w:tr>
      <w:tr w:rsidR="00786914" w:rsidTr="0006743B">
        <w:tc>
          <w:tcPr>
            <w:tcW w:w="2245" w:type="dxa"/>
          </w:tcPr>
          <w:p w:rsidR="00786914" w:rsidRDefault="00786914" w:rsidP="0006743B">
            <w:pPr>
              <w:ind w:left="0"/>
            </w:pPr>
            <w:r>
              <w:t>BNC</w:t>
            </w:r>
          </w:p>
        </w:tc>
        <w:tc>
          <w:tcPr>
            <w:tcW w:w="5529" w:type="dxa"/>
          </w:tcPr>
          <w:p w:rsidR="00786914" w:rsidRDefault="00786914" w:rsidP="0006743B">
            <w:pPr>
              <w:ind w:left="0"/>
            </w:pPr>
            <w:r w:rsidRPr="00995EE6">
              <w:t>bladder-neck</w:t>
            </w:r>
            <w:r>
              <w:t xml:space="preserve"> </w:t>
            </w:r>
            <w:r w:rsidRPr="00995EE6">
              <w:t>contracture</w:t>
            </w:r>
          </w:p>
        </w:tc>
      </w:tr>
      <w:tr w:rsidR="00786914" w:rsidTr="0006743B">
        <w:tc>
          <w:tcPr>
            <w:tcW w:w="2245" w:type="dxa"/>
          </w:tcPr>
          <w:p w:rsidR="00786914" w:rsidRDefault="00786914" w:rsidP="0006743B">
            <w:pPr>
              <w:ind w:left="0"/>
            </w:pPr>
            <w:r>
              <w:t>BPH</w:t>
            </w:r>
          </w:p>
        </w:tc>
        <w:tc>
          <w:tcPr>
            <w:tcW w:w="5529" w:type="dxa"/>
          </w:tcPr>
          <w:p w:rsidR="00786914" w:rsidRDefault="00786914" w:rsidP="0006743B">
            <w:pPr>
              <w:ind w:left="0"/>
            </w:pPr>
            <w:r>
              <w:t>benign prostatic hyperplasia</w:t>
            </w:r>
          </w:p>
        </w:tc>
      </w:tr>
      <w:tr w:rsidR="00786914" w:rsidTr="0006743B">
        <w:tc>
          <w:tcPr>
            <w:tcW w:w="2245" w:type="dxa"/>
          </w:tcPr>
          <w:p w:rsidR="00786914" w:rsidRDefault="00786914" w:rsidP="0006743B">
            <w:pPr>
              <w:ind w:left="0"/>
            </w:pPr>
            <w:r>
              <w:t>CI</w:t>
            </w:r>
          </w:p>
        </w:tc>
        <w:tc>
          <w:tcPr>
            <w:tcW w:w="5529" w:type="dxa"/>
          </w:tcPr>
          <w:p w:rsidR="00786914" w:rsidRDefault="00786914" w:rsidP="0006743B">
            <w:pPr>
              <w:ind w:left="0"/>
            </w:pPr>
            <w:r>
              <w:t>confidence interval</w:t>
            </w:r>
          </w:p>
        </w:tc>
      </w:tr>
      <w:tr w:rsidR="00786914" w:rsidTr="0006743B">
        <w:tc>
          <w:tcPr>
            <w:tcW w:w="2245" w:type="dxa"/>
          </w:tcPr>
          <w:p w:rsidR="00786914" w:rsidRDefault="00786914" w:rsidP="0006743B">
            <w:pPr>
              <w:ind w:left="0"/>
            </w:pPr>
            <w:r>
              <w:t>DAP</w:t>
            </w:r>
          </w:p>
        </w:tc>
        <w:tc>
          <w:tcPr>
            <w:tcW w:w="5529" w:type="dxa"/>
          </w:tcPr>
          <w:p w:rsidR="00786914" w:rsidRDefault="00786914" w:rsidP="0006743B">
            <w:pPr>
              <w:ind w:left="0"/>
            </w:pPr>
            <w:r>
              <w:t>Decision Analytic Protocol</w:t>
            </w:r>
          </w:p>
        </w:tc>
      </w:tr>
      <w:tr w:rsidR="008D2B47" w:rsidTr="0006743B">
        <w:tc>
          <w:tcPr>
            <w:tcW w:w="2245" w:type="dxa"/>
          </w:tcPr>
          <w:p w:rsidR="008D2B47" w:rsidRDefault="008D2B47" w:rsidP="0006743B">
            <w:pPr>
              <w:ind w:left="0"/>
            </w:pPr>
            <w:r>
              <w:t>HESP</w:t>
            </w:r>
          </w:p>
        </w:tc>
        <w:tc>
          <w:tcPr>
            <w:tcW w:w="5529" w:type="dxa"/>
          </w:tcPr>
          <w:p w:rsidR="008D2B47" w:rsidRDefault="008D2B47" w:rsidP="0006743B">
            <w:pPr>
              <w:ind w:left="0"/>
            </w:pPr>
            <w:r>
              <w:t>Health Expert Standing Panel</w:t>
            </w:r>
          </w:p>
        </w:tc>
      </w:tr>
      <w:tr w:rsidR="008D2B47" w:rsidTr="0006743B">
        <w:tc>
          <w:tcPr>
            <w:tcW w:w="2245" w:type="dxa"/>
          </w:tcPr>
          <w:p w:rsidR="008D2B47" w:rsidRDefault="008D2B47" w:rsidP="0006743B">
            <w:pPr>
              <w:ind w:left="0"/>
            </w:pPr>
            <w:r>
              <w:t>HRQoL</w:t>
            </w:r>
          </w:p>
        </w:tc>
        <w:tc>
          <w:tcPr>
            <w:tcW w:w="5529" w:type="dxa"/>
          </w:tcPr>
          <w:p w:rsidR="008D2B47" w:rsidRDefault="008D2B47" w:rsidP="0006743B">
            <w:pPr>
              <w:ind w:left="0"/>
            </w:pPr>
            <w:r w:rsidRPr="007A011C">
              <w:t xml:space="preserve">health-related quality of life </w:t>
            </w:r>
          </w:p>
        </w:tc>
      </w:tr>
      <w:tr w:rsidR="008D2B47" w:rsidTr="0006743B">
        <w:tc>
          <w:tcPr>
            <w:tcW w:w="2245" w:type="dxa"/>
          </w:tcPr>
          <w:p w:rsidR="008D2B47" w:rsidRDefault="008D2B47" w:rsidP="0006743B">
            <w:pPr>
              <w:ind w:left="0"/>
            </w:pPr>
            <w:r>
              <w:t>HTA</w:t>
            </w:r>
          </w:p>
        </w:tc>
        <w:tc>
          <w:tcPr>
            <w:tcW w:w="5529" w:type="dxa"/>
          </w:tcPr>
          <w:p w:rsidR="008D2B47" w:rsidRDefault="008D2B47" w:rsidP="0006743B">
            <w:pPr>
              <w:ind w:left="0"/>
            </w:pPr>
            <w:r>
              <w:t>health technology assessment</w:t>
            </w:r>
          </w:p>
        </w:tc>
      </w:tr>
      <w:tr w:rsidR="008D2B47" w:rsidTr="0006743B">
        <w:tc>
          <w:tcPr>
            <w:tcW w:w="2245" w:type="dxa"/>
          </w:tcPr>
          <w:p w:rsidR="008D2B47" w:rsidRDefault="008D2B47" w:rsidP="0006743B">
            <w:pPr>
              <w:ind w:left="0"/>
            </w:pPr>
            <w:r>
              <w:t>ICER</w:t>
            </w:r>
          </w:p>
        </w:tc>
        <w:tc>
          <w:tcPr>
            <w:tcW w:w="5529" w:type="dxa"/>
          </w:tcPr>
          <w:p w:rsidR="008D2B47" w:rsidRDefault="008D2B47" w:rsidP="0006743B">
            <w:pPr>
              <w:ind w:left="0"/>
            </w:pPr>
            <w:r>
              <w:t>incremental cost-effectiveness ratio</w:t>
            </w:r>
          </w:p>
        </w:tc>
      </w:tr>
      <w:tr w:rsidR="008D2B47" w:rsidTr="0006743B">
        <w:tc>
          <w:tcPr>
            <w:tcW w:w="2245" w:type="dxa"/>
          </w:tcPr>
          <w:p w:rsidR="008D2B47" w:rsidRDefault="008D2B47" w:rsidP="0006743B">
            <w:pPr>
              <w:ind w:left="0"/>
            </w:pPr>
            <w:r>
              <w:t>IIEF</w:t>
            </w:r>
          </w:p>
        </w:tc>
        <w:tc>
          <w:tcPr>
            <w:tcW w:w="5529" w:type="dxa"/>
          </w:tcPr>
          <w:p w:rsidR="008D2B47" w:rsidRDefault="008D2B47" w:rsidP="0006743B">
            <w:pPr>
              <w:ind w:left="0"/>
            </w:pPr>
            <w:r>
              <w:t>International Index of Erectile Function</w:t>
            </w:r>
          </w:p>
        </w:tc>
      </w:tr>
      <w:tr w:rsidR="008D2B47" w:rsidTr="0006743B">
        <w:tc>
          <w:tcPr>
            <w:tcW w:w="2245" w:type="dxa"/>
          </w:tcPr>
          <w:p w:rsidR="008D2B47" w:rsidRDefault="008D2B47" w:rsidP="0006743B">
            <w:pPr>
              <w:ind w:left="0"/>
            </w:pPr>
            <w:r>
              <w:t>IPSS</w:t>
            </w:r>
          </w:p>
        </w:tc>
        <w:tc>
          <w:tcPr>
            <w:tcW w:w="5529" w:type="dxa"/>
          </w:tcPr>
          <w:p w:rsidR="008D2B47" w:rsidRDefault="008D2B47" w:rsidP="0006743B">
            <w:pPr>
              <w:ind w:left="0"/>
            </w:pPr>
            <w:r>
              <w:t>International Prostate Symptom Score</w:t>
            </w:r>
          </w:p>
        </w:tc>
      </w:tr>
      <w:tr w:rsidR="008D2B47" w:rsidTr="0006743B">
        <w:tc>
          <w:tcPr>
            <w:tcW w:w="2245" w:type="dxa"/>
          </w:tcPr>
          <w:p w:rsidR="008D2B47" w:rsidRDefault="008D2B47" w:rsidP="0006743B">
            <w:pPr>
              <w:ind w:left="0"/>
            </w:pPr>
            <w:r>
              <w:t>KTP</w:t>
            </w:r>
          </w:p>
        </w:tc>
        <w:tc>
          <w:tcPr>
            <w:tcW w:w="5529" w:type="dxa"/>
          </w:tcPr>
          <w:p w:rsidR="008D2B47" w:rsidRDefault="008D2B47" w:rsidP="0006743B">
            <w:pPr>
              <w:ind w:left="0"/>
            </w:pPr>
            <w:r>
              <w:t>potassium titanyl phosphate</w:t>
            </w:r>
          </w:p>
        </w:tc>
      </w:tr>
      <w:tr w:rsidR="008D2B47" w:rsidTr="0006743B">
        <w:tc>
          <w:tcPr>
            <w:tcW w:w="2245" w:type="dxa"/>
          </w:tcPr>
          <w:p w:rsidR="008D2B47" w:rsidRDefault="008D2B47" w:rsidP="0006743B">
            <w:pPr>
              <w:ind w:left="0"/>
            </w:pPr>
            <w:r>
              <w:t>LUTS</w:t>
            </w:r>
          </w:p>
        </w:tc>
        <w:tc>
          <w:tcPr>
            <w:tcW w:w="5529" w:type="dxa"/>
          </w:tcPr>
          <w:p w:rsidR="008D2B47" w:rsidRDefault="008D2B47" w:rsidP="0006743B">
            <w:pPr>
              <w:ind w:left="0"/>
            </w:pPr>
            <w:r>
              <w:t>lower urinary tract symptoms</w:t>
            </w:r>
          </w:p>
        </w:tc>
      </w:tr>
      <w:tr w:rsidR="008D2B47" w:rsidTr="0006743B">
        <w:tc>
          <w:tcPr>
            <w:tcW w:w="2245" w:type="dxa"/>
          </w:tcPr>
          <w:p w:rsidR="008D2B47" w:rsidRDefault="008D2B47" w:rsidP="0006743B">
            <w:pPr>
              <w:ind w:left="0"/>
            </w:pPr>
            <w:r>
              <w:t>MBS</w:t>
            </w:r>
          </w:p>
        </w:tc>
        <w:tc>
          <w:tcPr>
            <w:tcW w:w="5529" w:type="dxa"/>
          </w:tcPr>
          <w:p w:rsidR="008D2B47" w:rsidRDefault="008D2B47" w:rsidP="0006743B">
            <w:pPr>
              <w:ind w:left="0"/>
            </w:pPr>
            <w:r>
              <w:t>Medical Benefits Schedule</w:t>
            </w:r>
          </w:p>
        </w:tc>
      </w:tr>
      <w:tr w:rsidR="008D2B47" w:rsidTr="0006743B">
        <w:tc>
          <w:tcPr>
            <w:tcW w:w="2245" w:type="dxa"/>
          </w:tcPr>
          <w:p w:rsidR="008D2B47" w:rsidRDefault="008D2B47" w:rsidP="0006743B">
            <w:pPr>
              <w:ind w:left="0"/>
            </w:pPr>
            <w:r>
              <w:t>MD</w:t>
            </w:r>
          </w:p>
        </w:tc>
        <w:tc>
          <w:tcPr>
            <w:tcW w:w="5529" w:type="dxa"/>
          </w:tcPr>
          <w:p w:rsidR="008D2B47" w:rsidRDefault="008D2B47" w:rsidP="0006743B">
            <w:pPr>
              <w:ind w:left="0"/>
            </w:pPr>
            <w:r>
              <w:t>mean difference</w:t>
            </w:r>
          </w:p>
        </w:tc>
      </w:tr>
      <w:tr w:rsidR="008D2B47" w:rsidTr="0006743B">
        <w:tc>
          <w:tcPr>
            <w:tcW w:w="2245" w:type="dxa"/>
          </w:tcPr>
          <w:p w:rsidR="008D2B47" w:rsidRDefault="008D2B47" w:rsidP="0006743B">
            <w:pPr>
              <w:ind w:left="0"/>
            </w:pPr>
          </w:p>
        </w:tc>
        <w:tc>
          <w:tcPr>
            <w:tcW w:w="5529" w:type="dxa"/>
          </w:tcPr>
          <w:p w:rsidR="008D2B47" w:rsidRDefault="008D2B47" w:rsidP="008D2B47">
            <w:pPr>
              <w:ind w:left="0"/>
            </w:pPr>
          </w:p>
        </w:tc>
      </w:tr>
      <w:tr w:rsidR="008D2B47" w:rsidTr="0006743B">
        <w:tc>
          <w:tcPr>
            <w:tcW w:w="2245" w:type="dxa"/>
          </w:tcPr>
          <w:p w:rsidR="008D2B47" w:rsidRDefault="008D2B47" w:rsidP="0006743B">
            <w:pPr>
              <w:ind w:left="0"/>
            </w:pPr>
            <w:r>
              <w:t>MSAC</w:t>
            </w:r>
          </w:p>
        </w:tc>
        <w:tc>
          <w:tcPr>
            <w:tcW w:w="5529" w:type="dxa"/>
          </w:tcPr>
          <w:p w:rsidR="008D2B47" w:rsidRDefault="008D2B47" w:rsidP="0006743B">
            <w:pPr>
              <w:ind w:left="0"/>
            </w:pPr>
            <w:r>
              <w:t>Medical Services Advisory Committee</w:t>
            </w:r>
          </w:p>
        </w:tc>
      </w:tr>
      <w:tr w:rsidR="008D2B47" w:rsidTr="0006743B">
        <w:tc>
          <w:tcPr>
            <w:tcW w:w="2245" w:type="dxa"/>
          </w:tcPr>
          <w:p w:rsidR="008D2B47" w:rsidRDefault="008D2B47" w:rsidP="0006743B">
            <w:pPr>
              <w:ind w:left="0"/>
            </w:pPr>
            <w:r>
              <w:t>NHMRC</w:t>
            </w:r>
          </w:p>
        </w:tc>
        <w:tc>
          <w:tcPr>
            <w:tcW w:w="5529" w:type="dxa"/>
          </w:tcPr>
          <w:p w:rsidR="008D2B47" w:rsidRDefault="008D2B47" w:rsidP="0006743B">
            <w:pPr>
              <w:ind w:left="0"/>
            </w:pPr>
            <w:r>
              <w:t>National Health and Medical Research Council</w:t>
            </w:r>
          </w:p>
        </w:tc>
      </w:tr>
      <w:tr w:rsidR="008D2B47" w:rsidTr="0006743B">
        <w:tc>
          <w:tcPr>
            <w:tcW w:w="2245" w:type="dxa"/>
          </w:tcPr>
          <w:p w:rsidR="008D2B47" w:rsidRDefault="008D2B47" w:rsidP="0006743B">
            <w:pPr>
              <w:ind w:left="0"/>
            </w:pPr>
            <w:r>
              <w:t>NHS</w:t>
            </w:r>
          </w:p>
        </w:tc>
        <w:tc>
          <w:tcPr>
            <w:tcW w:w="5529" w:type="dxa"/>
          </w:tcPr>
          <w:p w:rsidR="008D2B47" w:rsidRDefault="008D2B47" w:rsidP="0006743B">
            <w:pPr>
              <w:ind w:left="0"/>
            </w:pPr>
            <w:r>
              <w:t>National Health Service</w:t>
            </w:r>
          </w:p>
        </w:tc>
      </w:tr>
      <w:tr w:rsidR="008D2B47" w:rsidTr="0006743B">
        <w:tc>
          <w:tcPr>
            <w:tcW w:w="2245" w:type="dxa"/>
          </w:tcPr>
          <w:p w:rsidR="008D2B47" w:rsidRDefault="008D2B47" w:rsidP="0006743B">
            <w:pPr>
              <w:ind w:left="0"/>
            </w:pPr>
            <w:r>
              <w:t>OP</w:t>
            </w:r>
          </w:p>
        </w:tc>
        <w:tc>
          <w:tcPr>
            <w:tcW w:w="5529" w:type="dxa"/>
          </w:tcPr>
          <w:p w:rsidR="008D2B47" w:rsidRDefault="008D2B47" w:rsidP="0006743B">
            <w:pPr>
              <w:ind w:left="0"/>
            </w:pPr>
            <w:r>
              <w:t>open prostatectomy</w:t>
            </w:r>
          </w:p>
        </w:tc>
      </w:tr>
      <w:tr w:rsidR="008D2B47" w:rsidTr="0006743B">
        <w:tc>
          <w:tcPr>
            <w:tcW w:w="2245" w:type="dxa"/>
          </w:tcPr>
          <w:p w:rsidR="008D2B47" w:rsidRDefault="008D2B47" w:rsidP="0006743B">
            <w:pPr>
              <w:ind w:left="0"/>
            </w:pPr>
            <w:r>
              <w:lastRenderedPageBreak/>
              <w:t>p</w:t>
            </w:r>
          </w:p>
        </w:tc>
        <w:tc>
          <w:tcPr>
            <w:tcW w:w="5529" w:type="dxa"/>
          </w:tcPr>
          <w:p w:rsidR="008D2B47" w:rsidRDefault="008D2B47" w:rsidP="0006743B">
            <w:pPr>
              <w:ind w:left="0"/>
            </w:pPr>
            <w:r>
              <w:t>probability</w:t>
            </w:r>
          </w:p>
        </w:tc>
      </w:tr>
      <w:tr w:rsidR="008D2B47" w:rsidTr="0006743B">
        <w:tc>
          <w:tcPr>
            <w:tcW w:w="2245" w:type="dxa"/>
          </w:tcPr>
          <w:p w:rsidR="008D2B47" w:rsidRDefault="008D2B47" w:rsidP="0006743B">
            <w:pPr>
              <w:ind w:left="0"/>
            </w:pPr>
            <w:r>
              <w:t>PASC</w:t>
            </w:r>
          </w:p>
        </w:tc>
        <w:tc>
          <w:tcPr>
            <w:tcW w:w="5529" w:type="dxa"/>
          </w:tcPr>
          <w:p w:rsidR="008D2B47" w:rsidRPr="00F0641E" w:rsidRDefault="008D2B47" w:rsidP="0006743B">
            <w:pPr>
              <w:ind w:left="0"/>
            </w:pPr>
            <w:r>
              <w:rPr>
                <w:szCs w:val="24"/>
              </w:rPr>
              <w:t>Protocol Advisory Sub-Committee</w:t>
            </w:r>
          </w:p>
        </w:tc>
      </w:tr>
      <w:tr w:rsidR="008D2B47" w:rsidTr="0006743B">
        <w:tc>
          <w:tcPr>
            <w:tcW w:w="2245" w:type="dxa"/>
          </w:tcPr>
          <w:p w:rsidR="008D2B47" w:rsidRDefault="008D2B47" w:rsidP="0006743B">
            <w:pPr>
              <w:ind w:left="0"/>
            </w:pPr>
            <w:r>
              <w:t>PICO</w:t>
            </w:r>
          </w:p>
        </w:tc>
        <w:tc>
          <w:tcPr>
            <w:tcW w:w="5529" w:type="dxa"/>
          </w:tcPr>
          <w:p w:rsidR="008D2B47" w:rsidRDefault="008D2B47" w:rsidP="0006743B">
            <w:pPr>
              <w:ind w:left="0"/>
            </w:pPr>
            <w:r>
              <w:t>population, intervention, comparator, outcomes</w:t>
            </w:r>
          </w:p>
        </w:tc>
      </w:tr>
      <w:tr w:rsidR="008D2B47" w:rsidTr="0006743B">
        <w:tc>
          <w:tcPr>
            <w:tcW w:w="2245" w:type="dxa"/>
          </w:tcPr>
          <w:p w:rsidR="008D2B47" w:rsidRDefault="008D2B47" w:rsidP="0006743B">
            <w:pPr>
              <w:ind w:left="0"/>
            </w:pPr>
            <w:r>
              <w:t>PVP</w:t>
            </w:r>
          </w:p>
        </w:tc>
        <w:tc>
          <w:tcPr>
            <w:tcW w:w="5529" w:type="dxa"/>
          </w:tcPr>
          <w:p w:rsidR="008D2B47" w:rsidRDefault="008D2B47" w:rsidP="0006743B">
            <w:pPr>
              <w:ind w:left="0"/>
            </w:pPr>
            <w:r>
              <w:t>photoselective vaporisation of the prostate</w:t>
            </w:r>
          </w:p>
        </w:tc>
      </w:tr>
      <w:tr w:rsidR="008D2B47" w:rsidTr="0006743B">
        <w:tc>
          <w:tcPr>
            <w:tcW w:w="2245" w:type="dxa"/>
          </w:tcPr>
          <w:p w:rsidR="008D2B47" w:rsidRDefault="008D2B47" w:rsidP="0006743B">
            <w:pPr>
              <w:ind w:left="0"/>
            </w:pPr>
            <w:r>
              <w:t>PVR</w:t>
            </w:r>
          </w:p>
        </w:tc>
        <w:tc>
          <w:tcPr>
            <w:tcW w:w="5529" w:type="dxa"/>
          </w:tcPr>
          <w:p w:rsidR="008D2B47" w:rsidRDefault="008D2B47" w:rsidP="0006743B">
            <w:pPr>
              <w:ind w:left="0"/>
            </w:pPr>
            <w:r w:rsidRPr="004E1EFC">
              <w:rPr>
                <w:rFonts w:cs="Arial"/>
                <w:szCs w:val="24"/>
              </w:rPr>
              <w:t>post</w:t>
            </w:r>
            <w:r>
              <w:rPr>
                <w:rFonts w:cs="Arial"/>
                <w:szCs w:val="24"/>
              </w:rPr>
              <w:t>-</w:t>
            </w:r>
            <w:r w:rsidRPr="004E1EFC">
              <w:rPr>
                <w:rFonts w:cs="Arial"/>
                <w:szCs w:val="24"/>
              </w:rPr>
              <w:t>void residual volume</w:t>
            </w:r>
            <w:r>
              <w:rPr>
                <w:rFonts w:cs="Arial"/>
                <w:szCs w:val="24"/>
              </w:rPr>
              <w:t xml:space="preserve"> </w:t>
            </w:r>
          </w:p>
        </w:tc>
      </w:tr>
      <w:tr w:rsidR="008D2B47" w:rsidTr="0006743B">
        <w:tc>
          <w:tcPr>
            <w:tcW w:w="2245" w:type="dxa"/>
          </w:tcPr>
          <w:p w:rsidR="008D2B47" w:rsidRDefault="008D2B47" w:rsidP="0006743B">
            <w:pPr>
              <w:ind w:left="0"/>
            </w:pPr>
            <w:r>
              <w:t>QALY</w:t>
            </w:r>
          </w:p>
        </w:tc>
        <w:tc>
          <w:tcPr>
            <w:tcW w:w="5529" w:type="dxa"/>
          </w:tcPr>
          <w:p w:rsidR="008D2B47" w:rsidRDefault="008D2B47" w:rsidP="0006743B">
            <w:pPr>
              <w:ind w:left="0"/>
            </w:pPr>
            <w:r>
              <w:t>quality-adjusted life year</w:t>
            </w:r>
          </w:p>
        </w:tc>
      </w:tr>
      <w:tr w:rsidR="008D2B47" w:rsidTr="0006743B">
        <w:tc>
          <w:tcPr>
            <w:tcW w:w="2245" w:type="dxa"/>
          </w:tcPr>
          <w:p w:rsidR="008D2B47" w:rsidRDefault="008D2B47" w:rsidP="0006743B">
            <w:pPr>
              <w:ind w:left="0"/>
            </w:pPr>
            <w:r>
              <w:t>Qmax</w:t>
            </w:r>
          </w:p>
        </w:tc>
        <w:tc>
          <w:tcPr>
            <w:tcW w:w="5529" w:type="dxa"/>
          </w:tcPr>
          <w:p w:rsidR="008D2B47" w:rsidRDefault="008D2B47" w:rsidP="0006743B">
            <w:pPr>
              <w:ind w:left="0"/>
            </w:pPr>
            <w:r>
              <w:t>peak flow rate</w:t>
            </w:r>
          </w:p>
        </w:tc>
      </w:tr>
      <w:tr w:rsidR="008D2B47" w:rsidTr="0006743B">
        <w:tc>
          <w:tcPr>
            <w:tcW w:w="2245" w:type="dxa"/>
          </w:tcPr>
          <w:p w:rsidR="008D2B47" w:rsidRDefault="008D2B47" w:rsidP="0006743B">
            <w:pPr>
              <w:ind w:left="0"/>
            </w:pPr>
            <w:r>
              <w:t>QoL</w:t>
            </w:r>
          </w:p>
        </w:tc>
        <w:tc>
          <w:tcPr>
            <w:tcW w:w="5529" w:type="dxa"/>
          </w:tcPr>
          <w:p w:rsidR="008D2B47" w:rsidRDefault="008D2B47" w:rsidP="0006743B">
            <w:pPr>
              <w:ind w:left="0"/>
            </w:pPr>
            <w:r>
              <w:t>quality of life</w:t>
            </w:r>
          </w:p>
        </w:tc>
      </w:tr>
      <w:tr w:rsidR="008D2B47" w:rsidTr="0006743B">
        <w:tc>
          <w:tcPr>
            <w:tcW w:w="2245" w:type="dxa"/>
          </w:tcPr>
          <w:p w:rsidR="008D2B47" w:rsidRDefault="008D2B47" w:rsidP="0006743B">
            <w:pPr>
              <w:ind w:left="0"/>
            </w:pPr>
            <w:r>
              <w:t>RCT</w:t>
            </w:r>
          </w:p>
        </w:tc>
        <w:tc>
          <w:tcPr>
            <w:tcW w:w="5529" w:type="dxa"/>
          </w:tcPr>
          <w:p w:rsidR="008D2B47" w:rsidRDefault="008D2B47" w:rsidP="0006743B">
            <w:pPr>
              <w:ind w:left="0"/>
            </w:pPr>
            <w:r>
              <w:t>randomised controlled trial</w:t>
            </w:r>
          </w:p>
        </w:tc>
      </w:tr>
      <w:tr w:rsidR="008D2B47" w:rsidTr="0006743B">
        <w:tc>
          <w:tcPr>
            <w:tcW w:w="2245" w:type="dxa"/>
          </w:tcPr>
          <w:p w:rsidR="008D2B47" w:rsidRDefault="008D2B47" w:rsidP="0006743B">
            <w:pPr>
              <w:ind w:left="0"/>
            </w:pPr>
            <w:r>
              <w:t>RR</w:t>
            </w:r>
          </w:p>
        </w:tc>
        <w:tc>
          <w:tcPr>
            <w:tcW w:w="5529" w:type="dxa"/>
          </w:tcPr>
          <w:p w:rsidR="008D2B47" w:rsidRDefault="008D2B47" w:rsidP="0006743B">
            <w:pPr>
              <w:ind w:left="0"/>
            </w:pPr>
            <w:r>
              <w:t>relative risk</w:t>
            </w:r>
          </w:p>
        </w:tc>
      </w:tr>
      <w:tr w:rsidR="008D2B47" w:rsidTr="0006743B">
        <w:tc>
          <w:tcPr>
            <w:tcW w:w="2245" w:type="dxa"/>
          </w:tcPr>
          <w:p w:rsidR="008D2B47" w:rsidRDefault="008D2B47" w:rsidP="0006743B">
            <w:pPr>
              <w:ind w:left="0"/>
            </w:pPr>
            <w:r>
              <w:t>SD</w:t>
            </w:r>
          </w:p>
        </w:tc>
        <w:tc>
          <w:tcPr>
            <w:tcW w:w="5529" w:type="dxa"/>
          </w:tcPr>
          <w:p w:rsidR="008D2B47" w:rsidRDefault="008D2B47" w:rsidP="0006743B">
            <w:pPr>
              <w:ind w:left="0"/>
            </w:pPr>
            <w:r>
              <w:t>standard deviation</w:t>
            </w:r>
          </w:p>
        </w:tc>
      </w:tr>
      <w:tr w:rsidR="008D2B47" w:rsidTr="0006743B">
        <w:tc>
          <w:tcPr>
            <w:tcW w:w="2245" w:type="dxa"/>
          </w:tcPr>
          <w:p w:rsidR="008D2B47" w:rsidRDefault="008D2B47" w:rsidP="0006743B">
            <w:pPr>
              <w:ind w:left="0"/>
            </w:pPr>
            <w:r>
              <w:t>SR</w:t>
            </w:r>
          </w:p>
        </w:tc>
        <w:tc>
          <w:tcPr>
            <w:tcW w:w="5529" w:type="dxa"/>
          </w:tcPr>
          <w:p w:rsidR="008D2B47" w:rsidRDefault="008D2B47" w:rsidP="0006743B">
            <w:pPr>
              <w:ind w:left="0"/>
            </w:pPr>
            <w:r>
              <w:t>systematic review</w:t>
            </w:r>
          </w:p>
        </w:tc>
      </w:tr>
      <w:tr w:rsidR="008D2B47" w:rsidTr="0006743B">
        <w:tc>
          <w:tcPr>
            <w:tcW w:w="2245" w:type="dxa"/>
          </w:tcPr>
          <w:p w:rsidR="008D2B47" w:rsidRDefault="008D2B47" w:rsidP="0006743B">
            <w:pPr>
              <w:ind w:left="0"/>
            </w:pPr>
            <w:r>
              <w:t>TGA</w:t>
            </w:r>
          </w:p>
        </w:tc>
        <w:tc>
          <w:tcPr>
            <w:tcW w:w="5529" w:type="dxa"/>
          </w:tcPr>
          <w:p w:rsidR="008D2B47" w:rsidRDefault="008D2B47" w:rsidP="0006743B">
            <w:pPr>
              <w:ind w:left="0"/>
            </w:pPr>
            <w:r>
              <w:t>Therapeutic Goods Administration</w:t>
            </w:r>
          </w:p>
        </w:tc>
      </w:tr>
      <w:tr w:rsidR="008D2B47" w:rsidTr="0006743B">
        <w:tc>
          <w:tcPr>
            <w:tcW w:w="2245" w:type="dxa"/>
          </w:tcPr>
          <w:p w:rsidR="008D2B47" w:rsidRDefault="008D2B47" w:rsidP="0006743B">
            <w:pPr>
              <w:ind w:left="0"/>
            </w:pPr>
            <w:r>
              <w:t>TUIP</w:t>
            </w:r>
          </w:p>
        </w:tc>
        <w:tc>
          <w:tcPr>
            <w:tcW w:w="5529" w:type="dxa"/>
          </w:tcPr>
          <w:p w:rsidR="008D2B47" w:rsidRDefault="008D2B47" w:rsidP="0006743B">
            <w:pPr>
              <w:ind w:left="0"/>
            </w:pPr>
            <w:r>
              <w:t>transurethral incisional prostatectomy</w:t>
            </w:r>
          </w:p>
        </w:tc>
      </w:tr>
      <w:tr w:rsidR="008D2B47" w:rsidTr="0006743B">
        <w:tc>
          <w:tcPr>
            <w:tcW w:w="2245" w:type="dxa"/>
          </w:tcPr>
          <w:p w:rsidR="008D2B47" w:rsidRDefault="008D2B47" w:rsidP="0006743B">
            <w:pPr>
              <w:ind w:left="0"/>
            </w:pPr>
            <w:r>
              <w:t>TUMT</w:t>
            </w:r>
          </w:p>
        </w:tc>
        <w:tc>
          <w:tcPr>
            <w:tcW w:w="5529" w:type="dxa"/>
          </w:tcPr>
          <w:p w:rsidR="008D2B47" w:rsidRDefault="008D2B47" w:rsidP="0006743B">
            <w:pPr>
              <w:ind w:left="0"/>
            </w:pPr>
            <w:r>
              <w:t>transurethral microwave thermotherapy</w:t>
            </w:r>
          </w:p>
        </w:tc>
      </w:tr>
      <w:tr w:rsidR="008D2B47" w:rsidTr="0006743B">
        <w:tc>
          <w:tcPr>
            <w:tcW w:w="2245" w:type="dxa"/>
          </w:tcPr>
          <w:p w:rsidR="008D2B47" w:rsidRDefault="008D2B47" w:rsidP="0006743B">
            <w:pPr>
              <w:ind w:left="0"/>
            </w:pPr>
            <w:r>
              <w:t>TUNA</w:t>
            </w:r>
          </w:p>
        </w:tc>
        <w:tc>
          <w:tcPr>
            <w:tcW w:w="5529" w:type="dxa"/>
          </w:tcPr>
          <w:p w:rsidR="008D2B47" w:rsidRDefault="008D2B47" w:rsidP="0006743B">
            <w:pPr>
              <w:ind w:left="0"/>
            </w:pPr>
            <w:r>
              <w:t>transurethral needle ablation</w:t>
            </w:r>
          </w:p>
        </w:tc>
      </w:tr>
      <w:tr w:rsidR="008D2B47" w:rsidTr="0006743B">
        <w:tc>
          <w:tcPr>
            <w:tcW w:w="2245" w:type="dxa"/>
          </w:tcPr>
          <w:p w:rsidR="008D2B47" w:rsidRDefault="008D2B47" w:rsidP="0006743B">
            <w:pPr>
              <w:ind w:left="0"/>
            </w:pPr>
            <w:r>
              <w:t>TUR</w:t>
            </w:r>
          </w:p>
        </w:tc>
        <w:tc>
          <w:tcPr>
            <w:tcW w:w="5529" w:type="dxa"/>
          </w:tcPr>
          <w:p w:rsidR="008D2B47" w:rsidRDefault="008D2B47" w:rsidP="0006743B">
            <w:pPr>
              <w:ind w:left="0"/>
            </w:pPr>
            <w:r>
              <w:t>transurethral resection</w:t>
            </w:r>
          </w:p>
        </w:tc>
      </w:tr>
      <w:tr w:rsidR="008D2B47" w:rsidTr="0006743B">
        <w:tc>
          <w:tcPr>
            <w:tcW w:w="2245" w:type="dxa"/>
          </w:tcPr>
          <w:p w:rsidR="008D2B47" w:rsidRDefault="008D2B47" w:rsidP="0006743B">
            <w:pPr>
              <w:ind w:left="0"/>
            </w:pPr>
            <w:r>
              <w:t>TURP</w:t>
            </w:r>
          </w:p>
        </w:tc>
        <w:tc>
          <w:tcPr>
            <w:tcW w:w="5529" w:type="dxa"/>
          </w:tcPr>
          <w:p w:rsidR="008D2B47" w:rsidRDefault="008D2B47" w:rsidP="0006743B">
            <w:pPr>
              <w:ind w:left="0"/>
            </w:pPr>
            <w:r>
              <w:t>transurethral resection of the prostate</w:t>
            </w:r>
          </w:p>
        </w:tc>
      </w:tr>
      <w:tr w:rsidR="008D2B47" w:rsidTr="0006743B">
        <w:tc>
          <w:tcPr>
            <w:tcW w:w="2245" w:type="dxa"/>
          </w:tcPr>
          <w:p w:rsidR="008D2B47" w:rsidRDefault="008D2B47" w:rsidP="0006743B">
            <w:pPr>
              <w:ind w:left="0"/>
            </w:pPr>
            <w:r>
              <w:t>VLAP</w:t>
            </w:r>
          </w:p>
        </w:tc>
        <w:tc>
          <w:tcPr>
            <w:tcW w:w="5529" w:type="dxa"/>
          </w:tcPr>
          <w:p w:rsidR="008D2B47" w:rsidRDefault="008D2B47" w:rsidP="0006743B">
            <w:pPr>
              <w:ind w:left="0"/>
            </w:pPr>
            <w:r>
              <w:t>visual laser ablation of the prostate</w:t>
            </w:r>
          </w:p>
        </w:tc>
      </w:tr>
      <w:tr w:rsidR="008D2B47" w:rsidTr="0006743B">
        <w:tc>
          <w:tcPr>
            <w:tcW w:w="2245" w:type="dxa"/>
          </w:tcPr>
          <w:p w:rsidR="008D2B47" w:rsidRDefault="008D2B47" w:rsidP="0006743B">
            <w:pPr>
              <w:ind w:left="0"/>
            </w:pPr>
            <w:r>
              <w:t>YAG</w:t>
            </w:r>
          </w:p>
        </w:tc>
        <w:tc>
          <w:tcPr>
            <w:tcW w:w="5529" w:type="dxa"/>
          </w:tcPr>
          <w:p w:rsidR="008D2B47" w:rsidRDefault="008D2B47" w:rsidP="0006743B">
            <w:pPr>
              <w:ind w:left="0"/>
            </w:pPr>
            <w:r>
              <w:t>yttrium, aluminium and garnet</w:t>
            </w:r>
          </w:p>
        </w:tc>
      </w:tr>
    </w:tbl>
    <w:p w:rsidR="00786914" w:rsidRPr="004C6B15" w:rsidRDefault="00786914">
      <w:pPr>
        <w:pStyle w:val="Heading1"/>
      </w:pPr>
      <w:bookmarkStart w:id="429" w:name="_Toc323642316"/>
      <w:bookmarkStart w:id="430" w:name="_Toc327877941"/>
      <w:bookmarkStart w:id="431" w:name="_Toc365900604"/>
      <w:r w:rsidRPr="004C6B15">
        <w:lastRenderedPageBreak/>
        <w:t>References</w:t>
      </w:r>
      <w:bookmarkEnd w:id="429"/>
      <w:bookmarkEnd w:id="430"/>
      <w:bookmarkEnd w:id="431"/>
    </w:p>
    <w:p w:rsidR="00786914" w:rsidRPr="003B0C7E" w:rsidRDefault="00786914" w:rsidP="0006743B">
      <w:pPr>
        <w:tabs>
          <w:tab w:val="right" w:pos="360"/>
          <w:tab w:val="left" w:pos="540"/>
        </w:tabs>
        <w:ind w:left="540" w:hanging="540"/>
        <w:rPr>
          <w:noProof/>
          <w:szCs w:val="24"/>
        </w:rPr>
      </w:pPr>
      <w:r w:rsidRPr="003B0C7E">
        <w:rPr>
          <w:noProof/>
          <w:szCs w:val="24"/>
        </w:rPr>
        <w:tab/>
        <w:t xml:space="preserve">1. </w:t>
      </w:r>
      <w:r w:rsidRPr="003B0C7E">
        <w:rPr>
          <w:noProof/>
          <w:szCs w:val="24"/>
        </w:rPr>
        <w:tab/>
        <w:t xml:space="preserve">Ackerman, SJ, Rein, AL et al 2000. </w:t>
      </w:r>
      <w:r>
        <w:rPr>
          <w:noProof/>
          <w:szCs w:val="24"/>
        </w:rPr>
        <w:t>Cost-effective</w:t>
      </w:r>
      <w:r w:rsidRPr="003B0C7E">
        <w:rPr>
          <w:noProof/>
          <w:szCs w:val="24"/>
        </w:rPr>
        <w:t xml:space="preserve">ness of microwave thermotherapy in patients with benign prostatic hyperplasia: part </w:t>
      </w:r>
      <w:r w:rsidR="00155F78">
        <w:rPr>
          <w:noProof/>
          <w:szCs w:val="24"/>
        </w:rPr>
        <w:t>I –</w:t>
      </w:r>
      <w:r w:rsidRPr="003B0C7E">
        <w:rPr>
          <w:noProof/>
          <w:szCs w:val="24"/>
        </w:rPr>
        <w:t>methods</w:t>
      </w:r>
      <w:r w:rsidR="00155F78">
        <w:rPr>
          <w:noProof/>
          <w:szCs w:val="24"/>
        </w:rPr>
        <w:t xml:space="preserve">. </w:t>
      </w:r>
      <w:r w:rsidR="00155F78">
        <w:rPr>
          <w:i/>
          <w:noProof/>
          <w:szCs w:val="24"/>
        </w:rPr>
        <w:t>Urology</w:t>
      </w:r>
      <w:r w:rsidRPr="003B0C7E">
        <w:rPr>
          <w:noProof/>
          <w:szCs w:val="24"/>
        </w:rPr>
        <w:t>, 56 (</w:t>
      </w:r>
      <w:r w:rsidR="00155F78">
        <w:rPr>
          <w:noProof/>
          <w:szCs w:val="24"/>
        </w:rPr>
        <w:t xml:space="preserve">6) </w:t>
      </w:r>
      <w:r w:rsidRPr="003B0C7E">
        <w:rPr>
          <w:noProof/>
          <w:szCs w:val="24"/>
        </w:rPr>
        <w:t>972-980.</w:t>
      </w:r>
    </w:p>
    <w:p w:rsidR="00786914" w:rsidRPr="00155F78" w:rsidRDefault="00786914" w:rsidP="0006743B">
      <w:pPr>
        <w:tabs>
          <w:tab w:val="right" w:pos="360"/>
          <w:tab w:val="left" w:pos="540"/>
        </w:tabs>
        <w:ind w:left="540" w:hanging="540"/>
        <w:rPr>
          <w:noProof/>
          <w:szCs w:val="24"/>
        </w:rPr>
      </w:pPr>
      <w:r w:rsidRPr="003B0C7E">
        <w:rPr>
          <w:noProof/>
          <w:szCs w:val="24"/>
        </w:rPr>
        <w:tab/>
        <w:t xml:space="preserve">2. </w:t>
      </w:r>
      <w:r w:rsidRPr="003B0C7E">
        <w:rPr>
          <w:noProof/>
          <w:szCs w:val="24"/>
        </w:rPr>
        <w:tab/>
        <w:t xml:space="preserve">Ahyai, S. , Lehrich, K. 2007 </w:t>
      </w:r>
      <w:r w:rsidRPr="00155F78">
        <w:rPr>
          <w:noProof/>
          <w:szCs w:val="24"/>
        </w:rPr>
        <w:t>Holmium laser enucleation versus transurethral resection of the prostate: 3-year follow-up results of a randomized clinical trial</w:t>
      </w:r>
      <w:r w:rsidRPr="003B0C7E">
        <w:rPr>
          <w:i/>
          <w:noProof/>
          <w:szCs w:val="24"/>
        </w:rPr>
        <w:t xml:space="preserve"> </w:t>
      </w:r>
      <w:r w:rsidR="00155F78">
        <w:rPr>
          <w:i/>
          <w:noProof/>
          <w:szCs w:val="24"/>
        </w:rPr>
        <w:t xml:space="preserve">Eur Urology </w:t>
      </w:r>
      <w:r w:rsidR="00155F78">
        <w:rPr>
          <w:noProof/>
          <w:szCs w:val="24"/>
        </w:rPr>
        <w:t>52 (5) 1456-1463</w:t>
      </w:r>
    </w:p>
    <w:p w:rsidR="00786914" w:rsidRPr="003B0C7E" w:rsidRDefault="00786914" w:rsidP="0006743B">
      <w:pPr>
        <w:tabs>
          <w:tab w:val="right" w:pos="360"/>
          <w:tab w:val="left" w:pos="540"/>
        </w:tabs>
        <w:ind w:left="540" w:hanging="540"/>
        <w:rPr>
          <w:noProof/>
          <w:szCs w:val="24"/>
        </w:rPr>
      </w:pPr>
      <w:r w:rsidRPr="003B0C7E">
        <w:rPr>
          <w:noProof/>
          <w:szCs w:val="24"/>
        </w:rPr>
        <w:tab/>
        <w:t xml:space="preserve">3. </w:t>
      </w:r>
      <w:r w:rsidRPr="003B0C7E">
        <w:rPr>
          <w:noProof/>
          <w:szCs w:val="24"/>
        </w:rPr>
        <w:tab/>
        <w:t xml:space="preserve">Armstrong, N, Vale, L et al 2009. Surgical treatments for men with benign prostatic enlargement: </w:t>
      </w:r>
      <w:r>
        <w:rPr>
          <w:noProof/>
          <w:szCs w:val="24"/>
        </w:rPr>
        <w:t>cost-effective</w:t>
      </w:r>
      <w:r w:rsidRPr="003B0C7E">
        <w:rPr>
          <w:noProof/>
          <w:szCs w:val="24"/>
        </w:rPr>
        <w:t xml:space="preserve">ness study, </w:t>
      </w:r>
      <w:r w:rsidRPr="003B0C7E">
        <w:rPr>
          <w:i/>
          <w:noProof/>
          <w:szCs w:val="24"/>
        </w:rPr>
        <w:t>BMJ (Clinical research ed.)</w:t>
      </w:r>
      <w:r w:rsidRPr="003B0C7E">
        <w:rPr>
          <w:noProof/>
          <w:szCs w:val="24"/>
        </w:rPr>
        <w:t>, 338 (b1288.</w:t>
      </w:r>
    </w:p>
    <w:p w:rsidR="00786914" w:rsidRPr="003B0C7E" w:rsidRDefault="00786914" w:rsidP="0006743B">
      <w:pPr>
        <w:tabs>
          <w:tab w:val="right" w:pos="360"/>
          <w:tab w:val="left" w:pos="540"/>
        </w:tabs>
        <w:ind w:left="540" w:hanging="540"/>
        <w:rPr>
          <w:noProof/>
          <w:szCs w:val="24"/>
        </w:rPr>
      </w:pPr>
      <w:r w:rsidRPr="003B0C7E">
        <w:rPr>
          <w:noProof/>
          <w:szCs w:val="24"/>
        </w:rPr>
        <w:tab/>
        <w:t xml:space="preserve">4. </w:t>
      </w:r>
      <w:r w:rsidRPr="003B0C7E">
        <w:rPr>
          <w:noProof/>
          <w:szCs w:val="24"/>
        </w:rPr>
        <w:tab/>
        <w:t xml:space="preserve">Australia and New Zealand Horizon Scanning Network (ANZHSN) 2010, </w:t>
      </w:r>
      <w:r w:rsidRPr="003B0C7E">
        <w:rPr>
          <w:i/>
          <w:noProof/>
          <w:szCs w:val="24"/>
        </w:rPr>
        <w:t>Horizon Scanning Technology - Horizon Scanning Report: Laser Prostatectomy.</w:t>
      </w:r>
      <w:r w:rsidRPr="003B0C7E">
        <w:rPr>
          <w:noProof/>
          <w:szCs w:val="24"/>
        </w:rPr>
        <w:t xml:space="preserve"> </w:t>
      </w:r>
    </w:p>
    <w:p w:rsidR="00786914" w:rsidRPr="003B0C7E" w:rsidRDefault="00786914" w:rsidP="0006743B">
      <w:pPr>
        <w:tabs>
          <w:tab w:val="right" w:pos="360"/>
          <w:tab w:val="left" w:pos="540"/>
        </w:tabs>
        <w:ind w:left="540" w:hanging="540"/>
        <w:rPr>
          <w:noProof/>
          <w:szCs w:val="24"/>
        </w:rPr>
      </w:pPr>
      <w:r w:rsidRPr="003B0C7E">
        <w:rPr>
          <w:noProof/>
          <w:szCs w:val="24"/>
        </w:rPr>
        <w:tab/>
        <w:t xml:space="preserve">5. </w:t>
      </w:r>
      <w:r w:rsidRPr="003B0C7E">
        <w:rPr>
          <w:noProof/>
          <w:szCs w:val="24"/>
        </w:rPr>
        <w:tab/>
        <w:t xml:space="preserve">Briggs, A, Sculpher, M et al 2006, </w:t>
      </w:r>
      <w:r w:rsidRPr="003B0C7E">
        <w:rPr>
          <w:i/>
          <w:noProof/>
          <w:szCs w:val="24"/>
        </w:rPr>
        <w:t>Decision modelling for health economic evaluation</w:t>
      </w:r>
      <w:r w:rsidRPr="003B0C7E">
        <w:rPr>
          <w:noProof/>
          <w:szCs w:val="24"/>
        </w:rPr>
        <w:t>, New York: Oxford university press.</w:t>
      </w:r>
    </w:p>
    <w:p w:rsidR="00786914" w:rsidRPr="003B0C7E" w:rsidRDefault="00786914" w:rsidP="0006743B">
      <w:pPr>
        <w:tabs>
          <w:tab w:val="right" w:pos="360"/>
          <w:tab w:val="left" w:pos="540"/>
        </w:tabs>
        <w:ind w:left="540" w:hanging="540"/>
        <w:rPr>
          <w:noProof/>
          <w:szCs w:val="24"/>
        </w:rPr>
      </w:pPr>
      <w:r w:rsidRPr="003B0C7E">
        <w:rPr>
          <w:noProof/>
          <w:szCs w:val="24"/>
        </w:rPr>
        <w:tab/>
        <w:t xml:space="preserve">6. </w:t>
      </w:r>
      <w:r w:rsidRPr="003B0C7E">
        <w:rPr>
          <w:noProof/>
          <w:szCs w:val="24"/>
        </w:rPr>
        <w:tab/>
        <w:t>Brown, CT, Yap, T et al 2007. Self management for men with lower urinary tract symptoms: randomised controlled trial, 334 (25.</w:t>
      </w:r>
    </w:p>
    <w:p w:rsidR="00786914" w:rsidRDefault="00786914" w:rsidP="0006743B">
      <w:pPr>
        <w:tabs>
          <w:tab w:val="right" w:pos="360"/>
          <w:tab w:val="left" w:pos="540"/>
        </w:tabs>
        <w:ind w:left="540" w:hanging="540"/>
        <w:rPr>
          <w:noProof/>
          <w:szCs w:val="24"/>
        </w:rPr>
      </w:pPr>
      <w:r w:rsidRPr="003B0C7E">
        <w:rPr>
          <w:noProof/>
          <w:szCs w:val="24"/>
        </w:rPr>
        <w:tab/>
        <w:t xml:space="preserve">7. </w:t>
      </w:r>
      <w:r w:rsidRPr="003B0C7E">
        <w:rPr>
          <w:noProof/>
          <w:szCs w:val="24"/>
        </w:rPr>
        <w:tab/>
        <w:t xml:space="preserve">Cornford, PA, Biyani, CS et al 1998. Transurethral incision of the prostate using the holmium: YAG laser: a catheterless procedure, </w:t>
      </w:r>
      <w:r w:rsidRPr="003B0C7E">
        <w:rPr>
          <w:i/>
          <w:noProof/>
          <w:szCs w:val="24"/>
        </w:rPr>
        <w:t>The Journal of urology</w:t>
      </w:r>
      <w:r w:rsidRPr="003B0C7E">
        <w:rPr>
          <w:noProof/>
          <w:szCs w:val="24"/>
        </w:rPr>
        <w:t>, 159 (4), 1229-1231.</w:t>
      </w:r>
    </w:p>
    <w:p w:rsidR="006125FA" w:rsidRDefault="006125FA" w:rsidP="006125FA">
      <w:pPr>
        <w:tabs>
          <w:tab w:val="right" w:pos="360"/>
          <w:tab w:val="left" w:pos="540"/>
        </w:tabs>
        <w:ind w:left="540" w:hanging="540"/>
        <w:rPr>
          <w:noProof/>
          <w:szCs w:val="24"/>
        </w:rPr>
      </w:pPr>
      <w:r w:rsidRPr="003B0C7E">
        <w:rPr>
          <w:noProof/>
          <w:szCs w:val="24"/>
        </w:rPr>
        <w:tab/>
      </w:r>
      <w:r w:rsidR="0007070C">
        <w:rPr>
          <w:noProof/>
          <w:szCs w:val="24"/>
        </w:rPr>
        <w:t>8</w:t>
      </w:r>
      <w:r w:rsidRPr="003B0C7E">
        <w:rPr>
          <w:noProof/>
          <w:szCs w:val="24"/>
        </w:rPr>
        <w:t xml:space="preserve">. </w:t>
      </w:r>
      <w:r w:rsidRPr="003B0C7E">
        <w:rPr>
          <w:noProof/>
          <w:szCs w:val="24"/>
        </w:rPr>
        <w:tab/>
      </w:r>
      <w:r>
        <w:rPr>
          <w:noProof/>
          <w:szCs w:val="24"/>
        </w:rPr>
        <w:t>Dunn</w:t>
      </w:r>
      <w:r w:rsidRPr="003B0C7E">
        <w:rPr>
          <w:noProof/>
          <w:szCs w:val="24"/>
        </w:rPr>
        <w:t xml:space="preserve">, </w:t>
      </w:r>
      <w:r>
        <w:rPr>
          <w:noProof/>
          <w:szCs w:val="24"/>
        </w:rPr>
        <w:t>N</w:t>
      </w:r>
      <w:r w:rsidRPr="003B0C7E">
        <w:rPr>
          <w:noProof/>
          <w:szCs w:val="24"/>
        </w:rPr>
        <w:t xml:space="preserve">, </w:t>
      </w:r>
      <w:r>
        <w:rPr>
          <w:noProof/>
          <w:szCs w:val="24"/>
        </w:rPr>
        <w:t>Lamb</w:t>
      </w:r>
      <w:r w:rsidRPr="003B0C7E">
        <w:rPr>
          <w:noProof/>
          <w:szCs w:val="24"/>
        </w:rPr>
        <w:t xml:space="preserve">, </w:t>
      </w:r>
      <w:r>
        <w:rPr>
          <w:noProof/>
          <w:szCs w:val="24"/>
        </w:rPr>
        <w:t>A</w:t>
      </w:r>
      <w:r w:rsidR="0006743B">
        <w:rPr>
          <w:noProof/>
          <w:szCs w:val="24"/>
        </w:rPr>
        <w:t xml:space="preserve"> 2009. </w:t>
      </w:r>
      <w:r w:rsidR="0006743B" w:rsidRPr="0006743B">
        <w:rPr>
          <w:noProof/>
          <w:szCs w:val="24"/>
        </w:rPr>
        <w:t>How effective is self management for men with lower urinary tract symptoms?</w:t>
      </w:r>
      <w:r w:rsidRPr="003B0C7E">
        <w:rPr>
          <w:noProof/>
          <w:szCs w:val="24"/>
        </w:rPr>
        <w:t xml:space="preserve"> </w:t>
      </w:r>
      <w:r w:rsidR="0006743B">
        <w:rPr>
          <w:i/>
          <w:noProof/>
          <w:szCs w:val="24"/>
        </w:rPr>
        <w:t>Trends in Urology, Gynaecology and Sexual Health</w:t>
      </w:r>
      <w:r w:rsidRPr="003B0C7E">
        <w:rPr>
          <w:noProof/>
          <w:szCs w:val="24"/>
        </w:rPr>
        <w:t xml:space="preserve">, </w:t>
      </w:r>
      <w:r w:rsidR="0006743B">
        <w:rPr>
          <w:noProof/>
          <w:szCs w:val="24"/>
        </w:rPr>
        <w:t>4-5</w:t>
      </w:r>
      <w:r w:rsidRPr="003B0C7E">
        <w:rPr>
          <w:noProof/>
          <w:szCs w:val="24"/>
        </w:rPr>
        <w:t>.</w:t>
      </w:r>
    </w:p>
    <w:p w:rsidR="00786914" w:rsidRPr="003B0C7E" w:rsidRDefault="0007070C" w:rsidP="0006743B">
      <w:pPr>
        <w:tabs>
          <w:tab w:val="right" w:pos="360"/>
          <w:tab w:val="left" w:pos="540"/>
        </w:tabs>
        <w:ind w:left="540" w:hanging="540"/>
        <w:rPr>
          <w:noProof/>
          <w:szCs w:val="24"/>
        </w:rPr>
      </w:pPr>
      <w:r>
        <w:rPr>
          <w:noProof/>
          <w:szCs w:val="24"/>
        </w:rPr>
        <w:tab/>
        <w:t>9</w:t>
      </w:r>
      <w:r w:rsidR="00786914" w:rsidRPr="003B0C7E">
        <w:rPr>
          <w:noProof/>
          <w:szCs w:val="24"/>
        </w:rPr>
        <w:t xml:space="preserve">. </w:t>
      </w:r>
      <w:r w:rsidR="00786914" w:rsidRPr="003B0C7E">
        <w:rPr>
          <w:noProof/>
          <w:szCs w:val="24"/>
        </w:rPr>
        <w:tab/>
        <w:t xml:space="preserve">Drummond, MF, Sculpher, MJ et al 2005, </w:t>
      </w:r>
      <w:r w:rsidR="00786914" w:rsidRPr="003B0C7E">
        <w:rPr>
          <w:i/>
          <w:noProof/>
          <w:szCs w:val="24"/>
        </w:rPr>
        <w:t>Methods for the economic evaluation of health care programmes</w:t>
      </w:r>
      <w:r w:rsidR="00786914" w:rsidRPr="003B0C7E">
        <w:rPr>
          <w:noProof/>
          <w:szCs w:val="24"/>
        </w:rPr>
        <w:t>, New York: Oxford University Press.</w:t>
      </w:r>
    </w:p>
    <w:p w:rsidR="00786914" w:rsidRPr="003B0C7E" w:rsidRDefault="0007070C" w:rsidP="0006743B">
      <w:pPr>
        <w:tabs>
          <w:tab w:val="right" w:pos="360"/>
          <w:tab w:val="left" w:pos="540"/>
        </w:tabs>
        <w:ind w:left="540" w:hanging="540"/>
        <w:rPr>
          <w:noProof/>
          <w:szCs w:val="24"/>
        </w:rPr>
      </w:pPr>
      <w:r>
        <w:rPr>
          <w:noProof/>
          <w:szCs w:val="24"/>
        </w:rPr>
        <w:tab/>
        <w:t>10</w:t>
      </w:r>
      <w:r w:rsidR="00786914" w:rsidRPr="003B0C7E">
        <w:rPr>
          <w:noProof/>
          <w:szCs w:val="24"/>
        </w:rPr>
        <w:t xml:space="preserve">. </w:t>
      </w:r>
      <w:r w:rsidR="00786914" w:rsidRPr="003B0C7E">
        <w:rPr>
          <w:noProof/>
          <w:szCs w:val="24"/>
        </w:rPr>
        <w:tab/>
        <w:t xml:space="preserve">Eltabey, MA, Sherif, H et al 2010. Holmium laser enucleation versus transurethral resection of the prostate, </w:t>
      </w:r>
      <w:r w:rsidR="00786914" w:rsidRPr="003B0C7E">
        <w:rPr>
          <w:i/>
          <w:noProof/>
          <w:szCs w:val="24"/>
        </w:rPr>
        <w:t>The Canadian journal of urology</w:t>
      </w:r>
      <w:r w:rsidR="00786914" w:rsidRPr="003B0C7E">
        <w:rPr>
          <w:noProof/>
          <w:szCs w:val="24"/>
        </w:rPr>
        <w:t>, 17 (6), 5447-5452.</w:t>
      </w:r>
    </w:p>
    <w:p w:rsidR="00786914" w:rsidRPr="003B0C7E" w:rsidRDefault="00786914" w:rsidP="0006743B">
      <w:pPr>
        <w:tabs>
          <w:tab w:val="right" w:pos="360"/>
          <w:tab w:val="left" w:pos="540"/>
        </w:tabs>
        <w:ind w:left="540" w:hanging="540"/>
        <w:rPr>
          <w:noProof/>
          <w:szCs w:val="24"/>
        </w:rPr>
      </w:pPr>
      <w:r w:rsidRPr="003B0C7E">
        <w:rPr>
          <w:noProof/>
          <w:szCs w:val="24"/>
        </w:rPr>
        <w:tab/>
        <w:t>1</w:t>
      </w:r>
      <w:r w:rsidR="0007070C">
        <w:rPr>
          <w:noProof/>
          <w:szCs w:val="24"/>
        </w:rPr>
        <w:t>1</w:t>
      </w:r>
      <w:r w:rsidRPr="003B0C7E">
        <w:rPr>
          <w:noProof/>
          <w:szCs w:val="24"/>
        </w:rPr>
        <w:t xml:space="preserve">. </w:t>
      </w:r>
      <w:r w:rsidRPr="003B0C7E">
        <w:rPr>
          <w:noProof/>
          <w:szCs w:val="24"/>
        </w:rPr>
        <w:tab/>
        <w:t xml:space="preserve">Fraundorfer, MR, Gilling, PJ et al 2001. Holmium laser resection of the prostate is more </w:t>
      </w:r>
      <w:r>
        <w:rPr>
          <w:noProof/>
          <w:szCs w:val="24"/>
        </w:rPr>
        <w:t>cost-effective</w:t>
      </w:r>
      <w:r w:rsidRPr="003B0C7E">
        <w:rPr>
          <w:noProof/>
          <w:szCs w:val="24"/>
        </w:rPr>
        <w:t xml:space="preserve"> than transurethral resection of the prostate: results of a randomized prospective study, </w:t>
      </w:r>
      <w:r w:rsidRPr="003B0C7E">
        <w:rPr>
          <w:i/>
          <w:noProof/>
          <w:szCs w:val="24"/>
        </w:rPr>
        <w:t>Urology</w:t>
      </w:r>
      <w:r w:rsidRPr="003B0C7E">
        <w:rPr>
          <w:noProof/>
          <w:szCs w:val="24"/>
        </w:rPr>
        <w:t>, 57 (3), 454-458.</w:t>
      </w:r>
    </w:p>
    <w:p w:rsidR="00786914" w:rsidRPr="003B0C7E" w:rsidRDefault="0007070C" w:rsidP="0006743B">
      <w:pPr>
        <w:tabs>
          <w:tab w:val="right" w:pos="360"/>
          <w:tab w:val="left" w:pos="540"/>
        </w:tabs>
        <w:ind w:left="540" w:hanging="540"/>
        <w:rPr>
          <w:noProof/>
          <w:szCs w:val="24"/>
        </w:rPr>
      </w:pPr>
      <w:r>
        <w:rPr>
          <w:noProof/>
          <w:szCs w:val="24"/>
        </w:rPr>
        <w:tab/>
        <w:t>12</w:t>
      </w:r>
      <w:r w:rsidR="00786914" w:rsidRPr="003B0C7E">
        <w:rPr>
          <w:noProof/>
          <w:szCs w:val="24"/>
        </w:rPr>
        <w:t xml:space="preserve">. </w:t>
      </w:r>
      <w:r w:rsidR="00786914" w:rsidRPr="003B0C7E">
        <w:rPr>
          <w:noProof/>
          <w:szCs w:val="24"/>
        </w:rPr>
        <w:tab/>
        <w:t xml:space="preserve">Gallegos, PJ and Frazee, LA 2008. Anticholinergic therapy for lower urinary tract symptoms associated with benign prostatic hyperplasia, </w:t>
      </w:r>
      <w:r w:rsidR="00786914" w:rsidRPr="003B0C7E">
        <w:rPr>
          <w:i/>
          <w:noProof/>
          <w:szCs w:val="24"/>
        </w:rPr>
        <w:t>Pharmacotherapy: The Journal of Human Pharmacology and Drug Therapy</w:t>
      </w:r>
      <w:r w:rsidR="00786914" w:rsidRPr="003B0C7E">
        <w:rPr>
          <w:noProof/>
          <w:szCs w:val="24"/>
        </w:rPr>
        <w:t>, 28 (3), 356-365.</w:t>
      </w:r>
    </w:p>
    <w:p w:rsidR="00786914" w:rsidRPr="003B0C7E" w:rsidRDefault="0007070C" w:rsidP="0006743B">
      <w:pPr>
        <w:tabs>
          <w:tab w:val="right" w:pos="360"/>
          <w:tab w:val="left" w:pos="540"/>
        </w:tabs>
        <w:ind w:left="540" w:hanging="540"/>
        <w:rPr>
          <w:noProof/>
          <w:szCs w:val="24"/>
        </w:rPr>
      </w:pPr>
      <w:r>
        <w:rPr>
          <w:noProof/>
          <w:szCs w:val="24"/>
        </w:rPr>
        <w:tab/>
        <w:t>13</w:t>
      </w:r>
      <w:r w:rsidR="00786914" w:rsidRPr="003B0C7E">
        <w:rPr>
          <w:noProof/>
          <w:szCs w:val="24"/>
        </w:rPr>
        <w:t xml:space="preserve">. </w:t>
      </w:r>
      <w:r w:rsidR="00786914" w:rsidRPr="003B0C7E">
        <w:rPr>
          <w:noProof/>
          <w:szCs w:val="24"/>
        </w:rPr>
        <w:tab/>
        <w:t xml:space="preserve">Gilling, P and Fraundorfer, M 1998. </w:t>
      </w:r>
      <w:r w:rsidR="00786914" w:rsidRPr="0006743B">
        <w:rPr>
          <w:noProof/>
          <w:szCs w:val="24"/>
        </w:rPr>
        <w:t>Holmium laser prostatectomy: A technique in evolution</w:t>
      </w:r>
      <w:r w:rsidR="00786914" w:rsidRPr="003B0C7E">
        <w:rPr>
          <w:rFonts w:ascii="GillSansMT" w:hAnsi="GillSansMT"/>
          <w:noProof/>
          <w:szCs w:val="24"/>
        </w:rPr>
        <w:t>.</w:t>
      </w:r>
      <w:r w:rsidR="00786914" w:rsidRPr="003B0C7E">
        <w:rPr>
          <w:noProof/>
          <w:szCs w:val="24"/>
        </w:rPr>
        <w:t xml:space="preserve">, </w:t>
      </w:r>
      <w:r w:rsidR="00786914" w:rsidRPr="003B0C7E">
        <w:rPr>
          <w:i/>
          <w:noProof/>
          <w:szCs w:val="24"/>
        </w:rPr>
        <w:t>Current Opinion in Urology</w:t>
      </w:r>
      <w:r w:rsidR="00786914" w:rsidRPr="003B0C7E">
        <w:rPr>
          <w:noProof/>
          <w:szCs w:val="24"/>
        </w:rPr>
        <w:t>, 8 (1), 11-15.</w:t>
      </w:r>
    </w:p>
    <w:p w:rsidR="00786914" w:rsidRPr="00155F78" w:rsidRDefault="0007070C" w:rsidP="0006743B">
      <w:pPr>
        <w:tabs>
          <w:tab w:val="right" w:pos="360"/>
          <w:tab w:val="left" w:pos="540"/>
        </w:tabs>
        <w:ind w:left="540" w:hanging="540"/>
        <w:rPr>
          <w:noProof/>
          <w:szCs w:val="24"/>
        </w:rPr>
      </w:pPr>
      <w:r>
        <w:rPr>
          <w:noProof/>
          <w:szCs w:val="24"/>
        </w:rPr>
        <w:tab/>
        <w:t>14</w:t>
      </w:r>
      <w:r w:rsidR="00786914" w:rsidRPr="003B0C7E">
        <w:rPr>
          <w:noProof/>
          <w:szCs w:val="24"/>
        </w:rPr>
        <w:t xml:space="preserve">. </w:t>
      </w:r>
      <w:r w:rsidR="00786914" w:rsidRPr="003B0C7E">
        <w:rPr>
          <w:noProof/>
          <w:szCs w:val="24"/>
        </w:rPr>
        <w:tab/>
        <w:t xml:space="preserve">Gilling, PJ, Wilson, LC et al 2011. Long-term results of a randomized trial comparing holmium laser enucleation of the prostate and transurethral resection of the prostate: Results at 7 years, </w:t>
      </w:r>
      <w:r w:rsidR="00786914" w:rsidRPr="003B0C7E">
        <w:rPr>
          <w:i/>
          <w:noProof/>
          <w:szCs w:val="24"/>
        </w:rPr>
        <w:t>BJU International</w:t>
      </w:r>
      <w:r w:rsidR="00155F78">
        <w:rPr>
          <w:i/>
          <w:noProof/>
          <w:szCs w:val="24"/>
        </w:rPr>
        <w:t xml:space="preserve"> </w:t>
      </w:r>
      <w:r w:rsidR="00155F78">
        <w:rPr>
          <w:noProof/>
          <w:szCs w:val="24"/>
        </w:rPr>
        <w:t>Epub ahead of print Aug 23 2011</w:t>
      </w:r>
    </w:p>
    <w:p w:rsidR="00786914" w:rsidRPr="003B0C7E" w:rsidRDefault="0007070C" w:rsidP="0006743B">
      <w:pPr>
        <w:tabs>
          <w:tab w:val="right" w:pos="360"/>
          <w:tab w:val="left" w:pos="540"/>
        </w:tabs>
        <w:ind w:left="540" w:hanging="540"/>
        <w:rPr>
          <w:noProof/>
          <w:szCs w:val="24"/>
        </w:rPr>
      </w:pPr>
      <w:r>
        <w:rPr>
          <w:noProof/>
          <w:szCs w:val="24"/>
        </w:rPr>
        <w:tab/>
        <w:t>15</w:t>
      </w:r>
      <w:r w:rsidR="00786914" w:rsidRPr="003B0C7E">
        <w:rPr>
          <w:noProof/>
          <w:szCs w:val="24"/>
        </w:rPr>
        <w:t xml:space="preserve">. </w:t>
      </w:r>
      <w:r w:rsidR="00786914" w:rsidRPr="003B0C7E">
        <w:rPr>
          <w:noProof/>
          <w:szCs w:val="24"/>
        </w:rPr>
        <w:tab/>
        <w:t xml:space="preserve">Gold, MR, Siegel, JE et al 1999, </w:t>
      </w:r>
      <w:r w:rsidR="00786914" w:rsidRPr="003B0C7E">
        <w:rPr>
          <w:i/>
          <w:noProof/>
          <w:szCs w:val="24"/>
        </w:rPr>
        <w:t>Cost-effectiveness in health and medicine</w:t>
      </w:r>
      <w:r w:rsidR="00786914" w:rsidRPr="003B0C7E">
        <w:rPr>
          <w:noProof/>
          <w:szCs w:val="24"/>
        </w:rPr>
        <w:t>, New York: Oxford University Press.</w:t>
      </w:r>
    </w:p>
    <w:p w:rsidR="00786914" w:rsidRPr="003B0C7E" w:rsidRDefault="0007070C" w:rsidP="0006743B">
      <w:pPr>
        <w:tabs>
          <w:tab w:val="right" w:pos="360"/>
          <w:tab w:val="left" w:pos="540"/>
        </w:tabs>
        <w:ind w:left="540" w:hanging="540"/>
        <w:rPr>
          <w:noProof/>
          <w:szCs w:val="24"/>
        </w:rPr>
      </w:pPr>
      <w:r>
        <w:rPr>
          <w:noProof/>
          <w:szCs w:val="24"/>
        </w:rPr>
        <w:lastRenderedPageBreak/>
        <w:tab/>
        <w:t>16</w:t>
      </w:r>
      <w:r w:rsidR="00786914" w:rsidRPr="003B0C7E">
        <w:rPr>
          <w:noProof/>
          <w:szCs w:val="24"/>
        </w:rPr>
        <w:t xml:space="preserve">. </w:t>
      </w:r>
      <w:r w:rsidR="00786914" w:rsidRPr="003B0C7E">
        <w:rPr>
          <w:noProof/>
          <w:szCs w:val="24"/>
        </w:rPr>
        <w:tab/>
        <w:t xml:space="preserve">Gordon, NSI, Hadlow, G et al 1997. Transurethral resection of the prostate: Still the gold standard, </w:t>
      </w:r>
      <w:r w:rsidR="00786914" w:rsidRPr="003B0C7E">
        <w:rPr>
          <w:i/>
          <w:noProof/>
          <w:szCs w:val="24"/>
        </w:rPr>
        <w:t>Australian and New Zealand journal of surgery</w:t>
      </w:r>
      <w:r w:rsidR="00786914" w:rsidRPr="003B0C7E">
        <w:rPr>
          <w:noProof/>
          <w:szCs w:val="24"/>
        </w:rPr>
        <w:t>, 67 (6), 354-357.</w:t>
      </w:r>
    </w:p>
    <w:p w:rsidR="00786914" w:rsidRPr="003B0C7E" w:rsidRDefault="0007070C" w:rsidP="0006743B">
      <w:pPr>
        <w:tabs>
          <w:tab w:val="right" w:pos="360"/>
          <w:tab w:val="left" w:pos="540"/>
        </w:tabs>
        <w:ind w:left="540" w:hanging="540"/>
        <w:rPr>
          <w:noProof/>
          <w:szCs w:val="24"/>
        </w:rPr>
      </w:pPr>
      <w:r>
        <w:rPr>
          <w:noProof/>
          <w:szCs w:val="24"/>
        </w:rPr>
        <w:tab/>
        <w:t>17</w:t>
      </w:r>
      <w:r w:rsidR="00786914" w:rsidRPr="003B0C7E">
        <w:rPr>
          <w:noProof/>
          <w:szCs w:val="24"/>
        </w:rPr>
        <w:t xml:space="preserve">. </w:t>
      </w:r>
      <w:r w:rsidR="00786914" w:rsidRPr="003B0C7E">
        <w:rPr>
          <w:noProof/>
          <w:szCs w:val="24"/>
        </w:rPr>
        <w:tab/>
        <w:t xml:space="preserve">Gupta, N, Sivaramakrishna et al 2006. Comparison of standard transurethral resection, transurethral vapour resection and holmium laser enucleation of the prostate for managing benign prostatic hyperplasia of &gt;40 g, </w:t>
      </w:r>
      <w:r w:rsidR="00786914" w:rsidRPr="003B0C7E">
        <w:rPr>
          <w:i/>
          <w:noProof/>
          <w:szCs w:val="24"/>
        </w:rPr>
        <w:t>BJU International</w:t>
      </w:r>
      <w:r w:rsidR="00786914" w:rsidRPr="003B0C7E">
        <w:rPr>
          <w:noProof/>
          <w:szCs w:val="24"/>
        </w:rPr>
        <w:t>, 97 (1), 85-89.</w:t>
      </w:r>
    </w:p>
    <w:p w:rsidR="00786914" w:rsidRPr="003B0C7E" w:rsidRDefault="0007070C" w:rsidP="0006743B">
      <w:pPr>
        <w:tabs>
          <w:tab w:val="right" w:pos="360"/>
          <w:tab w:val="left" w:pos="540"/>
        </w:tabs>
        <w:ind w:left="540" w:hanging="540"/>
        <w:rPr>
          <w:noProof/>
          <w:szCs w:val="24"/>
        </w:rPr>
      </w:pPr>
      <w:r>
        <w:rPr>
          <w:noProof/>
          <w:szCs w:val="24"/>
        </w:rPr>
        <w:tab/>
        <w:t>18</w:t>
      </w:r>
      <w:r w:rsidR="00786914" w:rsidRPr="003B0C7E">
        <w:rPr>
          <w:noProof/>
          <w:szCs w:val="24"/>
        </w:rPr>
        <w:t xml:space="preserve">. </w:t>
      </w:r>
      <w:r w:rsidR="00786914" w:rsidRPr="003B0C7E">
        <w:rPr>
          <w:noProof/>
          <w:szCs w:val="24"/>
        </w:rPr>
        <w:tab/>
        <w:t xml:space="preserve">Higgins, JPT, Green, S et al 2008, </w:t>
      </w:r>
      <w:r w:rsidR="00786914" w:rsidRPr="003B0C7E">
        <w:rPr>
          <w:i/>
          <w:noProof/>
          <w:szCs w:val="24"/>
        </w:rPr>
        <w:t>Cochrane handbook for systematic reviews of interventions</w:t>
      </w:r>
      <w:r w:rsidR="00786914" w:rsidRPr="003B0C7E">
        <w:rPr>
          <w:noProof/>
          <w:szCs w:val="24"/>
        </w:rPr>
        <w:t>, 5, Wiley Online Library.</w:t>
      </w:r>
    </w:p>
    <w:p w:rsidR="00786914" w:rsidRPr="003B0C7E" w:rsidRDefault="0007070C" w:rsidP="0006743B">
      <w:pPr>
        <w:tabs>
          <w:tab w:val="right" w:pos="360"/>
          <w:tab w:val="left" w:pos="540"/>
        </w:tabs>
        <w:ind w:left="540" w:hanging="540"/>
        <w:rPr>
          <w:noProof/>
          <w:szCs w:val="24"/>
        </w:rPr>
      </w:pPr>
      <w:r>
        <w:rPr>
          <w:noProof/>
          <w:szCs w:val="24"/>
        </w:rPr>
        <w:tab/>
        <w:t>19</w:t>
      </w:r>
      <w:r w:rsidR="00786914" w:rsidRPr="003B0C7E">
        <w:rPr>
          <w:noProof/>
          <w:szCs w:val="24"/>
        </w:rPr>
        <w:t xml:space="preserve">. </w:t>
      </w:r>
      <w:r w:rsidR="00786914" w:rsidRPr="003B0C7E">
        <w:rPr>
          <w:noProof/>
          <w:szCs w:val="24"/>
        </w:rPr>
        <w:tab/>
        <w:t xml:space="preserve">Jepsen, JV and Bruskewitz, RC 1998. Recent developments in the surgical management of benign prostatic hyperplasia, </w:t>
      </w:r>
      <w:r w:rsidR="00786914" w:rsidRPr="003B0C7E">
        <w:rPr>
          <w:i/>
          <w:noProof/>
          <w:szCs w:val="24"/>
        </w:rPr>
        <w:t>Urology</w:t>
      </w:r>
      <w:r w:rsidR="00786914" w:rsidRPr="003B0C7E">
        <w:rPr>
          <w:noProof/>
          <w:szCs w:val="24"/>
        </w:rPr>
        <w:t>, 51 (4), 23-31.</w:t>
      </w:r>
    </w:p>
    <w:p w:rsidR="00786914" w:rsidRPr="003B0C7E" w:rsidRDefault="0007070C" w:rsidP="0006743B">
      <w:pPr>
        <w:tabs>
          <w:tab w:val="right" w:pos="360"/>
          <w:tab w:val="left" w:pos="540"/>
        </w:tabs>
        <w:ind w:left="540" w:hanging="540"/>
        <w:rPr>
          <w:noProof/>
          <w:szCs w:val="24"/>
        </w:rPr>
      </w:pPr>
      <w:r>
        <w:rPr>
          <w:noProof/>
          <w:szCs w:val="24"/>
        </w:rPr>
        <w:tab/>
        <w:t>20</w:t>
      </w:r>
      <w:r w:rsidR="00786914" w:rsidRPr="003B0C7E">
        <w:rPr>
          <w:noProof/>
          <w:szCs w:val="24"/>
        </w:rPr>
        <w:t xml:space="preserve">. </w:t>
      </w:r>
      <w:r w:rsidR="00786914" w:rsidRPr="003B0C7E">
        <w:rPr>
          <w:noProof/>
          <w:szCs w:val="24"/>
        </w:rPr>
        <w:tab/>
        <w:t xml:space="preserve">Kok, ET, McDonnell, J et al 2002. The valuation of the international prostate symptom score (IPSS) for use in economic evaluations, </w:t>
      </w:r>
      <w:r w:rsidR="00786914" w:rsidRPr="003B0C7E">
        <w:rPr>
          <w:i/>
          <w:noProof/>
          <w:szCs w:val="24"/>
        </w:rPr>
        <w:t>European Urology</w:t>
      </w:r>
      <w:r w:rsidR="00786914" w:rsidRPr="003B0C7E">
        <w:rPr>
          <w:noProof/>
          <w:szCs w:val="24"/>
        </w:rPr>
        <w:t>, 42 (5), 491-497.</w:t>
      </w:r>
    </w:p>
    <w:p w:rsidR="00786914" w:rsidRPr="003B0C7E" w:rsidRDefault="0007070C" w:rsidP="0006743B">
      <w:pPr>
        <w:tabs>
          <w:tab w:val="right" w:pos="360"/>
          <w:tab w:val="left" w:pos="540"/>
        </w:tabs>
        <w:ind w:left="540" w:hanging="540"/>
        <w:rPr>
          <w:noProof/>
          <w:szCs w:val="24"/>
        </w:rPr>
      </w:pPr>
      <w:r>
        <w:rPr>
          <w:noProof/>
          <w:szCs w:val="24"/>
        </w:rPr>
        <w:tab/>
        <w:t>21</w:t>
      </w:r>
      <w:r w:rsidR="00786914" w:rsidRPr="003B0C7E">
        <w:rPr>
          <w:noProof/>
          <w:szCs w:val="24"/>
        </w:rPr>
        <w:t xml:space="preserve">. </w:t>
      </w:r>
      <w:r w:rsidR="00786914" w:rsidRPr="003B0C7E">
        <w:rPr>
          <w:noProof/>
          <w:szCs w:val="24"/>
        </w:rPr>
        <w:tab/>
        <w:t xml:space="preserve">Kuntz, RM 2006. Current Role of Lasers in the Treatment of Benign Prostatic Hyperplasia (BPH), </w:t>
      </w:r>
      <w:r w:rsidR="00786914" w:rsidRPr="003B0C7E">
        <w:rPr>
          <w:i/>
          <w:noProof/>
          <w:szCs w:val="24"/>
        </w:rPr>
        <w:t>European Urology</w:t>
      </w:r>
      <w:r w:rsidR="00786914" w:rsidRPr="003B0C7E">
        <w:rPr>
          <w:noProof/>
          <w:szCs w:val="24"/>
        </w:rPr>
        <w:t>, 49 (6), 961-969.</w:t>
      </w:r>
    </w:p>
    <w:p w:rsidR="00786914" w:rsidRPr="003B0C7E" w:rsidRDefault="0007070C" w:rsidP="0006743B">
      <w:pPr>
        <w:tabs>
          <w:tab w:val="right" w:pos="360"/>
          <w:tab w:val="left" w:pos="540"/>
        </w:tabs>
        <w:ind w:left="540" w:hanging="540"/>
        <w:rPr>
          <w:noProof/>
          <w:szCs w:val="24"/>
        </w:rPr>
      </w:pPr>
      <w:r>
        <w:rPr>
          <w:noProof/>
          <w:szCs w:val="24"/>
        </w:rPr>
        <w:tab/>
        <w:t>22</w:t>
      </w:r>
      <w:r w:rsidR="00786914" w:rsidRPr="003B0C7E">
        <w:rPr>
          <w:noProof/>
          <w:szCs w:val="24"/>
        </w:rPr>
        <w:t xml:space="preserve">. </w:t>
      </w:r>
      <w:r w:rsidR="00786914" w:rsidRPr="003B0C7E">
        <w:rPr>
          <w:noProof/>
          <w:szCs w:val="24"/>
        </w:rPr>
        <w:tab/>
        <w:t xml:space="preserve">Kuntz, RM, Ahyai, S et al 2004. Transurethral holmium laser enucleation of the prostate versus transurethral electrocautery resection of the prostate: A randomized prospective trial in 200 patients, </w:t>
      </w:r>
      <w:r w:rsidR="00786914" w:rsidRPr="003B0C7E">
        <w:rPr>
          <w:i/>
          <w:noProof/>
          <w:szCs w:val="24"/>
        </w:rPr>
        <w:t>Journal of Urology</w:t>
      </w:r>
      <w:r w:rsidR="00786914" w:rsidRPr="003B0C7E">
        <w:rPr>
          <w:noProof/>
          <w:szCs w:val="24"/>
        </w:rPr>
        <w:t>, 172 (3), 1012-1016.</w:t>
      </w:r>
    </w:p>
    <w:p w:rsidR="00786914" w:rsidRPr="003B0C7E" w:rsidRDefault="0007070C" w:rsidP="0006743B">
      <w:pPr>
        <w:tabs>
          <w:tab w:val="right" w:pos="360"/>
          <w:tab w:val="left" w:pos="540"/>
        </w:tabs>
        <w:ind w:left="540" w:hanging="540"/>
        <w:rPr>
          <w:noProof/>
          <w:szCs w:val="24"/>
        </w:rPr>
      </w:pPr>
      <w:r>
        <w:rPr>
          <w:noProof/>
          <w:szCs w:val="24"/>
        </w:rPr>
        <w:tab/>
        <w:t>23</w:t>
      </w:r>
      <w:r w:rsidR="00786914" w:rsidRPr="003B0C7E">
        <w:rPr>
          <w:noProof/>
          <w:szCs w:val="24"/>
        </w:rPr>
        <w:t xml:space="preserve">. </w:t>
      </w:r>
      <w:r w:rsidR="00786914" w:rsidRPr="003B0C7E">
        <w:rPr>
          <w:noProof/>
          <w:szCs w:val="24"/>
        </w:rPr>
        <w:tab/>
        <w:t xml:space="preserve">Kuntz, RM and Lehrich, K 2002. Transurethral Holmium Laser Enucleation Versus Transvesical Open Enucleation for Prostate Adenoma Greater Than 100 gm.: A Randomised Prospective Trial of 120 Patients., </w:t>
      </w:r>
      <w:r w:rsidR="00786914" w:rsidRPr="003B0C7E">
        <w:rPr>
          <w:i/>
          <w:noProof/>
          <w:szCs w:val="24"/>
        </w:rPr>
        <w:t>The Journal of urology</w:t>
      </w:r>
      <w:r w:rsidR="00786914" w:rsidRPr="003B0C7E">
        <w:rPr>
          <w:noProof/>
          <w:szCs w:val="24"/>
        </w:rPr>
        <w:t>, 168 (4), 1465-1469.</w:t>
      </w:r>
    </w:p>
    <w:p w:rsidR="00786914" w:rsidRPr="003B0C7E" w:rsidRDefault="0007070C" w:rsidP="0006743B">
      <w:pPr>
        <w:tabs>
          <w:tab w:val="right" w:pos="360"/>
          <w:tab w:val="left" w:pos="540"/>
        </w:tabs>
        <w:ind w:left="540" w:hanging="540"/>
        <w:rPr>
          <w:noProof/>
          <w:szCs w:val="24"/>
        </w:rPr>
      </w:pPr>
      <w:r>
        <w:rPr>
          <w:noProof/>
          <w:szCs w:val="24"/>
        </w:rPr>
        <w:tab/>
        <w:t>24</w:t>
      </w:r>
      <w:r w:rsidR="00786914" w:rsidRPr="003B0C7E">
        <w:rPr>
          <w:noProof/>
          <w:szCs w:val="24"/>
        </w:rPr>
        <w:t xml:space="preserve">. </w:t>
      </w:r>
      <w:r w:rsidR="00786914" w:rsidRPr="003B0C7E">
        <w:rPr>
          <w:noProof/>
          <w:szCs w:val="24"/>
        </w:rPr>
        <w:tab/>
        <w:t xml:space="preserve">Kuntz, RM, Lehrich, K et al 2008. Holmium Laser Enucleation of the Prostate versus Open Prostatectomy for Prostates Greater than 100 Grams: 5-Year Follow-Up Results of a Randomised Clinical Trial, </w:t>
      </w:r>
      <w:r w:rsidR="00786914" w:rsidRPr="003B0C7E">
        <w:rPr>
          <w:i/>
          <w:noProof/>
          <w:szCs w:val="24"/>
        </w:rPr>
        <w:t>European Urology</w:t>
      </w:r>
      <w:r w:rsidR="00786914" w:rsidRPr="003B0C7E">
        <w:rPr>
          <w:noProof/>
          <w:szCs w:val="24"/>
        </w:rPr>
        <w:t>, 53 (1), 160-168.</w:t>
      </w:r>
    </w:p>
    <w:p w:rsidR="00786914" w:rsidRPr="003B0C7E" w:rsidRDefault="0007070C" w:rsidP="0006743B">
      <w:pPr>
        <w:tabs>
          <w:tab w:val="right" w:pos="360"/>
          <w:tab w:val="left" w:pos="540"/>
        </w:tabs>
        <w:ind w:left="540" w:hanging="540"/>
        <w:rPr>
          <w:noProof/>
          <w:szCs w:val="24"/>
        </w:rPr>
      </w:pPr>
      <w:r>
        <w:rPr>
          <w:noProof/>
          <w:szCs w:val="24"/>
        </w:rPr>
        <w:tab/>
        <w:t>25</w:t>
      </w:r>
      <w:r w:rsidR="00786914" w:rsidRPr="003B0C7E">
        <w:rPr>
          <w:noProof/>
          <w:szCs w:val="24"/>
        </w:rPr>
        <w:t xml:space="preserve">. </w:t>
      </w:r>
      <w:r w:rsidR="00786914" w:rsidRPr="003B0C7E">
        <w:rPr>
          <w:noProof/>
          <w:szCs w:val="24"/>
        </w:rPr>
        <w:tab/>
        <w:t>Larner, TRG, Agarwal, D et al 2003. Day</w:t>
      </w:r>
      <w:r w:rsidR="00786914" w:rsidRPr="003B0C7E">
        <w:rPr>
          <w:rFonts w:ascii="Symbol" w:hAnsi="Symbol"/>
          <w:noProof/>
          <w:szCs w:val="24"/>
        </w:rPr>
        <w:t></w:t>
      </w:r>
      <w:r w:rsidR="00786914" w:rsidRPr="003B0C7E">
        <w:rPr>
          <w:noProof/>
          <w:szCs w:val="24"/>
        </w:rPr>
        <w:t xml:space="preserve">ÇÉcase holmium laser enucleation of the prostate for gland volumes of&lt; 60 mL: early experience, </w:t>
      </w:r>
      <w:r w:rsidR="00786914" w:rsidRPr="003B0C7E">
        <w:rPr>
          <w:i/>
          <w:noProof/>
          <w:szCs w:val="24"/>
        </w:rPr>
        <w:t>BJU International</w:t>
      </w:r>
      <w:r w:rsidR="00786914" w:rsidRPr="003B0C7E">
        <w:rPr>
          <w:noProof/>
          <w:szCs w:val="24"/>
        </w:rPr>
        <w:t>, 91 (1), 61-64.</w:t>
      </w:r>
    </w:p>
    <w:p w:rsidR="00786914" w:rsidRPr="003B0C7E" w:rsidRDefault="0007070C" w:rsidP="0006743B">
      <w:pPr>
        <w:tabs>
          <w:tab w:val="right" w:pos="360"/>
          <w:tab w:val="left" w:pos="540"/>
        </w:tabs>
        <w:ind w:left="540" w:hanging="540"/>
        <w:rPr>
          <w:noProof/>
          <w:szCs w:val="24"/>
        </w:rPr>
      </w:pPr>
      <w:r>
        <w:rPr>
          <w:noProof/>
          <w:szCs w:val="24"/>
        </w:rPr>
        <w:tab/>
        <w:t>26</w:t>
      </w:r>
      <w:r w:rsidR="00786914" w:rsidRPr="003B0C7E">
        <w:rPr>
          <w:noProof/>
          <w:szCs w:val="24"/>
        </w:rPr>
        <w:t xml:space="preserve">. </w:t>
      </w:r>
      <w:r w:rsidR="00786914" w:rsidRPr="003B0C7E">
        <w:rPr>
          <w:noProof/>
          <w:szCs w:val="24"/>
        </w:rPr>
        <w:tab/>
        <w:t xml:space="preserve">Lourenco, T, Armstrong, N et al 2008. Systematic review and economic modelling of effectiveness and cost utility of surgical treatments for men with benign prostatic enlargement, </w:t>
      </w:r>
      <w:r w:rsidR="00786914" w:rsidRPr="003B0C7E">
        <w:rPr>
          <w:i/>
          <w:noProof/>
          <w:szCs w:val="24"/>
        </w:rPr>
        <w:t>Health Technology Assessment</w:t>
      </w:r>
      <w:r w:rsidR="00786914" w:rsidRPr="003B0C7E">
        <w:rPr>
          <w:noProof/>
          <w:szCs w:val="24"/>
        </w:rPr>
        <w:t xml:space="preserve">, 12 (35), </w:t>
      </w:r>
    </w:p>
    <w:p w:rsidR="00786914" w:rsidRPr="003B0C7E" w:rsidRDefault="0007070C" w:rsidP="0006743B">
      <w:pPr>
        <w:tabs>
          <w:tab w:val="right" w:pos="360"/>
          <w:tab w:val="left" w:pos="540"/>
        </w:tabs>
        <w:ind w:left="540" w:hanging="540"/>
        <w:rPr>
          <w:noProof/>
          <w:szCs w:val="24"/>
        </w:rPr>
      </w:pPr>
      <w:r>
        <w:rPr>
          <w:noProof/>
          <w:szCs w:val="24"/>
        </w:rPr>
        <w:tab/>
        <w:t>27</w:t>
      </w:r>
      <w:r w:rsidR="00786914" w:rsidRPr="003B0C7E">
        <w:rPr>
          <w:noProof/>
          <w:szCs w:val="24"/>
        </w:rPr>
        <w:t xml:space="preserve">. </w:t>
      </w:r>
      <w:r w:rsidR="00786914" w:rsidRPr="003B0C7E">
        <w:rPr>
          <w:noProof/>
          <w:szCs w:val="24"/>
        </w:rPr>
        <w:tab/>
        <w:t xml:space="preserve">Mavuduru, RM, Mandal, AK et al 2009. Comparison of HoLEP and TURP in terms of efficacy in the early postoperative period and perioperative morbidity, </w:t>
      </w:r>
      <w:r w:rsidR="00786914" w:rsidRPr="003B0C7E">
        <w:rPr>
          <w:i/>
          <w:noProof/>
          <w:szCs w:val="24"/>
        </w:rPr>
        <w:t>Urologia Internationalis</w:t>
      </w:r>
      <w:r w:rsidR="00786914" w:rsidRPr="003B0C7E">
        <w:rPr>
          <w:noProof/>
          <w:szCs w:val="24"/>
        </w:rPr>
        <w:t>, 82 (2), 130-135.</w:t>
      </w:r>
    </w:p>
    <w:p w:rsidR="006125FA" w:rsidRPr="003B0C7E" w:rsidRDefault="0007070C" w:rsidP="006125FA">
      <w:pPr>
        <w:tabs>
          <w:tab w:val="right" w:pos="360"/>
          <w:tab w:val="left" w:pos="540"/>
        </w:tabs>
        <w:ind w:left="540" w:hanging="540"/>
        <w:rPr>
          <w:noProof/>
          <w:szCs w:val="24"/>
        </w:rPr>
      </w:pPr>
      <w:r>
        <w:rPr>
          <w:noProof/>
          <w:szCs w:val="24"/>
        </w:rPr>
        <w:tab/>
        <w:t>28</w:t>
      </w:r>
      <w:r w:rsidR="00786914" w:rsidRPr="003B0C7E">
        <w:rPr>
          <w:noProof/>
          <w:szCs w:val="24"/>
        </w:rPr>
        <w:t xml:space="preserve">. </w:t>
      </w:r>
      <w:r w:rsidR="00786914" w:rsidRPr="003B0C7E">
        <w:rPr>
          <w:noProof/>
          <w:szCs w:val="24"/>
        </w:rPr>
        <w:tab/>
        <w:t xml:space="preserve">McCulloch, P, Taylor, I et al 2002. Randomised trials in surgery: problems and possible solutions, </w:t>
      </w:r>
      <w:r w:rsidR="00786914" w:rsidRPr="003B0C7E">
        <w:rPr>
          <w:i/>
          <w:noProof/>
          <w:szCs w:val="24"/>
        </w:rPr>
        <w:t>BMJ</w:t>
      </w:r>
      <w:r w:rsidR="00786914" w:rsidRPr="003B0C7E">
        <w:rPr>
          <w:noProof/>
          <w:szCs w:val="24"/>
        </w:rPr>
        <w:t>, 324 (7351), 1448-1451.</w:t>
      </w:r>
    </w:p>
    <w:p w:rsidR="00786914" w:rsidRPr="003B0C7E" w:rsidRDefault="0007070C" w:rsidP="0006743B">
      <w:pPr>
        <w:tabs>
          <w:tab w:val="right" w:pos="360"/>
          <w:tab w:val="left" w:pos="540"/>
        </w:tabs>
        <w:ind w:left="540" w:hanging="540"/>
        <w:rPr>
          <w:noProof/>
          <w:szCs w:val="24"/>
        </w:rPr>
      </w:pPr>
      <w:r>
        <w:rPr>
          <w:noProof/>
          <w:szCs w:val="24"/>
        </w:rPr>
        <w:tab/>
        <w:t>29</w:t>
      </w:r>
      <w:r w:rsidR="00786914" w:rsidRPr="003B0C7E">
        <w:rPr>
          <w:noProof/>
          <w:szCs w:val="24"/>
        </w:rPr>
        <w:t xml:space="preserve">. </w:t>
      </w:r>
      <w:r w:rsidR="00786914" w:rsidRPr="003B0C7E">
        <w:rPr>
          <w:noProof/>
          <w:szCs w:val="24"/>
        </w:rPr>
        <w:tab/>
        <w:t xml:space="preserve">Medical Advisory Secretariat 2006. Energy Delivery Systems for Treatment of Benign Prostatic Hyperplasia, </w:t>
      </w:r>
      <w:r w:rsidR="00786914" w:rsidRPr="003B0C7E">
        <w:rPr>
          <w:i/>
          <w:noProof/>
          <w:szCs w:val="24"/>
        </w:rPr>
        <w:t>Ontario Health Technology Assessment Series</w:t>
      </w:r>
      <w:r w:rsidR="00786914" w:rsidRPr="003B0C7E">
        <w:rPr>
          <w:noProof/>
          <w:szCs w:val="24"/>
        </w:rPr>
        <w:t xml:space="preserve">, 6 (17), </w:t>
      </w:r>
    </w:p>
    <w:p w:rsidR="00786914" w:rsidRPr="003B0C7E" w:rsidRDefault="0007070C" w:rsidP="0006743B">
      <w:pPr>
        <w:tabs>
          <w:tab w:val="right" w:pos="360"/>
          <w:tab w:val="left" w:pos="540"/>
        </w:tabs>
        <w:ind w:left="540" w:hanging="540"/>
        <w:rPr>
          <w:noProof/>
          <w:szCs w:val="24"/>
        </w:rPr>
      </w:pPr>
      <w:r>
        <w:rPr>
          <w:noProof/>
          <w:szCs w:val="24"/>
        </w:rPr>
        <w:tab/>
        <w:t>30</w:t>
      </w:r>
      <w:r w:rsidR="00786914" w:rsidRPr="003B0C7E">
        <w:rPr>
          <w:noProof/>
          <w:szCs w:val="24"/>
        </w:rPr>
        <w:t xml:space="preserve">. </w:t>
      </w:r>
      <w:r w:rsidR="00786914" w:rsidRPr="003B0C7E">
        <w:rPr>
          <w:noProof/>
          <w:szCs w:val="24"/>
        </w:rPr>
        <w:tab/>
        <w:t xml:space="preserve">Medical Services Advisory Committee 2002, </w:t>
      </w:r>
      <w:r w:rsidR="00786914" w:rsidRPr="003B0C7E">
        <w:rPr>
          <w:i/>
          <w:noProof/>
          <w:szCs w:val="24"/>
        </w:rPr>
        <w:t>TransUrethral Needle Ablation (TUNA) for the treatment of benign prostatic hyperplasia. MSAC application 1014</w:t>
      </w:r>
      <w:r w:rsidR="00786914" w:rsidRPr="003B0C7E">
        <w:rPr>
          <w:noProof/>
          <w:szCs w:val="24"/>
        </w:rPr>
        <w:t>, Canberra: Commonwealth of Australia.</w:t>
      </w:r>
    </w:p>
    <w:p w:rsidR="00786914" w:rsidRPr="003B0C7E" w:rsidRDefault="0007070C" w:rsidP="0006743B">
      <w:pPr>
        <w:tabs>
          <w:tab w:val="right" w:pos="360"/>
          <w:tab w:val="left" w:pos="540"/>
        </w:tabs>
        <w:ind w:left="540" w:hanging="540"/>
        <w:rPr>
          <w:noProof/>
          <w:szCs w:val="24"/>
        </w:rPr>
      </w:pPr>
      <w:r>
        <w:rPr>
          <w:noProof/>
          <w:szCs w:val="24"/>
        </w:rPr>
        <w:lastRenderedPageBreak/>
        <w:tab/>
        <w:t>31</w:t>
      </w:r>
      <w:r w:rsidR="00786914" w:rsidRPr="003B0C7E">
        <w:rPr>
          <w:noProof/>
          <w:szCs w:val="24"/>
        </w:rPr>
        <w:t xml:space="preserve">. </w:t>
      </w:r>
      <w:r w:rsidR="00786914" w:rsidRPr="003B0C7E">
        <w:rPr>
          <w:noProof/>
          <w:szCs w:val="24"/>
        </w:rPr>
        <w:tab/>
        <w:t xml:space="preserve">Medical Services Advisory Committee 2005, </w:t>
      </w:r>
      <w:r w:rsidR="00786914" w:rsidRPr="003B0C7E">
        <w:rPr>
          <w:i/>
          <w:noProof/>
          <w:szCs w:val="24"/>
        </w:rPr>
        <w:t>High-energy Transurethral microwave thermotherapy for benign prostatic hyperplasia</w:t>
      </w:r>
      <w:r w:rsidR="00786914" w:rsidRPr="003B0C7E">
        <w:rPr>
          <w:noProof/>
          <w:szCs w:val="24"/>
        </w:rPr>
        <w:t>, Canberra: Commonwealth of Australia.</w:t>
      </w:r>
    </w:p>
    <w:p w:rsidR="00786914" w:rsidRPr="003B0C7E" w:rsidRDefault="0007070C" w:rsidP="0006743B">
      <w:pPr>
        <w:tabs>
          <w:tab w:val="right" w:pos="360"/>
          <w:tab w:val="left" w:pos="540"/>
        </w:tabs>
        <w:ind w:left="540" w:hanging="540"/>
        <w:rPr>
          <w:noProof/>
          <w:szCs w:val="24"/>
        </w:rPr>
      </w:pPr>
      <w:r>
        <w:rPr>
          <w:noProof/>
          <w:szCs w:val="24"/>
        </w:rPr>
        <w:tab/>
        <w:t>32</w:t>
      </w:r>
      <w:r w:rsidR="00786914" w:rsidRPr="003B0C7E">
        <w:rPr>
          <w:noProof/>
          <w:szCs w:val="24"/>
        </w:rPr>
        <w:t xml:space="preserve">. </w:t>
      </w:r>
      <w:r w:rsidR="00786914" w:rsidRPr="003B0C7E">
        <w:rPr>
          <w:noProof/>
          <w:szCs w:val="24"/>
        </w:rPr>
        <w:tab/>
        <w:t xml:space="preserve">Moher, D, Cook, DJ et al 1999. Improving the quality of reports of meta-analyses of randomised controlled trials: the QUOROM statement, </w:t>
      </w:r>
      <w:r w:rsidR="00786914" w:rsidRPr="003B0C7E">
        <w:rPr>
          <w:i/>
          <w:noProof/>
          <w:szCs w:val="24"/>
        </w:rPr>
        <w:t>The Lancet</w:t>
      </w:r>
      <w:r w:rsidR="00786914" w:rsidRPr="003B0C7E">
        <w:rPr>
          <w:noProof/>
          <w:szCs w:val="24"/>
        </w:rPr>
        <w:t>, 354 (9193), 1896-1900.</w:t>
      </w:r>
    </w:p>
    <w:p w:rsidR="00786914" w:rsidRPr="003B0C7E" w:rsidRDefault="0007070C" w:rsidP="0006743B">
      <w:pPr>
        <w:tabs>
          <w:tab w:val="right" w:pos="360"/>
          <w:tab w:val="left" w:pos="540"/>
        </w:tabs>
        <w:ind w:left="540" w:hanging="540"/>
        <w:rPr>
          <w:noProof/>
          <w:szCs w:val="24"/>
        </w:rPr>
      </w:pPr>
      <w:r>
        <w:rPr>
          <w:noProof/>
          <w:szCs w:val="24"/>
        </w:rPr>
        <w:tab/>
        <w:t>33</w:t>
      </w:r>
      <w:r w:rsidR="00786914" w:rsidRPr="003B0C7E">
        <w:rPr>
          <w:noProof/>
          <w:szCs w:val="24"/>
        </w:rPr>
        <w:t xml:space="preserve">. </w:t>
      </w:r>
      <w:r w:rsidR="00786914" w:rsidRPr="003B0C7E">
        <w:rPr>
          <w:noProof/>
          <w:szCs w:val="24"/>
        </w:rPr>
        <w:tab/>
        <w:t xml:space="preserve">Montorsi, F, Naspro, R et al 2004. Holmium laser enucleation versus transurethral resection of the prostate: Results from a 2-center, prospective, randomized trial in patients with obstructive benign prostatic hyperplasia, </w:t>
      </w:r>
      <w:r w:rsidR="00786914" w:rsidRPr="003B0C7E">
        <w:rPr>
          <w:i/>
          <w:noProof/>
          <w:szCs w:val="24"/>
        </w:rPr>
        <w:t>Journal of Urology</w:t>
      </w:r>
      <w:r w:rsidR="00786914" w:rsidRPr="003B0C7E">
        <w:rPr>
          <w:noProof/>
          <w:szCs w:val="24"/>
        </w:rPr>
        <w:t>, 172 (5 I), 1926-1929.</w:t>
      </w:r>
    </w:p>
    <w:p w:rsidR="00786914" w:rsidRPr="003B0C7E" w:rsidRDefault="0007070C" w:rsidP="0006743B">
      <w:pPr>
        <w:tabs>
          <w:tab w:val="right" w:pos="360"/>
          <w:tab w:val="left" w:pos="540"/>
        </w:tabs>
        <w:ind w:left="540" w:hanging="540"/>
        <w:rPr>
          <w:noProof/>
          <w:szCs w:val="24"/>
        </w:rPr>
      </w:pPr>
      <w:r>
        <w:rPr>
          <w:noProof/>
          <w:szCs w:val="24"/>
        </w:rPr>
        <w:tab/>
        <w:t>34</w:t>
      </w:r>
      <w:r w:rsidR="00786914" w:rsidRPr="003B0C7E">
        <w:rPr>
          <w:noProof/>
          <w:szCs w:val="24"/>
        </w:rPr>
        <w:t xml:space="preserve">. </w:t>
      </w:r>
      <w:r w:rsidR="00786914" w:rsidRPr="003B0C7E">
        <w:rPr>
          <w:noProof/>
          <w:szCs w:val="24"/>
        </w:rPr>
        <w:tab/>
        <w:t xml:space="preserve">MSAC 2011, 'Final decision analytic protocol to guide the assessment of Holmium:YAG Laser Enucleation of the Prostate (HoLEP) in the treatment of benign prostatic hyperplasia', In: Canberra: Department of Health and Ageing, </w:t>
      </w:r>
    </w:p>
    <w:p w:rsidR="00786914" w:rsidRPr="003B0C7E" w:rsidRDefault="0007070C" w:rsidP="0006743B">
      <w:pPr>
        <w:tabs>
          <w:tab w:val="right" w:pos="360"/>
          <w:tab w:val="left" w:pos="540"/>
        </w:tabs>
        <w:ind w:left="540" w:hanging="540"/>
        <w:rPr>
          <w:noProof/>
          <w:szCs w:val="24"/>
        </w:rPr>
      </w:pPr>
      <w:r>
        <w:rPr>
          <w:noProof/>
          <w:szCs w:val="24"/>
        </w:rPr>
        <w:tab/>
        <w:t>35</w:t>
      </w:r>
      <w:r w:rsidR="00786914" w:rsidRPr="003B0C7E">
        <w:rPr>
          <w:noProof/>
          <w:szCs w:val="24"/>
        </w:rPr>
        <w:t xml:space="preserve">. </w:t>
      </w:r>
      <w:r w:rsidR="00786914" w:rsidRPr="003B0C7E">
        <w:rPr>
          <w:noProof/>
          <w:szCs w:val="24"/>
        </w:rPr>
        <w:tab/>
        <w:t xml:space="preserve">Naspro, R, Suardi, N et al 2006. Holmium Laser Enucleation of the Prostate Versus Open Prostatectomy for Prostates &gt;70 g: 24-Month Follow-up, </w:t>
      </w:r>
      <w:r w:rsidR="00786914" w:rsidRPr="003B0C7E">
        <w:rPr>
          <w:i/>
          <w:noProof/>
          <w:szCs w:val="24"/>
        </w:rPr>
        <w:t>European Urology</w:t>
      </w:r>
      <w:r w:rsidR="00786914" w:rsidRPr="003B0C7E">
        <w:rPr>
          <w:noProof/>
          <w:szCs w:val="24"/>
        </w:rPr>
        <w:t>, 50 (3), 563-568.</w:t>
      </w:r>
    </w:p>
    <w:p w:rsidR="00786914" w:rsidRPr="003B0C7E" w:rsidRDefault="0007070C" w:rsidP="0006743B">
      <w:pPr>
        <w:tabs>
          <w:tab w:val="right" w:pos="360"/>
          <w:tab w:val="left" w:pos="540"/>
        </w:tabs>
        <w:ind w:left="540" w:hanging="540"/>
        <w:rPr>
          <w:noProof/>
          <w:szCs w:val="24"/>
        </w:rPr>
      </w:pPr>
      <w:r>
        <w:rPr>
          <w:noProof/>
          <w:szCs w:val="24"/>
        </w:rPr>
        <w:tab/>
        <w:t>36</w:t>
      </w:r>
      <w:r w:rsidR="00786914" w:rsidRPr="003B0C7E">
        <w:rPr>
          <w:noProof/>
          <w:szCs w:val="24"/>
        </w:rPr>
        <w:t xml:space="preserve">. </w:t>
      </w:r>
      <w:r w:rsidR="00786914" w:rsidRPr="003B0C7E">
        <w:rPr>
          <w:noProof/>
          <w:szCs w:val="24"/>
        </w:rPr>
        <w:tab/>
        <w:t xml:space="preserve">NHMRC 2000, </w:t>
      </w:r>
      <w:r w:rsidR="00786914" w:rsidRPr="003B0C7E">
        <w:rPr>
          <w:i/>
          <w:noProof/>
          <w:szCs w:val="24"/>
        </w:rPr>
        <w:t>How to use the evidence: assessment and application of scientific evidence</w:t>
      </w:r>
      <w:r w:rsidR="00786914" w:rsidRPr="003B0C7E">
        <w:rPr>
          <w:noProof/>
          <w:szCs w:val="24"/>
        </w:rPr>
        <w:t>, Canberra: National Health and Medical Research Council.</w:t>
      </w:r>
    </w:p>
    <w:p w:rsidR="00786914" w:rsidRPr="003B0C7E" w:rsidRDefault="0007070C" w:rsidP="0006743B">
      <w:pPr>
        <w:tabs>
          <w:tab w:val="right" w:pos="360"/>
          <w:tab w:val="left" w:pos="540"/>
        </w:tabs>
        <w:ind w:left="540" w:hanging="540"/>
        <w:rPr>
          <w:noProof/>
          <w:szCs w:val="24"/>
        </w:rPr>
      </w:pPr>
      <w:r>
        <w:rPr>
          <w:noProof/>
          <w:szCs w:val="24"/>
        </w:rPr>
        <w:tab/>
        <w:t>37</w:t>
      </w:r>
      <w:r w:rsidR="00786914" w:rsidRPr="003B0C7E">
        <w:rPr>
          <w:noProof/>
          <w:szCs w:val="24"/>
        </w:rPr>
        <w:t xml:space="preserve">. </w:t>
      </w:r>
      <w:r w:rsidR="00786914" w:rsidRPr="003B0C7E">
        <w:rPr>
          <w:noProof/>
          <w:szCs w:val="24"/>
        </w:rPr>
        <w:tab/>
        <w:t xml:space="preserve">NHMRC 2009, </w:t>
      </w:r>
      <w:r w:rsidR="00786914" w:rsidRPr="003B0C7E">
        <w:rPr>
          <w:i/>
          <w:noProof/>
          <w:szCs w:val="24"/>
        </w:rPr>
        <w:t>NHMRC levels of evidence and grades for recommendations for developers of guidelines</w:t>
      </w:r>
      <w:r w:rsidR="00786914" w:rsidRPr="003B0C7E">
        <w:rPr>
          <w:noProof/>
          <w:szCs w:val="24"/>
        </w:rPr>
        <w:t>, Canberra: National Health and Medical Research Council.</w:t>
      </w:r>
    </w:p>
    <w:p w:rsidR="00786914" w:rsidRPr="0007070C" w:rsidRDefault="0007070C" w:rsidP="0006743B">
      <w:pPr>
        <w:tabs>
          <w:tab w:val="right" w:pos="360"/>
          <w:tab w:val="left" w:pos="540"/>
        </w:tabs>
        <w:ind w:left="540" w:hanging="540"/>
        <w:rPr>
          <w:noProof/>
          <w:szCs w:val="24"/>
        </w:rPr>
      </w:pPr>
      <w:r>
        <w:rPr>
          <w:noProof/>
          <w:szCs w:val="24"/>
        </w:rPr>
        <w:tab/>
        <w:t>38</w:t>
      </w:r>
      <w:r w:rsidR="00786914" w:rsidRPr="003B0C7E">
        <w:rPr>
          <w:noProof/>
          <w:szCs w:val="24"/>
        </w:rPr>
        <w:t xml:space="preserve">. </w:t>
      </w:r>
      <w:r w:rsidR="00786914" w:rsidRPr="003B0C7E">
        <w:rPr>
          <w:noProof/>
          <w:szCs w:val="24"/>
        </w:rPr>
        <w:tab/>
        <w:t xml:space="preserve">Obyn, C and Mambourg, F 2008, </w:t>
      </w:r>
      <w:r w:rsidR="00786914" w:rsidRPr="0007070C">
        <w:rPr>
          <w:i/>
          <w:noProof/>
          <w:szCs w:val="24"/>
        </w:rPr>
        <w:t>Evaluation des certains nouveaux traitements du cancer de la prostate et de l'hypertrophie bénigne de la prostate: Ultrasons focalisés de haute densité (HIFU) pour le cancer de la prostate. Vaporisation photosélective de la prostate (PVP) et holmium laser pour l'hypertrophie bénigne de la prostate.</w:t>
      </w:r>
      <w:r w:rsidR="00786914" w:rsidRPr="0007070C">
        <w:rPr>
          <w:noProof/>
          <w:szCs w:val="24"/>
        </w:rPr>
        <w:t xml:space="preserve"> KCE reports 89B (D/2008/10.273/62).Bruxelles: Centre fédéral d'expertise des soins de santé (KCE).</w:t>
      </w:r>
    </w:p>
    <w:p w:rsidR="00786914" w:rsidRDefault="0007070C" w:rsidP="0006743B">
      <w:pPr>
        <w:tabs>
          <w:tab w:val="right" w:pos="360"/>
          <w:tab w:val="left" w:pos="540"/>
        </w:tabs>
        <w:ind w:left="540" w:hanging="540"/>
        <w:rPr>
          <w:noProof/>
          <w:szCs w:val="24"/>
        </w:rPr>
      </w:pPr>
      <w:r>
        <w:rPr>
          <w:noProof/>
          <w:szCs w:val="24"/>
        </w:rPr>
        <w:tab/>
        <w:t>39</w:t>
      </w:r>
      <w:r w:rsidR="00786914" w:rsidRPr="003B0C7E">
        <w:rPr>
          <w:noProof/>
          <w:szCs w:val="24"/>
        </w:rPr>
        <w:t xml:space="preserve">. </w:t>
      </w:r>
      <w:r w:rsidR="00786914" w:rsidRPr="003B0C7E">
        <w:rPr>
          <w:noProof/>
          <w:szCs w:val="24"/>
        </w:rPr>
        <w:tab/>
        <w:t xml:space="preserve">Salonia, A, Suardi, N et al 2006. Holmium laser enucleation versus open prostatectomy for benign prostatic hyperplasia: An inpatient cost analysis, </w:t>
      </w:r>
      <w:r w:rsidR="00786914" w:rsidRPr="003B0C7E">
        <w:rPr>
          <w:i/>
          <w:noProof/>
          <w:szCs w:val="24"/>
        </w:rPr>
        <w:t>Urology</w:t>
      </w:r>
      <w:r w:rsidR="00786914" w:rsidRPr="003B0C7E">
        <w:rPr>
          <w:noProof/>
          <w:szCs w:val="24"/>
        </w:rPr>
        <w:t>, 68 (2), 302-306.</w:t>
      </w:r>
    </w:p>
    <w:p w:rsidR="006125FA" w:rsidRDefault="0007070C" w:rsidP="006125FA">
      <w:pPr>
        <w:tabs>
          <w:tab w:val="right" w:pos="360"/>
          <w:tab w:val="left" w:pos="540"/>
        </w:tabs>
        <w:ind w:left="540" w:hanging="540"/>
        <w:rPr>
          <w:noProof/>
          <w:szCs w:val="24"/>
        </w:rPr>
      </w:pPr>
      <w:r>
        <w:rPr>
          <w:noProof/>
          <w:szCs w:val="24"/>
        </w:rPr>
        <w:tab/>
        <w:t>40</w:t>
      </w:r>
      <w:r w:rsidR="006125FA" w:rsidRPr="003B0C7E">
        <w:rPr>
          <w:noProof/>
          <w:szCs w:val="24"/>
        </w:rPr>
        <w:t xml:space="preserve">. </w:t>
      </w:r>
      <w:r w:rsidR="006125FA" w:rsidRPr="003B0C7E">
        <w:rPr>
          <w:noProof/>
          <w:szCs w:val="24"/>
        </w:rPr>
        <w:tab/>
      </w:r>
      <w:r w:rsidR="006125FA">
        <w:rPr>
          <w:noProof/>
          <w:szCs w:val="24"/>
        </w:rPr>
        <w:t xml:space="preserve">Steenkamp, J, Heyns,C, et al 1997. </w:t>
      </w:r>
      <w:r w:rsidR="006125FA" w:rsidRPr="003B0C7E">
        <w:rPr>
          <w:noProof/>
          <w:szCs w:val="24"/>
        </w:rPr>
        <w:t xml:space="preserve">. </w:t>
      </w:r>
      <w:r w:rsidR="006125FA" w:rsidRPr="006125FA">
        <w:rPr>
          <w:noProof/>
          <w:szCs w:val="24"/>
        </w:rPr>
        <w:t>Internal urethrotomy versus dilation as treatment for male urethral strictures: a prospective, randomized comparison</w:t>
      </w:r>
      <w:r w:rsidR="006125FA" w:rsidRPr="003B0C7E">
        <w:rPr>
          <w:noProof/>
          <w:szCs w:val="24"/>
        </w:rPr>
        <w:t xml:space="preserve">, </w:t>
      </w:r>
      <w:r w:rsidR="006125FA">
        <w:rPr>
          <w:i/>
          <w:noProof/>
          <w:szCs w:val="24"/>
        </w:rPr>
        <w:t xml:space="preserve">Journal of </w:t>
      </w:r>
      <w:r w:rsidR="006125FA" w:rsidRPr="003B0C7E">
        <w:rPr>
          <w:i/>
          <w:noProof/>
          <w:szCs w:val="24"/>
        </w:rPr>
        <w:t>Urology</w:t>
      </w:r>
      <w:r w:rsidR="006125FA" w:rsidRPr="003B0C7E">
        <w:rPr>
          <w:noProof/>
          <w:szCs w:val="24"/>
        </w:rPr>
        <w:t xml:space="preserve">, </w:t>
      </w:r>
      <w:r w:rsidR="006125FA">
        <w:rPr>
          <w:noProof/>
          <w:szCs w:val="24"/>
        </w:rPr>
        <w:t>157</w:t>
      </w:r>
      <w:r w:rsidR="006125FA" w:rsidRPr="003B0C7E">
        <w:rPr>
          <w:noProof/>
          <w:szCs w:val="24"/>
        </w:rPr>
        <w:t xml:space="preserve">, </w:t>
      </w:r>
      <w:r w:rsidR="006125FA">
        <w:rPr>
          <w:noProof/>
          <w:szCs w:val="24"/>
        </w:rPr>
        <w:t>98-101</w:t>
      </w:r>
      <w:r w:rsidR="006125FA" w:rsidRPr="003B0C7E">
        <w:rPr>
          <w:noProof/>
          <w:szCs w:val="24"/>
        </w:rPr>
        <w:t>.</w:t>
      </w:r>
    </w:p>
    <w:p w:rsidR="00786914" w:rsidRPr="003B0C7E" w:rsidRDefault="0007070C" w:rsidP="0006743B">
      <w:pPr>
        <w:tabs>
          <w:tab w:val="right" w:pos="360"/>
          <w:tab w:val="left" w:pos="540"/>
        </w:tabs>
        <w:ind w:left="540" w:hanging="540"/>
        <w:rPr>
          <w:noProof/>
          <w:szCs w:val="24"/>
        </w:rPr>
      </w:pPr>
      <w:r>
        <w:rPr>
          <w:noProof/>
          <w:szCs w:val="24"/>
        </w:rPr>
        <w:tab/>
        <w:t>41</w:t>
      </w:r>
      <w:r w:rsidR="00786914" w:rsidRPr="003B0C7E">
        <w:rPr>
          <w:noProof/>
          <w:szCs w:val="24"/>
        </w:rPr>
        <w:t xml:space="preserve">. </w:t>
      </w:r>
      <w:r w:rsidR="00786914" w:rsidRPr="003B0C7E">
        <w:rPr>
          <w:noProof/>
          <w:szCs w:val="24"/>
        </w:rPr>
        <w:tab/>
        <w:t xml:space="preserve">Stovsky, MD, Griffiths, RI et al 2006. A Clinical Outcomes and Cost Analysis Comparing Photoselective Vaporization of the Prostate to Alternative Minimally Invasive Therapies and Transurethral Prostate Resection for the Treatment of Benign Prostatic Hyperplasia, </w:t>
      </w:r>
      <w:r w:rsidR="00786914" w:rsidRPr="003B0C7E">
        <w:rPr>
          <w:i/>
          <w:noProof/>
          <w:szCs w:val="24"/>
        </w:rPr>
        <w:t>Journal of Urology</w:t>
      </w:r>
      <w:r w:rsidR="00786914" w:rsidRPr="003B0C7E">
        <w:rPr>
          <w:noProof/>
          <w:szCs w:val="24"/>
        </w:rPr>
        <w:t>, 176 (4), 1500-1506.</w:t>
      </w:r>
    </w:p>
    <w:p w:rsidR="00786914" w:rsidRPr="003B0C7E" w:rsidRDefault="0007070C" w:rsidP="0006743B">
      <w:pPr>
        <w:tabs>
          <w:tab w:val="right" w:pos="360"/>
          <w:tab w:val="left" w:pos="540"/>
        </w:tabs>
        <w:ind w:left="540" w:hanging="540"/>
        <w:rPr>
          <w:noProof/>
          <w:szCs w:val="24"/>
        </w:rPr>
      </w:pPr>
      <w:r>
        <w:rPr>
          <w:noProof/>
          <w:szCs w:val="24"/>
        </w:rPr>
        <w:tab/>
        <w:t>42</w:t>
      </w:r>
      <w:r w:rsidR="00786914" w:rsidRPr="003B0C7E">
        <w:rPr>
          <w:noProof/>
          <w:szCs w:val="24"/>
        </w:rPr>
        <w:t xml:space="preserve">. </w:t>
      </w:r>
      <w:r w:rsidR="00786914" w:rsidRPr="003B0C7E">
        <w:rPr>
          <w:noProof/>
          <w:szCs w:val="24"/>
        </w:rPr>
        <w:tab/>
        <w:t xml:space="preserve">Tan, A, Liao, C et al 2007. Meta-analysis of holmium laser enucleation versus transurethral resection of the prostate for symptomatic prostatic obstruction., </w:t>
      </w:r>
      <w:r w:rsidR="00786914" w:rsidRPr="003B0C7E">
        <w:rPr>
          <w:i/>
          <w:noProof/>
          <w:szCs w:val="24"/>
        </w:rPr>
        <w:t>British Journal of Surgery</w:t>
      </w:r>
      <w:r w:rsidR="00786914" w:rsidRPr="003B0C7E">
        <w:rPr>
          <w:noProof/>
          <w:szCs w:val="24"/>
        </w:rPr>
        <w:t>, 94 (1201-1208.</w:t>
      </w:r>
    </w:p>
    <w:p w:rsidR="00786914" w:rsidRPr="003B0C7E" w:rsidRDefault="0007070C" w:rsidP="0006743B">
      <w:pPr>
        <w:tabs>
          <w:tab w:val="right" w:pos="360"/>
          <w:tab w:val="left" w:pos="540"/>
        </w:tabs>
        <w:ind w:left="540" w:hanging="540"/>
        <w:rPr>
          <w:noProof/>
          <w:szCs w:val="24"/>
        </w:rPr>
      </w:pPr>
      <w:r>
        <w:rPr>
          <w:noProof/>
          <w:szCs w:val="24"/>
        </w:rPr>
        <w:tab/>
        <w:t>43</w:t>
      </w:r>
      <w:r w:rsidR="00786914" w:rsidRPr="003B0C7E">
        <w:rPr>
          <w:noProof/>
          <w:szCs w:val="24"/>
        </w:rPr>
        <w:t xml:space="preserve">. </w:t>
      </w:r>
      <w:r w:rsidR="00786914" w:rsidRPr="003B0C7E">
        <w:rPr>
          <w:noProof/>
          <w:szCs w:val="24"/>
        </w:rPr>
        <w:tab/>
        <w:t xml:space="preserve">Tan, AHH, Gilling, PJ et al 2003. A randomized trial comparing holmium laser enucleation of the prostate with transurethral resection of the prostate for the treatment of bladder outlet obstruction secondary to benign prostatic hyperplasia in large glands (40 to 200 grams), </w:t>
      </w:r>
      <w:r w:rsidR="00786914" w:rsidRPr="003B0C7E">
        <w:rPr>
          <w:i/>
          <w:noProof/>
          <w:szCs w:val="24"/>
        </w:rPr>
        <w:t>Journal of Urology</w:t>
      </w:r>
      <w:r w:rsidR="00786914" w:rsidRPr="003B0C7E">
        <w:rPr>
          <w:noProof/>
          <w:szCs w:val="24"/>
        </w:rPr>
        <w:t>, 170 (4 I), 1270-1274.</w:t>
      </w:r>
    </w:p>
    <w:p w:rsidR="00786914" w:rsidRPr="003B0C7E" w:rsidRDefault="0007070C" w:rsidP="0006743B">
      <w:pPr>
        <w:tabs>
          <w:tab w:val="right" w:pos="360"/>
          <w:tab w:val="left" w:pos="540"/>
        </w:tabs>
        <w:ind w:left="540" w:hanging="540"/>
        <w:rPr>
          <w:noProof/>
          <w:szCs w:val="24"/>
        </w:rPr>
      </w:pPr>
      <w:r>
        <w:rPr>
          <w:noProof/>
          <w:szCs w:val="24"/>
        </w:rPr>
        <w:lastRenderedPageBreak/>
        <w:tab/>
        <w:t>44</w:t>
      </w:r>
      <w:r w:rsidR="00786914" w:rsidRPr="003B0C7E">
        <w:rPr>
          <w:noProof/>
          <w:szCs w:val="24"/>
        </w:rPr>
        <w:t xml:space="preserve">. </w:t>
      </w:r>
      <w:r w:rsidR="00786914" w:rsidRPr="003B0C7E">
        <w:rPr>
          <w:noProof/>
          <w:szCs w:val="24"/>
        </w:rPr>
        <w:tab/>
        <w:t xml:space="preserve">Tooher, RL 2003, </w:t>
      </w:r>
      <w:r w:rsidR="00786914" w:rsidRPr="003B0C7E">
        <w:rPr>
          <w:i/>
          <w:noProof/>
          <w:szCs w:val="24"/>
        </w:rPr>
        <w:t>Systematic Review of Holmium Laser Prostatectomy.</w:t>
      </w:r>
      <w:r w:rsidR="00786914" w:rsidRPr="003B0C7E">
        <w:rPr>
          <w:noProof/>
          <w:szCs w:val="24"/>
        </w:rPr>
        <w:t xml:space="preserve"> ASERNIP-S Report No.23.Adelaide, South Australia: ASERNIP-S.</w:t>
      </w:r>
    </w:p>
    <w:p w:rsidR="00786914" w:rsidRPr="003B0C7E" w:rsidRDefault="0007070C" w:rsidP="0006743B">
      <w:pPr>
        <w:tabs>
          <w:tab w:val="right" w:pos="360"/>
          <w:tab w:val="left" w:pos="540"/>
        </w:tabs>
        <w:ind w:left="540" w:hanging="540"/>
        <w:rPr>
          <w:noProof/>
          <w:szCs w:val="24"/>
        </w:rPr>
      </w:pPr>
      <w:r>
        <w:rPr>
          <w:noProof/>
          <w:szCs w:val="24"/>
        </w:rPr>
        <w:tab/>
        <w:t>45</w:t>
      </w:r>
      <w:r w:rsidR="00786914" w:rsidRPr="003B0C7E">
        <w:rPr>
          <w:noProof/>
          <w:szCs w:val="24"/>
        </w:rPr>
        <w:t xml:space="preserve">. </w:t>
      </w:r>
      <w:r w:rsidR="00786914" w:rsidRPr="003B0C7E">
        <w:rPr>
          <w:noProof/>
          <w:szCs w:val="24"/>
        </w:rPr>
        <w:tab/>
        <w:t xml:space="preserve">Westenberg, A, Gilling, P et al 2004. Holmium laser resection of the prostate versus transurethral resection of the prostate: Results of a randomized trial with 4-year minimum long-term followup, </w:t>
      </w:r>
      <w:r w:rsidR="00786914" w:rsidRPr="003B0C7E">
        <w:rPr>
          <w:i/>
          <w:noProof/>
          <w:szCs w:val="24"/>
        </w:rPr>
        <w:t>Journal of Urology</w:t>
      </w:r>
      <w:r w:rsidR="00786914" w:rsidRPr="003B0C7E">
        <w:rPr>
          <w:noProof/>
          <w:szCs w:val="24"/>
        </w:rPr>
        <w:t>, 172 (2), 616-619.</w:t>
      </w:r>
    </w:p>
    <w:p w:rsidR="00786914" w:rsidRPr="003B0C7E" w:rsidRDefault="0007070C" w:rsidP="0006743B">
      <w:pPr>
        <w:tabs>
          <w:tab w:val="right" w:pos="360"/>
          <w:tab w:val="left" w:pos="540"/>
        </w:tabs>
        <w:ind w:left="540" w:hanging="540"/>
        <w:rPr>
          <w:noProof/>
          <w:szCs w:val="24"/>
        </w:rPr>
      </w:pPr>
      <w:r>
        <w:rPr>
          <w:noProof/>
          <w:szCs w:val="24"/>
        </w:rPr>
        <w:tab/>
        <w:t>46</w:t>
      </w:r>
      <w:r w:rsidR="00786914" w:rsidRPr="003B0C7E">
        <w:rPr>
          <w:noProof/>
          <w:szCs w:val="24"/>
        </w:rPr>
        <w:t xml:space="preserve">. </w:t>
      </w:r>
      <w:r w:rsidR="00786914" w:rsidRPr="003B0C7E">
        <w:rPr>
          <w:noProof/>
          <w:szCs w:val="24"/>
        </w:rPr>
        <w:tab/>
        <w:t xml:space="preserve">Wilson, LC, Gilling, PJ et al 2006. A Randomised Trial Comparing Holmium Laser Enucleation Versus Transurethral Resection in the Treatment of Prostates Larger Than 40 Grams: Results at 2 Years, </w:t>
      </w:r>
      <w:r w:rsidR="00786914" w:rsidRPr="003B0C7E">
        <w:rPr>
          <w:i/>
          <w:noProof/>
          <w:szCs w:val="24"/>
        </w:rPr>
        <w:t>European Urology</w:t>
      </w:r>
      <w:r w:rsidR="00786914" w:rsidRPr="003B0C7E">
        <w:rPr>
          <w:noProof/>
          <w:szCs w:val="24"/>
        </w:rPr>
        <w:t>, 50 (3), 569-573.</w:t>
      </w:r>
    </w:p>
    <w:p w:rsidR="00786914" w:rsidRDefault="00786914" w:rsidP="0006743B">
      <w:pPr>
        <w:rPr>
          <w:rFonts w:ascii="Times New Roman" w:hAnsi="Times New Roman"/>
          <w:szCs w:val="24"/>
        </w:rPr>
      </w:pPr>
    </w:p>
    <w:p w:rsidR="0006743B" w:rsidRDefault="0006743B"/>
    <w:sectPr w:rsidR="0006743B" w:rsidSect="0006743B">
      <w:pgSz w:w="11906" w:h="16838"/>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02" w:rsidRDefault="001C0B02" w:rsidP="00786914">
      <w:pPr>
        <w:spacing w:after="0"/>
      </w:pPr>
      <w:r>
        <w:separator/>
      </w:r>
    </w:p>
  </w:endnote>
  <w:endnote w:type="continuationSeparator" w:id="0">
    <w:p w:rsidR="001C0B02" w:rsidRDefault="001C0B02" w:rsidP="00786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Humanist521BT-Roman">
    <w:panose1 w:val="00000000000000000000"/>
    <w:charset w:val="4D"/>
    <w:family w:val="roman"/>
    <w:notTrueType/>
    <w:pitch w:val="default"/>
    <w:sig w:usb0="00000003" w:usb1="00000000" w:usb2="00000000" w:usb3="00000000" w:csb0="00000001" w:csb1="00000000"/>
  </w:font>
  <w:font w:name="Humanist521BT-Italic">
    <w:panose1 w:val="00000000000000000000"/>
    <w:charset w:val="00"/>
    <w:family w:val="swiss"/>
    <w:notTrueType/>
    <w:pitch w:val="default"/>
    <w:sig w:usb0="00000003" w:usb1="00000000" w:usb2="00000000" w:usb3="00000000" w:csb0="00000001" w:csb1="00000000"/>
  </w:font>
  <w:font w:name="TimesNewRoman">
    <w:altName w:val="Arial"/>
    <w:panose1 w:val="00000000000000000000"/>
    <w:charset w:val="4D"/>
    <w:family w:val="roman"/>
    <w:notTrueType/>
    <w:pitch w:val="default"/>
    <w:sig w:usb0="00000003" w:usb1="00000000" w:usb2="00000000" w:usb3="00000000" w:csb0="00000001" w:csb1="00000000"/>
  </w:font>
  <w:font w:name="NewBaskervilleITCbyBT-Roman">
    <w:altName w:val="MS Mincho"/>
    <w:panose1 w:val="00000000000000000000"/>
    <w:charset w:val="80"/>
    <w:family w:val="roman"/>
    <w:notTrueType/>
    <w:pitch w:val="default"/>
    <w:sig w:usb0="00000001" w:usb1="08070000" w:usb2="00000010" w:usb3="00000000" w:csb0="00020000" w:csb1="00000000"/>
  </w:font>
  <w:font w:name="AdvP101DC5">
    <w:panose1 w:val="00000000000000000000"/>
    <w:charset w:val="00"/>
    <w:family w:val="roman"/>
    <w:notTrueType/>
    <w:pitch w:val="default"/>
    <w:sig w:usb0="00000003" w:usb1="00000000" w:usb2="00000000" w:usb3="00000000" w:csb0="00000001" w:csb1="00000000"/>
  </w:font>
  <w:font w:name="AdvP4C4E51">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02" w:rsidRDefault="001C0B02" w:rsidP="0006743B">
    <w:pPr>
      <w:pStyle w:val="Footer"/>
      <w:ind w:left="0"/>
      <w:jc w:val="right"/>
    </w:pPr>
    <w:r w:rsidRPr="008E60EB">
      <w:rPr>
        <w:rFonts w:cs="Arial"/>
        <w:sz w:val="18"/>
        <w:szCs w:val="18"/>
      </w:rPr>
      <w:t>MSAC application 1149: HoLEP for the treatment of benign prostatic hyperplasia</w:t>
    </w:r>
    <w:r>
      <w:t xml:space="preserve"> </w:t>
    </w:r>
    <w:r>
      <w:tab/>
    </w:r>
    <w:sdt>
      <w:sdtPr>
        <w:id w:val="105031516"/>
        <w:docPartObj>
          <w:docPartGallery w:val="Page Numbers (Bottom of Page)"/>
          <w:docPartUnique/>
        </w:docPartObj>
      </w:sdtPr>
      <w:sdtContent>
        <w:sdt>
          <w:sdtPr>
            <w:id w:val="105031517"/>
            <w:docPartObj>
              <w:docPartGallery w:val="Page Numbers (Top of Page)"/>
              <w:docPartUnique/>
            </w:docPartObj>
          </w:sdtPr>
          <w:sdtContent>
            <w:r>
              <w:t xml:space="preserve">Page </w:t>
            </w:r>
            <w:r>
              <w:fldChar w:fldCharType="begin"/>
            </w:r>
            <w:r>
              <w:instrText xml:space="preserve"> PAGE   \* MERGEFORMAT </w:instrText>
            </w:r>
            <w:r>
              <w:fldChar w:fldCharType="separate"/>
            </w:r>
            <w:r w:rsidR="00AE6E57">
              <w:rPr>
                <w:noProof/>
              </w:rPr>
              <w:t>ii</w:t>
            </w:r>
            <w:r>
              <w:rPr>
                <w:noProof/>
              </w:rPr>
              <w:fldChar w:fldCharType="end"/>
            </w:r>
          </w:sdtContent>
        </w:sdt>
      </w:sdtContent>
    </w:sdt>
  </w:p>
  <w:p w:rsidR="001C0B02" w:rsidRDefault="001C0B02">
    <w:pPr>
      <w:pStyle w:val="Footer"/>
      <w:pBdr>
        <w:top w:val="none" w:sz="0" w:space="0"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02" w:rsidRPr="00F568FA" w:rsidRDefault="001C0B02" w:rsidP="0006743B">
    <w:pPr>
      <w:pStyle w:val="Footer"/>
      <w:pBdr>
        <w:top w:val="single" w:sz="4" w:space="1" w:color="auto"/>
      </w:pBdr>
      <w:tabs>
        <w:tab w:val="clear" w:pos="9000"/>
        <w:tab w:val="left" w:pos="714"/>
        <w:tab w:val="left" w:pos="3402"/>
        <w:tab w:val="left" w:pos="6521"/>
        <w:tab w:val="right" w:pos="9043"/>
      </w:tabs>
      <w:rPr>
        <w:rStyle w:val="PageNumber"/>
        <w:b/>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116</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Pr>
        <w:rStyle w:val="PageNumber"/>
        <w:rFonts w:ascii="Arial" w:hAnsi="Arial" w:cs="Arial"/>
        <w:b/>
        <w:noProof/>
        <w:snapToGrid w:val="0"/>
        <w:sz w:val="20"/>
        <w:lang w:eastAsia="en-US"/>
      </w:rPr>
      <w:t>142</w:t>
    </w:r>
    <w:r w:rsidRPr="00F568FA">
      <w:rPr>
        <w:rStyle w:val="PageNumber"/>
        <w:rFonts w:ascii="Arial" w:hAnsi="Arial" w:cs="Arial"/>
        <w:b/>
        <w:snapToGrid w:val="0"/>
        <w:sz w:val="20"/>
        <w:lang w:eastAsia="en-US"/>
      </w:rPr>
      <w:fldChar w:fldCharType="end"/>
    </w:r>
    <w:r>
      <w:rPr>
        <w:rStyle w:val="PageNumber"/>
        <w:rFonts w:ascii="Arial" w:hAnsi="Arial" w:cs="Arial"/>
        <w:b/>
        <w:snapToGrid w:val="0"/>
        <w:sz w:val="20"/>
        <w:lang w:eastAsia="en-US"/>
      </w:rPr>
      <w:t xml:space="preserve"> </w:t>
    </w:r>
    <w:r>
      <w:t>HoLEP for the treatment of benign prostatic hyperplasia – MSAC 1149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02" w:rsidRDefault="001C0B02" w:rsidP="00786914">
      <w:pPr>
        <w:spacing w:after="0"/>
      </w:pPr>
      <w:r>
        <w:separator/>
      </w:r>
    </w:p>
  </w:footnote>
  <w:footnote w:type="continuationSeparator" w:id="0">
    <w:p w:rsidR="001C0B02" w:rsidRDefault="001C0B02" w:rsidP="00786914">
      <w:pPr>
        <w:spacing w:after="0"/>
      </w:pPr>
      <w:r>
        <w:continuationSeparator/>
      </w:r>
    </w:p>
  </w:footnote>
  <w:footnote w:id="1">
    <w:p w:rsidR="001C0B02" w:rsidRDefault="001C0B02">
      <w:pPr>
        <w:pStyle w:val="FootnoteText"/>
      </w:pPr>
      <w:r>
        <w:rPr>
          <w:rStyle w:val="FootnoteReference"/>
        </w:rPr>
        <w:footnoteRef/>
      </w:r>
      <w:r>
        <w:t>American Urological Association Symptom Score or the International Prostate Symptom Score. Moderate symptoms are defined as a score between 8 and 19 and severe symptoms are defined as a score between 20 and 35.</w:t>
      </w:r>
    </w:p>
  </w:footnote>
  <w:footnote w:id="2">
    <w:p w:rsidR="001C0B02" w:rsidRDefault="001C0B02">
      <w:pPr>
        <w:pStyle w:val="FootnoteText"/>
      </w:pPr>
      <w:r>
        <w:rPr>
          <w:rStyle w:val="FootnoteReference"/>
        </w:rPr>
        <w:footnoteRef/>
      </w:r>
      <w:r>
        <w:t>International Index of Erectile Function.</w:t>
      </w:r>
    </w:p>
  </w:footnote>
  <w:footnote w:id="3">
    <w:p w:rsidR="001C0B02" w:rsidRDefault="001C0B02" w:rsidP="0006743B">
      <w:pPr>
        <w:pStyle w:val="FootnoteText"/>
      </w:pPr>
      <w:r>
        <w:rPr>
          <w:rStyle w:val="FootnoteReference"/>
        </w:rPr>
        <w:footnoteRef/>
      </w:r>
      <w:r>
        <w:t xml:space="preserve"> </w:t>
      </w:r>
      <w:r w:rsidRPr="005A67A7">
        <w:rPr>
          <w:rFonts w:ascii="Arial Narrow" w:hAnsi="Arial Narrow"/>
          <w:sz w:val="18"/>
          <w:szCs w:val="18"/>
        </w:rPr>
        <w:t xml:space="preserve">The </w:t>
      </w:r>
      <w:r>
        <w:rPr>
          <w:rFonts w:ascii="Arial Narrow" w:hAnsi="Arial Narrow"/>
          <w:sz w:val="18"/>
          <w:szCs w:val="18"/>
        </w:rPr>
        <w:t>‘</w:t>
      </w:r>
      <w:r w:rsidRPr="005A67A7">
        <w:rPr>
          <w:rFonts w:ascii="Arial Narrow" w:hAnsi="Arial Narrow"/>
          <w:sz w:val="18"/>
          <w:szCs w:val="18"/>
        </w:rPr>
        <w:t>158 reports</w:t>
      </w:r>
      <w:r>
        <w:rPr>
          <w:rFonts w:ascii="Arial Narrow" w:hAnsi="Arial Narrow"/>
          <w:sz w:val="18"/>
          <w:szCs w:val="18"/>
        </w:rPr>
        <w:t>’</w:t>
      </w:r>
      <w:r w:rsidRPr="005A67A7">
        <w:rPr>
          <w:rFonts w:ascii="Arial Narrow" w:hAnsi="Arial Narrow"/>
          <w:sz w:val="18"/>
          <w:szCs w:val="18"/>
        </w:rPr>
        <w:t xml:space="preserve"> is taken from chapter 5 (page 25). The abstract (page iii) erroneously states that 156 reports were examined.</w:t>
      </w:r>
      <w:r>
        <w:t xml:space="preserve"> </w:t>
      </w:r>
    </w:p>
  </w:footnote>
  <w:footnote w:id="4">
    <w:p w:rsidR="001C0B02" w:rsidRDefault="001C0B02" w:rsidP="0006743B">
      <w:pPr>
        <w:pStyle w:val="FootnoteText"/>
      </w:pPr>
      <w:r>
        <w:rPr>
          <w:rStyle w:val="FootnoteReference"/>
        </w:rPr>
        <w:footnoteRef/>
      </w:r>
      <w:r>
        <w:t xml:space="preserve"> </w:t>
      </w:r>
      <w:r w:rsidRPr="002D4634">
        <w:rPr>
          <w:rFonts w:ascii="Arial Narrow" w:hAnsi="Arial Narrow"/>
          <w:sz w:val="18"/>
          <w:szCs w:val="18"/>
        </w:rPr>
        <w:t>Has no PI</w:t>
      </w:r>
      <w:r>
        <w:rPr>
          <w:rFonts w:ascii="Arial Narrow" w:hAnsi="Arial Narrow"/>
          <w:sz w:val="18"/>
          <w:szCs w:val="18"/>
        </w:rPr>
        <w:t xml:space="preserve">CO or actual explicit review questions, but does provide </w:t>
      </w:r>
      <w:r w:rsidRPr="009A5303">
        <w:rPr>
          <w:rFonts w:ascii="Arial Narrow" w:hAnsi="Arial Narrow"/>
          <w:i/>
          <w:sz w:val="18"/>
          <w:szCs w:val="18"/>
        </w:rPr>
        <w:t>very clear</w:t>
      </w:r>
      <w:r>
        <w:rPr>
          <w:rFonts w:ascii="Arial Narrow" w:hAnsi="Arial Narrow"/>
          <w:sz w:val="18"/>
          <w:szCs w:val="18"/>
        </w:rPr>
        <w:t xml:space="preserve"> inclusion criteria (page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661"/>
    <w:multiLevelType w:val="hybridMultilevel"/>
    <w:tmpl w:val="7B42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E7FF7"/>
    <w:multiLevelType w:val="hybridMultilevel"/>
    <w:tmpl w:val="0DAE4A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452628"/>
    <w:multiLevelType w:val="hybridMultilevel"/>
    <w:tmpl w:val="D7C2BCC6"/>
    <w:lvl w:ilvl="0" w:tplc="9CA86A1E">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0F439A"/>
    <w:multiLevelType w:val="hybridMultilevel"/>
    <w:tmpl w:val="6D7E15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2113B42"/>
    <w:multiLevelType w:val="singleLevel"/>
    <w:tmpl w:val="56CEB106"/>
    <w:lvl w:ilvl="0">
      <w:start w:val="1"/>
      <w:numFmt w:val="bullet"/>
      <w:lvlText w:val="–"/>
      <w:lvlJc w:val="left"/>
      <w:pPr>
        <w:tabs>
          <w:tab w:val="num" w:pos="1800"/>
        </w:tabs>
        <w:ind w:left="1800" w:hanging="360"/>
      </w:pPr>
      <w:rPr>
        <w:rFonts w:ascii="Times New Roman" w:hAnsi="Times New Roman" w:hint="default"/>
        <w:sz w:val="20"/>
      </w:rPr>
    </w:lvl>
  </w:abstractNum>
  <w:abstractNum w:abstractNumId="5">
    <w:nsid w:val="126A3003"/>
    <w:multiLevelType w:val="hybridMultilevel"/>
    <w:tmpl w:val="2FB0F9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91E4B3A"/>
    <w:multiLevelType w:val="hybridMultilevel"/>
    <w:tmpl w:val="2B887494"/>
    <w:lvl w:ilvl="0" w:tplc="0C090001">
      <w:numFmt w:val="bullet"/>
      <w:lvlText w:val="-"/>
      <w:lvlJc w:val="left"/>
      <w:pPr>
        <w:ind w:left="1125" w:hanging="360"/>
      </w:pPr>
      <w:rPr>
        <w:rFonts w:ascii="Garamond" w:eastAsia="Times New Roman" w:hAnsi="Garamond" w:cs="Times New Roman"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7">
    <w:nsid w:val="1A015539"/>
    <w:multiLevelType w:val="hybridMultilevel"/>
    <w:tmpl w:val="47DE83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B681A8F"/>
    <w:multiLevelType w:val="hybridMultilevel"/>
    <w:tmpl w:val="06C63484"/>
    <w:lvl w:ilvl="0" w:tplc="BC020814">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3E3352"/>
    <w:multiLevelType w:val="hybridMultilevel"/>
    <w:tmpl w:val="B2D0808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55435A4"/>
    <w:multiLevelType w:val="hybridMultilevel"/>
    <w:tmpl w:val="0484846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E994FD3"/>
    <w:multiLevelType w:val="hybridMultilevel"/>
    <w:tmpl w:val="DDBC04B4"/>
    <w:lvl w:ilvl="0" w:tplc="09B24F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6866E7"/>
    <w:multiLevelType w:val="hybridMultilevel"/>
    <w:tmpl w:val="B6185C6E"/>
    <w:lvl w:ilvl="0" w:tplc="5FBE55B6">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2779F1"/>
    <w:multiLevelType w:val="hybridMultilevel"/>
    <w:tmpl w:val="AB50C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15E0317"/>
    <w:multiLevelType w:val="hybridMultilevel"/>
    <w:tmpl w:val="3CC6023E"/>
    <w:lvl w:ilvl="0" w:tplc="EA78A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E818E0"/>
    <w:multiLevelType w:val="hybridMultilevel"/>
    <w:tmpl w:val="E1F882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21D1361"/>
    <w:multiLevelType w:val="hybridMultilevel"/>
    <w:tmpl w:val="556436C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2CE135F"/>
    <w:multiLevelType w:val="hybridMultilevel"/>
    <w:tmpl w:val="9DB83A1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33E2EBF"/>
    <w:multiLevelType w:val="hybridMultilevel"/>
    <w:tmpl w:val="00CE15E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D903835"/>
    <w:multiLevelType w:val="singleLevel"/>
    <w:tmpl w:val="48C4148A"/>
    <w:lvl w:ilvl="0">
      <w:numFmt w:val="bullet"/>
      <w:lvlText w:val=""/>
      <w:lvlJc w:val="left"/>
      <w:pPr>
        <w:tabs>
          <w:tab w:val="num" w:pos="1440"/>
        </w:tabs>
        <w:ind w:left="1440" w:hanging="720"/>
      </w:pPr>
      <w:rPr>
        <w:rFonts w:ascii="Symbol" w:hAnsi="Symbol" w:hint="default"/>
        <w:sz w:val="22"/>
      </w:rPr>
    </w:lvl>
  </w:abstractNum>
  <w:abstractNum w:abstractNumId="20">
    <w:nsid w:val="62A0656D"/>
    <w:multiLevelType w:val="hybridMultilevel"/>
    <w:tmpl w:val="A94689F6"/>
    <w:lvl w:ilvl="0" w:tplc="CBB44F02">
      <w:start w:val="1"/>
      <w:numFmt w:val="bullet"/>
      <w:lvlText w:val=""/>
      <w:lvlJc w:val="left"/>
      <w:pPr>
        <w:tabs>
          <w:tab w:val="num" w:pos="360"/>
        </w:tabs>
        <w:ind w:left="360" w:hanging="360"/>
      </w:pPr>
      <w:rPr>
        <w:rFonts w:ascii="Symbol" w:hAnsi="Symbol" w:hint="default"/>
        <w:color w:val="auto"/>
        <w:sz w:val="22"/>
        <w:szCs w:val="22"/>
      </w:rPr>
    </w:lvl>
    <w:lvl w:ilvl="1" w:tplc="0C090019">
      <w:start w:val="1"/>
      <w:numFmt w:val="bullet"/>
      <w:lvlText w:val="o"/>
      <w:lvlJc w:val="left"/>
      <w:pPr>
        <w:tabs>
          <w:tab w:val="num" w:pos="1440"/>
        </w:tabs>
        <w:ind w:left="1440" w:hanging="360"/>
      </w:pPr>
      <w:rPr>
        <w:rFonts w:ascii="Courier New" w:hAnsi="Courier New" w:cs="Courier New" w:hint="default"/>
        <w:color w:val="auto"/>
        <w:sz w:val="22"/>
        <w:szCs w:val="22"/>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nsid w:val="79A87385"/>
    <w:multiLevelType w:val="hybridMultilevel"/>
    <w:tmpl w:val="04604B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D9D3404"/>
    <w:multiLevelType w:val="hybridMultilevel"/>
    <w:tmpl w:val="700013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15"/>
  </w:num>
  <w:num w:numId="4">
    <w:abstractNumId w:val="0"/>
  </w:num>
  <w:num w:numId="5">
    <w:abstractNumId w:val="7"/>
  </w:num>
  <w:num w:numId="6">
    <w:abstractNumId w:val="3"/>
  </w:num>
  <w:num w:numId="7">
    <w:abstractNumId w:val="14"/>
  </w:num>
  <w:num w:numId="8">
    <w:abstractNumId w:val="2"/>
  </w:num>
  <w:num w:numId="9">
    <w:abstractNumId w:val="6"/>
  </w:num>
  <w:num w:numId="10">
    <w:abstractNumId w:val="20"/>
  </w:num>
  <w:num w:numId="11">
    <w:abstractNumId w:val="9"/>
  </w:num>
  <w:num w:numId="12">
    <w:abstractNumId w:val="21"/>
  </w:num>
  <w:num w:numId="13">
    <w:abstractNumId w:val="18"/>
  </w:num>
  <w:num w:numId="14">
    <w:abstractNumId w:val="16"/>
  </w:num>
  <w:num w:numId="15">
    <w:abstractNumId w:val="5"/>
  </w:num>
  <w:num w:numId="16">
    <w:abstractNumId w:val="22"/>
  </w:num>
  <w:num w:numId="17">
    <w:abstractNumId w:val="1"/>
  </w:num>
  <w:num w:numId="18">
    <w:abstractNumId w:val="13"/>
  </w:num>
  <w:num w:numId="19">
    <w:abstractNumId w:val="8"/>
  </w:num>
  <w:num w:numId="20">
    <w:abstractNumId w:val="17"/>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786914"/>
    <w:rsid w:val="0006743B"/>
    <w:rsid w:val="0007070C"/>
    <w:rsid w:val="00075E37"/>
    <w:rsid w:val="000F0EE7"/>
    <w:rsid w:val="001469A4"/>
    <w:rsid w:val="00155F78"/>
    <w:rsid w:val="001C0B02"/>
    <w:rsid w:val="001D3398"/>
    <w:rsid w:val="00267978"/>
    <w:rsid w:val="00270B4D"/>
    <w:rsid w:val="002D7BD4"/>
    <w:rsid w:val="002E3DC7"/>
    <w:rsid w:val="00385B15"/>
    <w:rsid w:val="00386514"/>
    <w:rsid w:val="003952B6"/>
    <w:rsid w:val="003F6CF0"/>
    <w:rsid w:val="00432DA8"/>
    <w:rsid w:val="00460F7F"/>
    <w:rsid w:val="0049453C"/>
    <w:rsid w:val="0049659C"/>
    <w:rsid w:val="00512B5C"/>
    <w:rsid w:val="00532456"/>
    <w:rsid w:val="00535DA1"/>
    <w:rsid w:val="00591D4A"/>
    <w:rsid w:val="005E1116"/>
    <w:rsid w:val="00600380"/>
    <w:rsid w:val="0060232D"/>
    <w:rsid w:val="006125FA"/>
    <w:rsid w:val="006421D7"/>
    <w:rsid w:val="006E4C11"/>
    <w:rsid w:val="006E78CC"/>
    <w:rsid w:val="006F23ED"/>
    <w:rsid w:val="006F6CB9"/>
    <w:rsid w:val="007378F3"/>
    <w:rsid w:val="0076441F"/>
    <w:rsid w:val="00766F46"/>
    <w:rsid w:val="0077019A"/>
    <w:rsid w:val="007701F2"/>
    <w:rsid w:val="00773F60"/>
    <w:rsid w:val="00786914"/>
    <w:rsid w:val="007B3503"/>
    <w:rsid w:val="007C5D64"/>
    <w:rsid w:val="008378F4"/>
    <w:rsid w:val="00846970"/>
    <w:rsid w:val="008D2B47"/>
    <w:rsid w:val="008E6F91"/>
    <w:rsid w:val="008F67CC"/>
    <w:rsid w:val="00942D7F"/>
    <w:rsid w:val="00956258"/>
    <w:rsid w:val="009B190E"/>
    <w:rsid w:val="009F0728"/>
    <w:rsid w:val="009F2F4B"/>
    <w:rsid w:val="009F745A"/>
    <w:rsid w:val="00A07985"/>
    <w:rsid w:val="00A10599"/>
    <w:rsid w:val="00AA2203"/>
    <w:rsid w:val="00AC0111"/>
    <w:rsid w:val="00AE6E57"/>
    <w:rsid w:val="00B33049"/>
    <w:rsid w:val="00B47E3F"/>
    <w:rsid w:val="00B51E39"/>
    <w:rsid w:val="00B66ED0"/>
    <w:rsid w:val="00B90464"/>
    <w:rsid w:val="00BE6F10"/>
    <w:rsid w:val="00C07A9D"/>
    <w:rsid w:val="00C17F0B"/>
    <w:rsid w:val="00C44A5F"/>
    <w:rsid w:val="00C65BC3"/>
    <w:rsid w:val="00C84DBD"/>
    <w:rsid w:val="00CA28B9"/>
    <w:rsid w:val="00CD3581"/>
    <w:rsid w:val="00CF1064"/>
    <w:rsid w:val="00D014D9"/>
    <w:rsid w:val="00D154CA"/>
    <w:rsid w:val="00D40A83"/>
    <w:rsid w:val="00D658BF"/>
    <w:rsid w:val="00D70B58"/>
    <w:rsid w:val="00D90FF4"/>
    <w:rsid w:val="00D952B1"/>
    <w:rsid w:val="00DA3254"/>
    <w:rsid w:val="00DC36DC"/>
    <w:rsid w:val="00DD1952"/>
    <w:rsid w:val="00E144D1"/>
    <w:rsid w:val="00E57759"/>
    <w:rsid w:val="00E96596"/>
    <w:rsid w:val="00F0137E"/>
    <w:rsid w:val="00F32F76"/>
    <w:rsid w:val="00F434EC"/>
    <w:rsid w:val="00F45C43"/>
    <w:rsid w:val="00F74585"/>
    <w:rsid w:val="00F905B8"/>
    <w:rsid w:val="00FC585C"/>
    <w:rsid w:val="00FE236E"/>
    <w:rsid w:val="00FE592A"/>
    <w:rsid w:val="00FF2EF4"/>
    <w:rsid w:val="00FF4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14"/>
    <w:pPr>
      <w:spacing w:after="240" w:line="240" w:lineRule="auto"/>
      <w:ind w:left="720"/>
    </w:pPr>
    <w:rPr>
      <w:rFonts w:ascii="Garamond" w:eastAsia="Times New Roman" w:hAnsi="Garamond" w:cs="Times New Roman"/>
      <w:sz w:val="24"/>
      <w:szCs w:val="20"/>
      <w:lang w:eastAsia="en-AU"/>
    </w:rPr>
  </w:style>
  <w:style w:type="paragraph" w:styleId="Heading1">
    <w:name w:val="heading 1"/>
    <w:basedOn w:val="Normal"/>
    <w:next w:val="Normal"/>
    <w:link w:val="Heading1Char"/>
    <w:uiPriority w:val="9"/>
    <w:qFormat/>
    <w:rsid w:val="00C65BC3"/>
    <w:pPr>
      <w:keepNext/>
      <w:pageBreakBefore/>
      <w:pBdr>
        <w:bottom w:val="single" w:sz="4" w:space="1" w:color="auto"/>
      </w:pBdr>
      <w:spacing w:after="360"/>
      <w:ind w:left="0"/>
      <w:outlineLvl w:val="0"/>
    </w:pPr>
    <w:rPr>
      <w:rFonts w:ascii="Tahoma" w:hAnsi="Tahoma"/>
      <w:b/>
      <w:sz w:val="40"/>
    </w:rPr>
  </w:style>
  <w:style w:type="paragraph" w:styleId="Heading2">
    <w:name w:val="heading 2"/>
    <w:basedOn w:val="Normal"/>
    <w:next w:val="Normal"/>
    <w:link w:val="Heading2Char"/>
    <w:uiPriority w:val="9"/>
    <w:qFormat/>
    <w:rsid w:val="00786914"/>
    <w:pPr>
      <w:keepNext/>
      <w:spacing w:before="240"/>
      <w:ind w:left="0"/>
      <w:outlineLvl w:val="1"/>
    </w:pPr>
    <w:rPr>
      <w:rFonts w:ascii="Tahoma" w:hAnsi="Tahoma"/>
      <w:b/>
      <w:sz w:val="28"/>
    </w:rPr>
  </w:style>
  <w:style w:type="paragraph" w:styleId="Heading3">
    <w:name w:val="heading 3"/>
    <w:basedOn w:val="Normal"/>
    <w:next w:val="Normal"/>
    <w:link w:val="Heading3Char"/>
    <w:uiPriority w:val="9"/>
    <w:qFormat/>
    <w:rsid w:val="00786914"/>
    <w:pPr>
      <w:keepNext/>
      <w:spacing w:before="240"/>
      <w:ind w:left="0"/>
      <w:outlineLvl w:val="2"/>
    </w:pPr>
    <w:rPr>
      <w:rFonts w:ascii="Tahoma" w:hAnsi="Tahoma"/>
      <w:b/>
      <w:sz w:val="22"/>
    </w:rPr>
  </w:style>
  <w:style w:type="paragraph" w:styleId="Heading4">
    <w:name w:val="heading 4"/>
    <w:basedOn w:val="Normal"/>
    <w:next w:val="Normal"/>
    <w:link w:val="Heading4Char"/>
    <w:qFormat/>
    <w:rsid w:val="00786914"/>
    <w:pPr>
      <w:keepNext/>
      <w:spacing w:before="120" w:after="120"/>
      <w:ind w:left="0"/>
      <w:outlineLvl w:val="3"/>
    </w:pPr>
    <w:rPr>
      <w:rFonts w:ascii="Tahoma" w:hAnsi="Tahoma"/>
      <w:b/>
      <w:sz w:val="20"/>
    </w:rPr>
  </w:style>
  <w:style w:type="paragraph" w:styleId="Heading5">
    <w:name w:val="heading 5"/>
    <w:basedOn w:val="Normal"/>
    <w:next w:val="Normal"/>
    <w:link w:val="Heading5Char"/>
    <w:uiPriority w:val="99"/>
    <w:qFormat/>
    <w:rsid w:val="00786914"/>
    <w:pPr>
      <w:keepNext/>
      <w:spacing w:after="60"/>
      <w:outlineLvl w:val="4"/>
    </w:pPr>
    <w:rPr>
      <w:b/>
    </w:rPr>
  </w:style>
  <w:style w:type="paragraph" w:styleId="Heading6">
    <w:name w:val="heading 6"/>
    <w:basedOn w:val="Normal"/>
    <w:next w:val="Normal"/>
    <w:link w:val="Heading6Char"/>
    <w:uiPriority w:val="99"/>
    <w:qFormat/>
    <w:rsid w:val="00786914"/>
    <w:pPr>
      <w:keepNext/>
      <w:outlineLvl w:val="5"/>
    </w:pPr>
    <w:rPr>
      <w:b/>
      <w:i/>
    </w:rPr>
  </w:style>
  <w:style w:type="paragraph" w:styleId="Heading7">
    <w:name w:val="heading 7"/>
    <w:basedOn w:val="Normal"/>
    <w:next w:val="Normal"/>
    <w:link w:val="Heading7Char"/>
    <w:qFormat/>
    <w:rsid w:val="00786914"/>
    <w:pPr>
      <w:keepNext/>
      <w:outlineLvl w:val="6"/>
    </w:pPr>
    <w:rPr>
      <w:i/>
    </w:rPr>
  </w:style>
  <w:style w:type="paragraph" w:styleId="Heading8">
    <w:name w:val="heading 8"/>
    <w:basedOn w:val="Normal"/>
    <w:next w:val="Normal"/>
    <w:link w:val="Heading8Char"/>
    <w:uiPriority w:val="99"/>
    <w:qFormat/>
    <w:rsid w:val="00786914"/>
    <w:pPr>
      <w:keepNext/>
      <w:outlineLvl w:val="7"/>
    </w:pPr>
    <w:rPr>
      <w:u w:val="single"/>
    </w:rPr>
  </w:style>
  <w:style w:type="paragraph" w:styleId="Heading9">
    <w:name w:val="heading 9"/>
    <w:basedOn w:val="Normal"/>
    <w:next w:val="Normal"/>
    <w:link w:val="Heading9Char"/>
    <w:uiPriority w:val="99"/>
    <w:qFormat/>
    <w:rsid w:val="00786914"/>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C3"/>
    <w:rPr>
      <w:rFonts w:ascii="Tahoma" w:eastAsia="Times New Roman" w:hAnsi="Tahoma" w:cs="Times New Roman"/>
      <w:b/>
      <w:sz w:val="40"/>
      <w:szCs w:val="20"/>
      <w:lang w:eastAsia="en-AU"/>
    </w:rPr>
  </w:style>
  <w:style w:type="character" w:customStyle="1" w:styleId="Heading2Char">
    <w:name w:val="Heading 2 Char"/>
    <w:basedOn w:val="DefaultParagraphFont"/>
    <w:link w:val="Heading2"/>
    <w:uiPriority w:val="9"/>
    <w:rsid w:val="00786914"/>
    <w:rPr>
      <w:rFonts w:ascii="Tahoma" w:eastAsia="Times New Roman" w:hAnsi="Tahoma" w:cs="Times New Roman"/>
      <w:b/>
      <w:sz w:val="28"/>
      <w:szCs w:val="20"/>
      <w:lang w:eastAsia="en-AU"/>
    </w:rPr>
  </w:style>
  <w:style w:type="character" w:customStyle="1" w:styleId="Heading3Char">
    <w:name w:val="Heading 3 Char"/>
    <w:basedOn w:val="DefaultParagraphFont"/>
    <w:link w:val="Heading3"/>
    <w:uiPriority w:val="9"/>
    <w:rsid w:val="00786914"/>
    <w:rPr>
      <w:rFonts w:ascii="Tahoma" w:eastAsia="Times New Roman" w:hAnsi="Tahoma" w:cs="Times New Roman"/>
      <w:b/>
      <w:szCs w:val="20"/>
      <w:lang w:eastAsia="en-AU"/>
    </w:rPr>
  </w:style>
  <w:style w:type="character" w:customStyle="1" w:styleId="Heading4Char">
    <w:name w:val="Heading 4 Char"/>
    <w:basedOn w:val="DefaultParagraphFont"/>
    <w:link w:val="Heading4"/>
    <w:rsid w:val="00786914"/>
    <w:rPr>
      <w:rFonts w:ascii="Tahoma" w:eastAsia="Times New Roman" w:hAnsi="Tahoma" w:cs="Times New Roman"/>
      <w:b/>
      <w:sz w:val="20"/>
      <w:szCs w:val="20"/>
      <w:lang w:eastAsia="en-AU"/>
    </w:rPr>
  </w:style>
  <w:style w:type="character" w:customStyle="1" w:styleId="Heading5Char">
    <w:name w:val="Heading 5 Char"/>
    <w:basedOn w:val="DefaultParagraphFont"/>
    <w:link w:val="Heading5"/>
    <w:uiPriority w:val="99"/>
    <w:rsid w:val="00786914"/>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uiPriority w:val="99"/>
    <w:rsid w:val="00786914"/>
    <w:rPr>
      <w:rFonts w:ascii="Garamond" w:eastAsia="Times New Roman" w:hAnsi="Garamond" w:cs="Times New Roman"/>
      <w:b/>
      <w:i/>
      <w:sz w:val="24"/>
      <w:szCs w:val="20"/>
      <w:lang w:eastAsia="en-AU"/>
    </w:rPr>
  </w:style>
  <w:style w:type="character" w:customStyle="1" w:styleId="Heading7Char">
    <w:name w:val="Heading 7 Char"/>
    <w:basedOn w:val="DefaultParagraphFont"/>
    <w:link w:val="Heading7"/>
    <w:rsid w:val="00786914"/>
    <w:rPr>
      <w:rFonts w:ascii="Garamond" w:eastAsia="Times New Roman" w:hAnsi="Garamond" w:cs="Times New Roman"/>
      <w:i/>
      <w:sz w:val="24"/>
      <w:szCs w:val="20"/>
      <w:lang w:eastAsia="en-AU"/>
    </w:rPr>
  </w:style>
  <w:style w:type="character" w:customStyle="1" w:styleId="Heading8Char">
    <w:name w:val="Heading 8 Char"/>
    <w:basedOn w:val="DefaultParagraphFont"/>
    <w:link w:val="Heading8"/>
    <w:uiPriority w:val="99"/>
    <w:rsid w:val="00786914"/>
    <w:rPr>
      <w:rFonts w:ascii="Garamond" w:eastAsia="Times New Roman" w:hAnsi="Garamond" w:cs="Times New Roman"/>
      <w:sz w:val="24"/>
      <w:szCs w:val="20"/>
      <w:u w:val="single"/>
      <w:lang w:eastAsia="en-AU"/>
    </w:rPr>
  </w:style>
  <w:style w:type="character" w:customStyle="1" w:styleId="Heading9Char">
    <w:name w:val="Heading 9 Char"/>
    <w:basedOn w:val="DefaultParagraphFont"/>
    <w:link w:val="Heading9"/>
    <w:uiPriority w:val="99"/>
    <w:rsid w:val="00786914"/>
    <w:rPr>
      <w:rFonts w:ascii="Garamond" w:eastAsia="Times New Roman" w:hAnsi="Garamond" w:cs="Times New Roman"/>
      <w:sz w:val="24"/>
      <w:szCs w:val="20"/>
      <w:lang w:eastAsia="en-AU"/>
    </w:rPr>
  </w:style>
  <w:style w:type="paragraph" w:customStyle="1" w:styleId="Bullet">
    <w:name w:val="Bullet"/>
    <w:basedOn w:val="Normal"/>
    <w:next w:val="Normal"/>
    <w:rsid w:val="00786914"/>
    <w:pPr>
      <w:numPr>
        <w:numId w:val="19"/>
      </w:numPr>
      <w:tabs>
        <w:tab w:val="left" w:pos="1440"/>
      </w:tabs>
      <w:ind w:hanging="720"/>
    </w:pPr>
  </w:style>
  <w:style w:type="character" w:styleId="CommentReference">
    <w:name w:val="annotation reference"/>
    <w:basedOn w:val="DefaultParagraphFont"/>
    <w:semiHidden/>
    <w:rsid w:val="00786914"/>
    <w:rPr>
      <w:sz w:val="16"/>
    </w:rPr>
  </w:style>
  <w:style w:type="paragraph" w:styleId="CommentText">
    <w:name w:val="annotation text"/>
    <w:basedOn w:val="Normal"/>
    <w:link w:val="CommentTextChar"/>
    <w:rsid w:val="00786914"/>
    <w:rPr>
      <w:sz w:val="20"/>
    </w:rPr>
  </w:style>
  <w:style w:type="character" w:customStyle="1" w:styleId="CommentTextChar">
    <w:name w:val="Comment Text Char"/>
    <w:basedOn w:val="DefaultParagraphFont"/>
    <w:link w:val="CommentText"/>
    <w:rsid w:val="00786914"/>
    <w:rPr>
      <w:rFonts w:ascii="Garamond" w:eastAsia="Times New Roman" w:hAnsi="Garamond" w:cs="Times New Roman"/>
      <w:sz w:val="20"/>
      <w:szCs w:val="20"/>
      <w:lang w:eastAsia="en-AU"/>
    </w:rPr>
  </w:style>
  <w:style w:type="paragraph" w:styleId="Date">
    <w:name w:val="Date"/>
    <w:basedOn w:val="Normal"/>
    <w:next w:val="Normal"/>
    <w:link w:val="DateChar"/>
    <w:rsid w:val="00786914"/>
    <w:pPr>
      <w:ind w:right="113"/>
      <w:jc w:val="right"/>
    </w:pPr>
    <w:rPr>
      <w:rFonts w:ascii="Arial" w:hAnsi="Arial"/>
      <w:b/>
      <w:sz w:val="36"/>
    </w:rPr>
  </w:style>
  <w:style w:type="character" w:customStyle="1" w:styleId="DateChar">
    <w:name w:val="Date Char"/>
    <w:basedOn w:val="DefaultParagraphFont"/>
    <w:link w:val="Date"/>
    <w:rsid w:val="00786914"/>
    <w:rPr>
      <w:rFonts w:ascii="Arial" w:eastAsia="Times New Roman" w:hAnsi="Arial" w:cs="Times New Roman"/>
      <w:b/>
      <w:sz w:val="36"/>
      <w:szCs w:val="20"/>
      <w:lang w:eastAsia="en-AU"/>
    </w:rPr>
  </w:style>
  <w:style w:type="paragraph" w:customStyle="1" w:styleId="Summaryboxtext">
    <w:name w:val="Summary box text"/>
    <w:basedOn w:val="Normal"/>
    <w:rsid w:val="00786914"/>
    <w:pPr>
      <w:spacing w:after="100" w:afterAutospacing="1"/>
      <w:ind w:left="0"/>
    </w:pPr>
    <w:rPr>
      <w:rFonts w:ascii="Arial Narrow" w:hAnsi="Arial Narrow"/>
    </w:rPr>
  </w:style>
  <w:style w:type="paragraph" w:styleId="Footer">
    <w:name w:val="footer"/>
    <w:basedOn w:val="Normal"/>
    <w:link w:val="FooterChar"/>
    <w:uiPriority w:val="99"/>
    <w:rsid w:val="00786914"/>
    <w:pPr>
      <w:pBdr>
        <w:top w:val="single" w:sz="4" w:space="9" w:color="auto"/>
      </w:pBdr>
      <w:tabs>
        <w:tab w:val="right" w:pos="9000"/>
      </w:tabs>
    </w:pPr>
    <w:rPr>
      <w:rFonts w:ascii="Arial" w:hAnsi="Arial"/>
      <w:b/>
      <w:sz w:val="20"/>
    </w:rPr>
  </w:style>
  <w:style w:type="character" w:customStyle="1" w:styleId="FooterChar">
    <w:name w:val="Footer Char"/>
    <w:basedOn w:val="DefaultParagraphFont"/>
    <w:link w:val="Footer"/>
    <w:uiPriority w:val="99"/>
    <w:rsid w:val="00786914"/>
    <w:rPr>
      <w:rFonts w:ascii="Arial" w:eastAsia="Times New Roman" w:hAnsi="Arial" w:cs="Times New Roman"/>
      <w:b/>
      <w:sz w:val="20"/>
      <w:szCs w:val="20"/>
      <w:lang w:eastAsia="en-AU"/>
    </w:rPr>
  </w:style>
  <w:style w:type="character" w:styleId="FootnoteReference">
    <w:name w:val="footnote reference"/>
    <w:basedOn w:val="DefaultParagraphFont"/>
    <w:uiPriority w:val="99"/>
    <w:semiHidden/>
    <w:rsid w:val="00786914"/>
    <w:rPr>
      <w:vertAlign w:val="superscript"/>
    </w:rPr>
  </w:style>
  <w:style w:type="paragraph" w:styleId="FootnoteText">
    <w:name w:val="footnote text"/>
    <w:basedOn w:val="Normal"/>
    <w:link w:val="FootnoteTextChar"/>
    <w:uiPriority w:val="99"/>
    <w:rsid w:val="00786914"/>
    <w:rPr>
      <w:sz w:val="20"/>
    </w:rPr>
  </w:style>
  <w:style w:type="character" w:customStyle="1" w:styleId="FootnoteTextChar">
    <w:name w:val="Footnote Text Char"/>
    <w:basedOn w:val="DefaultParagraphFont"/>
    <w:link w:val="FootnoteText"/>
    <w:uiPriority w:val="99"/>
    <w:rsid w:val="00786914"/>
    <w:rPr>
      <w:rFonts w:ascii="Garamond" w:eastAsia="Times New Roman" w:hAnsi="Garamond" w:cs="Times New Roman"/>
      <w:sz w:val="20"/>
      <w:szCs w:val="20"/>
      <w:lang w:eastAsia="en-AU"/>
    </w:rPr>
  </w:style>
  <w:style w:type="paragraph" w:styleId="Header">
    <w:name w:val="header"/>
    <w:basedOn w:val="Normal"/>
    <w:link w:val="HeaderChar"/>
    <w:uiPriority w:val="99"/>
    <w:rsid w:val="00786914"/>
    <w:pPr>
      <w:tabs>
        <w:tab w:val="center" w:pos="4153"/>
        <w:tab w:val="right" w:pos="8306"/>
      </w:tabs>
    </w:pPr>
  </w:style>
  <w:style w:type="character" w:customStyle="1" w:styleId="HeaderChar">
    <w:name w:val="Header Char"/>
    <w:basedOn w:val="DefaultParagraphFont"/>
    <w:link w:val="Header"/>
    <w:uiPriority w:val="99"/>
    <w:rsid w:val="00786914"/>
    <w:rPr>
      <w:rFonts w:ascii="Garamond" w:eastAsia="Times New Roman" w:hAnsi="Garamond" w:cs="Times New Roman"/>
      <w:sz w:val="24"/>
      <w:szCs w:val="20"/>
      <w:lang w:eastAsia="en-AU"/>
    </w:rPr>
  </w:style>
  <w:style w:type="paragraph" w:customStyle="1" w:styleId="Summaryboxheading">
    <w:name w:val="Summary box heading"/>
    <w:basedOn w:val="Summaryboxtext"/>
    <w:rsid w:val="00786914"/>
    <w:pPr>
      <w:spacing w:before="120"/>
    </w:pPr>
    <w:rPr>
      <w:b/>
    </w:rPr>
  </w:style>
  <w:style w:type="character" w:styleId="PageNumber">
    <w:name w:val="page number"/>
    <w:basedOn w:val="DefaultParagraphFont"/>
    <w:rsid w:val="00786914"/>
    <w:rPr>
      <w:rFonts w:ascii="Tahoma" w:hAnsi="Tahoma"/>
      <w:b/>
      <w:sz w:val="18"/>
    </w:rPr>
  </w:style>
  <w:style w:type="paragraph" w:customStyle="1" w:styleId="PublicationTitle">
    <w:name w:val="PublicationTitle"/>
    <w:basedOn w:val="Normal"/>
    <w:rsid w:val="00786914"/>
    <w:pPr>
      <w:spacing w:line="480" w:lineRule="exact"/>
      <w:ind w:left="0" w:right="113"/>
      <w:jc w:val="right"/>
    </w:pPr>
    <w:rPr>
      <w:rFonts w:ascii="Arial" w:hAnsi="Arial"/>
      <w:b/>
      <w:i/>
      <w:sz w:val="44"/>
    </w:rPr>
  </w:style>
  <w:style w:type="paragraph" w:customStyle="1" w:styleId="References">
    <w:name w:val="References"/>
    <w:basedOn w:val="Normal"/>
    <w:rsid w:val="00786914"/>
    <w:pPr>
      <w:keepLines/>
      <w:ind w:left="1440" w:hanging="720"/>
    </w:pPr>
  </w:style>
  <w:style w:type="paragraph" w:styleId="TableofFigures">
    <w:name w:val="table of figures"/>
    <w:basedOn w:val="Normal"/>
    <w:next w:val="Normal"/>
    <w:uiPriority w:val="99"/>
    <w:rsid w:val="00786914"/>
    <w:pPr>
      <w:tabs>
        <w:tab w:val="left" w:pos="1800"/>
        <w:tab w:val="right" w:leader="dot" w:pos="9017"/>
      </w:tabs>
      <w:spacing w:after="120"/>
      <w:ind w:left="1800" w:right="720" w:hanging="1080"/>
    </w:pPr>
    <w:rPr>
      <w:noProof/>
    </w:rPr>
  </w:style>
  <w:style w:type="paragraph" w:customStyle="1" w:styleId="TableName">
    <w:name w:val="TableName"/>
    <w:basedOn w:val="Normal"/>
    <w:link w:val="TableNameChar"/>
    <w:rsid w:val="00786914"/>
    <w:pPr>
      <w:keepNext/>
      <w:spacing w:before="40" w:after="40"/>
      <w:ind w:left="1440" w:hanging="720"/>
    </w:pPr>
    <w:rPr>
      <w:rFonts w:ascii="Arial Narrow" w:hAnsi="Arial Narrow"/>
      <w:b/>
      <w:sz w:val="20"/>
    </w:rPr>
  </w:style>
  <w:style w:type="character" w:customStyle="1" w:styleId="TableNameChar">
    <w:name w:val="TableName Char"/>
    <w:basedOn w:val="DefaultParagraphFont"/>
    <w:link w:val="TableName"/>
    <w:rsid w:val="00786914"/>
    <w:rPr>
      <w:rFonts w:ascii="Arial Narrow" w:eastAsia="Times New Roman" w:hAnsi="Arial Narrow" w:cs="Times New Roman"/>
      <w:b/>
      <w:sz w:val="20"/>
      <w:szCs w:val="20"/>
      <w:lang w:eastAsia="en-AU"/>
    </w:rPr>
  </w:style>
  <w:style w:type="paragraph" w:customStyle="1" w:styleId="TableNotes">
    <w:name w:val="TableNotes"/>
    <w:basedOn w:val="TableText"/>
    <w:next w:val="Normal"/>
    <w:link w:val="TableNotesChar"/>
    <w:rsid w:val="00786914"/>
    <w:pPr>
      <w:keepLines/>
      <w:spacing w:before="0" w:after="360"/>
      <w:ind w:left="1440" w:hanging="720"/>
      <w:contextualSpacing/>
    </w:pPr>
    <w:rPr>
      <w:sz w:val="16"/>
    </w:rPr>
  </w:style>
  <w:style w:type="character" w:customStyle="1" w:styleId="TableNotesChar">
    <w:name w:val="TableNotes Char"/>
    <w:basedOn w:val="DefaultParagraphFont"/>
    <w:link w:val="TableNotes"/>
    <w:rsid w:val="00786914"/>
    <w:rPr>
      <w:rFonts w:ascii="Arial Narrow" w:eastAsia="Times New Roman" w:hAnsi="Arial Narrow" w:cs="Times New Roman"/>
      <w:sz w:val="16"/>
      <w:szCs w:val="20"/>
    </w:rPr>
  </w:style>
  <w:style w:type="paragraph" w:styleId="Title">
    <w:name w:val="Title"/>
    <w:basedOn w:val="Normal"/>
    <w:link w:val="TitleChar"/>
    <w:qFormat/>
    <w:rsid w:val="00786914"/>
    <w:pPr>
      <w:ind w:left="0"/>
      <w:jc w:val="center"/>
    </w:pPr>
    <w:rPr>
      <w:rFonts w:ascii="Arial" w:hAnsi="Arial"/>
      <w:b/>
      <w:smallCaps/>
      <w:sz w:val="44"/>
    </w:rPr>
  </w:style>
  <w:style w:type="character" w:customStyle="1" w:styleId="TitleChar">
    <w:name w:val="Title Char"/>
    <w:basedOn w:val="DefaultParagraphFont"/>
    <w:link w:val="Title"/>
    <w:rsid w:val="00786914"/>
    <w:rPr>
      <w:rFonts w:ascii="Arial" w:eastAsia="Times New Roman" w:hAnsi="Arial" w:cs="Times New Roman"/>
      <w:b/>
      <w:smallCaps/>
      <w:sz w:val="44"/>
      <w:szCs w:val="20"/>
      <w:lang w:eastAsia="en-AU"/>
    </w:rPr>
  </w:style>
  <w:style w:type="paragraph" w:styleId="TOC1">
    <w:name w:val="toc 1"/>
    <w:basedOn w:val="Normal"/>
    <w:next w:val="Normal"/>
    <w:autoRedefine/>
    <w:uiPriority w:val="39"/>
    <w:rsid w:val="00786914"/>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786914"/>
    <w:pPr>
      <w:tabs>
        <w:tab w:val="right" w:leader="dot" w:pos="9017"/>
      </w:tabs>
      <w:spacing w:after="60"/>
      <w:ind w:left="1440" w:right="720"/>
    </w:pPr>
    <w:rPr>
      <w:noProof/>
    </w:rPr>
  </w:style>
  <w:style w:type="paragraph" w:styleId="TOC3">
    <w:name w:val="toc 3"/>
    <w:basedOn w:val="Normal"/>
    <w:next w:val="Normal"/>
    <w:autoRedefine/>
    <w:uiPriority w:val="39"/>
    <w:rsid w:val="00786914"/>
    <w:pPr>
      <w:tabs>
        <w:tab w:val="right" w:leader="dot" w:pos="9016"/>
      </w:tabs>
      <w:spacing w:after="0"/>
      <w:ind w:left="1418"/>
    </w:pPr>
    <w:rPr>
      <w:noProof/>
    </w:rPr>
  </w:style>
  <w:style w:type="paragraph" w:styleId="TOC4">
    <w:name w:val="toc 4"/>
    <w:basedOn w:val="Normal"/>
    <w:next w:val="Normal"/>
    <w:autoRedefine/>
    <w:uiPriority w:val="39"/>
    <w:rsid w:val="00786914"/>
    <w:pPr>
      <w:ind w:left="660"/>
    </w:pPr>
  </w:style>
  <w:style w:type="paragraph" w:styleId="TOC5">
    <w:name w:val="toc 5"/>
    <w:basedOn w:val="Normal"/>
    <w:next w:val="Normal"/>
    <w:autoRedefine/>
    <w:uiPriority w:val="39"/>
    <w:rsid w:val="00786914"/>
    <w:pPr>
      <w:ind w:left="880"/>
    </w:pPr>
  </w:style>
  <w:style w:type="paragraph" w:styleId="TOC6">
    <w:name w:val="toc 6"/>
    <w:basedOn w:val="Normal"/>
    <w:next w:val="Normal"/>
    <w:autoRedefine/>
    <w:uiPriority w:val="39"/>
    <w:rsid w:val="00786914"/>
    <w:pPr>
      <w:ind w:left="1100"/>
    </w:pPr>
  </w:style>
  <w:style w:type="paragraph" w:styleId="TOC7">
    <w:name w:val="toc 7"/>
    <w:basedOn w:val="Normal"/>
    <w:next w:val="Normal"/>
    <w:autoRedefine/>
    <w:uiPriority w:val="39"/>
    <w:rsid w:val="00786914"/>
    <w:pPr>
      <w:ind w:left="1320"/>
    </w:pPr>
  </w:style>
  <w:style w:type="paragraph" w:styleId="TOC8">
    <w:name w:val="toc 8"/>
    <w:basedOn w:val="Normal"/>
    <w:next w:val="Normal"/>
    <w:autoRedefine/>
    <w:uiPriority w:val="39"/>
    <w:rsid w:val="00786914"/>
    <w:pPr>
      <w:ind w:left="1540"/>
    </w:pPr>
  </w:style>
  <w:style w:type="paragraph" w:styleId="TOC9">
    <w:name w:val="toc 9"/>
    <w:basedOn w:val="Normal"/>
    <w:next w:val="Normal"/>
    <w:autoRedefine/>
    <w:uiPriority w:val="39"/>
    <w:rsid w:val="00786914"/>
    <w:pPr>
      <w:ind w:left="1760"/>
    </w:pPr>
  </w:style>
  <w:style w:type="paragraph" w:styleId="BalloonText">
    <w:name w:val="Balloon Text"/>
    <w:basedOn w:val="Normal"/>
    <w:link w:val="BalloonTextChar"/>
    <w:uiPriority w:val="99"/>
    <w:rsid w:val="0078691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786914"/>
    <w:rPr>
      <w:rFonts w:ascii="Tahoma" w:eastAsia="Times New Roman" w:hAnsi="Tahoma" w:cs="Tahoma"/>
      <w:sz w:val="16"/>
      <w:szCs w:val="16"/>
      <w:lang w:eastAsia="en-AU"/>
    </w:rPr>
  </w:style>
  <w:style w:type="paragraph" w:styleId="Quote">
    <w:name w:val="Quote"/>
    <w:basedOn w:val="Normal"/>
    <w:link w:val="QuoteChar"/>
    <w:qFormat/>
    <w:rsid w:val="00786914"/>
    <w:pPr>
      <w:keepLines/>
      <w:ind w:left="1440" w:right="720"/>
    </w:pPr>
    <w:rPr>
      <w:sz w:val="22"/>
    </w:rPr>
  </w:style>
  <w:style w:type="character" w:customStyle="1" w:styleId="QuoteChar">
    <w:name w:val="Quote Char"/>
    <w:basedOn w:val="DefaultParagraphFont"/>
    <w:link w:val="Quote"/>
    <w:rsid w:val="00786914"/>
    <w:rPr>
      <w:rFonts w:ascii="Garamond" w:eastAsia="Times New Roman" w:hAnsi="Garamond" w:cs="Times New Roman"/>
      <w:szCs w:val="20"/>
      <w:lang w:eastAsia="en-AU"/>
    </w:rPr>
  </w:style>
  <w:style w:type="paragraph" w:customStyle="1" w:styleId="Sub-title">
    <w:name w:val="Sub-title"/>
    <w:basedOn w:val="Normal"/>
    <w:rsid w:val="00786914"/>
    <w:pPr>
      <w:ind w:left="0" w:right="113"/>
      <w:jc w:val="right"/>
    </w:pPr>
    <w:rPr>
      <w:rFonts w:ascii="Arial" w:hAnsi="Arial"/>
      <w:b/>
      <w:sz w:val="32"/>
    </w:rPr>
  </w:style>
  <w:style w:type="character" w:styleId="Hyperlink">
    <w:name w:val="Hyperlink"/>
    <w:basedOn w:val="DefaultParagraphFont"/>
    <w:uiPriority w:val="99"/>
    <w:qFormat/>
    <w:rsid w:val="00786914"/>
    <w:rPr>
      <w:color w:val="0000FF"/>
      <w:u w:val="single"/>
    </w:rPr>
  </w:style>
  <w:style w:type="paragraph" w:styleId="Caption">
    <w:name w:val="caption"/>
    <w:aliases w:val="Table Name"/>
    <w:basedOn w:val="Normal"/>
    <w:next w:val="Normal"/>
    <w:uiPriority w:val="99"/>
    <w:qFormat/>
    <w:rsid w:val="00786914"/>
    <w:pPr>
      <w:spacing w:before="40" w:after="40"/>
      <w:ind w:left="0"/>
    </w:pPr>
    <w:rPr>
      <w:rFonts w:ascii="Arial" w:hAnsi="Arial"/>
      <w:b/>
      <w:bCs/>
      <w:sz w:val="18"/>
    </w:rPr>
  </w:style>
  <w:style w:type="table" w:styleId="TableGrid">
    <w:name w:val="Table Grid"/>
    <w:basedOn w:val="TableNormal"/>
    <w:uiPriority w:val="59"/>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786914"/>
    <w:pPr>
      <w:keepNext/>
      <w:spacing w:before="40" w:after="40"/>
      <w:ind w:left="0"/>
    </w:pPr>
    <w:rPr>
      <w:rFonts w:ascii="Arial Narrow" w:hAnsi="Arial Narrow"/>
      <w:sz w:val="18"/>
      <w:lang w:eastAsia="en-US"/>
    </w:rPr>
  </w:style>
  <w:style w:type="character" w:customStyle="1" w:styleId="TableTextChar">
    <w:name w:val="Table Text Char"/>
    <w:basedOn w:val="DefaultParagraphFont"/>
    <w:link w:val="TableText"/>
    <w:rsid w:val="00786914"/>
    <w:rPr>
      <w:rFonts w:ascii="Arial Narrow" w:eastAsia="Times New Roman" w:hAnsi="Arial Narrow" w:cs="Times New Roman"/>
      <w:sz w:val="18"/>
      <w:szCs w:val="20"/>
    </w:rPr>
  </w:style>
  <w:style w:type="paragraph" w:customStyle="1" w:styleId="Boxname">
    <w:name w:val="Box name"/>
    <w:basedOn w:val="TableName"/>
    <w:link w:val="BoxnameChar"/>
    <w:rsid w:val="00786914"/>
  </w:style>
  <w:style w:type="character" w:customStyle="1" w:styleId="BoxnameChar">
    <w:name w:val="Box name Char"/>
    <w:basedOn w:val="TableNameChar"/>
    <w:link w:val="Boxname"/>
    <w:rsid w:val="00786914"/>
    <w:rPr>
      <w:rFonts w:ascii="Arial Narrow" w:eastAsia="Times New Roman" w:hAnsi="Arial Narrow" w:cs="Times New Roman"/>
      <w:b/>
      <w:sz w:val="20"/>
      <w:szCs w:val="20"/>
      <w:lang w:eastAsia="en-AU"/>
    </w:rPr>
  </w:style>
  <w:style w:type="paragraph" w:styleId="CommentSubject">
    <w:name w:val="annotation subject"/>
    <w:basedOn w:val="CommentText"/>
    <w:next w:val="CommentText"/>
    <w:link w:val="CommentSubjectChar"/>
    <w:uiPriority w:val="99"/>
    <w:semiHidden/>
    <w:rsid w:val="00786914"/>
    <w:rPr>
      <w:b/>
      <w:bCs/>
    </w:rPr>
  </w:style>
  <w:style w:type="character" w:customStyle="1" w:styleId="CommentSubjectChar">
    <w:name w:val="Comment Subject Char"/>
    <w:basedOn w:val="CommentTextChar"/>
    <w:link w:val="CommentSubject"/>
    <w:uiPriority w:val="99"/>
    <w:semiHidden/>
    <w:rsid w:val="00786914"/>
    <w:rPr>
      <w:rFonts w:ascii="Garamond" w:eastAsia="Times New Roman" w:hAnsi="Garamond" w:cs="Times New Roman"/>
      <w:b/>
      <w:bCs/>
      <w:sz w:val="20"/>
      <w:szCs w:val="20"/>
      <w:lang w:eastAsia="en-AU"/>
    </w:rPr>
  </w:style>
  <w:style w:type="character" w:styleId="FollowedHyperlink">
    <w:name w:val="FollowedHyperlink"/>
    <w:basedOn w:val="DefaultParagraphFont"/>
    <w:rsid w:val="00786914"/>
    <w:rPr>
      <w:color w:val="800080"/>
      <w:u w:val="single"/>
    </w:rPr>
  </w:style>
  <w:style w:type="paragraph" w:styleId="ListParagraph">
    <w:name w:val="List Paragraph"/>
    <w:basedOn w:val="Normal"/>
    <w:uiPriority w:val="34"/>
    <w:qFormat/>
    <w:rsid w:val="00786914"/>
    <w:pPr>
      <w:ind w:left="1440" w:hanging="720"/>
      <w:contextualSpacing/>
    </w:pPr>
    <w:rPr>
      <w:rFonts w:eastAsia="SimSun" w:cs="Tahoma"/>
      <w:lang w:eastAsia="zh-CN"/>
    </w:rPr>
  </w:style>
  <w:style w:type="paragraph" w:customStyle="1" w:styleId="Default">
    <w:name w:val="Default"/>
    <w:rsid w:val="0078691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Strong">
    <w:name w:val="Strong"/>
    <w:basedOn w:val="DefaultParagraphFont"/>
    <w:uiPriority w:val="22"/>
    <w:qFormat/>
    <w:rsid w:val="00786914"/>
    <w:rPr>
      <w:b/>
      <w:bCs/>
      <w:i w:val="0"/>
      <w:iCs w:val="0"/>
    </w:rPr>
  </w:style>
  <w:style w:type="character" w:styleId="SubtleEmphasis">
    <w:name w:val="Subtle Emphasis"/>
    <w:basedOn w:val="DefaultParagraphFont"/>
    <w:uiPriority w:val="19"/>
    <w:qFormat/>
    <w:rsid w:val="00786914"/>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786914"/>
    <w:pPr>
      <w:spacing w:after="0" w:line="240" w:lineRule="auto"/>
    </w:pPr>
    <w:rPr>
      <w:rFonts w:ascii="Times New Roman" w:eastAsia="Times New Roman" w:hAnsi="Times New Roman" w:cs="Times New Roman"/>
      <w:color w:val="365F91"/>
      <w:sz w:val="20"/>
      <w:szCs w:val="20"/>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4">
    <w:name w:val="Table Classic 4"/>
    <w:basedOn w:val="TableNormal"/>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786914"/>
    <w:pPr>
      <w:spacing w:after="0" w:line="240" w:lineRule="auto"/>
    </w:pPr>
    <w:rPr>
      <w:rFonts w:ascii="Garamond" w:eastAsia="Times New Roman" w:hAnsi="Garamond" w:cs="Times New Roman"/>
      <w:sz w:val="24"/>
      <w:szCs w:val="20"/>
      <w:lang w:eastAsia="en-AU"/>
    </w:rPr>
  </w:style>
  <w:style w:type="character" w:styleId="Emphasis">
    <w:name w:val="Emphasis"/>
    <w:basedOn w:val="DefaultParagraphFont"/>
    <w:uiPriority w:val="20"/>
    <w:qFormat/>
    <w:rsid w:val="00786914"/>
    <w:rPr>
      <w:b/>
      <w:bCs/>
      <w:i w:val="0"/>
      <w:iCs w:val="0"/>
    </w:rPr>
  </w:style>
  <w:style w:type="table" w:customStyle="1" w:styleId="TableGrid1">
    <w:name w:val="Table Grid1"/>
    <w:basedOn w:val="TableNormal"/>
    <w:next w:val="TableGrid"/>
    <w:uiPriority w:val="59"/>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86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unhideWhenUsed/>
    <w:rsid w:val="00786914"/>
    <w:rPr>
      <w:i w:val="0"/>
      <w:iCs w:val="0"/>
      <w:color w:val="009933"/>
    </w:rPr>
  </w:style>
  <w:style w:type="paragraph" w:customStyle="1" w:styleId="Tableheading">
    <w:name w:val="Table heading"/>
    <w:basedOn w:val="Normal"/>
    <w:rsid w:val="00786914"/>
    <w:pPr>
      <w:keepNext/>
      <w:spacing w:before="40" w:after="40"/>
      <w:ind w:left="0"/>
    </w:pPr>
    <w:rPr>
      <w:rFonts w:ascii="Arial Narrow" w:hAnsi="Arial Narrow"/>
      <w:b/>
      <w:sz w:val="18"/>
    </w:rPr>
  </w:style>
  <w:style w:type="paragraph" w:styleId="TOCHeading">
    <w:name w:val="TOC Heading"/>
    <w:basedOn w:val="Heading1"/>
    <w:next w:val="Normal"/>
    <w:uiPriority w:val="39"/>
    <w:unhideWhenUsed/>
    <w:qFormat/>
    <w:rsid w:val="00786914"/>
    <w:pPr>
      <w:keepLines/>
      <w:pageBreakBefore w:val="0"/>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Normalbold">
    <w:name w:val="Normal bold"/>
    <w:basedOn w:val="Normal"/>
    <w:next w:val="Normal"/>
    <w:qFormat/>
    <w:rsid w:val="0078691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14"/>
    <w:pPr>
      <w:spacing w:after="240" w:line="240" w:lineRule="auto"/>
      <w:ind w:left="720"/>
    </w:pPr>
    <w:rPr>
      <w:rFonts w:ascii="Garamond" w:eastAsia="Times New Roman" w:hAnsi="Garamond" w:cs="Times New Roman"/>
      <w:sz w:val="24"/>
      <w:szCs w:val="20"/>
      <w:lang w:eastAsia="en-AU"/>
    </w:rPr>
  </w:style>
  <w:style w:type="paragraph" w:styleId="Heading1">
    <w:name w:val="heading 1"/>
    <w:basedOn w:val="Normal"/>
    <w:next w:val="Normal"/>
    <w:link w:val="Heading1Char"/>
    <w:uiPriority w:val="9"/>
    <w:qFormat/>
    <w:rsid w:val="00C65BC3"/>
    <w:pPr>
      <w:keepNext/>
      <w:pageBreakBefore/>
      <w:pBdr>
        <w:bottom w:val="single" w:sz="4" w:space="1" w:color="auto"/>
      </w:pBdr>
      <w:spacing w:after="360"/>
      <w:ind w:left="0"/>
      <w:outlineLvl w:val="0"/>
    </w:pPr>
    <w:rPr>
      <w:rFonts w:ascii="Tahoma" w:hAnsi="Tahoma"/>
      <w:b/>
      <w:sz w:val="40"/>
    </w:rPr>
  </w:style>
  <w:style w:type="paragraph" w:styleId="Heading2">
    <w:name w:val="heading 2"/>
    <w:basedOn w:val="Normal"/>
    <w:next w:val="Normal"/>
    <w:link w:val="Heading2Char"/>
    <w:uiPriority w:val="9"/>
    <w:qFormat/>
    <w:rsid w:val="00786914"/>
    <w:pPr>
      <w:keepNext/>
      <w:spacing w:before="240"/>
      <w:ind w:left="0"/>
      <w:outlineLvl w:val="1"/>
    </w:pPr>
    <w:rPr>
      <w:rFonts w:ascii="Tahoma" w:hAnsi="Tahoma"/>
      <w:b/>
      <w:sz w:val="28"/>
    </w:rPr>
  </w:style>
  <w:style w:type="paragraph" w:styleId="Heading3">
    <w:name w:val="heading 3"/>
    <w:basedOn w:val="Normal"/>
    <w:next w:val="Normal"/>
    <w:link w:val="Heading3Char"/>
    <w:uiPriority w:val="9"/>
    <w:qFormat/>
    <w:rsid w:val="00786914"/>
    <w:pPr>
      <w:keepNext/>
      <w:spacing w:before="240"/>
      <w:ind w:left="0"/>
      <w:outlineLvl w:val="2"/>
    </w:pPr>
    <w:rPr>
      <w:rFonts w:ascii="Tahoma" w:hAnsi="Tahoma"/>
      <w:b/>
      <w:sz w:val="22"/>
    </w:rPr>
  </w:style>
  <w:style w:type="paragraph" w:styleId="Heading4">
    <w:name w:val="heading 4"/>
    <w:basedOn w:val="Normal"/>
    <w:next w:val="Normal"/>
    <w:link w:val="Heading4Char"/>
    <w:qFormat/>
    <w:rsid w:val="00786914"/>
    <w:pPr>
      <w:keepNext/>
      <w:spacing w:before="120" w:after="120"/>
      <w:ind w:left="0"/>
      <w:outlineLvl w:val="3"/>
    </w:pPr>
    <w:rPr>
      <w:rFonts w:ascii="Tahoma" w:hAnsi="Tahoma"/>
      <w:b/>
      <w:sz w:val="20"/>
    </w:rPr>
  </w:style>
  <w:style w:type="paragraph" w:styleId="Heading5">
    <w:name w:val="heading 5"/>
    <w:basedOn w:val="Normal"/>
    <w:next w:val="Normal"/>
    <w:link w:val="Heading5Char"/>
    <w:uiPriority w:val="99"/>
    <w:qFormat/>
    <w:rsid w:val="00786914"/>
    <w:pPr>
      <w:keepNext/>
      <w:spacing w:after="60"/>
      <w:outlineLvl w:val="4"/>
    </w:pPr>
    <w:rPr>
      <w:b/>
    </w:rPr>
  </w:style>
  <w:style w:type="paragraph" w:styleId="Heading6">
    <w:name w:val="heading 6"/>
    <w:basedOn w:val="Normal"/>
    <w:next w:val="Normal"/>
    <w:link w:val="Heading6Char"/>
    <w:uiPriority w:val="99"/>
    <w:qFormat/>
    <w:rsid w:val="00786914"/>
    <w:pPr>
      <w:keepNext/>
      <w:outlineLvl w:val="5"/>
    </w:pPr>
    <w:rPr>
      <w:b/>
      <w:i/>
    </w:rPr>
  </w:style>
  <w:style w:type="paragraph" w:styleId="Heading7">
    <w:name w:val="heading 7"/>
    <w:basedOn w:val="Normal"/>
    <w:next w:val="Normal"/>
    <w:link w:val="Heading7Char"/>
    <w:qFormat/>
    <w:rsid w:val="00786914"/>
    <w:pPr>
      <w:keepNext/>
      <w:outlineLvl w:val="6"/>
    </w:pPr>
    <w:rPr>
      <w:i/>
    </w:rPr>
  </w:style>
  <w:style w:type="paragraph" w:styleId="Heading8">
    <w:name w:val="heading 8"/>
    <w:basedOn w:val="Normal"/>
    <w:next w:val="Normal"/>
    <w:link w:val="Heading8Char"/>
    <w:uiPriority w:val="99"/>
    <w:qFormat/>
    <w:rsid w:val="00786914"/>
    <w:pPr>
      <w:keepNext/>
      <w:outlineLvl w:val="7"/>
    </w:pPr>
    <w:rPr>
      <w:u w:val="single"/>
    </w:rPr>
  </w:style>
  <w:style w:type="paragraph" w:styleId="Heading9">
    <w:name w:val="heading 9"/>
    <w:basedOn w:val="Normal"/>
    <w:next w:val="Normal"/>
    <w:link w:val="Heading9Char"/>
    <w:uiPriority w:val="99"/>
    <w:qFormat/>
    <w:rsid w:val="00786914"/>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C3"/>
    <w:rPr>
      <w:rFonts w:ascii="Tahoma" w:eastAsia="Times New Roman" w:hAnsi="Tahoma" w:cs="Times New Roman"/>
      <w:b/>
      <w:sz w:val="40"/>
      <w:szCs w:val="20"/>
      <w:lang w:eastAsia="en-AU"/>
    </w:rPr>
  </w:style>
  <w:style w:type="character" w:customStyle="1" w:styleId="Heading2Char">
    <w:name w:val="Heading 2 Char"/>
    <w:basedOn w:val="DefaultParagraphFont"/>
    <w:link w:val="Heading2"/>
    <w:uiPriority w:val="9"/>
    <w:rsid w:val="00786914"/>
    <w:rPr>
      <w:rFonts w:ascii="Tahoma" w:eastAsia="Times New Roman" w:hAnsi="Tahoma" w:cs="Times New Roman"/>
      <w:b/>
      <w:sz w:val="28"/>
      <w:szCs w:val="20"/>
      <w:lang w:eastAsia="en-AU"/>
    </w:rPr>
  </w:style>
  <w:style w:type="character" w:customStyle="1" w:styleId="Heading3Char">
    <w:name w:val="Heading 3 Char"/>
    <w:basedOn w:val="DefaultParagraphFont"/>
    <w:link w:val="Heading3"/>
    <w:uiPriority w:val="9"/>
    <w:rsid w:val="00786914"/>
    <w:rPr>
      <w:rFonts w:ascii="Tahoma" w:eastAsia="Times New Roman" w:hAnsi="Tahoma" w:cs="Times New Roman"/>
      <w:b/>
      <w:szCs w:val="20"/>
      <w:lang w:eastAsia="en-AU"/>
    </w:rPr>
  </w:style>
  <w:style w:type="character" w:customStyle="1" w:styleId="Heading4Char">
    <w:name w:val="Heading 4 Char"/>
    <w:basedOn w:val="DefaultParagraphFont"/>
    <w:link w:val="Heading4"/>
    <w:rsid w:val="00786914"/>
    <w:rPr>
      <w:rFonts w:ascii="Tahoma" w:eastAsia="Times New Roman" w:hAnsi="Tahoma" w:cs="Times New Roman"/>
      <w:b/>
      <w:sz w:val="20"/>
      <w:szCs w:val="20"/>
      <w:lang w:eastAsia="en-AU"/>
    </w:rPr>
  </w:style>
  <w:style w:type="character" w:customStyle="1" w:styleId="Heading5Char">
    <w:name w:val="Heading 5 Char"/>
    <w:basedOn w:val="DefaultParagraphFont"/>
    <w:link w:val="Heading5"/>
    <w:uiPriority w:val="99"/>
    <w:rsid w:val="00786914"/>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uiPriority w:val="99"/>
    <w:rsid w:val="00786914"/>
    <w:rPr>
      <w:rFonts w:ascii="Garamond" w:eastAsia="Times New Roman" w:hAnsi="Garamond" w:cs="Times New Roman"/>
      <w:b/>
      <w:i/>
      <w:sz w:val="24"/>
      <w:szCs w:val="20"/>
      <w:lang w:eastAsia="en-AU"/>
    </w:rPr>
  </w:style>
  <w:style w:type="character" w:customStyle="1" w:styleId="Heading7Char">
    <w:name w:val="Heading 7 Char"/>
    <w:basedOn w:val="DefaultParagraphFont"/>
    <w:link w:val="Heading7"/>
    <w:rsid w:val="00786914"/>
    <w:rPr>
      <w:rFonts w:ascii="Garamond" w:eastAsia="Times New Roman" w:hAnsi="Garamond" w:cs="Times New Roman"/>
      <w:i/>
      <w:sz w:val="24"/>
      <w:szCs w:val="20"/>
      <w:lang w:eastAsia="en-AU"/>
    </w:rPr>
  </w:style>
  <w:style w:type="character" w:customStyle="1" w:styleId="Heading8Char">
    <w:name w:val="Heading 8 Char"/>
    <w:basedOn w:val="DefaultParagraphFont"/>
    <w:link w:val="Heading8"/>
    <w:uiPriority w:val="99"/>
    <w:rsid w:val="00786914"/>
    <w:rPr>
      <w:rFonts w:ascii="Garamond" w:eastAsia="Times New Roman" w:hAnsi="Garamond" w:cs="Times New Roman"/>
      <w:sz w:val="24"/>
      <w:szCs w:val="20"/>
      <w:u w:val="single"/>
      <w:lang w:eastAsia="en-AU"/>
    </w:rPr>
  </w:style>
  <w:style w:type="character" w:customStyle="1" w:styleId="Heading9Char">
    <w:name w:val="Heading 9 Char"/>
    <w:basedOn w:val="DefaultParagraphFont"/>
    <w:link w:val="Heading9"/>
    <w:uiPriority w:val="99"/>
    <w:rsid w:val="00786914"/>
    <w:rPr>
      <w:rFonts w:ascii="Garamond" w:eastAsia="Times New Roman" w:hAnsi="Garamond" w:cs="Times New Roman"/>
      <w:sz w:val="24"/>
      <w:szCs w:val="20"/>
      <w:lang w:eastAsia="en-AU"/>
    </w:rPr>
  </w:style>
  <w:style w:type="paragraph" w:customStyle="1" w:styleId="Bullet">
    <w:name w:val="Bullet"/>
    <w:basedOn w:val="Normal"/>
    <w:next w:val="Normal"/>
    <w:rsid w:val="00786914"/>
    <w:pPr>
      <w:numPr>
        <w:numId w:val="19"/>
      </w:numPr>
      <w:tabs>
        <w:tab w:val="left" w:pos="1440"/>
      </w:tabs>
      <w:ind w:hanging="720"/>
    </w:pPr>
  </w:style>
  <w:style w:type="character" w:styleId="CommentReference">
    <w:name w:val="annotation reference"/>
    <w:basedOn w:val="DefaultParagraphFont"/>
    <w:semiHidden/>
    <w:rsid w:val="00786914"/>
    <w:rPr>
      <w:sz w:val="16"/>
    </w:rPr>
  </w:style>
  <w:style w:type="paragraph" w:styleId="CommentText">
    <w:name w:val="annotation text"/>
    <w:basedOn w:val="Normal"/>
    <w:link w:val="CommentTextChar"/>
    <w:rsid w:val="00786914"/>
    <w:rPr>
      <w:sz w:val="20"/>
    </w:rPr>
  </w:style>
  <w:style w:type="character" w:customStyle="1" w:styleId="CommentTextChar">
    <w:name w:val="Comment Text Char"/>
    <w:basedOn w:val="DefaultParagraphFont"/>
    <w:link w:val="CommentText"/>
    <w:rsid w:val="00786914"/>
    <w:rPr>
      <w:rFonts w:ascii="Garamond" w:eastAsia="Times New Roman" w:hAnsi="Garamond" w:cs="Times New Roman"/>
      <w:sz w:val="20"/>
      <w:szCs w:val="20"/>
      <w:lang w:eastAsia="en-AU"/>
    </w:rPr>
  </w:style>
  <w:style w:type="paragraph" w:styleId="Date">
    <w:name w:val="Date"/>
    <w:basedOn w:val="Normal"/>
    <w:next w:val="Normal"/>
    <w:link w:val="DateChar"/>
    <w:rsid w:val="00786914"/>
    <w:pPr>
      <w:ind w:right="113"/>
      <w:jc w:val="right"/>
    </w:pPr>
    <w:rPr>
      <w:rFonts w:ascii="Arial" w:hAnsi="Arial"/>
      <w:b/>
      <w:sz w:val="36"/>
    </w:rPr>
  </w:style>
  <w:style w:type="character" w:customStyle="1" w:styleId="DateChar">
    <w:name w:val="Date Char"/>
    <w:basedOn w:val="DefaultParagraphFont"/>
    <w:link w:val="Date"/>
    <w:rsid w:val="00786914"/>
    <w:rPr>
      <w:rFonts w:ascii="Arial" w:eastAsia="Times New Roman" w:hAnsi="Arial" w:cs="Times New Roman"/>
      <w:b/>
      <w:sz w:val="36"/>
      <w:szCs w:val="20"/>
      <w:lang w:eastAsia="en-AU"/>
    </w:rPr>
  </w:style>
  <w:style w:type="paragraph" w:customStyle="1" w:styleId="Summaryboxtext">
    <w:name w:val="Summary box text"/>
    <w:basedOn w:val="Normal"/>
    <w:rsid w:val="00786914"/>
    <w:pPr>
      <w:spacing w:after="100" w:afterAutospacing="1"/>
      <w:ind w:left="0"/>
    </w:pPr>
    <w:rPr>
      <w:rFonts w:ascii="Arial Narrow" w:hAnsi="Arial Narrow"/>
    </w:rPr>
  </w:style>
  <w:style w:type="paragraph" w:styleId="Footer">
    <w:name w:val="footer"/>
    <w:basedOn w:val="Normal"/>
    <w:link w:val="FooterChar"/>
    <w:uiPriority w:val="99"/>
    <w:rsid w:val="00786914"/>
    <w:pPr>
      <w:pBdr>
        <w:top w:val="single" w:sz="4" w:space="9" w:color="auto"/>
      </w:pBdr>
      <w:tabs>
        <w:tab w:val="right" w:pos="9000"/>
      </w:tabs>
    </w:pPr>
    <w:rPr>
      <w:rFonts w:ascii="Arial" w:hAnsi="Arial"/>
      <w:b/>
      <w:sz w:val="20"/>
    </w:rPr>
  </w:style>
  <w:style w:type="character" w:customStyle="1" w:styleId="FooterChar">
    <w:name w:val="Footer Char"/>
    <w:basedOn w:val="DefaultParagraphFont"/>
    <w:link w:val="Footer"/>
    <w:uiPriority w:val="99"/>
    <w:rsid w:val="00786914"/>
    <w:rPr>
      <w:rFonts w:ascii="Arial" w:eastAsia="Times New Roman" w:hAnsi="Arial" w:cs="Times New Roman"/>
      <w:b/>
      <w:sz w:val="20"/>
      <w:szCs w:val="20"/>
      <w:lang w:eastAsia="en-AU"/>
    </w:rPr>
  </w:style>
  <w:style w:type="character" w:styleId="FootnoteReference">
    <w:name w:val="footnote reference"/>
    <w:basedOn w:val="DefaultParagraphFont"/>
    <w:uiPriority w:val="99"/>
    <w:semiHidden/>
    <w:rsid w:val="00786914"/>
    <w:rPr>
      <w:vertAlign w:val="superscript"/>
    </w:rPr>
  </w:style>
  <w:style w:type="paragraph" w:styleId="FootnoteText">
    <w:name w:val="footnote text"/>
    <w:basedOn w:val="Normal"/>
    <w:link w:val="FootnoteTextChar"/>
    <w:uiPriority w:val="99"/>
    <w:rsid w:val="00786914"/>
    <w:rPr>
      <w:sz w:val="20"/>
    </w:rPr>
  </w:style>
  <w:style w:type="character" w:customStyle="1" w:styleId="FootnoteTextChar">
    <w:name w:val="Footnote Text Char"/>
    <w:basedOn w:val="DefaultParagraphFont"/>
    <w:link w:val="FootnoteText"/>
    <w:uiPriority w:val="99"/>
    <w:rsid w:val="00786914"/>
    <w:rPr>
      <w:rFonts w:ascii="Garamond" w:eastAsia="Times New Roman" w:hAnsi="Garamond" w:cs="Times New Roman"/>
      <w:sz w:val="20"/>
      <w:szCs w:val="20"/>
      <w:lang w:eastAsia="en-AU"/>
    </w:rPr>
  </w:style>
  <w:style w:type="paragraph" w:styleId="Header">
    <w:name w:val="header"/>
    <w:basedOn w:val="Normal"/>
    <w:link w:val="HeaderChar"/>
    <w:uiPriority w:val="99"/>
    <w:rsid w:val="00786914"/>
    <w:pPr>
      <w:tabs>
        <w:tab w:val="center" w:pos="4153"/>
        <w:tab w:val="right" w:pos="8306"/>
      </w:tabs>
    </w:pPr>
  </w:style>
  <w:style w:type="character" w:customStyle="1" w:styleId="HeaderChar">
    <w:name w:val="Header Char"/>
    <w:basedOn w:val="DefaultParagraphFont"/>
    <w:link w:val="Header"/>
    <w:uiPriority w:val="99"/>
    <w:rsid w:val="00786914"/>
    <w:rPr>
      <w:rFonts w:ascii="Garamond" w:eastAsia="Times New Roman" w:hAnsi="Garamond" w:cs="Times New Roman"/>
      <w:sz w:val="24"/>
      <w:szCs w:val="20"/>
      <w:lang w:eastAsia="en-AU"/>
    </w:rPr>
  </w:style>
  <w:style w:type="paragraph" w:customStyle="1" w:styleId="Summaryboxheading">
    <w:name w:val="Summary box heading"/>
    <w:basedOn w:val="Summaryboxtext"/>
    <w:rsid w:val="00786914"/>
    <w:pPr>
      <w:spacing w:before="120"/>
    </w:pPr>
    <w:rPr>
      <w:b/>
    </w:rPr>
  </w:style>
  <w:style w:type="character" w:styleId="PageNumber">
    <w:name w:val="page number"/>
    <w:basedOn w:val="DefaultParagraphFont"/>
    <w:rsid w:val="00786914"/>
    <w:rPr>
      <w:rFonts w:ascii="Tahoma" w:hAnsi="Tahoma"/>
      <w:b/>
      <w:sz w:val="18"/>
    </w:rPr>
  </w:style>
  <w:style w:type="paragraph" w:customStyle="1" w:styleId="PublicationTitle">
    <w:name w:val="PublicationTitle"/>
    <w:basedOn w:val="Normal"/>
    <w:rsid w:val="00786914"/>
    <w:pPr>
      <w:spacing w:line="480" w:lineRule="exact"/>
      <w:ind w:left="0" w:right="113"/>
      <w:jc w:val="right"/>
    </w:pPr>
    <w:rPr>
      <w:rFonts w:ascii="Arial" w:hAnsi="Arial"/>
      <w:b/>
      <w:i/>
      <w:sz w:val="44"/>
    </w:rPr>
  </w:style>
  <w:style w:type="paragraph" w:customStyle="1" w:styleId="References">
    <w:name w:val="References"/>
    <w:basedOn w:val="Normal"/>
    <w:rsid w:val="00786914"/>
    <w:pPr>
      <w:keepLines/>
      <w:ind w:left="1440" w:hanging="720"/>
    </w:pPr>
  </w:style>
  <w:style w:type="paragraph" w:styleId="TableofFigures">
    <w:name w:val="table of figures"/>
    <w:basedOn w:val="Normal"/>
    <w:next w:val="Normal"/>
    <w:uiPriority w:val="99"/>
    <w:rsid w:val="00786914"/>
    <w:pPr>
      <w:tabs>
        <w:tab w:val="left" w:pos="1800"/>
        <w:tab w:val="right" w:leader="dot" w:pos="9017"/>
      </w:tabs>
      <w:spacing w:after="120"/>
      <w:ind w:left="1800" w:right="720" w:hanging="1080"/>
    </w:pPr>
    <w:rPr>
      <w:noProof/>
    </w:rPr>
  </w:style>
  <w:style w:type="paragraph" w:customStyle="1" w:styleId="TableName">
    <w:name w:val="TableName"/>
    <w:basedOn w:val="Normal"/>
    <w:link w:val="TableNameChar"/>
    <w:rsid w:val="00786914"/>
    <w:pPr>
      <w:keepNext/>
      <w:spacing w:before="40" w:after="40"/>
      <w:ind w:left="1440" w:hanging="720"/>
    </w:pPr>
    <w:rPr>
      <w:rFonts w:ascii="Arial Narrow" w:hAnsi="Arial Narrow"/>
      <w:b/>
      <w:sz w:val="20"/>
    </w:rPr>
  </w:style>
  <w:style w:type="character" w:customStyle="1" w:styleId="TableNameChar">
    <w:name w:val="TableName Char"/>
    <w:basedOn w:val="DefaultParagraphFont"/>
    <w:link w:val="TableName"/>
    <w:rsid w:val="00786914"/>
    <w:rPr>
      <w:rFonts w:ascii="Arial Narrow" w:eastAsia="Times New Roman" w:hAnsi="Arial Narrow" w:cs="Times New Roman"/>
      <w:b/>
      <w:sz w:val="20"/>
      <w:szCs w:val="20"/>
      <w:lang w:eastAsia="en-AU"/>
    </w:rPr>
  </w:style>
  <w:style w:type="paragraph" w:customStyle="1" w:styleId="TableNotes">
    <w:name w:val="TableNotes"/>
    <w:basedOn w:val="TableText"/>
    <w:next w:val="Normal"/>
    <w:link w:val="TableNotesChar"/>
    <w:rsid w:val="00786914"/>
    <w:pPr>
      <w:keepLines/>
      <w:spacing w:before="0" w:after="360"/>
      <w:ind w:left="1440" w:hanging="720"/>
      <w:contextualSpacing/>
    </w:pPr>
    <w:rPr>
      <w:sz w:val="16"/>
    </w:rPr>
  </w:style>
  <w:style w:type="character" w:customStyle="1" w:styleId="TableNotesChar">
    <w:name w:val="TableNotes Char"/>
    <w:basedOn w:val="DefaultParagraphFont"/>
    <w:link w:val="TableNotes"/>
    <w:rsid w:val="00786914"/>
    <w:rPr>
      <w:rFonts w:ascii="Arial Narrow" w:eastAsia="Times New Roman" w:hAnsi="Arial Narrow" w:cs="Times New Roman"/>
      <w:sz w:val="16"/>
      <w:szCs w:val="20"/>
    </w:rPr>
  </w:style>
  <w:style w:type="paragraph" w:styleId="Title">
    <w:name w:val="Title"/>
    <w:basedOn w:val="Normal"/>
    <w:link w:val="TitleChar"/>
    <w:qFormat/>
    <w:rsid w:val="00786914"/>
    <w:pPr>
      <w:ind w:left="0"/>
      <w:jc w:val="center"/>
    </w:pPr>
    <w:rPr>
      <w:rFonts w:ascii="Arial" w:hAnsi="Arial"/>
      <w:b/>
      <w:smallCaps/>
      <w:sz w:val="44"/>
    </w:rPr>
  </w:style>
  <w:style w:type="character" w:customStyle="1" w:styleId="TitleChar">
    <w:name w:val="Title Char"/>
    <w:basedOn w:val="DefaultParagraphFont"/>
    <w:link w:val="Title"/>
    <w:rsid w:val="00786914"/>
    <w:rPr>
      <w:rFonts w:ascii="Arial" w:eastAsia="Times New Roman" w:hAnsi="Arial" w:cs="Times New Roman"/>
      <w:b/>
      <w:smallCaps/>
      <w:sz w:val="44"/>
      <w:szCs w:val="20"/>
      <w:lang w:eastAsia="en-AU"/>
    </w:rPr>
  </w:style>
  <w:style w:type="paragraph" w:styleId="TOC1">
    <w:name w:val="toc 1"/>
    <w:basedOn w:val="Normal"/>
    <w:next w:val="Normal"/>
    <w:autoRedefine/>
    <w:uiPriority w:val="39"/>
    <w:rsid w:val="00786914"/>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786914"/>
    <w:pPr>
      <w:tabs>
        <w:tab w:val="right" w:leader="dot" w:pos="9017"/>
      </w:tabs>
      <w:spacing w:after="60"/>
      <w:ind w:left="1440" w:right="720"/>
    </w:pPr>
    <w:rPr>
      <w:noProof/>
    </w:rPr>
  </w:style>
  <w:style w:type="paragraph" w:styleId="TOC3">
    <w:name w:val="toc 3"/>
    <w:basedOn w:val="Normal"/>
    <w:next w:val="Normal"/>
    <w:autoRedefine/>
    <w:uiPriority w:val="39"/>
    <w:rsid w:val="00786914"/>
    <w:pPr>
      <w:tabs>
        <w:tab w:val="right" w:leader="dot" w:pos="9016"/>
      </w:tabs>
      <w:spacing w:after="0"/>
      <w:ind w:left="1418"/>
    </w:pPr>
    <w:rPr>
      <w:noProof/>
    </w:rPr>
  </w:style>
  <w:style w:type="paragraph" w:styleId="TOC4">
    <w:name w:val="toc 4"/>
    <w:basedOn w:val="Normal"/>
    <w:next w:val="Normal"/>
    <w:autoRedefine/>
    <w:uiPriority w:val="39"/>
    <w:rsid w:val="00786914"/>
    <w:pPr>
      <w:ind w:left="660"/>
    </w:pPr>
  </w:style>
  <w:style w:type="paragraph" w:styleId="TOC5">
    <w:name w:val="toc 5"/>
    <w:basedOn w:val="Normal"/>
    <w:next w:val="Normal"/>
    <w:autoRedefine/>
    <w:uiPriority w:val="39"/>
    <w:rsid w:val="00786914"/>
    <w:pPr>
      <w:ind w:left="880"/>
    </w:pPr>
  </w:style>
  <w:style w:type="paragraph" w:styleId="TOC6">
    <w:name w:val="toc 6"/>
    <w:basedOn w:val="Normal"/>
    <w:next w:val="Normal"/>
    <w:autoRedefine/>
    <w:uiPriority w:val="39"/>
    <w:rsid w:val="00786914"/>
    <w:pPr>
      <w:ind w:left="1100"/>
    </w:pPr>
  </w:style>
  <w:style w:type="paragraph" w:styleId="TOC7">
    <w:name w:val="toc 7"/>
    <w:basedOn w:val="Normal"/>
    <w:next w:val="Normal"/>
    <w:autoRedefine/>
    <w:uiPriority w:val="39"/>
    <w:rsid w:val="00786914"/>
    <w:pPr>
      <w:ind w:left="1320"/>
    </w:pPr>
  </w:style>
  <w:style w:type="paragraph" w:styleId="TOC8">
    <w:name w:val="toc 8"/>
    <w:basedOn w:val="Normal"/>
    <w:next w:val="Normal"/>
    <w:autoRedefine/>
    <w:uiPriority w:val="39"/>
    <w:rsid w:val="00786914"/>
    <w:pPr>
      <w:ind w:left="1540"/>
    </w:pPr>
  </w:style>
  <w:style w:type="paragraph" w:styleId="TOC9">
    <w:name w:val="toc 9"/>
    <w:basedOn w:val="Normal"/>
    <w:next w:val="Normal"/>
    <w:autoRedefine/>
    <w:uiPriority w:val="39"/>
    <w:rsid w:val="00786914"/>
    <w:pPr>
      <w:ind w:left="1760"/>
    </w:pPr>
  </w:style>
  <w:style w:type="paragraph" w:styleId="BalloonText">
    <w:name w:val="Balloon Text"/>
    <w:basedOn w:val="Normal"/>
    <w:link w:val="BalloonTextChar"/>
    <w:uiPriority w:val="99"/>
    <w:rsid w:val="0078691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786914"/>
    <w:rPr>
      <w:rFonts w:ascii="Tahoma" w:eastAsia="Times New Roman" w:hAnsi="Tahoma" w:cs="Tahoma"/>
      <w:sz w:val="16"/>
      <w:szCs w:val="16"/>
      <w:lang w:eastAsia="en-AU"/>
    </w:rPr>
  </w:style>
  <w:style w:type="paragraph" w:styleId="Quote">
    <w:name w:val="Quote"/>
    <w:basedOn w:val="Normal"/>
    <w:link w:val="QuoteChar"/>
    <w:qFormat/>
    <w:rsid w:val="00786914"/>
    <w:pPr>
      <w:keepLines/>
      <w:ind w:left="1440" w:right="720"/>
    </w:pPr>
    <w:rPr>
      <w:sz w:val="22"/>
    </w:rPr>
  </w:style>
  <w:style w:type="character" w:customStyle="1" w:styleId="QuoteChar">
    <w:name w:val="Quote Char"/>
    <w:basedOn w:val="DefaultParagraphFont"/>
    <w:link w:val="Quote"/>
    <w:rsid w:val="00786914"/>
    <w:rPr>
      <w:rFonts w:ascii="Garamond" w:eastAsia="Times New Roman" w:hAnsi="Garamond" w:cs="Times New Roman"/>
      <w:szCs w:val="20"/>
      <w:lang w:eastAsia="en-AU"/>
    </w:rPr>
  </w:style>
  <w:style w:type="paragraph" w:customStyle="1" w:styleId="Sub-title">
    <w:name w:val="Sub-title"/>
    <w:basedOn w:val="Normal"/>
    <w:rsid w:val="00786914"/>
    <w:pPr>
      <w:ind w:left="0" w:right="113"/>
      <w:jc w:val="right"/>
    </w:pPr>
    <w:rPr>
      <w:rFonts w:ascii="Arial" w:hAnsi="Arial"/>
      <w:b/>
      <w:sz w:val="32"/>
    </w:rPr>
  </w:style>
  <w:style w:type="character" w:styleId="Hyperlink">
    <w:name w:val="Hyperlink"/>
    <w:basedOn w:val="DefaultParagraphFont"/>
    <w:uiPriority w:val="99"/>
    <w:qFormat/>
    <w:rsid w:val="00786914"/>
    <w:rPr>
      <w:color w:val="0000FF"/>
      <w:u w:val="single"/>
    </w:rPr>
  </w:style>
  <w:style w:type="paragraph" w:styleId="Caption">
    <w:name w:val="caption"/>
    <w:aliases w:val="Table Name"/>
    <w:basedOn w:val="Normal"/>
    <w:next w:val="Normal"/>
    <w:uiPriority w:val="99"/>
    <w:qFormat/>
    <w:rsid w:val="00786914"/>
    <w:pPr>
      <w:spacing w:before="40" w:after="40"/>
      <w:ind w:left="0"/>
    </w:pPr>
    <w:rPr>
      <w:rFonts w:ascii="Arial" w:hAnsi="Arial"/>
      <w:b/>
      <w:bCs/>
      <w:sz w:val="18"/>
    </w:rPr>
  </w:style>
  <w:style w:type="table" w:styleId="TableGrid">
    <w:name w:val="Table Grid"/>
    <w:basedOn w:val="TableNormal"/>
    <w:uiPriority w:val="59"/>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rsid w:val="00786914"/>
    <w:pPr>
      <w:keepNext/>
      <w:spacing w:before="40" w:after="40"/>
      <w:ind w:left="0"/>
    </w:pPr>
    <w:rPr>
      <w:rFonts w:ascii="Arial Narrow" w:hAnsi="Arial Narrow"/>
      <w:sz w:val="18"/>
      <w:lang w:eastAsia="en-US"/>
    </w:rPr>
  </w:style>
  <w:style w:type="character" w:customStyle="1" w:styleId="TableTextChar">
    <w:name w:val="Table Text Char"/>
    <w:basedOn w:val="DefaultParagraphFont"/>
    <w:link w:val="TableText"/>
    <w:rsid w:val="00786914"/>
    <w:rPr>
      <w:rFonts w:ascii="Arial Narrow" w:eastAsia="Times New Roman" w:hAnsi="Arial Narrow" w:cs="Times New Roman"/>
      <w:sz w:val="18"/>
      <w:szCs w:val="20"/>
    </w:rPr>
  </w:style>
  <w:style w:type="paragraph" w:customStyle="1" w:styleId="Boxname">
    <w:name w:val="Box name"/>
    <w:basedOn w:val="TableName"/>
    <w:link w:val="BoxnameChar"/>
    <w:rsid w:val="00786914"/>
  </w:style>
  <w:style w:type="character" w:customStyle="1" w:styleId="BoxnameChar">
    <w:name w:val="Box name Char"/>
    <w:basedOn w:val="TableNameChar"/>
    <w:link w:val="Boxname"/>
    <w:rsid w:val="00786914"/>
    <w:rPr>
      <w:rFonts w:ascii="Arial Narrow" w:eastAsia="Times New Roman" w:hAnsi="Arial Narrow" w:cs="Times New Roman"/>
      <w:b/>
      <w:sz w:val="20"/>
      <w:szCs w:val="20"/>
      <w:lang w:eastAsia="en-AU"/>
    </w:rPr>
  </w:style>
  <w:style w:type="paragraph" w:styleId="CommentSubject">
    <w:name w:val="annotation subject"/>
    <w:basedOn w:val="CommentText"/>
    <w:next w:val="CommentText"/>
    <w:link w:val="CommentSubjectChar"/>
    <w:uiPriority w:val="99"/>
    <w:semiHidden/>
    <w:rsid w:val="00786914"/>
    <w:rPr>
      <w:b/>
      <w:bCs/>
    </w:rPr>
  </w:style>
  <w:style w:type="character" w:customStyle="1" w:styleId="CommentSubjectChar">
    <w:name w:val="Comment Subject Char"/>
    <w:basedOn w:val="CommentTextChar"/>
    <w:link w:val="CommentSubject"/>
    <w:uiPriority w:val="99"/>
    <w:semiHidden/>
    <w:rsid w:val="00786914"/>
    <w:rPr>
      <w:rFonts w:ascii="Garamond" w:eastAsia="Times New Roman" w:hAnsi="Garamond" w:cs="Times New Roman"/>
      <w:b/>
      <w:bCs/>
      <w:sz w:val="20"/>
      <w:szCs w:val="20"/>
      <w:lang w:eastAsia="en-AU"/>
    </w:rPr>
  </w:style>
  <w:style w:type="character" w:styleId="FollowedHyperlink">
    <w:name w:val="FollowedHyperlink"/>
    <w:basedOn w:val="DefaultParagraphFont"/>
    <w:rsid w:val="00786914"/>
    <w:rPr>
      <w:color w:val="800080"/>
      <w:u w:val="single"/>
    </w:rPr>
  </w:style>
  <w:style w:type="paragraph" w:styleId="ListParagraph">
    <w:name w:val="List Paragraph"/>
    <w:basedOn w:val="Normal"/>
    <w:uiPriority w:val="34"/>
    <w:qFormat/>
    <w:rsid w:val="00786914"/>
    <w:pPr>
      <w:ind w:left="1440" w:hanging="720"/>
      <w:contextualSpacing/>
    </w:pPr>
    <w:rPr>
      <w:rFonts w:eastAsia="SimSun" w:cs="Tahoma"/>
      <w:lang w:eastAsia="zh-CN"/>
    </w:rPr>
  </w:style>
  <w:style w:type="paragraph" w:customStyle="1" w:styleId="Default">
    <w:name w:val="Default"/>
    <w:rsid w:val="0078691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Strong">
    <w:name w:val="Strong"/>
    <w:basedOn w:val="DefaultParagraphFont"/>
    <w:uiPriority w:val="22"/>
    <w:qFormat/>
    <w:rsid w:val="00786914"/>
    <w:rPr>
      <w:b/>
      <w:bCs/>
      <w:i w:val="0"/>
      <w:iCs w:val="0"/>
    </w:rPr>
  </w:style>
  <w:style w:type="character" w:styleId="SubtleEmphasis">
    <w:name w:val="Subtle Emphasis"/>
    <w:basedOn w:val="DefaultParagraphFont"/>
    <w:uiPriority w:val="19"/>
    <w:qFormat/>
    <w:rsid w:val="00786914"/>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786914"/>
    <w:pPr>
      <w:spacing w:after="0" w:line="240" w:lineRule="auto"/>
    </w:pPr>
    <w:rPr>
      <w:rFonts w:ascii="Times New Roman" w:eastAsia="Times New Roman" w:hAnsi="Times New Roman" w:cs="Times New Roman"/>
      <w:color w:val="365F91"/>
      <w:sz w:val="20"/>
      <w:szCs w:val="20"/>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4">
    <w:name w:val="Table Classic 4"/>
    <w:basedOn w:val="TableNormal"/>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786914"/>
    <w:pPr>
      <w:spacing w:after="0" w:line="240" w:lineRule="auto"/>
    </w:pPr>
    <w:rPr>
      <w:rFonts w:ascii="Garamond" w:eastAsia="Times New Roman" w:hAnsi="Garamond" w:cs="Times New Roman"/>
      <w:sz w:val="24"/>
      <w:szCs w:val="20"/>
      <w:lang w:eastAsia="en-AU"/>
    </w:rPr>
  </w:style>
  <w:style w:type="character" w:styleId="Emphasis">
    <w:name w:val="Emphasis"/>
    <w:basedOn w:val="DefaultParagraphFont"/>
    <w:uiPriority w:val="20"/>
    <w:qFormat/>
    <w:rsid w:val="00786914"/>
    <w:rPr>
      <w:b/>
      <w:bCs/>
      <w:i w:val="0"/>
      <w:iCs w:val="0"/>
    </w:rPr>
  </w:style>
  <w:style w:type="table" w:customStyle="1" w:styleId="TableGrid1">
    <w:name w:val="Table Grid1"/>
    <w:basedOn w:val="TableNormal"/>
    <w:next w:val="TableGrid"/>
    <w:uiPriority w:val="59"/>
    <w:rsid w:val="00786914"/>
    <w:pPr>
      <w:spacing w:after="24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86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unhideWhenUsed/>
    <w:rsid w:val="00786914"/>
    <w:rPr>
      <w:i w:val="0"/>
      <w:iCs w:val="0"/>
      <w:color w:val="009933"/>
    </w:rPr>
  </w:style>
  <w:style w:type="paragraph" w:customStyle="1" w:styleId="Tableheading">
    <w:name w:val="Table heading"/>
    <w:basedOn w:val="Normal"/>
    <w:rsid w:val="00786914"/>
    <w:pPr>
      <w:keepNext/>
      <w:spacing w:before="40" w:after="40"/>
      <w:ind w:left="0"/>
    </w:pPr>
    <w:rPr>
      <w:rFonts w:ascii="Arial Narrow" w:hAnsi="Arial Narrow"/>
      <w:b/>
      <w:sz w:val="18"/>
    </w:rPr>
  </w:style>
  <w:style w:type="paragraph" w:styleId="TOCHeading">
    <w:name w:val="TOC Heading"/>
    <w:basedOn w:val="Heading1"/>
    <w:next w:val="Normal"/>
    <w:uiPriority w:val="39"/>
    <w:unhideWhenUsed/>
    <w:qFormat/>
    <w:rsid w:val="00786914"/>
    <w:pPr>
      <w:keepLines/>
      <w:pageBreakBefore w:val="0"/>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Normalbold">
    <w:name w:val="Normal bold"/>
    <w:basedOn w:val="Normal"/>
    <w:next w:val="Normal"/>
    <w:qFormat/>
    <w:rsid w:val="0078691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emf"/><Relationship Id="rId42" Type="http://schemas.openxmlformats.org/officeDocument/2006/relationships/hyperlink" Target="http://www.surgeons.org/Content/NavigationMenu/Research/ASERNIPS/default.htm" TargetMode="External"/><Relationship Id="rId47" Type="http://schemas.openxmlformats.org/officeDocument/2006/relationships/hyperlink" Target="http://www.aetmis.gouv.qc.ca/site/home.phtml" TargetMode="External"/><Relationship Id="rId63" Type="http://schemas.openxmlformats.org/officeDocument/2006/relationships/hyperlink" Target="http://www.iqwig.de/" TargetMode="External"/><Relationship Id="rId68" Type="http://schemas.openxmlformats.org/officeDocument/2006/relationships/hyperlink" Target="http://www.isciii.es/" TargetMode="External"/><Relationship Id="rId84" Type="http://schemas.openxmlformats.org/officeDocument/2006/relationships/hyperlink" Target="http://www.nlm.nih.gov/hsrph.html%20" TargetMode="External"/><Relationship Id="rId89" Type="http://schemas.openxmlformats.org/officeDocument/2006/relationships/hyperlink" Target="http://www.ncbi.nlm.nih.gov/pubmed/16952668" TargetMode="External"/><Relationship Id="rId7" Type="http://schemas.openxmlformats.org/officeDocument/2006/relationships/footnotes" Target="footnotes.xml"/><Relationship Id="rId71" Type="http://schemas.openxmlformats.org/officeDocument/2006/relationships/hyperlink" Target="http://www.cmt.liu.se/?l=en&amp;amp;sc=true" TargetMode="External"/><Relationship Id="rId92" Type="http://schemas.openxmlformats.org/officeDocument/2006/relationships/hyperlink" Target="http://www.crd.york.ac.uk/crdweb/ShowRecord.asp?AccessionNumber=12008103393&amp;UserID=0" TargetMode="Externa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hyperlink" Target="http://www.msac.gov.au/" TargetMode="External"/><Relationship Id="rId24" Type="http://schemas.openxmlformats.org/officeDocument/2006/relationships/image" Target="media/image11.emf"/><Relationship Id="rId32" Type="http://schemas.openxmlformats.org/officeDocument/2006/relationships/image" Target="media/image19.png"/><Relationship Id="rId37" Type="http://schemas.openxmlformats.org/officeDocument/2006/relationships/chart" Target="charts/chart1.xml"/><Relationship Id="rId40" Type="http://schemas.openxmlformats.org/officeDocument/2006/relationships/image" Target="media/image25.png"/><Relationship Id="rId45" Type="http://schemas.openxmlformats.org/officeDocument/2006/relationships/hyperlink" Target="http://www.buseco.monash.edu.au/centres/che/" TargetMode="External"/><Relationship Id="rId53" Type="http://schemas.openxmlformats.org/officeDocument/2006/relationships/hyperlink" Target="http://www.chepa.org/" TargetMode="External"/><Relationship Id="rId58" Type="http://schemas.openxmlformats.org/officeDocument/2006/relationships/hyperlink" Target="http://www.sst.dk/english/dacehta.aspx?sc_lang=en" TargetMode="External"/><Relationship Id="rId66" Type="http://schemas.openxmlformats.org/officeDocument/2006/relationships/hyperlink" Target="http://nzhta.chmeds.ac.nz/" TargetMode="External"/><Relationship Id="rId74" Type="http://schemas.openxmlformats.org/officeDocument/2006/relationships/hyperlink" Target="http://www.hta.ac.uk/" TargetMode="External"/><Relationship Id="rId79" Type="http://schemas.openxmlformats.org/officeDocument/2006/relationships/hyperlink" Target="http://www.tufts-nemc.org/cearegistry/index.html" TargetMode="External"/><Relationship Id="rId87" Type="http://schemas.openxmlformats.org/officeDocument/2006/relationships/hyperlink" Target="http://www.nlm.nih.gov/hsrph.html" TargetMode="External"/><Relationship Id="rId102" Type="http://schemas.openxmlformats.org/officeDocument/2006/relationships/hyperlink" Target="http://www.crd.york.ac.uk/crdweb/ShowRecord.asp?AccessionNumber=32006001045&amp;UserID=0" TargetMode="External"/><Relationship Id="rId5" Type="http://schemas.openxmlformats.org/officeDocument/2006/relationships/settings" Target="settings.xml"/><Relationship Id="rId61" Type="http://schemas.openxmlformats.org/officeDocument/2006/relationships/hyperlink" Target="http://www.anaes.fr/" TargetMode="External"/><Relationship Id="rId82" Type="http://schemas.openxmlformats.org/officeDocument/2006/relationships/hyperlink" Target="http://www.icsi.org/" TargetMode="External"/><Relationship Id="rId90" Type="http://schemas.openxmlformats.org/officeDocument/2006/relationships/hyperlink" Target="http://www.crd.york.ac.uk/crdweb/ShowRecord.asp?AccessionNumber=12003008492&amp;UserID=0" TargetMode="External"/><Relationship Id="rId95" Type="http://schemas.openxmlformats.org/officeDocument/2006/relationships/hyperlink" Target="http://www.crd.york.ac.uk/crdweb/ShowRecord.asp?AccessionNumber=12010006327&amp;UserID=0" TargetMode="Externa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22.png"/><Relationship Id="rId43" Type="http://schemas.openxmlformats.org/officeDocument/2006/relationships/hyperlink" Target="http://www.southernhealth.org.au/page/Health_Professionals/CCE/" TargetMode="External"/><Relationship Id="rId48" Type="http://schemas.openxmlformats.org/officeDocument/2006/relationships/hyperlink" Target="http://www.ahfmr.ab.ca/publications/" TargetMode="External"/><Relationship Id="rId56" Type="http://schemas.openxmlformats.org/officeDocument/2006/relationships/hyperlink" Target="http://www.ices.on.ca/" TargetMode="External"/><Relationship Id="rId64" Type="http://schemas.openxmlformats.org/officeDocument/2006/relationships/hyperlink" Target="http://www.gezondheidsraad.nl/en/" TargetMode="External"/><Relationship Id="rId69" Type="http://schemas.openxmlformats.org/officeDocument/2006/relationships/hyperlink" Target="http://www.juntadeandalucia.es/" TargetMode="External"/><Relationship Id="rId77" Type="http://schemas.openxmlformats.org/officeDocument/2006/relationships/hyperlink" Target="http://www.york.ac.uk/inst/crd/" TargetMode="External"/><Relationship Id="rId100" Type="http://schemas.openxmlformats.org/officeDocument/2006/relationships/hyperlink" Target="http://bestpractice.bmj.com/best-practice/evidence/1801.html"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ryerson.ca/library/info/databases/cabot.html" TargetMode="External"/><Relationship Id="rId72" Type="http://schemas.openxmlformats.org/officeDocument/2006/relationships/hyperlink" Target="http://www.sbu.se/en/" TargetMode="External"/><Relationship Id="rId80" Type="http://schemas.openxmlformats.org/officeDocument/2006/relationships/hyperlink" Target="http://www.hsph.harvard.edu/" TargetMode="External"/><Relationship Id="rId85" Type="http://schemas.openxmlformats.org/officeDocument/2006/relationships/hyperlink" Target="http://egov.oregon.gov/DAS/OHPPR/HRC/about_us.shtml" TargetMode="External"/><Relationship Id="rId93" Type="http://schemas.openxmlformats.org/officeDocument/2006/relationships/hyperlink" Target="http://www.crd.york.ac.uk/crdweb/ShowRecord.asp?AccessionNumber=12005000394&amp;UserID=0" TargetMode="External"/><Relationship Id="rId98" Type="http://schemas.openxmlformats.org/officeDocument/2006/relationships/hyperlink" Target="http://www.crd.york.ac.uk/crdweb/ShowRecord.asp?AccessionNumber=12010003874&amp;UserID=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png"/><Relationship Id="rId38" Type="http://schemas.openxmlformats.org/officeDocument/2006/relationships/chart" Target="charts/chart2.xml"/><Relationship Id="rId46" Type="http://schemas.openxmlformats.org/officeDocument/2006/relationships/hyperlink" Target="http://www.oeaw.ac.at/ita" TargetMode="External"/><Relationship Id="rId59" Type="http://schemas.openxmlformats.org/officeDocument/2006/relationships/hyperlink" Target="http://dsi.dk/" TargetMode="External"/><Relationship Id="rId67" Type="http://schemas.openxmlformats.org/officeDocument/2006/relationships/hyperlink" Target="http://www.kunnskapssenteret.no/" TargetMode="External"/><Relationship Id="rId103" Type="http://schemas.openxmlformats.org/officeDocument/2006/relationships/hyperlink" Target="http://www.crd.york.ac.uk/crdweb/ShowRecord.asp?AccessionNumber=32003000532&amp;UserID=0" TargetMode="External"/><Relationship Id="rId20" Type="http://schemas.openxmlformats.org/officeDocument/2006/relationships/image" Target="media/image7.emf"/><Relationship Id="rId41" Type="http://schemas.openxmlformats.org/officeDocument/2006/relationships/hyperlink" Target="http://www.surgeons.org/Content/NavigationMenu/Research/ASERNIPS/default.htm" TargetMode="External"/><Relationship Id="rId54" Type="http://schemas.openxmlformats.org/officeDocument/2006/relationships/hyperlink" Target="http://www.chspr.ubc.ca" TargetMode="External"/><Relationship Id="rId62" Type="http://schemas.openxmlformats.org/officeDocument/2006/relationships/hyperlink" Target="http://www.dimdi.de/static/en/index.html" TargetMode="External"/><Relationship Id="rId70" Type="http://schemas.openxmlformats.org/officeDocument/2006/relationships/hyperlink" Target="http://www.gencat.cat/" TargetMode="External"/><Relationship Id="rId75" Type="http://schemas.openxmlformats.org/officeDocument/2006/relationships/hyperlink" Target="http://www.nhshealthquality.org/" TargetMode="External"/><Relationship Id="rId83" Type="http://schemas.openxmlformats.org/officeDocument/2006/relationships/hyperlink" Target="http://www.health.state.mn.us/htac/index.htm" TargetMode="External"/><Relationship Id="rId88" Type="http://schemas.openxmlformats.org/officeDocument/2006/relationships/hyperlink" Target="http://www.bcbs.com/blueresources/tec/" TargetMode="External"/><Relationship Id="rId91" Type="http://schemas.openxmlformats.org/officeDocument/2006/relationships/hyperlink" Target="http://www.crd.york.ac.uk/crdweb/ShowRecord.asp?AccessionNumber=11999004093&amp;UserID=0" TargetMode="External"/><Relationship Id="rId96" Type="http://schemas.openxmlformats.org/officeDocument/2006/relationships/hyperlink" Target="http://www.crd.york.ac.uk/crdweb/ShowRecord.asp?AccessionNumber=22009101385&amp;UserID=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www.ihe.ca/" TargetMode="External"/><Relationship Id="rId57" Type="http://schemas.openxmlformats.org/officeDocument/2006/relationships/hyperlink" Target="http://www.hqc.sk.ca/" TargetMode="External"/><Relationship Id="rId10" Type="http://schemas.openxmlformats.org/officeDocument/2006/relationships/hyperlink" Target="http://www.ag.gov.au/cca" TargetMode="External"/><Relationship Id="rId31" Type="http://schemas.openxmlformats.org/officeDocument/2006/relationships/image" Target="media/image18.emf"/><Relationship Id="rId44" Type="http://schemas.openxmlformats.org/officeDocument/2006/relationships/hyperlink" Target="http://www.southernhealth.org.au/page/Health_Professionals/CCE/" TargetMode="External"/><Relationship Id="rId52" Type="http://schemas.openxmlformats.org/officeDocument/2006/relationships/hyperlink" Target="http://www.ryerson.ca/library/info/databases/cabot.html" TargetMode="External"/><Relationship Id="rId60" Type="http://schemas.openxmlformats.org/officeDocument/2006/relationships/hyperlink" Target="http://finohta.stakes.fi/EN/index.htm" TargetMode="External"/><Relationship Id="rId65" Type="http://schemas.openxmlformats.org/officeDocument/2006/relationships/hyperlink" Target="http://www.imta.nl/" TargetMode="External"/><Relationship Id="rId73" Type="http://schemas.openxmlformats.org/officeDocument/2006/relationships/hyperlink" Target="http://www.snhta.ch/" TargetMode="External"/><Relationship Id="rId78" Type="http://schemas.openxmlformats.org/officeDocument/2006/relationships/hyperlink" Target="file:///\\central.health\DFSGroupData\Sites\CO4\CO\MBD\MFAB\MSAC\WEBSITE%20-%20MSAC\Accessibility\post2010MSACfiles\MSAC\1003-One-page-summary-accessible.docx" TargetMode="External"/><Relationship Id="rId81" Type="http://schemas.openxmlformats.org/officeDocument/2006/relationships/hyperlink" Target="http://www.icer-review.org/%20" TargetMode="External"/><Relationship Id="rId86" Type="http://schemas.openxmlformats.org/officeDocument/2006/relationships/hyperlink" Target="http://egov.oregon.gov/DAS/OHPPR/HRC/about_us.shtml" TargetMode="External"/><Relationship Id="rId94" Type="http://schemas.openxmlformats.org/officeDocument/2006/relationships/hyperlink" Target="http://www.crd.york.ac.uk/crdweb/ShowRecord.asp?AccessionNumber=12003000176&amp;UserID=0" TargetMode="External"/><Relationship Id="rId99" Type="http://schemas.openxmlformats.org/officeDocument/2006/relationships/hyperlink" Target="http://www.crd.york.ac.uk/crdweb/ShowRecord.asp?AccessionNumber=12002008381&amp;UserID=0" TargetMode="External"/><Relationship Id="rId101" Type="http://schemas.openxmlformats.org/officeDocument/2006/relationships/hyperlink" Target="http://www.crd.york.ac.uk/crdweb/ShowRecord.asp?AccessionNumber=12007003746&amp;UserID=0" TargetMode="External"/><Relationship Id="rId4" Type="http://schemas.microsoft.com/office/2007/relationships/stylesWithEffects" Target="stylesWithEffects.xml"/><Relationship Id="rId9" Type="http://schemas.openxmlformats.org/officeDocument/2006/relationships/hyperlink" Target="http://www.msac.gov.au/" TargetMode="External"/><Relationship Id="rId13" Type="http://schemas.openxmlformats.org/officeDocument/2006/relationships/footer" Target="footer2.xml"/><Relationship Id="rId18" Type="http://schemas.openxmlformats.org/officeDocument/2006/relationships/image" Target="media/image5.emf"/><Relationship Id="rId39" Type="http://schemas.openxmlformats.org/officeDocument/2006/relationships/image" Target="media/image24.png"/><Relationship Id="rId34" Type="http://schemas.openxmlformats.org/officeDocument/2006/relationships/image" Target="media/image21.png"/><Relationship Id="rId50" Type="http://schemas.openxmlformats.org/officeDocument/2006/relationships/hyperlink" Target="http://www.cadth.ca/index.php/en/" TargetMode="External"/><Relationship Id="rId55" Type="http://schemas.openxmlformats.org/officeDocument/2006/relationships/hyperlink" Target="http://www.fhs.mcmaster.ca/hug/index.htm" TargetMode="External"/><Relationship Id="rId76" Type="http://schemas.openxmlformats.org/officeDocument/2006/relationships/hyperlink" Target="http://www.nice.org.uk/" TargetMode="External"/><Relationship Id="rId97" Type="http://schemas.openxmlformats.org/officeDocument/2006/relationships/hyperlink" Target="http://www.crd.york.ac.uk/crdweb/ShowRecord.asp?AccessionNumber=12009102367&amp;UserID=0" TargetMode="External"/><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tcvfile1\groups\Systematic%20Reviews\MSAC\PROJECTS\HOLEP\Economic%20Model\HoLEP%20vs%20TURP%20Development\Amended%20model%20following%20review\HoLEP_HoLEPvsTURP_TURP%20Torn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cvfile1\groups\Systematic%20Reviews\MSAC\PROJECTS\HOLEP\Economic%20Model\HoLEP%20vs%20OP%20Development\HoLEP%20vs%20OP%20after%20revision\HoLEP_HoLEP%20vs%20OP%20Torn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bg1">
                <a:lumMod val="50000"/>
              </a:schemeClr>
            </a:solidFill>
          </c:spPr>
          <c:invertIfNegative val="0"/>
          <c:cat>
            <c:strRef>
              <c:f>'Text Report'!$A$2:$A$5</c:f>
              <c:strCache>
                <c:ptCount val="4"/>
                <c:pt idx="0">
                  <c:v>Relative risk of urethral  stricture</c:v>
                </c:pt>
                <c:pt idx="1">
                  <c:v>Relative risk of treatment failure</c:v>
                </c:pt>
                <c:pt idx="2">
                  <c:v>Relative risk of adverse event</c:v>
                </c:pt>
                <c:pt idx="3">
                  <c:v>Relative risk of incontinence</c:v>
                </c:pt>
              </c:strCache>
            </c:strRef>
          </c:cat>
          <c:val>
            <c:numRef>
              <c:f>'Text Report'!$B$2:$B$5</c:f>
              <c:numCache>
                <c:formatCode>General</c:formatCode>
                <c:ptCount val="4"/>
                <c:pt idx="0">
                  <c:v>-213</c:v>
                </c:pt>
                <c:pt idx="1">
                  <c:v>44</c:v>
                </c:pt>
                <c:pt idx="2">
                  <c:v>149</c:v>
                </c:pt>
                <c:pt idx="3">
                  <c:v>166</c:v>
                </c:pt>
              </c:numCache>
            </c:numRef>
          </c:val>
        </c:ser>
        <c:ser>
          <c:idx val="1"/>
          <c:order val="1"/>
          <c:spPr>
            <a:solidFill>
              <a:schemeClr val="bg1">
                <a:lumMod val="50000"/>
              </a:schemeClr>
            </a:solidFill>
          </c:spPr>
          <c:invertIfNegative val="0"/>
          <c:cat>
            <c:strRef>
              <c:f>'Text Report'!$A$2:$A$5</c:f>
              <c:strCache>
                <c:ptCount val="4"/>
                <c:pt idx="0">
                  <c:v>Relative risk of urethral  stricture</c:v>
                </c:pt>
                <c:pt idx="1">
                  <c:v>Relative risk of treatment failure</c:v>
                </c:pt>
                <c:pt idx="2">
                  <c:v>Relative risk of adverse event</c:v>
                </c:pt>
                <c:pt idx="3">
                  <c:v>Relative risk of incontinence</c:v>
                </c:pt>
              </c:strCache>
            </c:strRef>
          </c:cat>
          <c:val>
            <c:numRef>
              <c:f>'Text Report'!$C$2:$C$5</c:f>
              <c:numCache>
                <c:formatCode>General</c:formatCode>
                <c:ptCount val="4"/>
                <c:pt idx="0">
                  <c:v>173</c:v>
                </c:pt>
                <c:pt idx="1">
                  <c:v>259</c:v>
                </c:pt>
                <c:pt idx="2">
                  <c:v>198</c:v>
                </c:pt>
                <c:pt idx="3">
                  <c:v>185</c:v>
                </c:pt>
              </c:numCache>
            </c:numRef>
          </c:val>
        </c:ser>
        <c:dLbls>
          <c:showLegendKey val="0"/>
          <c:showVal val="0"/>
          <c:showCatName val="0"/>
          <c:showSerName val="0"/>
          <c:showPercent val="0"/>
          <c:showBubbleSize val="0"/>
        </c:dLbls>
        <c:gapWidth val="150"/>
        <c:overlap val="100"/>
        <c:axId val="75706368"/>
        <c:axId val="75708288"/>
      </c:barChart>
      <c:catAx>
        <c:axId val="75706368"/>
        <c:scaling>
          <c:orientation val="minMax"/>
        </c:scaling>
        <c:delete val="0"/>
        <c:axPos val="l"/>
        <c:majorTickMark val="out"/>
        <c:minorTickMark val="none"/>
        <c:tickLblPos val="high"/>
        <c:spPr>
          <a:ln w="12700">
            <a:prstDash val="dash"/>
          </a:ln>
        </c:spPr>
        <c:crossAx val="75708288"/>
        <c:crossesAt val="179"/>
        <c:auto val="1"/>
        <c:lblAlgn val="ctr"/>
        <c:lblOffset val="100"/>
        <c:noMultiLvlLbl val="0"/>
      </c:catAx>
      <c:valAx>
        <c:axId val="75708288"/>
        <c:scaling>
          <c:orientation val="minMax"/>
          <c:max val="300"/>
          <c:min val="-300"/>
        </c:scaling>
        <c:delete val="0"/>
        <c:axPos val="b"/>
        <c:majorGridlines/>
        <c:title>
          <c:tx>
            <c:rich>
              <a:bodyPr/>
              <a:lstStyle/>
              <a:p>
                <a:pPr>
                  <a:defRPr/>
                </a:pPr>
                <a:r>
                  <a:rPr lang="en-AU" b="0"/>
                  <a:t>Incremental cost-effectiveness ($/QALY)</a:t>
                </a:r>
              </a:p>
            </c:rich>
          </c:tx>
          <c:overlay val="0"/>
        </c:title>
        <c:numFmt formatCode="#,##0\K" sourceLinked="0"/>
        <c:majorTickMark val="out"/>
        <c:minorTickMark val="none"/>
        <c:tickLblPos val="nextTo"/>
        <c:crossAx val="75706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bg1">
                <a:lumMod val="50000"/>
              </a:schemeClr>
            </a:solidFill>
          </c:spPr>
          <c:invertIfNegative val="0"/>
          <c:cat>
            <c:strRef>
              <c:f>'Text Report'!$A$2:$A$4</c:f>
              <c:strCache>
                <c:ptCount val="3"/>
                <c:pt idx="0">
                  <c:v>Relative risk of urethral  stricture</c:v>
                </c:pt>
                <c:pt idx="1">
                  <c:v>Relative risk of incontinence</c:v>
                </c:pt>
                <c:pt idx="2">
                  <c:v>Relative risk of adverse event</c:v>
                </c:pt>
              </c:strCache>
            </c:strRef>
          </c:cat>
          <c:val>
            <c:numRef>
              <c:f>'Text Report'!$B$2:$B$4</c:f>
              <c:numCache>
                <c:formatCode>General</c:formatCode>
                <c:ptCount val="3"/>
                <c:pt idx="0" formatCode="#,##0.00">
                  <c:v>-1763.7</c:v>
                </c:pt>
                <c:pt idx="1">
                  <c:v>-741.9</c:v>
                </c:pt>
                <c:pt idx="2">
                  <c:v>-606.9</c:v>
                </c:pt>
              </c:numCache>
            </c:numRef>
          </c:val>
        </c:ser>
        <c:ser>
          <c:idx val="1"/>
          <c:order val="1"/>
          <c:spPr>
            <a:solidFill>
              <a:sysClr val="window" lastClr="FFFFFF">
                <a:lumMod val="50000"/>
              </a:sysClr>
            </a:solidFill>
          </c:spPr>
          <c:invertIfNegative val="0"/>
          <c:cat>
            <c:strRef>
              <c:f>'Text Report'!$A$2:$A$4</c:f>
              <c:strCache>
                <c:ptCount val="3"/>
                <c:pt idx="0">
                  <c:v>Relative risk of urethral  stricture</c:v>
                </c:pt>
                <c:pt idx="1">
                  <c:v>Relative risk of incontinence</c:v>
                </c:pt>
                <c:pt idx="2">
                  <c:v>Relative risk of adverse event</c:v>
                </c:pt>
              </c:strCache>
            </c:strRef>
          </c:cat>
          <c:val>
            <c:numRef>
              <c:f>'Text Report'!$C$2:$C$4</c:f>
              <c:numCache>
                <c:formatCode>General</c:formatCode>
                <c:ptCount val="3"/>
                <c:pt idx="0">
                  <c:v>-177.3</c:v>
                </c:pt>
                <c:pt idx="1">
                  <c:v>-566.1</c:v>
                </c:pt>
                <c:pt idx="2">
                  <c:v>-605.1</c:v>
                </c:pt>
              </c:numCache>
            </c:numRef>
          </c:val>
        </c:ser>
        <c:dLbls>
          <c:showLegendKey val="0"/>
          <c:showVal val="0"/>
          <c:showCatName val="0"/>
          <c:showSerName val="0"/>
          <c:showPercent val="0"/>
          <c:showBubbleSize val="0"/>
        </c:dLbls>
        <c:gapWidth val="150"/>
        <c:overlap val="100"/>
        <c:axId val="94069120"/>
        <c:axId val="94070656"/>
      </c:barChart>
      <c:catAx>
        <c:axId val="94069120"/>
        <c:scaling>
          <c:orientation val="minMax"/>
        </c:scaling>
        <c:delete val="0"/>
        <c:axPos val="l"/>
        <c:majorTickMark val="out"/>
        <c:minorTickMark val="none"/>
        <c:tickLblPos val="high"/>
        <c:spPr>
          <a:ln w="12700">
            <a:prstDash val="dash"/>
          </a:ln>
        </c:spPr>
        <c:crossAx val="94070656"/>
        <c:crossesAt val="-605"/>
        <c:auto val="1"/>
        <c:lblAlgn val="ctr"/>
        <c:lblOffset val="100"/>
        <c:noMultiLvlLbl val="0"/>
      </c:catAx>
      <c:valAx>
        <c:axId val="94070656"/>
        <c:scaling>
          <c:orientation val="minMax"/>
          <c:max val="0"/>
          <c:min val="-1800"/>
        </c:scaling>
        <c:delete val="0"/>
        <c:axPos val="b"/>
        <c:majorGridlines/>
        <c:title>
          <c:tx>
            <c:rich>
              <a:bodyPr/>
              <a:lstStyle/>
              <a:p>
                <a:pPr>
                  <a:defRPr/>
                </a:pPr>
                <a:r>
                  <a:rPr lang="en-AU" b="0"/>
                  <a:t>Incremental cost-effectiveness</a:t>
                </a:r>
                <a:r>
                  <a:rPr lang="en-AU" b="0" baseline="0"/>
                  <a:t> ($/QALY)</a:t>
                </a:r>
                <a:endParaRPr lang="en-AU" b="0"/>
              </a:p>
            </c:rich>
          </c:tx>
          <c:layout/>
          <c:overlay val="0"/>
        </c:title>
        <c:numFmt formatCode="#,##0\K" sourceLinked="0"/>
        <c:majorTickMark val="out"/>
        <c:minorTickMark val="none"/>
        <c:tickLblPos val="nextTo"/>
        <c:crossAx val="94069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8454-D264-40A8-8064-0877A93C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43783</Words>
  <Characters>249564</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292762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mflattery</dc:creator>
  <cp:lastModifiedBy>Orr Audrey</cp:lastModifiedBy>
  <cp:revision>2</cp:revision>
  <cp:lastPrinted>2013-03-13T03:00:00Z</cp:lastPrinted>
  <dcterms:created xsi:type="dcterms:W3CDTF">2013-09-02T05:54:00Z</dcterms:created>
  <dcterms:modified xsi:type="dcterms:W3CDTF">2013-09-02T05:54:00Z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