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6E4A48">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4096F15A" w14:textId="70F5E4F7" w:rsidR="00BC1364" w:rsidRPr="00F3088E" w:rsidRDefault="003F5DD6" w:rsidP="00143CD0">
      <w:pPr>
        <w:pStyle w:val="Heading1"/>
        <w:jc w:val="center"/>
      </w:pPr>
      <w:r w:rsidRPr="003F5DD6">
        <w:rPr>
          <w:rStyle w:val="IntenseReference"/>
          <w:b/>
          <w:bCs/>
          <w:i w:val="0"/>
          <w:smallCaps w:val="0"/>
          <w:color w:val="auto"/>
          <w:spacing w:val="0"/>
        </w:rPr>
        <w:t xml:space="preserve">Report to the Medical Services Advisory Committee on </w:t>
      </w:r>
      <w:r w:rsidR="00464960" w:rsidRPr="00464960">
        <w:t>utilisation of MBS item 3</w:t>
      </w:r>
      <w:r w:rsidR="00947EB9">
        <w:t>7245</w:t>
      </w:r>
      <w:r w:rsidR="00464960" w:rsidRPr="00464960">
        <w:t xml:space="preserve"> following Application 11</w:t>
      </w:r>
      <w:r w:rsidR="00947EB9">
        <w:t>49</w:t>
      </w:r>
      <w:r w:rsidR="00464960" w:rsidRPr="00464960">
        <w:t xml:space="preserve">: </w:t>
      </w:r>
      <w:proofErr w:type="spellStart"/>
      <w:r w:rsidR="00947EB9" w:rsidRPr="00947EB9">
        <w:t>Holmium</w:t>
      </w:r>
      <w:proofErr w:type="gramStart"/>
      <w:r w:rsidR="00947EB9" w:rsidRPr="00947EB9">
        <w:t>:YAG</w:t>
      </w:r>
      <w:proofErr w:type="spellEnd"/>
      <w:proofErr w:type="gramEnd"/>
      <w:r w:rsidR="00947EB9" w:rsidRPr="00947EB9">
        <w:t xml:space="preserve"> laser enucleation of the prostate (HoLEP) with or without tissue morcellation for the treatment of benign prostatic hyperplasia (BPH)</w:t>
      </w:r>
    </w:p>
    <w:p w14:paraId="50BBDDE4" w14:textId="7376A4F2" w:rsidR="00BC1364" w:rsidRPr="00D90A38" w:rsidRDefault="003F5DD6" w:rsidP="004617ED">
      <w:pPr>
        <w:spacing w:before="360"/>
        <w:ind w:left="3600" w:hanging="3600"/>
        <w:rPr>
          <w:rFonts w:ascii="Arial" w:hAnsi="Arial" w:cs="Arial"/>
          <w:b/>
          <w:szCs w:val="24"/>
        </w:rPr>
      </w:pPr>
      <w:r>
        <w:rPr>
          <w:rFonts w:ascii="Arial" w:hAnsi="Arial" w:cs="Arial"/>
          <w:b/>
          <w:szCs w:val="24"/>
        </w:rPr>
        <w:t>Medicare Benefits Schedule</w:t>
      </w:r>
      <w:r w:rsidR="001C1BE6">
        <w:rPr>
          <w:rFonts w:ascii="Arial" w:hAnsi="Arial" w:cs="Arial"/>
          <w:b/>
          <w:szCs w:val="24"/>
        </w:rPr>
        <w:t xml:space="preserve"> </w:t>
      </w:r>
      <w:r>
        <w:rPr>
          <w:rFonts w:ascii="Arial" w:hAnsi="Arial" w:cs="Arial"/>
          <w:b/>
          <w:szCs w:val="24"/>
        </w:rPr>
        <w:t>(MBS) item considered</w:t>
      </w:r>
      <w:r w:rsidR="00BC1364" w:rsidRPr="00D90A38">
        <w:rPr>
          <w:rFonts w:ascii="Arial" w:hAnsi="Arial" w:cs="Arial"/>
          <w:b/>
          <w:szCs w:val="24"/>
        </w:rPr>
        <w:t>:</w:t>
      </w:r>
      <w:r w:rsidR="00BC1364" w:rsidRPr="00D90A38">
        <w:rPr>
          <w:rFonts w:ascii="Arial" w:hAnsi="Arial" w:cs="Arial"/>
          <w:b/>
          <w:szCs w:val="24"/>
        </w:rPr>
        <w:tab/>
      </w:r>
      <w:r w:rsidR="00947EB9">
        <w:rPr>
          <w:rFonts w:ascii="Arial" w:hAnsi="Arial" w:cs="Arial"/>
          <w:b/>
          <w:szCs w:val="24"/>
        </w:rPr>
        <w:t>37245</w:t>
      </w:r>
    </w:p>
    <w:p w14:paraId="6F6DDFED" w14:textId="1616C449" w:rsidR="00BC1364" w:rsidRPr="00D90A38" w:rsidRDefault="004617ED" w:rsidP="004617ED">
      <w:pPr>
        <w:spacing w:before="360"/>
        <w:ind w:left="3600" w:hanging="3600"/>
        <w:rPr>
          <w:rFonts w:ascii="Arial" w:hAnsi="Arial" w:cs="Arial"/>
          <w:b/>
          <w:szCs w:val="24"/>
        </w:rPr>
      </w:pPr>
      <w:r>
        <w:rPr>
          <w:rFonts w:ascii="Arial" w:hAnsi="Arial" w:cs="Arial"/>
          <w:b/>
          <w:szCs w:val="24"/>
        </w:rPr>
        <w:t>D</w:t>
      </w:r>
      <w:r w:rsidR="00BC1364" w:rsidRPr="00D90A38">
        <w:rPr>
          <w:rFonts w:ascii="Arial" w:hAnsi="Arial" w:cs="Arial"/>
          <w:b/>
          <w:szCs w:val="24"/>
        </w:rPr>
        <w:t>ate of MSAC consideration:</w:t>
      </w:r>
      <w:r w:rsidR="00BC1364" w:rsidRPr="00D90A38">
        <w:rPr>
          <w:rFonts w:ascii="Arial" w:hAnsi="Arial" w:cs="Arial"/>
          <w:b/>
          <w:szCs w:val="24"/>
        </w:rPr>
        <w:tab/>
      </w:r>
      <w:r w:rsidR="00863878">
        <w:rPr>
          <w:rFonts w:ascii="Arial" w:hAnsi="Arial" w:cs="Arial"/>
          <w:b/>
          <w:szCs w:val="24"/>
        </w:rPr>
        <w:t>28-2</w:t>
      </w:r>
      <w:r w:rsidR="00947EB9">
        <w:rPr>
          <w:rFonts w:ascii="Arial" w:hAnsi="Arial" w:cs="Arial"/>
          <w:b/>
          <w:szCs w:val="24"/>
        </w:rPr>
        <w:t>9 March 2018</w:t>
      </w:r>
    </w:p>
    <w:p w14:paraId="46790F2B" w14:textId="08F0CA0C" w:rsidR="0041758C" w:rsidRDefault="006A0D97" w:rsidP="00143CD0">
      <w:pPr>
        <w:spacing w:before="240"/>
        <w:rPr>
          <w:szCs w:val="24"/>
        </w:rPr>
      </w:pPr>
      <w:r>
        <w:rPr>
          <w:szCs w:val="24"/>
        </w:rPr>
        <w:t xml:space="preserve">Context for decision: MSAC makes its advice in accordance with its Terms of Reference, see </w:t>
      </w:r>
      <w:r w:rsidR="009B433F">
        <w:rPr>
          <w:szCs w:val="24"/>
        </w:rPr>
        <w:t xml:space="preserve">the </w:t>
      </w:r>
      <w:hyperlink r:id="rId10" w:tooltip="Link to MSAC website"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9B433F">
        <w:t>.</w:t>
      </w:r>
    </w:p>
    <w:p w14:paraId="52C2A008" w14:textId="6B815BB5" w:rsidR="003F5DD6" w:rsidRPr="003F5DD6" w:rsidRDefault="003D7F29" w:rsidP="004617ED">
      <w:pPr>
        <w:pStyle w:val="Heading1"/>
        <w:numPr>
          <w:ilvl w:val="0"/>
          <w:numId w:val="23"/>
        </w:numPr>
        <w:tabs>
          <w:tab w:val="left" w:pos="720"/>
          <w:tab w:val="left" w:pos="1140"/>
        </w:tabs>
        <w:spacing w:before="360"/>
        <w:ind w:hanging="720"/>
      </w:pPr>
      <w:r w:rsidRPr="00D90A38">
        <w:t xml:space="preserve">Purpose </w:t>
      </w:r>
    </w:p>
    <w:p w14:paraId="088AE43C" w14:textId="6A8822BD" w:rsidR="003F5DD6" w:rsidRDefault="003F5DD6" w:rsidP="003F5DD6">
      <w:r>
        <w:t xml:space="preserve">The purpose of the report presented to the Medical Services Advisory Committee (MSAC) was to inform MSAC of the real world impacts on the outcomes of </w:t>
      </w:r>
      <w:r w:rsidR="00DB1FC4">
        <w:t>A</w:t>
      </w:r>
      <w:r w:rsidR="000E155F">
        <w:t>pplication 11</w:t>
      </w:r>
      <w:r w:rsidR="00947EB9">
        <w:t>49</w:t>
      </w:r>
      <w:r>
        <w:t>. The MSAC uses this information to ensure that</w:t>
      </w:r>
      <w:r w:rsidR="00A91AFD">
        <w:t xml:space="preserve"> the new item</w:t>
      </w:r>
      <w:r w:rsidR="00DB1FC4">
        <w:t>/s</w:t>
      </w:r>
      <w:r w:rsidR="00A91AFD">
        <w:t xml:space="preserve"> resulting from this application</w:t>
      </w:r>
      <w:r w:rsidR="00DB1FC4">
        <w:t>/s</w:t>
      </w:r>
      <w:r w:rsidR="00A91AFD">
        <w:t xml:space="preserve"> is being used as intended.</w:t>
      </w:r>
    </w:p>
    <w:p w14:paraId="53627D54" w14:textId="77777777" w:rsidR="003F5DD6" w:rsidRPr="00DB1935" w:rsidRDefault="003F5DD6" w:rsidP="004617ED">
      <w:pPr>
        <w:spacing w:before="240"/>
      </w:pPr>
      <w:r w:rsidRPr="00341476">
        <w:t xml:space="preserve">The </w:t>
      </w:r>
      <w:r>
        <w:t>report</w:t>
      </w:r>
      <w:r w:rsidRPr="00341476">
        <w:t xml:space="preserve"> is not intended to be a review of the clinical information covered during the application process.</w:t>
      </w:r>
    </w:p>
    <w:p w14:paraId="27459AA3" w14:textId="67CD699D" w:rsidR="007F35C8" w:rsidRPr="00F3088E" w:rsidRDefault="00E977EE" w:rsidP="004617ED">
      <w:pPr>
        <w:pStyle w:val="Heading1"/>
        <w:numPr>
          <w:ilvl w:val="0"/>
          <w:numId w:val="23"/>
        </w:numPr>
        <w:tabs>
          <w:tab w:val="left" w:pos="720"/>
          <w:tab w:val="left" w:pos="1140"/>
        </w:tabs>
        <w:spacing w:before="360"/>
        <w:ind w:hanging="720"/>
      </w:pPr>
      <w:r w:rsidRPr="008D5885">
        <w:t xml:space="preserve">MSAC’s advice </w:t>
      </w:r>
    </w:p>
    <w:p w14:paraId="344A310A" w14:textId="742838EA" w:rsidR="007F35C8" w:rsidRPr="004617ED" w:rsidRDefault="00947EB9" w:rsidP="004617ED">
      <w:r w:rsidRPr="00947EB9">
        <w:t>After consideration of the real world data for Medicare Benefits Scheme (MBS) item 37245 – holmium-YAG laser enucleation of the prostate (HoLEP) with or without tissue morcellation for the treatment of benign prostatic hyperplasia (BPH) - MSAC Application 1149, MSAC recommended no further action. MSAC noted that utilisation of services of HoLEP (MBS item 37245) were low and co-claiming incidences were clinically appropriate and of no concern.</w:t>
      </w:r>
    </w:p>
    <w:p w14:paraId="1D480D99" w14:textId="77777777" w:rsidR="007F35C8" w:rsidRPr="00E35CDB" w:rsidRDefault="007F35C8" w:rsidP="004617ED">
      <w:pPr>
        <w:pStyle w:val="Heading1"/>
        <w:numPr>
          <w:ilvl w:val="0"/>
          <w:numId w:val="23"/>
        </w:numPr>
        <w:tabs>
          <w:tab w:val="left" w:pos="720"/>
          <w:tab w:val="left" w:pos="1140"/>
        </w:tabs>
        <w:spacing w:before="360"/>
        <w:ind w:hanging="720"/>
      </w:pPr>
      <w:r w:rsidRPr="00E35CDB">
        <w:t>Summary of consideration and rationale for MSAC’s advice</w:t>
      </w:r>
    </w:p>
    <w:p w14:paraId="5831D01C" w14:textId="0953006F" w:rsidR="00947EB9" w:rsidRPr="00947EB9" w:rsidRDefault="00947EB9" w:rsidP="00947EB9">
      <w:pPr>
        <w:pStyle w:val="BodyText"/>
        <w:spacing w:before="0" w:line="240" w:lineRule="auto"/>
        <w:rPr>
          <w:rFonts w:ascii="Times New Roman" w:hAnsi="Times New Roman"/>
          <w:sz w:val="24"/>
          <w:szCs w:val="20"/>
        </w:rPr>
      </w:pPr>
      <w:r>
        <w:rPr>
          <w:rFonts w:ascii="Times New Roman" w:hAnsi="Times New Roman"/>
          <w:sz w:val="24"/>
          <w:szCs w:val="20"/>
        </w:rPr>
        <w:t>MSAC</w:t>
      </w:r>
      <w:r w:rsidRPr="00947EB9">
        <w:rPr>
          <w:rFonts w:ascii="Times New Roman" w:hAnsi="Times New Roman"/>
          <w:sz w:val="24"/>
          <w:szCs w:val="20"/>
        </w:rPr>
        <w:t xml:space="preserve"> considered the real world impacts of the outcome of MSAC Application 1149 for holmium-YAG laser enucleation of the prostate (HoLEP) with or without tissue morcellation for the treatment of benign prostatic hyperplasia (BPH) by examining five years of real world data (financial years 2012–2017). This service is listed under Medicare Benefits Scheme (MBS) item 37245.</w:t>
      </w:r>
    </w:p>
    <w:p w14:paraId="0A09A60E" w14:textId="77777777"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t xml:space="preserve">Before the listing of HoLEP, treatment for BPH involved transurethral resection of the prostate (TURP) and/or open prostatectomy (OP). MSAC recalled that HoLEP was expected to substitute a portion of the existing procedures for TURP and OP. </w:t>
      </w:r>
    </w:p>
    <w:p w14:paraId="2F341F6F" w14:textId="77777777"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lastRenderedPageBreak/>
        <w:t xml:space="preserve">MSAC recalled that the initial first year uptake of HoLEP (financial year 2012–13) was predicted to be 1% of the total volume of TURP procedures due to the natural delay in the learning curve and adoption of </w:t>
      </w:r>
      <w:proofErr w:type="spellStart"/>
      <w:r w:rsidRPr="00947EB9">
        <w:rPr>
          <w:rFonts w:ascii="Times New Roman" w:hAnsi="Times New Roman"/>
          <w:sz w:val="24"/>
          <w:szCs w:val="20"/>
        </w:rPr>
        <w:t>holmium</w:t>
      </w:r>
      <w:proofErr w:type="gramStart"/>
      <w:r w:rsidRPr="00947EB9">
        <w:rPr>
          <w:rFonts w:ascii="Times New Roman" w:hAnsi="Times New Roman"/>
          <w:sz w:val="24"/>
          <w:szCs w:val="20"/>
        </w:rPr>
        <w:t>:YAG</w:t>
      </w:r>
      <w:proofErr w:type="spellEnd"/>
      <w:proofErr w:type="gramEnd"/>
      <w:r w:rsidRPr="00947EB9">
        <w:rPr>
          <w:rFonts w:ascii="Times New Roman" w:hAnsi="Times New Roman"/>
          <w:sz w:val="24"/>
          <w:szCs w:val="20"/>
        </w:rPr>
        <w:t xml:space="preserve"> laser technology. This rate of replacement was predicted to rise to 10% of TURP procedures by the fifth year after implementation (financial year 2016–17). In conjunction, 5% of OP procedures were predicted to be replaced by HoLEP over the five year review period (financial years 2013–2017). From these rates of replacement, MSAC recalled that there were a predicted 133 services for HoLEP in the first year of implementation (partial financial year 2012–13) rising to 1258 services of HoLEP in year five (financial year 2016–17).</w:t>
      </w:r>
    </w:p>
    <w:p w14:paraId="7DA6AF93" w14:textId="77777777"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t>MSAC noted that there were 550 actual services for HoLEP in the second year of implementation (2013-14), which was higher than the predicted 383 services. However, the actual volume of services in year 5 was less than the predicted volume of services for HoLEP, at 855 actual services versus 1258 predicted services.</w:t>
      </w:r>
    </w:p>
    <w:p w14:paraId="7EAA9AD3" w14:textId="77777777"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t>MSAC recalled that the services for HoLEP had been predicted to cost the MBS an additional $201,465 over the combined cost of TURP and OP procedures at year 3 (financial year 2014–15), increasing to $398,589 by year 5.</w:t>
      </w:r>
    </w:p>
    <w:p w14:paraId="72029D97" w14:textId="77777777"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t>MSAC noted that New South Wales (NSW), South Australia (SA) and the Australian Capital Territory (ACT) were the states with the highest uptake of actual services of HoLEP. However, NSW had the greatest utilisation at 1351 HoLEP services, accounting for approximately 46% of nationwide services in the review period.</w:t>
      </w:r>
    </w:p>
    <w:p w14:paraId="69649D51" w14:textId="5C90C7EC"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t xml:space="preserve">MSAC noted the median fee charged for HoLEP services was $2406 for financial year 2016–17, but that the fee was above $4100 in 5% of services. MSAC noted that the national average fee charged for HoLEP services has remained relatively stable over the 2014–2017 </w:t>
      </w:r>
      <w:proofErr w:type="gramStart"/>
      <w:r w:rsidRPr="00947EB9">
        <w:rPr>
          <w:rFonts w:ascii="Times New Roman" w:hAnsi="Times New Roman"/>
          <w:sz w:val="24"/>
          <w:szCs w:val="20"/>
        </w:rPr>
        <w:t>period</w:t>
      </w:r>
      <w:proofErr w:type="gramEnd"/>
      <w:r w:rsidRPr="00947EB9">
        <w:rPr>
          <w:rFonts w:ascii="Times New Roman" w:hAnsi="Times New Roman"/>
          <w:sz w:val="24"/>
          <w:szCs w:val="20"/>
        </w:rPr>
        <w:t>. However, there had been an average increase in fee of $46.69, $804.35 and $134.28 in Victoria, Western Aust</w:t>
      </w:r>
      <w:r w:rsidR="002941C2">
        <w:rPr>
          <w:rFonts w:ascii="Times New Roman" w:hAnsi="Times New Roman"/>
          <w:sz w:val="24"/>
          <w:szCs w:val="20"/>
        </w:rPr>
        <w:t>ralia and the ACT respectively</w:t>
      </w:r>
      <w:r w:rsidRPr="00947EB9">
        <w:rPr>
          <w:rFonts w:ascii="Times New Roman" w:hAnsi="Times New Roman"/>
          <w:sz w:val="24"/>
          <w:szCs w:val="20"/>
        </w:rPr>
        <w:t xml:space="preserve"> over the period. MSAC noted that there was considerable price variation between states and territories; NSW had the biggest difference in the 25th and 95th percentile for fees charged ($1934.55 and $4380.05, respectively) in the financial year 2016–17, whereas the 95th percentile fee charged in SA was less than $2500. </w:t>
      </w:r>
    </w:p>
    <w:p w14:paraId="53F4292E" w14:textId="77777777"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t>MSAC noted that the services for HoLEP were primarily claimed by male patients in the 65-74 year age group. This group made up 43% of all claims from 2013–2017.</w:t>
      </w:r>
    </w:p>
    <w:p w14:paraId="58DCB41C" w14:textId="77777777"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t>MSAC noted that the number of practitioners providing services for HoLEP increased from 14 to 33 during the review period, with approximately 20% of practitioners providing almost 60% of services. MSAC noted that 99% of services for HoLEP were provided by urologists.</w:t>
      </w:r>
    </w:p>
    <w:p w14:paraId="25F66D51" w14:textId="77777777"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t>MSAC noted that 0.1% of HoLEP services were bulk billed.</w:t>
      </w:r>
    </w:p>
    <w:p w14:paraId="79CC796A" w14:textId="77777777"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t xml:space="preserve">MSAC noted that, for the review period, 39% of services for HoLEP were claimed alone while the most commonly co-claimed service was MBS item 105 (consultation item) at 33% of episodes. MSAC considered that items that were co-claimed with MBS item 37245 were likely to be clinically appropriate. MSAC noted that, as of 1st November 2017, MBS items 105, 116 and 119 can no longer be claimed on the same day as a group T8 item with a schedule fee of $300 or more. </w:t>
      </w:r>
    </w:p>
    <w:p w14:paraId="345AD22B" w14:textId="77777777" w:rsidR="00947EB9" w:rsidRPr="00947EB9" w:rsidRDefault="00947EB9" w:rsidP="00947EB9">
      <w:pPr>
        <w:pStyle w:val="BodyText"/>
        <w:spacing w:before="240"/>
        <w:rPr>
          <w:rFonts w:ascii="Times New Roman" w:hAnsi="Times New Roman"/>
          <w:sz w:val="24"/>
          <w:szCs w:val="20"/>
        </w:rPr>
      </w:pPr>
      <w:r w:rsidRPr="00947EB9">
        <w:rPr>
          <w:rFonts w:ascii="Times New Roman" w:hAnsi="Times New Roman"/>
          <w:sz w:val="24"/>
          <w:szCs w:val="20"/>
        </w:rPr>
        <w:t xml:space="preserve">MSAC noted that there were significant out-of-pocket expenses to the patient at approximately $1500 per service. </w:t>
      </w:r>
    </w:p>
    <w:p w14:paraId="20DB8CBC" w14:textId="77777777" w:rsidR="00947EB9" w:rsidRDefault="00947EB9" w:rsidP="00947EB9">
      <w:pPr>
        <w:pStyle w:val="BodyText"/>
        <w:spacing w:before="240" w:line="240" w:lineRule="auto"/>
        <w:rPr>
          <w:rFonts w:ascii="Times New Roman" w:hAnsi="Times New Roman"/>
          <w:sz w:val="24"/>
          <w:szCs w:val="20"/>
        </w:rPr>
      </w:pPr>
      <w:r w:rsidRPr="00947EB9">
        <w:rPr>
          <w:rFonts w:ascii="Times New Roman" w:hAnsi="Times New Roman"/>
          <w:sz w:val="24"/>
          <w:szCs w:val="20"/>
        </w:rPr>
        <w:lastRenderedPageBreak/>
        <w:t>MSAC recommended no further action as utilisation of HoLEP services were less than predicted, were only provided by a small number of practitioners and co-claiming incidences were clinically appropriate and of no concern.</w:t>
      </w:r>
    </w:p>
    <w:p w14:paraId="08E2832D" w14:textId="24E7A918" w:rsidR="00550354" w:rsidRDefault="003F5DD6" w:rsidP="004617ED">
      <w:pPr>
        <w:pStyle w:val="Heading1"/>
        <w:numPr>
          <w:ilvl w:val="0"/>
          <w:numId w:val="23"/>
        </w:numPr>
        <w:tabs>
          <w:tab w:val="left" w:pos="720"/>
          <w:tab w:val="left" w:pos="1140"/>
        </w:tabs>
        <w:spacing w:before="360"/>
        <w:ind w:hanging="720"/>
      </w:pPr>
      <w:r>
        <w:t>Methodology</w:t>
      </w:r>
    </w:p>
    <w:p w14:paraId="420601C9" w14:textId="297A7CBA" w:rsidR="001C1BE6" w:rsidRDefault="001C1BE6" w:rsidP="00550354">
      <w:pPr>
        <w:rPr>
          <w:szCs w:val="24"/>
        </w:rPr>
      </w:pPr>
      <w:r>
        <w:rPr>
          <w:szCs w:val="24"/>
        </w:rPr>
        <w:t xml:space="preserve">An application is selected for consideration if the resulting new item(s) </w:t>
      </w:r>
      <w:r w:rsidR="00026E58">
        <w:rPr>
          <w:szCs w:val="24"/>
        </w:rPr>
        <w:t>and/</w:t>
      </w:r>
      <w:r>
        <w:rPr>
          <w:szCs w:val="24"/>
        </w:rPr>
        <w:t xml:space="preserve">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w:t>
      </w:r>
      <w:r w:rsidR="00F3088E">
        <w:rPr>
          <w:szCs w:val="24"/>
        </w:rPr>
        <w:t>c</w:t>
      </w:r>
      <w:r>
        <w:rPr>
          <w:szCs w:val="24"/>
        </w:rPr>
        <w:t>hairs of MSAC and its sub-committees.</w:t>
      </w:r>
    </w:p>
    <w:p w14:paraId="5EF0EBE3" w14:textId="508C17D1" w:rsidR="001C1BE6" w:rsidRDefault="001C1BE6" w:rsidP="004617ED">
      <w:pPr>
        <w:spacing w:before="240"/>
        <w:rPr>
          <w:szCs w:val="24"/>
        </w:rPr>
      </w:pPr>
      <w:r>
        <w:rPr>
          <w:szCs w:val="24"/>
        </w:rPr>
        <w:t xml:space="preserve">A report on the utilisation is developed by the </w:t>
      </w:r>
      <w:r w:rsidR="00F3088E">
        <w:rPr>
          <w:szCs w:val="24"/>
        </w:rPr>
        <w:t>department</w:t>
      </w:r>
      <w:r>
        <w:rPr>
          <w:szCs w:val="24"/>
        </w:rPr>
        <w:t xml:space="preserve"> with information on a number of metrics including</w:t>
      </w:r>
      <w:r w:rsidR="00F3088E">
        <w:rPr>
          <w:szCs w:val="24"/>
        </w:rPr>
        <w:t>;</w:t>
      </w:r>
      <w:r>
        <w:rPr>
          <w:szCs w:val="24"/>
        </w:rPr>
        <w:t xml:space="preserve">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7FBEA9FC" w:rsidR="001C1BE6" w:rsidRDefault="001C1BE6" w:rsidP="004617ED">
      <w:pPr>
        <w:spacing w:before="240"/>
        <w:rPr>
          <w:szCs w:val="24"/>
        </w:rPr>
      </w:pPr>
      <w:r>
        <w:rPr>
          <w:szCs w:val="24"/>
        </w:rPr>
        <w:t>Where possible the report compares data on real world utilisation to the assumptions made during the MSAC assessment. Most of these assumptions are drawn from the assessment report.</w:t>
      </w:r>
    </w:p>
    <w:p w14:paraId="26E62F08" w14:textId="6CEDF436" w:rsidR="00B11472" w:rsidRDefault="001C1BE6" w:rsidP="004617ED">
      <w:pPr>
        <w:spacing w:before="240"/>
        <w:rPr>
          <w:szCs w:val="24"/>
        </w:rPr>
      </w:pPr>
      <w:r>
        <w:rPr>
          <w:szCs w:val="24"/>
        </w:rPr>
        <w:t>Relevant stakeholders are provided an opportunity to comment on the findings in the report before it is presented to the MSAC. It is intended that stakeholders are given at least three weeks to consider the reports.</w:t>
      </w:r>
    </w:p>
    <w:p w14:paraId="40C0C81F" w14:textId="4670B574" w:rsidR="001C1BE6" w:rsidRDefault="001C1BE6" w:rsidP="004617ED">
      <w:pPr>
        <w:spacing w:before="240"/>
        <w:rPr>
          <w:szCs w:val="24"/>
        </w:rPr>
      </w:pPr>
      <w:r>
        <w:rPr>
          <w:szCs w:val="24"/>
        </w:rPr>
        <w:t xml:space="preserve">The stakeholder version of the report does not contain information </w:t>
      </w:r>
      <w:r w:rsidR="00B11472">
        <w:rPr>
          <w:szCs w:val="24"/>
        </w:rPr>
        <w:t>on assumptions from the MSAC consideration if this information is not already publicly available. This is to protect the commercial in confidence of the original applicants. The same principle is applied to this document.</w:t>
      </w:r>
    </w:p>
    <w:p w14:paraId="604337F3" w14:textId="609A82C7" w:rsidR="00D14EAB" w:rsidRPr="004617ED" w:rsidRDefault="00B11472" w:rsidP="004617ED">
      <w:pPr>
        <w:spacing w:before="240"/>
        <w:rPr>
          <w:szCs w:val="24"/>
        </w:rPr>
      </w:pPr>
      <w:r>
        <w:rPr>
          <w:szCs w:val="24"/>
        </w:rPr>
        <w:t>Once MSAC has considered the report</w:t>
      </w:r>
      <w:r w:rsidR="002D73A2">
        <w:rPr>
          <w:szCs w:val="24"/>
        </w:rPr>
        <w:t>,</w:t>
      </w:r>
      <w:r w:rsidR="00A91AFD">
        <w:rPr>
          <w:szCs w:val="24"/>
        </w:rPr>
        <w:t xml:space="preserve"> its advice is made available online </w:t>
      </w:r>
      <w:r w:rsidR="009B433F">
        <w:rPr>
          <w:szCs w:val="24"/>
        </w:rPr>
        <w:t xml:space="preserve">at the </w:t>
      </w:r>
      <w:hyperlink r:id="rId11" w:tooltip="Link to MSAC website"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A91AFD">
        <w:rPr>
          <w:szCs w:val="24"/>
        </w:rPr>
        <w:t>.</w:t>
      </w:r>
    </w:p>
    <w:p w14:paraId="09E8EE24" w14:textId="79069D80" w:rsidR="00BC1364" w:rsidRPr="00A91AFD" w:rsidRDefault="003F5DD6" w:rsidP="004617ED">
      <w:pPr>
        <w:pStyle w:val="Heading1"/>
        <w:numPr>
          <w:ilvl w:val="0"/>
          <w:numId w:val="23"/>
        </w:numPr>
        <w:tabs>
          <w:tab w:val="left" w:pos="720"/>
          <w:tab w:val="left" w:pos="1140"/>
        </w:tabs>
        <w:spacing w:before="360"/>
        <w:ind w:hanging="720"/>
      </w:pPr>
      <w:r>
        <w:t>Results</w:t>
      </w:r>
    </w:p>
    <w:p w14:paraId="759802B8" w14:textId="03C6E5D8" w:rsidR="004E015F" w:rsidRDefault="004E015F" w:rsidP="004E015F">
      <w:pPr>
        <w:pStyle w:val="Heading2"/>
      </w:pPr>
      <w:r>
        <w:t>Utilisation</w:t>
      </w:r>
    </w:p>
    <w:p w14:paraId="1AAE1462" w14:textId="663835E4" w:rsidR="0045589E" w:rsidRDefault="0045589E" w:rsidP="00143CD0">
      <w:pPr>
        <w:spacing w:after="240"/>
        <w:ind w:right="-341"/>
      </w:pPr>
      <w:r>
        <w:t xml:space="preserve">Although actual utilisation of item 37245 was greater than the estimated number of services in the initial years following implementation, by 2016-17 the actual utilisation was significantly lower than predicted (Figure 1). </w:t>
      </w:r>
      <w:r w:rsidRPr="00DD173D">
        <w:t>There were 383 predicted services compared to 550 actual services in 2013-14, and 1,258 predicted services compared to</w:t>
      </w:r>
      <w:r>
        <w:t xml:space="preserve"> 855 actual services in 2016-17 (Figure 1). </w:t>
      </w:r>
    </w:p>
    <w:p w14:paraId="6BD731B3" w14:textId="4E0EC3D5" w:rsidR="0045589E" w:rsidRPr="00396F1D" w:rsidRDefault="0045589E" w:rsidP="009D08F8">
      <w:pPr>
        <w:ind w:right="-341"/>
      </w:pPr>
      <w:r w:rsidRPr="006A7F98">
        <w:t xml:space="preserve">From </w:t>
      </w:r>
      <w:r>
        <w:t>1</w:t>
      </w:r>
      <w:r w:rsidRPr="006A7F98">
        <w:t xml:space="preserve"> </w:t>
      </w:r>
      <w:r>
        <w:t>March</w:t>
      </w:r>
      <w:r w:rsidRPr="006A7F98">
        <w:t xml:space="preserve"> 2013 to 31 March 2017, New South Wales had the highest utilisation with 1</w:t>
      </w:r>
      <w:r>
        <w:t>,</w:t>
      </w:r>
      <w:r w:rsidRPr="006A7F98">
        <w:t xml:space="preserve">351 </w:t>
      </w:r>
      <w:r w:rsidRPr="00396F1D">
        <w:t>services</w:t>
      </w:r>
      <w:r>
        <w:t xml:space="preserve">, which constitutes </w:t>
      </w:r>
      <w:r w:rsidRPr="00396F1D">
        <w:t>approximately half of total services billed to the item</w:t>
      </w:r>
      <w:r w:rsidR="009D08F8">
        <w:t>.</w:t>
      </w:r>
    </w:p>
    <w:p w14:paraId="399A8A6D" w14:textId="77777777" w:rsidR="0045589E" w:rsidRDefault="0045589E" w:rsidP="0045589E">
      <w:pPr>
        <w:ind w:right="-199"/>
        <w:rPr>
          <w:sz w:val="20"/>
        </w:rPr>
      </w:pPr>
      <w:r>
        <w:rPr>
          <w:noProof/>
        </w:rPr>
        <w:lastRenderedPageBreak/>
        <w:drawing>
          <wp:inline distT="0" distB="0" distL="0" distR="0" wp14:anchorId="6FF9D214" wp14:editId="1DAD5040">
            <wp:extent cx="4316819" cy="2573079"/>
            <wp:effectExtent l="0" t="0" r="26670" b="17780"/>
            <wp:docPr id="1" name="Chart 1" descr="Predicted versus actual services of MBS item 37245 from 1 march 2013 to 30 june 2017 by date of service. Shows the actual utilisation increased slightly quicker than expected, but is now increasing at a slower rate and is below expected utilisation, as of June 2017." title="Predicted versus actual services of MBS item 372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BD4EBC" w14:textId="77777777" w:rsidR="0045589E" w:rsidRPr="001A0012" w:rsidRDefault="0045589E" w:rsidP="0045589E">
      <w:pPr>
        <w:ind w:right="-199"/>
        <w:rPr>
          <w:b/>
          <w:color w:val="F79646" w:themeColor="accent6"/>
        </w:rPr>
      </w:pPr>
      <w:r w:rsidRPr="001A0012">
        <w:rPr>
          <w:b/>
          <w:sz w:val="20"/>
        </w:rPr>
        <w:t xml:space="preserve">Figure </w:t>
      </w:r>
      <w:r w:rsidRPr="001A0012">
        <w:rPr>
          <w:b/>
          <w:sz w:val="20"/>
        </w:rPr>
        <w:fldChar w:fldCharType="begin"/>
      </w:r>
      <w:r w:rsidRPr="001A0012">
        <w:rPr>
          <w:b/>
          <w:sz w:val="20"/>
        </w:rPr>
        <w:instrText xml:space="preserve"> SEQ Figure \* ARABIC </w:instrText>
      </w:r>
      <w:r w:rsidRPr="001A0012">
        <w:rPr>
          <w:b/>
          <w:sz w:val="20"/>
        </w:rPr>
        <w:fldChar w:fldCharType="separate"/>
      </w:r>
      <w:r w:rsidRPr="001A0012">
        <w:rPr>
          <w:b/>
          <w:noProof/>
          <w:sz w:val="20"/>
        </w:rPr>
        <w:t>1</w:t>
      </w:r>
      <w:r w:rsidRPr="001A0012">
        <w:rPr>
          <w:b/>
          <w:sz w:val="20"/>
        </w:rPr>
        <w:fldChar w:fldCharType="end"/>
      </w:r>
      <w:r w:rsidRPr="001A0012">
        <w:rPr>
          <w:b/>
          <w:sz w:val="20"/>
        </w:rPr>
        <w:t xml:space="preserve">: Predicted verses actual services of MBS item 37245 from 1 March 2013 to </w:t>
      </w:r>
      <w:r w:rsidRPr="001A0012">
        <w:rPr>
          <w:b/>
          <w:sz w:val="20"/>
        </w:rPr>
        <w:br/>
        <w:t>30 June 2017 by date of service.</w:t>
      </w:r>
    </w:p>
    <w:p w14:paraId="11828C05" w14:textId="77777777" w:rsidR="0045589E" w:rsidRPr="00B75127" w:rsidRDefault="0045589E" w:rsidP="00B75127">
      <w:pPr>
        <w:rPr>
          <w:sz w:val="18"/>
          <w:szCs w:val="18"/>
        </w:rPr>
      </w:pPr>
      <w:r w:rsidRPr="00B75127">
        <w:rPr>
          <w:sz w:val="18"/>
          <w:szCs w:val="18"/>
        </w:rPr>
        <w:t>° Predicted services in 2012-13 adjusted to reflect a partial Financial Year</w:t>
      </w:r>
    </w:p>
    <w:p w14:paraId="758CCAF9" w14:textId="766143F5" w:rsidR="0045589E" w:rsidRPr="00143CD0" w:rsidRDefault="0045589E" w:rsidP="00143CD0">
      <w:pPr>
        <w:spacing w:after="240"/>
        <w:rPr>
          <w:rStyle w:val="IntenseReference"/>
          <w:b w:val="0"/>
          <w:bCs w:val="0"/>
          <w:smallCaps w:val="0"/>
          <w:color w:val="auto"/>
          <w:spacing w:val="0"/>
          <w:sz w:val="18"/>
        </w:rPr>
      </w:pPr>
      <w:r w:rsidRPr="001A0012">
        <w:rPr>
          <w:i/>
          <w:sz w:val="18"/>
        </w:rPr>
        <w:t>Source: MBS Costing, MBS Analytics Section; Department of Health, File: Q20994_1149 Item 37245 utilisation 07NOV17.xls</w:t>
      </w:r>
    </w:p>
    <w:p w14:paraId="560991DA" w14:textId="4E794FBF" w:rsidR="0045589E" w:rsidRPr="0045589E" w:rsidRDefault="0045589E" w:rsidP="0045589E">
      <w:pPr>
        <w:rPr>
          <w:rStyle w:val="IntenseReference"/>
          <w:bCs w:val="0"/>
          <w:i w:val="0"/>
          <w:smallCaps w:val="0"/>
          <w:color w:val="auto"/>
          <w:sz w:val="20"/>
        </w:rPr>
      </w:pPr>
      <w:r w:rsidRPr="0045589E">
        <w:rPr>
          <w:rStyle w:val="IntenseReference"/>
          <w:bCs w:val="0"/>
          <w:i w:val="0"/>
          <w:smallCaps w:val="0"/>
          <w:color w:val="auto"/>
          <w:sz w:val="20"/>
        </w:rPr>
        <w:t>Table 1: Service volume of MBS item 37245 between 2012-13 and 2016-17 (date of service)</w:t>
      </w:r>
    </w:p>
    <w:tbl>
      <w:tblPr>
        <w:tblW w:w="0" w:type="auto"/>
        <w:tblInd w:w="93" w:type="dxa"/>
        <w:tblLook w:val="04A0" w:firstRow="1" w:lastRow="0" w:firstColumn="1" w:lastColumn="0" w:noHBand="0" w:noVBand="1"/>
        <w:tblCaption w:val="Table 1"/>
        <w:tblDescription w:val="Visual representation of service colume of MBS item 37245 between 2012-13 and 2016-17 financial years, data represented is date of service and is broken down by state/territory. Total number of serices for this time period is 2,902. TAS and NT had data from all years withheald due to low utilisation."/>
      </w:tblPr>
      <w:tblGrid>
        <w:gridCol w:w="1312"/>
        <w:gridCol w:w="865"/>
        <w:gridCol w:w="720"/>
        <w:gridCol w:w="721"/>
        <w:gridCol w:w="865"/>
        <w:gridCol w:w="720"/>
        <w:gridCol w:w="865"/>
        <w:gridCol w:w="721"/>
        <w:gridCol w:w="720"/>
        <w:gridCol w:w="865"/>
      </w:tblGrid>
      <w:tr w:rsidR="0045589E" w:rsidRPr="00396F1D" w14:paraId="4B222793" w14:textId="77777777" w:rsidTr="0045589E">
        <w:trPr>
          <w:trHeight w:val="281"/>
        </w:trPr>
        <w:tc>
          <w:tcPr>
            <w:tcW w:w="1312" w:type="dxa"/>
            <w:vMerge w:val="restart"/>
            <w:tcBorders>
              <w:bottom w:val="single" w:sz="4" w:space="0" w:color="auto"/>
              <w:right w:val="single" w:sz="4" w:space="0" w:color="auto"/>
            </w:tcBorders>
            <w:shd w:val="clear" w:color="auto" w:fill="auto"/>
            <w:noWrap/>
            <w:vAlign w:val="center"/>
            <w:hideMark/>
          </w:tcPr>
          <w:p w14:paraId="482D3110" w14:textId="77777777" w:rsidR="0045589E" w:rsidRPr="00396F1D" w:rsidRDefault="0045589E" w:rsidP="0045589E">
            <w:pPr>
              <w:jc w:val="center"/>
              <w:rPr>
                <w:rFonts w:ascii="Arial" w:hAnsi="Arial" w:cs="Arial"/>
                <w:b/>
                <w:bCs/>
                <w:color w:val="000000"/>
                <w:sz w:val="18"/>
                <w:szCs w:val="18"/>
              </w:rPr>
            </w:pPr>
            <w:r w:rsidRPr="00396F1D">
              <w:rPr>
                <w:rFonts w:ascii="Arial" w:hAnsi="Arial" w:cs="Arial"/>
                <w:b/>
                <w:bCs/>
                <w:color w:val="000000"/>
                <w:sz w:val="18"/>
                <w:szCs w:val="18"/>
              </w:rPr>
              <w:t xml:space="preserve"> </w:t>
            </w:r>
          </w:p>
        </w:tc>
        <w:tc>
          <w:tcPr>
            <w:tcW w:w="6195"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8C00DA1" w14:textId="77777777" w:rsidR="0045589E" w:rsidRPr="00964F50" w:rsidRDefault="0045589E" w:rsidP="0045589E">
            <w:pPr>
              <w:jc w:val="center"/>
              <w:rPr>
                <w:rFonts w:ascii="Arial" w:hAnsi="Arial" w:cs="Arial"/>
                <w:b/>
                <w:bCs/>
                <w:sz w:val="18"/>
                <w:szCs w:val="18"/>
              </w:rPr>
            </w:pPr>
            <w:r w:rsidRPr="00964F50">
              <w:rPr>
                <w:rFonts w:ascii="Arial" w:hAnsi="Arial" w:cs="Arial"/>
                <w:b/>
                <w:bCs/>
                <w:sz w:val="18"/>
                <w:szCs w:val="18"/>
              </w:rPr>
              <w:t>State/Territory</w:t>
            </w:r>
          </w:p>
        </w:tc>
        <w:tc>
          <w:tcPr>
            <w:tcW w:w="86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4AD792A9" w14:textId="77777777" w:rsidR="0045589E" w:rsidRPr="00396F1D" w:rsidRDefault="0045589E" w:rsidP="0045589E">
            <w:pPr>
              <w:jc w:val="center"/>
              <w:rPr>
                <w:rFonts w:ascii="Arial" w:hAnsi="Arial" w:cs="Arial"/>
                <w:b/>
                <w:bCs/>
                <w:color w:val="000000"/>
                <w:sz w:val="18"/>
                <w:szCs w:val="18"/>
              </w:rPr>
            </w:pPr>
            <w:r w:rsidRPr="00396F1D">
              <w:rPr>
                <w:rFonts w:ascii="Arial" w:hAnsi="Arial" w:cs="Arial"/>
                <w:b/>
                <w:bCs/>
                <w:color w:val="000000"/>
                <w:sz w:val="18"/>
                <w:szCs w:val="18"/>
              </w:rPr>
              <w:t>Total</w:t>
            </w:r>
          </w:p>
        </w:tc>
      </w:tr>
      <w:tr w:rsidR="0045589E" w:rsidRPr="00396F1D" w14:paraId="0BF68CA4" w14:textId="77777777" w:rsidTr="0045589E">
        <w:trPr>
          <w:trHeight w:val="281"/>
        </w:trPr>
        <w:tc>
          <w:tcPr>
            <w:tcW w:w="1312" w:type="dxa"/>
            <w:vMerge/>
            <w:tcBorders>
              <w:top w:val="single" w:sz="4" w:space="0" w:color="auto"/>
              <w:bottom w:val="single" w:sz="4" w:space="0" w:color="auto"/>
              <w:right w:val="single" w:sz="4" w:space="0" w:color="auto"/>
            </w:tcBorders>
            <w:vAlign w:val="center"/>
            <w:hideMark/>
          </w:tcPr>
          <w:p w14:paraId="7855057F" w14:textId="77777777" w:rsidR="0045589E" w:rsidRPr="00396F1D" w:rsidRDefault="0045589E" w:rsidP="0045589E">
            <w:pPr>
              <w:rPr>
                <w:rFonts w:ascii="Arial" w:hAnsi="Arial" w:cs="Arial"/>
                <w:b/>
                <w:bCs/>
                <w:color w:val="000000"/>
                <w:sz w:val="18"/>
                <w:szCs w:val="18"/>
              </w:rPr>
            </w:pPr>
          </w:p>
        </w:tc>
        <w:tc>
          <w:tcPr>
            <w:tcW w:w="865" w:type="dxa"/>
            <w:tcBorders>
              <w:top w:val="nil"/>
              <w:left w:val="nil"/>
              <w:bottom w:val="single" w:sz="4" w:space="0" w:color="auto"/>
              <w:right w:val="single" w:sz="4" w:space="0" w:color="auto"/>
            </w:tcBorders>
            <w:shd w:val="clear" w:color="auto" w:fill="8DB3E2" w:themeFill="text2" w:themeFillTint="66"/>
            <w:noWrap/>
            <w:vAlign w:val="center"/>
            <w:hideMark/>
          </w:tcPr>
          <w:p w14:paraId="70C0C3D5" w14:textId="77777777" w:rsidR="0045589E" w:rsidRPr="00396F1D" w:rsidRDefault="0045589E" w:rsidP="0045589E">
            <w:pPr>
              <w:jc w:val="center"/>
              <w:rPr>
                <w:rFonts w:ascii="Arial" w:hAnsi="Arial" w:cs="Arial"/>
                <w:b/>
                <w:bCs/>
                <w:color w:val="FFFFFF" w:themeColor="background1"/>
                <w:sz w:val="18"/>
                <w:szCs w:val="18"/>
              </w:rPr>
            </w:pPr>
            <w:r w:rsidRPr="00964F50">
              <w:rPr>
                <w:rFonts w:ascii="Arial" w:hAnsi="Arial" w:cs="Arial"/>
                <w:b/>
                <w:bCs/>
                <w:sz w:val="18"/>
                <w:szCs w:val="18"/>
              </w:rPr>
              <w:t>NSW</w:t>
            </w:r>
          </w:p>
        </w:tc>
        <w:tc>
          <w:tcPr>
            <w:tcW w:w="72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2E25B565" w14:textId="77777777" w:rsidR="0045589E" w:rsidRPr="00964F50" w:rsidRDefault="0045589E" w:rsidP="0045589E">
            <w:pPr>
              <w:jc w:val="center"/>
              <w:rPr>
                <w:rFonts w:ascii="Arial" w:hAnsi="Arial" w:cs="Arial"/>
                <w:b/>
                <w:bCs/>
                <w:sz w:val="18"/>
                <w:szCs w:val="18"/>
              </w:rPr>
            </w:pPr>
            <w:r w:rsidRPr="00964F50">
              <w:rPr>
                <w:rFonts w:ascii="Arial" w:hAnsi="Arial" w:cs="Arial"/>
                <w:b/>
                <w:bCs/>
                <w:sz w:val="18"/>
                <w:szCs w:val="18"/>
              </w:rPr>
              <w:t>VIC</w:t>
            </w:r>
          </w:p>
        </w:tc>
        <w:tc>
          <w:tcPr>
            <w:tcW w:w="72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7ACB6A2" w14:textId="77777777" w:rsidR="0045589E" w:rsidRPr="00964F50" w:rsidRDefault="0045589E" w:rsidP="0045589E">
            <w:pPr>
              <w:jc w:val="center"/>
              <w:rPr>
                <w:rFonts w:ascii="Arial" w:hAnsi="Arial" w:cs="Arial"/>
                <w:b/>
                <w:bCs/>
                <w:sz w:val="18"/>
                <w:szCs w:val="18"/>
              </w:rPr>
            </w:pPr>
            <w:r w:rsidRPr="00964F50">
              <w:rPr>
                <w:rFonts w:ascii="Arial" w:hAnsi="Arial" w:cs="Arial"/>
                <w:b/>
                <w:bCs/>
                <w:sz w:val="18"/>
                <w:szCs w:val="18"/>
              </w:rPr>
              <w:t>QLD</w:t>
            </w:r>
          </w:p>
        </w:tc>
        <w:tc>
          <w:tcPr>
            <w:tcW w:w="865"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37E767FA" w14:textId="77777777" w:rsidR="0045589E" w:rsidRPr="00964F50" w:rsidRDefault="0045589E" w:rsidP="0045589E">
            <w:pPr>
              <w:jc w:val="center"/>
              <w:rPr>
                <w:rFonts w:ascii="Arial" w:hAnsi="Arial" w:cs="Arial"/>
                <w:b/>
                <w:bCs/>
                <w:sz w:val="18"/>
                <w:szCs w:val="18"/>
              </w:rPr>
            </w:pPr>
            <w:r w:rsidRPr="00964F50">
              <w:rPr>
                <w:rFonts w:ascii="Arial" w:hAnsi="Arial" w:cs="Arial"/>
                <w:b/>
                <w:bCs/>
                <w:sz w:val="18"/>
                <w:szCs w:val="18"/>
              </w:rPr>
              <w:t>SA</w:t>
            </w:r>
          </w:p>
        </w:tc>
        <w:tc>
          <w:tcPr>
            <w:tcW w:w="72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438CB6B7" w14:textId="77777777" w:rsidR="0045589E" w:rsidRPr="00964F50" w:rsidRDefault="0045589E" w:rsidP="0045589E">
            <w:pPr>
              <w:jc w:val="center"/>
              <w:rPr>
                <w:rFonts w:ascii="Arial" w:hAnsi="Arial" w:cs="Arial"/>
                <w:b/>
                <w:bCs/>
                <w:sz w:val="18"/>
                <w:szCs w:val="18"/>
              </w:rPr>
            </w:pPr>
            <w:r w:rsidRPr="00964F50">
              <w:rPr>
                <w:rFonts w:ascii="Arial" w:hAnsi="Arial" w:cs="Arial"/>
                <w:b/>
                <w:bCs/>
                <w:sz w:val="18"/>
                <w:szCs w:val="18"/>
              </w:rPr>
              <w:t>WA</w:t>
            </w:r>
          </w:p>
        </w:tc>
        <w:tc>
          <w:tcPr>
            <w:tcW w:w="865"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84A5C9B" w14:textId="77777777" w:rsidR="0045589E" w:rsidRPr="00964F50" w:rsidRDefault="0045589E" w:rsidP="0045589E">
            <w:pPr>
              <w:jc w:val="center"/>
              <w:rPr>
                <w:rFonts w:ascii="Arial" w:hAnsi="Arial" w:cs="Arial"/>
                <w:b/>
                <w:bCs/>
                <w:sz w:val="18"/>
                <w:szCs w:val="18"/>
              </w:rPr>
            </w:pPr>
            <w:r w:rsidRPr="00964F50">
              <w:rPr>
                <w:rFonts w:ascii="Arial" w:hAnsi="Arial" w:cs="Arial"/>
                <w:b/>
                <w:bCs/>
                <w:sz w:val="18"/>
                <w:szCs w:val="18"/>
              </w:rPr>
              <w:t>TAS</w:t>
            </w:r>
          </w:p>
        </w:tc>
        <w:tc>
          <w:tcPr>
            <w:tcW w:w="72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27CF5CC9" w14:textId="77777777" w:rsidR="0045589E" w:rsidRPr="00964F50" w:rsidRDefault="0045589E" w:rsidP="0045589E">
            <w:pPr>
              <w:jc w:val="center"/>
              <w:rPr>
                <w:rFonts w:ascii="Arial" w:hAnsi="Arial" w:cs="Arial"/>
                <w:b/>
                <w:bCs/>
                <w:sz w:val="18"/>
                <w:szCs w:val="18"/>
              </w:rPr>
            </w:pPr>
            <w:r w:rsidRPr="00964F50">
              <w:rPr>
                <w:rFonts w:ascii="Arial" w:hAnsi="Arial" w:cs="Arial"/>
                <w:b/>
                <w:bCs/>
                <w:sz w:val="18"/>
                <w:szCs w:val="18"/>
              </w:rPr>
              <w:t>NT</w:t>
            </w:r>
          </w:p>
        </w:tc>
        <w:tc>
          <w:tcPr>
            <w:tcW w:w="72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59274084" w14:textId="77777777" w:rsidR="0045589E" w:rsidRPr="00964F50" w:rsidRDefault="0045589E" w:rsidP="0045589E">
            <w:pPr>
              <w:jc w:val="center"/>
              <w:rPr>
                <w:rFonts w:ascii="Arial" w:hAnsi="Arial" w:cs="Arial"/>
                <w:b/>
                <w:bCs/>
                <w:sz w:val="18"/>
                <w:szCs w:val="18"/>
              </w:rPr>
            </w:pPr>
            <w:r w:rsidRPr="00964F50">
              <w:rPr>
                <w:rFonts w:ascii="Arial" w:hAnsi="Arial" w:cs="Arial"/>
                <w:b/>
                <w:bCs/>
                <w:sz w:val="18"/>
                <w:szCs w:val="18"/>
              </w:rPr>
              <w:t>ACT</w:t>
            </w:r>
          </w:p>
        </w:tc>
        <w:tc>
          <w:tcPr>
            <w:tcW w:w="865"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1E2FC51" w14:textId="77777777" w:rsidR="0045589E" w:rsidRPr="00396F1D" w:rsidRDefault="0045589E" w:rsidP="0045589E">
            <w:pPr>
              <w:rPr>
                <w:rFonts w:ascii="Arial" w:hAnsi="Arial" w:cs="Arial"/>
                <w:b/>
                <w:bCs/>
                <w:color w:val="000000"/>
                <w:sz w:val="18"/>
                <w:szCs w:val="18"/>
              </w:rPr>
            </w:pPr>
          </w:p>
        </w:tc>
      </w:tr>
      <w:tr w:rsidR="0045589E" w:rsidRPr="00396F1D" w14:paraId="79F30174" w14:textId="77777777" w:rsidTr="0045589E">
        <w:trPr>
          <w:trHeight w:val="281"/>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E218F" w14:textId="77777777" w:rsidR="0045589E" w:rsidRPr="00950823" w:rsidRDefault="0045589E" w:rsidP="0045589E">
            <w:pPr>
              <w:rPr>
                <w:rFonts w:ascii="Arial" w:hAnsi="Arial" w:cs="Arial"/>
                <w:bCs/>
                <w:color w:val="000000"/>
                <w:sz w:val="18"/>
                <w:szCs w:val="18"/>
              </w:rPr>
            </w:pPr>
            <w:r w:rsidRPr="00950823">
              <w:rPr>
                <w:rFonts w:ascii="Arial" w:hAnsi="Arial" w:cs="Arial"/>
                <w:bCs/>
                <w:color w:val="000000"/>
                <w:sz w:val="18"/>
                <w:szCs w:val="18"/>
              </w:rPr>
              <w:t>2012-2013</w:t>
            </w:r>
            <w:r w:rsidRPr="00950823">
              <w:rPr>
                <w:rFonts w:ascii="Arial" w:hAnsi="Arial" w:cs="Arial"/>
                <w:bCs/>
                <w:color w:val="000000"/>
                <w:sz w:val="18"/>
                <w:szCs w:val="18"/>
              </w:rPr>
              <w:sym w:font="Symbol" w:char="F0B0"/>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A2458" w14:textId="77777777" w:rsidR="0045589E" w:rsidRPr="00950823" w:rsidRDefault="0045589E" w:rsidP="0045589E">
            <w:pPr>
              <w:jc w:val="right"/>
              <w:rPr>
                <w:rFonts w:ascii="Arial" w:hAnsi="Arial" w:cs="Arial"/>
                <w:sz w:val="18"/>
              </w:rPr>
            </w:pPr>
            <w:r w:rsidRPr="00950823">
              <w:rPr>
                <w:rFonts w:ascii="Arial" w:hAnsi="Arial" w:cs="Arial"/>
                <w:sz w:val="18"/>
              </w:rPr>
              <w:t>44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1230E" w14:textId="77777777" w:rsidR="0045589E" w:rsidRPr="00950823" w:rsidRDefault="0045589E" w:rsidP="0045589E">
            <w:pPr>
              <w:jc w:val="right"/>
              <w:rPr>
                <w:rFonts w:ascii="Arial" w:hAnsi="Arial" w:cs="Arial"/>
                <w:sz w:val="18"/>
              </w:rPr>
            </w:pPr>
            <w:r w:rsidRPr="00950823">
              <w:rPr>
                <w:rFonts w:ascii="Arial" w:hAnsi="Arial" w:cs="Arial"/>
                <w:sz w:val="18"/>
              </w:rPr>
              <w:t>np</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A96D1" w14:textId="77777777" w:rsidR="0045589E" w:rsidRPr="00950823" w:rsidRDefault="0045589E" w:rsidP="0045589E">
            <w:pPr>
              <w:jc w:val="right"/>
              <w:rPr>
                <w:rFonts w:ascii="Arial" w:hAnsi="Arial" w:cs="Arial"/>
                <w:sz w:val="18"/>
              </w:rPr>
            </w:pPr>
            <w:r w:rsidRPr="00950823">
              <w:rPr>
                <w:rFonts w:ascii="Arial" w:hAnsi="Arial" w:cs="Arial"/>
                <w:sz w:val="18"/>
              </w:rPr>
              <w:t>np</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BBBF" w14:textId="77777777" w:rsidR="0045589E" w:rsidRPr="00950823" w:rsidRDefault="0045589E" w:rsidP="0045589E">
            <w:pPr>
              <w:jc w:val="right"/>
              <w:rPr>
                <w:rFonts w:ascii="Arial" w:hAnsi="Arial" w:cs="Arial"/>
                <w:sz w:val="18"/>
              </w:rPr>
            </w:pPr>
            <w:r w:rsidRPr="00950823">
              <w:rPr>
                <w:rFonts w:ascii="Arial" w:hAnsi="Arial" w:cs="Arial"/>
                <w:sz w:val="18"/>
              </w:rPr>
              <w:t>49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776D6" w14:textId="77777777" w:rsidR="0045589E" w:rsidRPr="00950823" w:rsidRDefault="0045589E" w:rsidP="0045589E">
            <w:pPr>
              <w:jc w:val="right"/>
              <w:rPr>
                <w:rFonts w:ascii="Arial" w:hAnsi="Arial" w:cs="Arial"/>
                <w:sz w:val="18"/>
              </w:rPr>
            </w:pPr>
            <w:r w:rsidRPr="00950823">
              <w:rPr>
                <w:rFonts w:ascii="Arial" w:hAnsi="Arial" w:cs="Arial"/>
                <w:sz w:val="18"/>
              </w:rPr>
              <w:t>np</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6D187"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0DD18"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EAC46"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3C901" w14:textId="77777777" w:rsidR="0045589E" w:rsidRPr="00950823" w:rsidRDefault="0045589E" w:rsidP="0045589E">
            <w:pPr>
              <w:jc w:val="right"/>
              <w:rPr>
                <w:rFonts w:ascii="Arial" w:hAnsi="Arial" w:cs="Arial"/>
                <w:sz w:val="18"/>
              </w:rPr>
            </w:pPr>
            <w:r w:rsidRPr="00950823">
              <w:rPr>
                <w:rFonts w:ascii="Arial" w:hAnsi="Arial" w:cs="Arial"/>
                <w:sz w:val="18"/>
              </w:rPr>
              <w:t>110</w:t>
            </w:r>
          </w:p>
        </w:tc>
      </w:tr>
      <w:tr w:rsidR="0045589E" w:rsidRPr="00396F1D" w14:paraId="43E8B3CD" w14:textId="77777777" w:rsidTr="0045589E">
        <w:trPr>
          <w:trHeight w:val="281"/>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BB407" w14:textId="77777777" w:rsidR="0045589E" w:rsidRPr="00950823" w:rsidRDefault="0045589E" w:rsidP="0045589E">
            <w:pPr>
              <w:rPr>
                <w:rFonts w:ascii="Arial" w:hAnsi="Arial" w:cs="Arial"/>
                <w:bCs/>
                <w:color w:val="000000"/>
                <w:sz w:val="18"/>
                <w:szCs w:val="18"/>
              </w:rPr>
            </w:pPr>
            <w:r w:rsidRPr="00950823">
              <w:rPr>
                <w:rFonts w:ascii="Arial" w:hAnsi="Arial" w:cs="Arial"/>
                <w:bCs/>
                <w:color w:val="000000"/>
                <w:sz w:val="18"/>
                <w:szCs w:val="18"/>
              </w:rPr>
              <w:t>2013-2014</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6582B" w14:textId="77777777" w:rsidR="0045589E" w:rsidRPr="00950823" w:rsidRDefault="0045589E" w:rsidP="0045589E">
            <w:pPr>
              <w:jc w:val="right"/>
              <w:rPr>
                <w:rFonts w:ascii="Arial" w:hAnsi="Arial" w:cs="Arial"/>
                <w:sz w:val="18"/>
              </w:rPr>
            </w:pPr>
            <w:r w:rsidRPr="00950823">
              <w:rPr>
                <w:rFonts w:ascii="Arial" w:hAnsi="Arial" w:cs="Arial"/>
                <w:sz w:val="18"/>
              </w:rPr>
              <w:t>316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14B8E" w14:textId="77777777" w:rsidR="0045589E" w:rsidRPr="00950823" w:rsidRDefault="0045589E" w:rsidP="0045589E">
            <w:pPr>
              <w:jc w:val="right"/>
              <w:rPr>
                <w:rFonts w:ascii="Arial" w:hAnsi="Arial" w:cs="Arial"/>
                <w:sz w:val="18"/>
              </w:rPr>
            </w:pPr>
            <w:r w:rsidRPr="00950823">
              <w:rPr>
                <w:rFonts w:ascii="Arial" w:hAnsi="Arial" w:cs="Arial"/>
                <w:sz w:val="18"/>
              </w:rPr>
              <w:t>49</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4992" w14:textId="77777777" w:rsidR="0045589E" w:rsidRPr="00950823" w:rsidRDefault="0045589E" w:rsidP="0045589E">
            <w:pPr>
              <w:jc w:val="right"/>
              <w:rPr>
                <w:rFonts w:ascii="Arial" w:hAnsi="Arial" w:cs="Arial"/>
                <w:sz w:val="18"/>
              </w:rPr>
            </w:pPr>
            <w:r w:rsidRPr="00950823">
              <w:rPr>
                <w:rFonts w:ascii="Arial" w:hAnsi="Arial" w:cs="Arial"/>
                <w:sz w:val="18"/>
              </w:rPr>
              <w:t>np</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F4EB7" w14:textId="77777777" w:rsidR="0045589E" w:rsidRPr="00950823" w:rsidRDefault="0045589E" w:rsidP="0045589E">
            <w:pPr>
              <w:jc w:val="right"/>
              <w:rPr>
                <w:rFonts w:ascii="Arial" w:hAnsi="Arial" w:cs="Arial"/>
                <w:sz w:val="18"/>
              </w:rPr>
            </w:pPr>
            <w:r w:rsidRPr="00950823">
              <w:rPr>
                <w:rFonts w:ascii="Arial" w:hAnsi="Arial" w:cs="Arial"/>
                <w:sz w:val="18"/>
              </w:rPr>
              <w:t>142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B92CE" w14:textId="77777777" w:rsidR="0045589E" w:rsidRPr="00950823" w:rsidRDefault="0045589E" w:rsidP="0045589E">
            <w:pPr>
              <w:jc w:val="right"/>
              <w:rPr>
                <w:rFonts w:ascii="Arial" w:hAnsi="Arial" w:cs="Arial"/>
                <w:sz w:val="18"/>
              </w:rPr>
            </w:pPr>
            <w:r w:rsidRPr="00950823">
              <w:rPr>
                <w:rFonts w:ascii="Arial" w:hAnsi="Arial" w:cs="Arial"/>
                <w:sz w:val="18"/>
              </w:rPr>
              <w:t>34</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BB7E3"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A4B24"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18F74"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913C7" w14:textId="77777777" w:rsidR="0045589E" w:rsidRPr="00950823" w:rsidRDefault="0045589E" w:rsidP="0045589E">
            <w:pPr>
              <w:jc w:val="right"/>
              <w:rPr>
                <w:rFonts w:ascii="Arial" w:hAnsi="Arial" w:cs="Arial"/>
                <w:sz w:val="18"/>
              </w:rPr>
            </w:pPr>
            <w:r w:rsidRPr="00950823">
              <w:rPr>
                <w:rFonts w:ascii="Arial" w:hAnsi="Arial" w:cs="Arial"/>
                <w:sz w:val="18"/>
              </w:rPr>
              <w:t>550</w:t>
            </w:r>
          </w:p>
        </w:tc>
      </w:tr>
      <w:tr w:rsidR="0045589E" w:rsidRPr="00396F1D" w14:paraId="34073479" w14:textId="77777777" w:rsidTr="0045589E">
        <w:trPr>
          <w:trHeight w:val="281"/>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698B6" w14:textId="77777777" w:rsidR="0045589E" w:rsidRPr="00950823" w:rsidRDefault="0045589E" w:rsidP="0045589E">
            <w:pPr>
              <w:rPr>
                <w:rFonts w:ascii="Arial" w:hAnsi="Arial" w:cs="Arial"/>
                <w:bCs/>
                <w:color w:val="000000"/>
                <w:sz w:val="18"/>
                <w:szCs w:val="18"/>
              </w:rPr>
            </w:pPr>
            <w:r w:rsidRPr="00950823">
              <w:rPr>
                <w:rFonts w:ascii="Arial" w:hAnsi="Arial" w:cs="Arial"/>
                <w:bCs/>
                <w:color w:val="000000"/>
                <w:sz w:val="18"/>
                <w:szCs w:val="18"/>
              </w:rPr>
              <w:t>2014-2015</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64C5" w14:textId="77777777" w:rsidR="0045589E" w:rsidRPr="00950823" w:rsidRDefault="0045589E" w:rsidP="0045589E">
            <w:pPr>
              <w:jc w:val="right"/>
              <w:rPr>
                <w:rFonts w:ascii="Arial" w:hAnsi="Arial" w:cs="Arial"/>
                <w:sz w:val="18"/>
              </w:rPr>
            </w:pPr>
            <w:r w:rsidRPr="00950823">
              <w:rPr>
                <w:rFonts w:ascii="Arial" w:hAnsi="Arial" w:cs="Arial"/>
                <w:sz w:val="18"/>
              </w:rPr>
              <w:t>331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FAD90" w14:textId="77777777" w:rsidR="0045589E" w:rsidRPr="00950823" w:rsidRDefault="0045589E" w:rsidP="0045589E">
            <w:pPr>
              <w:jc w:val="right"/>
              <w:rPr>
                <w:rFonts w:ascii="Arial" w:hAnsi="Arial" w:cs="Arial"/>
                <w:sz w:val="18"/>
              </w:rPr>
            </w:pPr>
            <w:r w:rsidRPr="00950823">
              <w:rPr>
                <w:rFonts w:ascii="Arial" w:hAnsi="Arial" w:cs="Arial"/>
                <w:sz w:val="18"/>
              </w:rPr>
              <w:t>97</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2388B" w14:textId="77777777" w:rsidR="0045589E" w:rsidRPr="00950823" w:rsidRDefault="0045589E" w:rsidP="0045589E">
            <w:pPr>
              <w:jc w:val="right"/>
              <w:rPr>
                <w:rFonts w:ascii="Arial" w:hAnsi="Arial" w:cs="Arial"/>
                <w:sz w:val="18"/>
              </w:rPr>
            </w:pPr>
            <w:r w:rsidRPr="00950823">
              <w:rPr>
                <w:rFonts w:ascii="Arial" w:hAnsi="Arial" w:cs="Arial"/>
                <w:sz w:val="18"/>
              </w:rPr>
              <w:t>np</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FEE0E" w14:textId="77777777" w:rsidR="0045589E" w:rsidRPr="00950823" w:rsidRDefault="0045589E" w:rsidP="0045589E">
            <w:pPr>
              <w:jc w:val="right"/>
              <w:rPr>
                <w:rFonts w:ascii="Arial" w:hAnsi="Arial" w:cs="Arial"/>
                <w:sz w:val="18"/>
              </w:rPr>
            </w:pPr>
            <w:r w:rsidRPr="00950823">
              <w:rPr>
                <w:rFonts w:ascii="Arial" w:hAnsi="Arial" w:cs="Arial"/>
                <w:sz w:val="18"/>
              </w:rPr>
              <w:t>151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C8CD1" w14:textId="77777777" w:rsidR="0045589E" w:rsidRPr="00950823" w:rsidRDefault="0045589E" w:rsidP="0045589E">
            <w:pPr>
              <w:jc w:val="right"/>
              <w:rPr>
                <w:rFonts w:ascii="Arial" w:hAnsi="Arial" w:cs="Arial"/>
                <w:sz w:val="18"/>
              </w:rPr>
            </w:pPr>
            <w:r w:rsidRPr="00950823">
              <w:rPr>
                <w:rFonts w:ascii="Arial" w:hAnsi="Arial" w:cs="Arial"/>
                <w:sz w:val="18"/>
              </w:rPr>
              <w:t>34</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2FFD4"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D0995"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5815A"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49</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04D03" w14:textId="77777777" w:rsidR="0045589E" w:rsidRPr="00950823" w:rsidRDefault="0045589E" w:rsidP="0045589E">
            <w:pPr>
              <w:jc w:val="right"/>
              <w:rPr>
                <w:rFonts w:ascii="Arial" w:hAnsi="Arial" w:cs="Arial"/>
                <w:sz w:val="18"/>
              </w:rPr>
            </w:pPr>
            <w:r w:rsidRPr="00950823">
              <w:rPr>
                <w:rFonts w:ascii="Arial" w:hAnsi="Arial" w:cs="Arial"/>
                <w:sz w:val="18"/>
              </w:rPr>
              <w:t>662</w:t>
            </w:r>
          </w:p>
        </w:tc>
      </w:tr>
      <w:tr w:rsidR="0045589E" w:rsidRPr="00396F1D" w14:paraId="28AFBC9D" w14:textId="77777777" w:rsidTr="0045589E">
        <w:trPr>
          <w:trHeight w:val="281"/>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4CB45" w14:textId="77777777" w:rsidR="0045589E" w:rsidRPr="00950823" w:rsidRDefault="0045589E" w:rsidP="0045589E">
            <w:pPr>
              <w:rPr>
                <w:rFonts w:ascii="Arial" w:hAnsi="Arial" w:cs="Arial"/>
                <w:bCs/>
                <w:color w:val="000000"/>
                <w:sz w:val="18"/>
                <w:szCs w:val="18"/>
              </w:rPr>
            </w:pPr>
            <w:r w:rsidRPr="00950823">
              <w:rPr>
                <w:rFonts w:ascii="Arial" w:hAnsi="Arial" w:cs="Arial"/>
                <w:bCs/>
                <w:color w:val="000000"/>
                <w:sz w:val="18"/>
                <w:szCs w:val="18"/>
              </w:rPr>
              <w:t>2015-2016</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6CA38" w14:textId="77777777" w:rsidR="0045589E" w:rsidRPr="00950823" w:rsidRDefault="0045589E" w:rsidP="0045589E">
            <w:pPr>
              <w:jc w:val="right"/>
              <w:rPr>
                <w:rFonts w:ascii="Arial" w:hAnsi="Arial" w:cs="Arial"/>
                <w:sz w:val="18"/>
              </w:rPr>
            </w:pPr>
            <w:r w:rsidRPr="00950823">
              <w:rPr>
                <w:rFonts w:ascii="Arial" w:hAnsi="Arial" w:cs="Arial"/>
                <w:sz w:val="18"/>
              </w:rPr>
              <w:t>334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88A01" w14:textId="77777777" w:rsidR="0045589E" w:rsidRPr="00950823" w:rsidRDefault="0045589E" w:rsidP="0045589E">
            <w:pPr>
              <w:jc w:val="right"/>
              <w:rPr>
                <w:rFonts w:ascii="Arial" w:hAnsi="Arial" w:cs="Arial"/>
                <w:sz w:val="18"/>
              </w:rPr>
            </w:pPr>
            <w:r w:rsidRPr="00950823">
              <w:rPr>
                <w:rFonts w:ascii="Arial" w:hAnsi="Arial" w:cs="Arial"/>
                <w:sz w:val="18"/>
              </w:rPr>
              <w:t>127</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32308" w14:textId="77777777" w:rsidR="0045589E" w:rsidRPr="00950823" w:rsidRDefault="0045589E" w:rsidP="0045589E">
            <w:pPr>
              <w:jc w:val="right"/>
              <w:rPr>
                <w:rFonts w:ascii="Arial" w:hAnsi="Arial" w:cs="Arial"/>
                <w:sz w:val="18"/>
              </w:rPr>
            </w:pPr>
            <w:r w:rsidRPr="00950823">
              <w:rPr>
                <w:rFonts w:ascii="Arial" w:hAnsi="Arial" w:cs="Arial"/>
                <w:sz w:val="18"/>
              </w:rPr>
              <w:t>np</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3AC24" w14:textId="77777777" w:rsidR="0045589E" w:rsidRPr="00950823" w:rsidRDefault="0045589E" w:rsidP="0045589E">
            <w:pPr>
              <w:jc w:val="right"/>
              <w:rPr>
                <w:rFonts w:ascii="Arial" w:hAnsi="Arial" w:cs="Arial"/>
                <w:sz w:val="18"/>
              </w:rPr>
            </w:pPr>
            <w:r w:rsidRPr="00950823">
              <w:rPr>
                <w:rFonts w:ascii="Arial" w:hAnsi="Arial" w:cs="Arial"/>
                <w:sz w:val="18"/>
              </w:rPr>
              <w:t>166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D0CC" w14:textId="77777777" w:rsidR="0045589E" w:rsidRPr="00950823" w:rsidRDefault="0045589E" w:rsidP="0045589E">
            <w:pPr>
              <w:jc w:val="right"/>
              <w:rPr>
                <w:rFonts w:ascii="Arial" w:hAnsi="Arial" w:cs="Arial"/>
                <w:sz w:val="18"/>
              </w:rPr>
            </w:pPr>
            <w:r w:rsidRPr="00950823">
              <w:rPr>
                <w:rFonts w:ascii="Arial" w:hAnsi="Arial" w:cs="Arial"/>
                <w:sz w:val="18"/>
              </w:rPr>
              <w:t>49</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9F55A"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7655"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5F4B"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49</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26D80" w14:textId="77777777" w:rsidR="0045589E" w:rsidRPr="00950823" w:rsidRDefault="0045589E" w:rsidP="0045589E">
            <w:pPr>
              <w:jc w:val="right"/>
              <w:rPr>
                <w:rFonts w:ascii="Arial" w:hAnsi="Arial" w:cs="Arial"/>
                <w:sz w:val="18"/>
              </w:rPr>
            </w:pPr>
            <w:r w:rsidRPr="00950823">
              <w:rPr>
                <w:rFonts w:ascii="Arial" w:hAnsi="Arial" w:cs="Arial"/>
                <w:sz w:val="18"/>
              </w:rPr>
              <w:t>725</w:t>
            </w:r>
          </w:p>
        </w:tc>
      </w:tr>
      <w:tr w:rsidR="0045589E" w:rsidRPr="00396F1D" w14:paraId="727DEE8C" w14:textId="77777777" w:rsidTr="0045589E">
        <w:trPr>
          <w:trHeight w:val="281"/>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3A933" w14:textId="77777777" w:rsidR="0045589E" w:rsidRPr="00950823" w:rsidRDefault="0045589E" w:rsidP="0045589E">
            <w:pPr>
              <w:rPr>
                <w:rFonts w:ascii="Arial" w:hAnsi="Arial" w:cs="Arial"/>
                <w:bCs/>
                <w:color w:val="000000"/>
                <w:sz w:val="18"/>
                <w:szCs w:val="18"/>
              </w:rPr>
            </w:pPr>
            <w:r w:rsidRPr="00950823">
              <w:rPr>
                <w:rFonts w:ascii="Arial" w:hAnsi="Arial" w:cs="Arial"/>
                <w:bCs/>
                <w:color w:val="000000"/>
                <w:sz w:val="18"/>
                <w:szCs w:val="18"/>
              </w:rPr>
              <w:t>2016-2017</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F0562" w14:textId="77777777" w:rsidR="0045589E" w:rsidRPr="00950823" w:rsidRDefault="0045589E" w:rsidP="0045589E">
            <w:pPr>
              <w:jc w:val="right"/>
              <w:rPr>
                <w:rFonts w:ascii="Arial" w:hAnsi="Arial" w:cs="Arial"/>
                <w:sz w:val="18"/>
              </w:rPr>
            </w:pPr>
            <w:r w:rsidRPr="00950823">
              <w:rPr>
                <w:rFonts w:ascii="Arial" w:hAnsi="Arial" w:cs="Arial"/>
                <w:sz w:val="18"/>
              </w:rPr>
              <w:t>370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E642F" w14:textId="77777777" w:rsidR="0045589E" w:rsidRPr="00950823" w:rsidRDefault="0045589E" w:rsidP="0045589E">
            <w:pPr>
              <w:jc w:val="right"/>
              <w:rPr>
                <w:rFonts w:ascii="Arial" w:hAnsi="Arial" w:cs="Arial"/>
                <w:sz w:val="18"/>
              </w:rPr>
            </w:pPr>
            <w:r w:rsidRPr="00950823">
              <w:rPr>
                <w:rFonts w:ascii="Arial" w:hAnsi="Arial" w:cs="Arial"/>
                <w:sz w:val="18"/>
              </w:rPr>
              <w:t>143</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621E8" w14:textId="77777777" w:rsidR="0045589E" w:rsidRPr="00950823" w:rsidRDefault="0045589E" w:rsidP="0045589E">
            <w:pPr>
              <w:jc w:val="right"/>
              <w:rPr>
                <w:rFonts w:ascii="Arial" w:hAnsi="Arial" w:cs="Arial"/>
                <w:sz w:val="18"/>
              </w:rPr>
            </w:pPr>
            <w:r w:rsidRPr="00950823">
              <w:rPr>
                <w:rFonts w:ascii="Arial" w:hAnsi="Arial" w:cs="Arial"/>
                <w:sz w:val="18"/>
              </w:rPr>
              <w:t>47</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FC263" w14:textId="77777777" w:rsidR="0045589E" w:rsidRPr="00950823" w:rsidRDefault="0045589E" w:rsidP="0045589E">
            <w:pPr>
              <w:jc w:val="right"/>
              <w:rPr>
                <w:rFonts w:ascii="Arial" w:hAnsi="Arial" w:cs="Arial"/>
                <w:sz w:val="18"/>
              </w:rPr>
            </w:pPr>
            <w:r w:rsidRPr="00950823">
              <w:rPr>
                <w:rFonts w:ascii="Arial" w:hAnsi="Arial" w:cs="Arial"/>
                <w:sz w:val="18"/>
              </w:rPr>
              <w:t>172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1023F" w14:textId="77777777" w:rsidR="0045589E" w:rsidRPr="00950823" w:rsidRDefault="0045589E" w:rsidP="0045589E">
            <w:pPr>
              <w:jc w:val="right"/>
              <w:rPr>
                <w:rFonts w:ascii="Arial" w:hAnsi="Arial" w:cs="Arial"/>
                <w:sz w:val="18"/>
              </w:rPr>
            </w:pPr>
            <w:r w:rsidRPr="00950823">
              <w:rPr>
                <w:rFonts w:ascii="Arial" w:hAnsi="Arial" w:cs="Arial"/>
                <w:sz w:val="18"/>
              </w:rPr>
              <w:t>53</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FD9CB"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30F59"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A891"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70</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F9758" w14:textId="77777777" w:rsidR="0045589E" w:rsidRPr="00950823" w:rsidRDefault="0045589E" w:rsidP="0045589E">
            <w:pPr>
              <w:jc w:val="right"/>
              <w:rPr>
                <w:rFonts w:ascii="Arial" w:hAnsi="Arial" w:cs="Arial"/>
                <w:sz w:val="18"/>
              </w:rPr>
            </w:pPr>
            <w:r w:rsidRPr="00950823">
              <w:rPr>
                <w:rFonts w:ascii="Arial" w:hAnsi="Arial" w:cs="Arial"/>
                <w:sz w:val="18"/>
              </w:rPr>
              <w:t>855</w:t>
            </w:r>
          </w:p>
        </w:tc>
      </w:tr>
      <w:tr w:rsidR="0045589E" w:rsidRPr="00396F1D" w14:paraId="3FCD1D84" w14:textId="77777777" w:rsidTr="0045589E">
        <w:trPr>
          <w:trHeight w:val="281"/>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55A0F" w14:textId="77777777" w:rsidR="0045589E" w:rsidRPr="00950823" w:rsidRDefault="0045589E" w:rsidP="0045589E">
            <w:pPr>
              <w:rPr>
                <w:rFonts w:ascii="Arial" w:hAnsi="Arial" w:cs="Arial"/>
                <w:bCs/>
                <w:color w:val="000000"/>
                <w:sz w:val="18"/>
                <w:szCs w:val="18"/>
              </w:rPr>
            </w:pPr>
            <w:r w:rsidRPr="00950823">
              <w:rPr>
                <w:rFonts w:ascii="Arial" w:hAnsi="Arial" w:cs="Arial"/>
                <w:bCs/>
                <w:color w:val="000000"/>
                <w:sz w:val="18"/>
                <w:szCs w:val="18"/>
              </w:rPr>
              <w:t>All years</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CCC2F" w14:textId="77777777" w:rsidR="0045589E" w:rsidRPr="00950823" w:rsidRDefault="0045589E" w:rsidP="0045589E">
            <w:pPr>
              <w:jc w:val="right"/>
              <w:rPr>
                <w:rFonts w:ascii="Arial" w:hAnsi="Arial" w:cs="Arial"/>
                <w:sz w:val="18"/>
              </w:rPr>
            </w:pPr>
            <w:r w:rsidRPr="00950823">
              <w:rPr>
                <w:rFonts w:ascii="Arial" w:hAnsi="Arial" w:cs="Arial"/>
                <w:sz w:val="18"/>
              </w:rPr>
              <w:t>1,351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22600" w14:textId="77777777" w:rsidR="0045589E" w:rsidRPr="00950823" w:rsidRDefault="0045589E" w:rsidP="0045589E">
            <w:pPr>
              <w:jc w:val="right"/>
              <w:rPr>
                <w:rFonts w:ascii="Arial" w:hAnsi="Arial" w:cs="Arial"/>
                <w:sz w:val="18"/>
              </w:rPr>
            </w:pPr>
            <w:r w:rsidRPr="00950823">
              <w:rPr>
                <w:rFonts w:ascii="Arial" w:hAnsi="Arial" w:cs="Arial"/>
                <w:sz w:val="18"/>
              </w:rPr>
              <w:t>416</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8C2AB" w14:textId="77777777" w:rsidR="0045589E" w:rsidRPr="00950823" w:rsidRDefault="0045589E" w:rsidP="0045589E">
            <w:pPr>
              <w:jc w:val="right"/>
              <w:rPr>
                <w:rFonts w:ascii="Arial" w:hAnsi="Arial" w:cs="Arial"/>
                <w:sz w:val="18"/>
              </w:rPr>
            </w:pPr>
            <w:r w:rsidRPr="00950823">
              <w:rPr>
                <w:rFonts w:ascii="Arial" w:hAnsi="Arial" w:cs="Arial"/>
                <w:sz w:val="18"/>
              </w:rPr>
              <w:t>83</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0C67B" w14:textId="77777777" w:rsidR="0045589E" w:rsidRPr="00950823" w:rsidRDefault="0045589E" w:rsidP="0045589E">
            <w:pPr>
              <w:jc w:val="right"/>
              <w:rPr>
                <w:rFonts w:ascii="Arial" w:hAnsi="Arial" w:cs="Arial"/>
                <w:sz w:val="18"/>
              </w:rPr>
            </w:pPr>
            <w:r w:rsidRPr="00950823">
              <w:rPr>
                <w:rFonts w:ascii="Arial" w:hAnsi="Arial" w:cs="Arial"/>
                <w:sz w:val="18"/>
              </w:rPr>
              <w:t>680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B2489" w14:textId="77777777" w:rsidR="0045589E" w:rsidRPr="00950823" w:rsidRDefault="0045589E" w:rsidP="0045589E">
            <w:pPr>
              <w:jc w:val="right"/>
              <w:rPr>
                <w:rFonts w:ascii="Arial" w:hAnsi="Arial" w:cs="Arial"/>
                <w:sz w:val="18"/>
              </w:rPr>
            </w:pPr>
            <w:r w:rsidRPr="00950823">
              <w:rPr>
                <w:rFonts w:ascii="Arial" w:hAnsi="Arial" w:cs="Arial"/>
                <w:sz w:val="18"/>
              </w:rPr>
              <w:t>170</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5A364"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A0454"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np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4CB8E" w14:textId="77777777" w:rsidR="0045589E" w:rsidRPr="00950823" w:rsidRDefault="0045589E" w:rsidP="0045589E">
            <w:pPr>
              <w:jc w:val="right"/>
              <w:rPr>
                <w:rFonts w:ascii="Arial" w:hAnsi="Arial" w:cs="Arial"/>
                <w:bCs/>
                <w:color w:val="000000"/>
                <w:sz w:val="18"/>
                <w:szCs w:val="18"/>
              </w:rPr>
            </w:pPr>
            <w:r w:rsidRPr="00950823">
              <w:rPr>
                <w:rFonts w:ascii="Arial" w:hAnsi="Arial" w:cs="Arial"/>
                <w:bCs/>
                <w:color w:val="000000"/>
                <w:sz w:val="18"/>
                <w:szCs w:val="18"/>
              </w:rPr>
              <w:t>176</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1D38A" w14:textId="77777777" w:rsidR="0045589E" w:rsidRPr="00950823" w:rsidRDefault="0045589E" w:rsidP="0045589E">
            <w:pPr>
              <w:jc w:val="right"/>
              <w:rPr>
                <w:rFonts w:ascii="Arial" w:hAnsi="Arial" w:cs="Arial"/>
                <w:sz w:val="18"/>
              </w:rPr>
            </w:pPr>
            <w:r w:rsidRPr="00950823">
              <w:rPr>
                <w:rFonts w:ascii="Arial" w:hAnsi="Arial" w:cs="Arial"/>
                <w:sz w:val="18"/>
              </w:rPr>
              <w:t>2,902</w:t>
            </w:r>
          </w:p>
        </w:tc>
      </w:tr>
    </w:tbl>
    <w:p w14:paraId="3AF21643" w14:textId="77777777" w:rsidR="0045589E" w:rsidRPr="001A0012" w:rsidRDefault="0045589E" w:rsidP="0045589E">
      <w:r w:rsidRPr="001A0012">
        <w:rPr>
          <w:bCs/>
          <w:color w:val="000000"/>
          <w:sz w:val="18"/>
          <w:szCs w:val="18"/>
        </w:rPr>
        <w:sym w:font="Symbol" w:char="F0B0"/>
      </w:r>
      <w:r w:rsidRPr="001A0012">
        <w:rPr>
          <w:bCs/>
          <w:color w:val="000000"/>
          <w:sz w:val="18"/>
          <w:szCs w:val="18"/>
        </w:rPr>
        <w:t xml:space="preserve">Item implemented 1 March 2013 </w:t>
      </w:r>
    </w:p>
    <w:p w14:paraId="744CE2DA" w14:textId="77777777" w:rsidR="0045589E" w:rsidRPr="001A0012" w:rsidRDefault="0045589E" w:rsidP="0045589E">
      <w:pPr>
        <w:rPr>
          <w:color w:val="000000" w:themeColor="text1"/>
          <w:sz w:val="18"/>
        </w:rPr>
      </w:pPr>
      <w:r w:rsidRPr="001A0012">
        <w:rPr>
          <w:color w:val="000000" w:themeColor="text1"/>
          <w:sz w:val="18"/>
        </w:rPr>
        <w:t>NP = not printed</w:t>
      </w:r>
    </w:p>
    <w:p w14:paraId="44A7AF38" w14:textId="77777777" w:rsidR="0045589E" w:rsidRPr="001A0012" w:rsidRDefault="0045589E" w:rsidP="0045589E">
      <w:pPr>
        <w:rPr>
          <w:i/>
          <w:color w:val="000000" w:themeColor="text1"/>
          <w:sz w:val="18"/>
        </w:rPr>
      </w:pPr>
      <w:r w:rsidRPr="001A0012">
        <w:rPr>
          <w:i/>
          <w:color w:val="000000" w:themeColor="text1"/>
          <w:sz w:val="18"/>
        </w:rPr>
        <w:t>Source: Department of Health, File: Q20994_1149 Item 37245 utilisation 07NOV17.xls</w:t>
      </w:r>
    </w:p>
    <w:p w14:paraId="3C98A518" w14:textId="12C5981F" w:rsidR="004E015F" w:rsidRDefault="004E015F" w:rsidP="004E015F">
      <w:pPr>
        <w:pStyle w:val="Heading2"/>
      </w:pPr>
      <w:r>
        <w:t>Patient breakdown</w:t>
      </w:r>
    </w:p>
    <w:p w14:paraId="1261F5F9" w14:textId="08A1169C" w:rsidR="0045589E" w:rsidRPr="00396F1D" w:rsidRDefault="0045589E" w:rsidP="00143CD0">
      <w:pPr>
        <w:spacing w:after="240"/>
        <w:ind w:right="-199"/>
      </w:pPr>
      <w:r w:rsidRPr="00396F1D">
        <w:t>There were 851 patients who claimed item 37245 in 2016-17.  Of these, 841 were new patients and 10 were continuing fro</w:t>
      </w:r>
      <w:r>
        <w:t>m the previous financial year</w:t>
      </w:r>
      <w:r w:rsidRPr="00396F1D">
        <w:t xml:space="preserve"> (</w:t>
      </w:r>
      <w:r>
        <w:t>Table 3</w:t>
      </w:r>
      <w:r w:rsidRPr="00396F1D">
        <w:t xml:space="preserve">). </w:t>
      </w:r>
    </w:p>
    <w:p w14:paraId="7FA4F6C7" w14:textId="6AC75644" w:rsidR="0045589E" w:rsidRDefault="0045589E" w:rsidP="00143CD0">
      <w:pPr>
        <w:spacing w:after="240"/>
      </w:pPr>
      <w:r w:rsidRPr="00396F1D">
        <w:t xml:space="preserve">The service is </w:t>
      </w:r>
      <w:r>
        <w:t>most commonly</w:t>
      </w:r>
      <w:r w:rsidRPr="00396F1D">
        <w:t xml:space="preserve"> claimed by male patients aged 65-74</w:t>
      </w:r>
      <w:r>
        <w:t xml:space="preserve"> at 43% of the total services since implementation (Table 4).</w:t>
      </w:r>
    </w:p>
    <w:p w14:paraId="769C1C90" w14:textId="453BB80F" w:rsidR="0045589E" w:rsidRPr="00B75127" w:rsidRDefault="0045589E" w:rsidP="00B75127">
      <w:pPr>
        <w:rPr>
          <w:b/>
          <w:sz w:val="20"/>
        </w:rPr>
      </w:pPr>
      <w:r w:rsidRPr="00B75127">
        <w:rPr>
          <w:b/>
          <w:sz w:val="20"/>
        </w:rPr>
        <w:t xml:space="preserve">Table </w:t>
      </w:r>
      <w:r w:rsidR="006A4D42" w:rsidRPr="00B75127">
        <w:rPr>
          <w:b/>
          <w:sz w:val="20"/>
        </w:rPr>
        <w:t>2</w:t>
      </w:r>
      <w:r w:rsidRPr="00B75127">
        <w:rPr>
          <w:b/>
          <w:sz w:val="20"/>
        </w:rPr>
        <w:t>: Number of new and continuing patients who received MBS item 37245 by financial year</w:t>
      </w:r>
    </w:p>
    <w:tbl>
      <w:tblPr>
        <w:tblW w:w="8300" w:type="dxa"/>
        <w:tblInd w:w="93" w:type="dxa"/>
        <w:tblLook w:val="04A0" w:firstRow="1" w:lastRow="0" w:firstColumn="1" w:lastColumn="0" w:noHBand="0" w:noVBand="1"/>
        <w:tblCaption w:val="Table 3"/>
        <w:tblDescription w:val="Number of new and continuing patients who receved MBS item 37245 by financial year. In 2015-16 there were 716 new patients and 8 continuing. In 2016-17 there were 841 new patients and 10 continuing."/>
      </w:tblPr>
      <w:tblGrid>
        <w:gridCol w:w="2075"/>
        <w:gridCol w:w="2075"/>
        <w:gridCol w:w="2075"/>
        <w:gridCol w:w="2075"/>
      </w:tblGrid>
      <w:tr w:rsidR="0045589E" w14:paraId="648FC109" w14:textId="77777777" w:rsidTr="0045589E">
        <w:trPr>
          <w:trHeight w:val="397"/>
        </w:trPr>
        <w:tc>
          <w:tcPr>
            <w:tcW w:w="2075"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5E00AC48" w14:textId="77777777" w:rsidR="0045589E" w:rsidRPr="001260CA" w:rsidRDefault="0045589E" w:rsidP="0045589E">
            <w:pPr>
              <w:jc w:val="center"/>
              <w:rPr>
                <w:rFonts w:ascii="Arial" w:hAnsi="Arial" w:cs="Arial"/>
                <w:b/>
                <w:bCs/>
                <w:color w:val="000000"/>
                <w:sz w:val="18"/>
                <w:szCs w:val="18"/>
              </w:rPr>
            </w:pPr>
            <w:r w:rsidRPr="001260CA">
              <w:rPr>
                <w:rFonts w:ascii="Arial" w:hAnsi="Arial" w:cs="Arial"/>
                <w:b/>
                <w:bCs/>
                <w:color w:val="000000"/>
                <w:sz w:val="18"/>
                <w:szCs w:val="18"/>
              </w:rPr>
              <w:t>Financial Year</w:t>
            </w:r>
          </w:p>
        </w:tc>
        <w:tc>
          <w:tcPr>
            <w:tcW w:w="2075"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5ADE3C9E" w14:textId="77777777" w:rsidR="0045589E" w:rsidRPr="001260CA" w:rsidRDefault="0045589E" w:rsidP="0045589E">
            <w:pPr>
              <w:jc w:val="center"/>
              <w:rPr>
                <w:rFonts w:ascii="Arial" w:hAnsi="Arial" w:cs="Arial"/>
                <w:b/>
                <w:bCs/>
                <w:color w:val="000000"/>
                <w:sz w:val="18"/>
                <w:szCs w:val="18"/>
              </w:rPr>
            </w:pPr>
            <w:r w:rsidRPr="001260CA">
              <w:rPr>
                <w:rFonts w:ascii="Arial" w:hAnsi="Arial" w:cs="Arial"/>
                <w:b/>
                <w:bCs/>
                <w:color w:val="000000"/>
                <w:sz w:val="18"/>
                <w:szCs w:val="18"/>
              </w:rPr>
              <w:t>New Patients</w:t>
            </w:r>
          </w:p>
        </w:tc>
        <w:tc>
          <w:tcPr>
            <w:tcW w:w="2075"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1AC859E9" w14:textId="77777777" w:rsidR="0045589E" w:rsidRPr="001260CA" w:rsidRDefault="0045589E" w:rsidP="0045589E">
            <w:pPr>
              <w:jc w:val="center"/>
              <w:rPr>
                <w:rFonts w:ascii="Arial" w:hAnsi="Arial" w:cs="Arial"/>
                <w:b/>
                <w:bCs/>
                <w:color w:val="000000"/>
                <w:sz w:val="18"/>
                <w:szCs w:val="18"/>
              </w:rPr>
            </w:pPr>
            <w:r w:rsidRPr="001260CA">
              <w:rPr>
                <w:rFonts w:ascii="Arial" w:hAnsi="Arial" w:cs="Arial"/>
                <w:b/>
                <w:bCs/>
                <w:color w:val="000000"/>
                <w:sz w:val="18"/>
                <w:szCs w:val="18"/>
              </w:rPr>
              <w:t>Continuing Patients</w:t>
            </w:r>
          </w:p>
        </w:tc>
        <w:tc>
          <w:tcPr>
            <w:tcW w:w="2075"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132DF153" w14:textId="77777777" w:rsidR="0045589E" w:rsidRPr="001260CA" w:rsidRDefault="0045589E" w:rsidP="0045589E">
            <w:pPr>
              <w:jc w:val="center"/>
              <w:rPr>
                <w:rFonts w:ascii="Arial" w:hAnsi="Arial" w:cs="Arial"/>
                <w:b/>
                <w:bCs/>
                <w:color w:val="000000"/>
                <w:sz w:val="18"/>
                <w:szCs w:val="18"/>
              </w:rPr>
            </w:pPr>
            <w:r w:rsidRPr="001260CA">
              <w:rPr>
                <w:rFonts w:ascii="Arial" w:hAnsi="Arial" w:cs="Arial"/>
                <w:b/>
                <w:bCs/>
                <w:color w:val="000000"/>
                <w:sz w:val="18"/>
                <w:szCs w:val="18"/>
              </w:rPr>
              <w:t>Total Patients</w:t>
            </w:r>
          </w:p>
        </w:tc>
      </w:tr>
      <w:tr w:rsidR="0045589E" w14:paraId="5A01F291" w14:textId="77777777" w:rsidTr="0045589E">
        <w:trPr>
          <w:trHeight w:val="397"/>
        </w:trPr>
        <w:tc>
          <w:tcPr>
            <w:tcW w:w="2075" w:type="dxa"/>
            <w:tcBorders>
              <w:top w:val="nil"/>
              <w:left w:val="single" w:sz="4" w:space="0" w:color="000000"/>
              <w:bottom w:val="single" w:sz="4" w:space="0" w:color="000000"/>
              <w:right w:val="single" w:sz="4" w:space="0" w:color="000000"/>
            </w:tcBorders>
            <w:shd w:val="clear" w:color="000000" w:fill="FFFFFF"/>
            <w:noWrap/>
            <w:vAlign w:val="center"/>
            <w:hideMark/>
          </w:tcPr>
          <w:p w14:paraId="79ED65D6" w14:textId="77777777" w:rsidR="0045589E" w:rsidRPr="001260CA" w:rsidRDefault="0045589E" w:rsidP="0045589E">
            <w:pPr>
              <w:rPr>
                <w:rFonts w:ascii="Arial" w:hAnsi="Arial" w:cs="Arial"/>
                <w:color w:val="000000"/>
                <w:sz w:val="18"/>
                <w:szCs w:val="18"/>
              </w:rPr>
            </w:pPr>
            <w:r w:rsidRPr="001260CA">
              <w:rPr>
                <w:rFonts w:ascii="Arial" w:hAnsi="Arial" w:cs="Arial"/>
                <w:color w:val="000000"/>
                <w:sz w:val="18"/>
                <w:szCs w:val="18"/>
              </w:rPr>
              <w:t>2015-16</w:t>
            </w:r>
          </w:p>
        </w:tc>
        <w:tc>
          <w:tcPr>
            <w:tcW w:w="2075" w:type="dxa"/>
            <w:tcBorders>
              <w:top w:val="nil"/>
              <w:left w:val="nil"/>
              <w:bottom w:val="single" w:sz="4" w:space="0" w:color="000000"/>
              <w:right w:val="single" w:sz="4" w:space="0" w:color="000000"/>
            </w:tcBorders>
            <w:shd w:val="clear" w:color="000000" w:fill="FFFFFF"/>
            <w:noWrap/>
            <w:vAlign w:val="center"/>
            <w:hideMark/>
          </w:tcPr>
          <w:p w14:paraId="2368AE57" w14:textId="77777777" w:rsidR="0045589E" w:rsidRPr="001260CA" w:rsidRDefault="0045589E" w:rsidP="0045589E">
            <w:pPr>
              <w:jc w:val="right"/>
              <w:rPr>
                <w:rFonts w:ascii="Arial" w:hAnsi="Arial" w:cs="Arial"/>
                <w:color w:val="000000"/>
                <w:sz w:val="18"/>
                <w:szCs w:val="18"/>
              </w:rPr>
            </w:pPr>
            <w:r w:rsidRPr="001260CA">
              <w:rPr>
                <w:rFonts w:ascii="Arial" w:hAnsi="Arial" w:cs="Arial"/>
                <w:color w:val="000000"/>
                <w:sz w:val="18"/>
                <w:szCs w:val="18"/>
              </w:rPr>
              <w:t>716</w:t>
            </w:r>
          </w:p>
        </w:tc>
        <w:tc>
          <w:tcPr>
            <w:tcW w:w="2075" w:type="dxa"/>
            <w:tcBorders>
              <w:top w:val="nil"/>
              <w:left w:val="nil"/>
              <w:bottom w:val="single" w:sz="4" w:space="0" w:color="000000"/>
              <w:right w:val="single" w:sz="4" w:space="0" w:color="000000"/>
            </w:tcBorders>
            <w:shd w:val="clear" w:color="000000" w:fill="FFFFFF"/>
            <w:noWrap/>
            <w:vAlign w:val="center"/>
            <w:hideMark/>
          </w:tcPr>
          <w:p w14:paraId="01F51328" w14:textId="77777777" w:rsidR="0045589E" w:rsidRPr="001260CA" w:rsidRDefault="0045589E" w:rsidP="0045589E">
            <w:pPr>
              <w:jc w:val="right"/>
              <w:rPr>
                <w:rFonts w:ascii="Arial" w:hAnsi="Arial" w:cs="Arial"/>
                <w:color w:val="000000"/>
                <w:sz w:val="18"/>
                <w:szCs w:val="18"/>
              </w:rPr>
            </w:pPr>
            <w:r w:rsidRPr="001260CA">
              <w:rPr>
                <w:rFonts w:ascii="Arial" w:hAnsi="Arial" w:cs="Arial"/>
                <w:color w:val="000000"/>
                <w:sz w:val="18"/>
                <w:szCs w:val="18"/>
              </w:rPr>
              <w:t>8</w:t>
            </w:r>
          </w:p>
        </w:tc>
        <w:tc>
          <w:tcPr>
            <w:tcW w:w="2075" w:type="dxa"/>
            <w:tcBorders>
              <w:top w:val="nil"/>
              <w:left w:val="nil"/>
              <w:bottom w:val="single" w:sz="4" w:space="0" w:color="000000"/>
              <w:right w:val="single" w:sz="4" w:space="0" w:color="000000"/>
            </w:tcBorders>
            <w:shd w:val="clear" w:color="000000" w:fill="FFFFFF"/>
            <w:noWrap/>
            <w:vAlign w:val="center"/>
            <w:hideMark/>
          </w:tcPr>
          <w:p w14:paraId="31EC86F3" w14:textId="77777777" w:rsidR="0045589E" w:rsidRPr="001260CA" w:rsidRDefault="0045589E" w:rsidP="0045589E">
            <w:pPr>
              <w:jc w:val="right"/>
              <w:rPr>
                <w:rFonts w:ascii="Arial" w:hAnsi="Arial" w:cs="Arial"/>
                <w:color w:val="000000"/>
                <w:sz w:val="18"/>
                <w:szCs w:val="18"/>
              </w:rPr>
            </w:pPr>
            <w:r w:rsidRPr="001260CA">
              <w:rPr>
                <w:rFonts w:ascii="Arial" w:hAnsi="Arial" w:cs="Arial"/>
                <w:color w:val="000000"/>
                <w:sz w:val="18"/>
                <w:szCs w:val="18"/>
              </w:rPr>
              <w:t>724</w:t>
            </w:r>
          </w:p>
        </w:tc>
      </w:tr>
      <w:tr w:rsidR="0045589E" w14:paraId="72A2FA7F" w14:textId="77777777" w:rsidTr="0045589E">
        <w:trPr>
          <w:trHeight w:val="397"/>
        </w:trPr>
        <w:tc>
          <w:tcPr>
            <w:tcW w:w="2075" w:type="dxa"/>
            <w:tcBorders>
              <w:top w:val="nil"/>
              <w:left w:val="single" w:sz="4" w:space="0" w:color="000000"/>
              <w:bottom w:val="single" w:sz="4" w:space="0" w:color="000000"/>
              <w:right w:val="single" w:sz="4" w:space="0" w:color="000000"/>
            </w:tcBorders>
            <w:shd w:val="clear" w:color="000000" w:fill="FFFFFF"/>
            <w:noWrap/>
            <w:vAlign w:val="center"/>
            <w:hideMark/>
          </w:tcPr>
          <w:p w14:paraId="17C390CD" w14:textId="77777777" w:rsidR="0045589E" w:rsidRPr="001260CA" w:rsidRDefault="0045589E" w:rsidP="0045589E">
            <w:pPr>
              <w:rPr>
                <w:rFonts w:ascii="Arial" w:hAnsi="Arial" w:cs="Arial"/>
                <w:color w:val="000000"/>
                <w:sz w:val="18"/>
                <w:szCs w:val="18"/>
              </w:rPr>
            </w:pPr>
            <w:r w:rsidRPr="001260CA">
              <w:rPr>
                <w:rFonts w:ascii="Arial" w:hAnsi="Arial" w:cs="Arial"/>
                <w:color w:val="000000"/>
                <w:sz w:val="18"/>
                <w:szCs w:val="18"/>
              </w:rPr>
              <w:t>2016-17</w:t>
            </w:r>
          </w:p>
        </w:tc>
        <w:tc>
          <w:tcPr>
            <w:tcW w:w="2075" w:type="dxa"/>
            <w:tcBorders>
              <w:top w:val="nil"/>
              <w:left w:val="nil"/>
              <w:bottom w:val="single" w:sz="4" w:space="0" w:color="000000"/>
              <w:right w:val="single" w:sz="4" w:space="0" w:color="000000"/>
            </w:tcBorders>
            <w:shd w:val="clear" w:color="000000" w:fill="FFFFFF"/>
            <w:noWrap/>
            <w:vAlign w:val="center"/>
            <w:hideMark/>
          </w:tcPr>
          <w:p w14:paraId="4496C012" w14:textId="77777777" w:rsidR="0045589E" w:rsidRPr="001260CA" w:rsidRDefault="0045589E" w:rsidP="0045589E">
            <w:pPr>
              <w:jc w:val="right"/>
              <w:rPr>
                <w:rFonts w:ascii="Arial" w:hAnsi="Arial" w:cs="Arial"/>
                <w:color w:val="000000"/>
                <w:sz w:val="18"/>
                <w:szCs w:val="18"/>
              </w:rPr>
            </w:pPr>
            <w:r w:rsidRPr="001260CA">
              <w:rPr>
                <w:rFonts w:ascii="Arial" w:hAnsi="Arial" w:cs="Arial"/>
                <w:color w:val="000000"/>
                <w:sz w:val="18"/>
                <w:szCs w:val="18"/>
              </w:rPr>
              <w:t>841</w:t>
            </w:r>
          </w:p>
        </w:tc>
        <w:tc>
          <w:tcPr>
            <w:tcW w:w="2075" w:type="dxa"/>
            <w:tcBorders>
              <w:top w:val="nil"/>
              <w:left w:val="nil"/>
              <w:bottom w:val="single" w:sz="4" w:space="0" w:color="000000"/>
              <w:right w:val="single" w:sz="4" w:space="0" w:color="000000"/>
            </w:tcBorders>
            <w:shd w:val="clear" w:color="000000" w:fill="FFFFFF"/>
            <w:noWrap/>
            <w:vAlign w:val="center"/>
            <w:hideMark/>
          </w:tcPr>
          <w:p w14:paraId="665343D6" w14:textId="77777777" w:rsidR="0045589E" w:rsidRPr="001260CA" w:rsidRDefault="0045589E" w:rsidP="0045589E">
            <w:pPr>
              <w:jc w:val="right"/>
              <w:rPr>
                <w:rFonts w:ascii="Arial" w:hAnsi="Arial" w:cs="Arial"/>
                <w:color w:val="000000"/>
                <w:sz w:val="18"/>
                <w:szCs w:val="18"/>
              </w:rPr>
            </w:pPr>
            <w:r w:rsidRPr="001260CA">
              <w:rPr>
                <w:rFonts w:ascii="Arial" w:hAnsi="Arial" w:cs="Arial"/>
                <w:color w:val="000000"/>
                <w:sz w:val="18"/>
                <w:szCs w:val="18"/>
              </w:rPr>
              <w:t>10</w:t>
            </w:r>
          </w:p>
        </w:tc>
        <w:tc>
          <w:tcPr>
            <w:tcW w:w="2075" w:type="dxa"/>
            <w:tcBorders>
              <w:top w:val="nil"/>
              <w:left w:val="nil"/>
              <w:bottom w:val="single" w:sz="4" w:space="0" w:color="000000"/>
              <w:right w:val="single" w:sz="4" w:space="0" w:color="000000"/>
            </w:tcBorders>
            <w:shd w:val="clear" w:color="000000" w:fill="FFFFFF"/>
            <w:noWrap/>
            <w:vAlign w:val="center"/>
            <w:hideMark/>
          </w:tcPr>
          <w:p w14:paraId="235E45A8" w14:textId="77777777" w:rsidR="0045589E" w:rsidRPr="001260CA" w:rsidRDefault="0045589E" w:rsidP="0045589E">
            <w:pPr>
              <w:jc w:val="right"/>
              <w:rPr>
                <w:rFonts w:ascii="Arial" w:hAnsi="Arial" w:cs="Arial"/>
                <w:color w:val="000000"/>
                <w:sz w:val="18"/>
                <w:szCs w:val="18"/>
              </w:rPr>
            </w:pPr>
            <w:r w:rsidRPr="001260CA">
              <w:rPr>
                <w:rFonts w:ascii="Arial" w:hAnsi="Arial" w:cs="Arial"/>
                <w:color w:val="000000"/>
                <w:sz w:val="18"/>
                <w:szCs w:val="18"/>
              </w:rPr>
              <w:t>851</w:t>
            </w:r>
          </w:p>
        </w:tc>
      </w:tr>
    </w:tbl>
    <w:p w14:paraId="6D9627D2" w14:textId="348298ED" w:rsidR="00143CD0" w:rsidRPr="00143CD0" w:rsidRDefault="0045589E" w:rsidP="00143CD0">
      <w:pPr>
        <w:spacing w:after="240"/>
        <w:rPr>
          <w:i/>
          <w:sz w:val="18"/>
        </w:rPr>
      </w:pPr>
      <w:r w:rsidRPr="002B5C7C">
        <w:rPr>
          <w:i/>
          <w:sz w:val="18"/>
        </w:rPr>
        <w:t xml:space="preserve">Source: </w:t>
      </w:r>
      <w:r>
        <w:rPr>
          <w:i/>
          <w:sz w:val="18"/>
        </w:rPr>
        <w:t>Department of Health, File:</w:t>
      </w:r>
      <w:r w:rsidRPr="002B5C7C">
        <w:rPr>
          <w:i/>
          <w:sz w:val="18"/>
        </w:rPr>
        <w:t>Q20994_1149 Item 37245 utilisation 07NOV17.xls</w:t>
      </w:r>
      <w:r w:rsidR="00143CD0">
        <w:br w:type="page"/>
      </w:r>
    </w:p>
    <w:p w14:paraId="032E9BFC" w14:textId="5EF8104C" w:rsidR="0045589E" w:rsidRPr="0062146B" w:rsidRDefault="006A4D42" w:rsidP="00B75127">
      <w:pPr>
        <w:rPr>
          <w:b/>
          <w:sz w:val="20"/>
        </w:rPr>
      </w:pPr>
      <w:r w:rsidRPr="0062146B">
        <w:rPr>
          <w:b/>
          <w:sz w:val="20"/>
        </w:rPr>
        <w:lastRenderedPageBreak/>
        <w:t>Table 3</w:t>
      </w:r>
      <w:r w:rsidR="0045589E" w:rsidRPr="0062146B">
        <w:rPr>
          <w:b/>
          <w:sz w:val="20"/>
        </w:rPr>
        <w:t>: Percentage of patients receiving MBS item 37245 per age group by financial year</w:t>
      </w:r>
    </w:p>
    <w:tbl>
      <w:tblPr>
        <w:tblW w:w="8258" w:type="dxa"/>
        <w:tblInd w:w="93" w:type="dxa"/>
        <w:tblLook w:val="04A0" w:firstRow="1" w:lastRow="0" w:firstColumn="1" w:lastColumn="0" w:noHBand="0" w:noVBand="1"/>
        <w:tblCaption w:val="Table 4"/>
        <w:tblDescription w:val="Visual representation of percentage if patients receiving MBS item 37245 per age greoup by financial year. showed 2012-13 to 2016-17. 43% of patients were aged 65-74 for all years. "/>
      </w:tblPr>
      <w:tblGrid>
        <w:gridCol w:w="1848"/>
        <w:gridCol w:w="1068"/>
        <w:gridCol w:w="1068"/>
        <w:gridCol w:w="1068"/>
        <w:gridCol w:w="1068"/>
        <w:gridCol w:w="1070"/>
        <w:gridCol w:w="1068"/>
      </w:tblGrid>
      <w:tr w:rsidR="0045589E" w14:paraId="6DE0CA1F" w14:textId="77777777" w:rsidTr="0045589E">
        <w:trPr>
          <w:trHeight w:val="358"/>
        </w:trPr>
        <w:tc>
          <w:tcPr>
            <w:tcW w:w="1848"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E22C905" w14:textId="77777777" w:rsidR="0045589E" w:rsidRPr="00954F7B" w:rsidRDefault="0045589E" w:rsidP="0045589E">
            <w:pPr>
              <w:jc w:val="center"/>
              <w:rPr>
                <w:rFonts w:ascii="Arial" w:hAnsi="Arial" w:cs="Arial"/>
                <w:b/>
                <w:bCs/>
                <w:color w:val="000000"/>
                <w:sz w:val="18"/>
                <w:szCs w:val="18"/>
              </w:rPr>
            </w:pPr>
            <w:r w:rsidRPr="00954F7B">
              <w:rPr>
                <w:rFonts w:ascii="Arial" w:hAnsi="Arial" w:cs="Arial"/>
                <w:b/>
                <w:bCs/>
                <w:color w:val="000000"/>
                <w:sz w:val="18"/>
                <w:szCs w:val="18"/>
              </w:rPr>
              <w:t>Age range</w:t>
            </w:r>
          </w:p>
        </w:tc>
        <w:tc>
          <w:tcPr>
            <w:tcW w:w="5342" w:type="dxa"/>
            <w:gridSpan w:val="5"/>
            <w:tcBorders>
              <w:top w:val="single" w:sz="4" w:space="0" w:color="auto"/>
              <w:left w:val="nil"/>
              <w:bottom w:val="single" w:sz="4" w:space="0" w:color="auto"/>
              <w:right w:val="single" w:sz="4" w:space="0" w:color="auto"/>
            </w:tcBorders>
            <w:shd w:val="clear" w:color="000000" w:fill="8DB4E2"/>
            <w:vAlign w:val="bottom"/>
            <w:hideMark/>
          </w:tcPr>
          <w:p w14:paraId="0786A0AF" w14:textId="77777777" w:rsidR="0045589E" w:rsidRPr="00954F7B" w:rsidRDefault="0045589E" w:rsidP="0045589E">
            <w:pPr>
              <w:jc w:val="center"/>
              <w:rPr>
                <w:rFonts w:ascii="Arial" w:hAnsi="Arial" w:cs="Arial"/>
                <w:b/>
                <w:bCs/>
                <w:color w:val="000000"/>
                <w:sz w:val="18"/>
                <w:szCs w:val="18"/>
              </w:rPr>
            </w:pPr>
            <w:r w:rsidRPr="00954F7B">
              <w:rPr>
                <w:rFonts w:ascii="Arial" w:hAnsi="Arial" w:cs="Arial"/>
                <w:b/>
                <w:bCs/>
                <w:color w:val="000000"/>
                <w:sz w:val="18"/>
                <w:szCs w:val="18"/>
              </w:rPr>
              <w:t>Financial Year</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2CF1837" w14:textId="77777777" w:rsidR="0045589E" w:rsidRPr="00954F7B" w:rsidRDefault="0045589E" w:rsidP="0045589E">
            <w:pPr>
              <w:jc w:val="center"/>
              <w:rPr>
                <w:rFonts w:ascii="Arial" w:hAnsi="Arial" w:cs="Arial"/>
                <w:b/>
                <w:bCs/>
                <w:color w:val="000000"/>
                <w:sz w:val="18"/>
                <w:szCs w:val="18"/>
              </w:rPr>
            </w:pPr>
            <w:r w:rsidRPr="00954F7B">
              <w:rPr>
                <w:rFonts w:ascii="Arial" w:hAnsi="Arial" w:cs="Arial"/>
                <w:b/>
                <w:bCs/>
                <w:color w:val="000000"/>
                <w:sz w:val="18"/>
                <w:szCs w:val="18"/>
              </w:rPr>
              <w:t>Total</w:t>
            </w:r>
          </w:p>
        </w:tc>
      </w:tr>
      <w:tr w:rsidR="0045589E" w14:paraId="2A346EDC" w14:textId="77777777" w:rsidTr="0045589E">
        <w:trPr>
          <w:trHeight w:val="358"/>
        </w:trPr>
        <w:tc>
          <w:tcPr>
            <w:tcW w:w="1848" w:type="dxa"/>
            <w:vMerge/>
            <w:tcBorders>
              <w:top w:val="single" w:sz="4" w:space="0" w:color="auto"/>
              <w:left w:val="single" w:sz="4" w:space="0" w:color="auto"/>
              <w:bottom w:val="single" w:sz="4" w:space="0" w:color="auto"/>
              <w:right w:val="single" w:sz="4" w:space="0" w:color="auto"/>
            </w:tcBorders>
            <w:vAlign w:val="center"/>
            <w:hideMark/>
          </w:tcPr>
          <w:p w14:paraId="63B706CA" w14:textId="77777777" w:rsidR="0045589E" w:rsidRPr="00954F7B" w:rsidRDefault="0045589E" w:rsidP="0045589E">
            <w:pPr>
              <w:rPr>
                <w:rFonts w:ascii="Arial" w:hAnsi="Arial" w:cs="Arial"/>
                <w:b/>
                <w:bCs/>
                <w:color w:val="000000"/>
                <w:sz w:val="18"/>
                <w:szCs w:val="18"/>
              </w:rPr>
            </w:pPr>
          </w:p>
        </w:tc>
        <w:tc>
          <w:tcPr>
            <w:tcW w:w="1068" w:type="dxa"/>
            <w:tcBorders>
              <w:top w:val="nil"/>
              <w:left w:val="nil"/>
              <w:bottom w:val="single" w:sz="4" w:space="0" w:color="auto"/>
              <w:right w:val="single" w:sz="4" w:space="0" w:color="auto"/>
            </w:tcBorders>
            <w:shd w:val="clear" w:color="000000" w:fill="8DB4E2"/>
            <w:noWrap/>
            <w:vAlign w:val="center"/>
            <w:hideMark/>
          </w:tcPr>
          <w:p w14:paraId="7F8C5310" w14:textId="77777777" w:rsidR="0045589E" w:rsidRPr="00954F7B" w:rsidRDefault="0045589E" w:rsidP="0045589E">
            <w:pPr>
              <w:jc w:val="center"/>
              <w:rPr>
                <w:rFonts w:ascii="Arial" w:hAnsi="Arial" w:cs="Arial"/>
                <w:b/>
                <w:bCs/>
                <w:color w:val="000000"/>
                <w:sz w:val="18"/>
                <w:szCs w:val="18"/>
              </w:rPr>
            </w:pPr>
            <w:r w:rsidRPr="00954F7B">
              <w:rPr>
                <w:rFonts w:ascii="Arial" w:hAnsi="Arial" w:cs="Arial"/>
                <w:b/>
                <w:bCs/>
                <w:color w:val="000000"/>
                <w:sz w:val="18"/>
                <w:szCs w:val="18"/>
              </w:rPr>
              <w:t>2012-13</w:t>
            </w:r>
          </w:p>
        </w:tc>
        <w:tc>
          <w:tcPr>
            <w:tcW w:w="1068" w:type="dxa"/>
            <w:tcBorders>
              <w:top w:val="nil"/>
              <w:left w:val="nil"/>
              <w:bottom w:val="single" w:sz="4" w:space="0" w:color="auto"/>
              <w:right w:val="single" w:sz="4" w:space="0" w:color="auto"/>
            </w:tcBorders>
            <w:shd w:val="clear" w:color="000000" w:fill="8DB4E2"/>
            <w:noWrap/>
            <w:vAlign w:val="bottom"/>
            <w:hideMark/>
          </w:tcPr>
          <w:p w14:paraId="455B8B4B"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2013-14</w:t>
            </w:r>
          </w:p>
        </w:tc>
        <w:tc>
          <w:tcPr>
            <w:tcW w:w="1068" w:type="dxa"/>
            <w:tcBorders>
              <w:top w:val="nil"/>
              <w:left w:val="nil"/>
              <w:bottom w:val="single" w:sz="4" w:space="0" w:color="auto"/>
              <w:right w:val="single" w:sz="4" w:space="0" w:color="auto"/>
            </w:tcBorders>
            <w:shd w:val="clear" w:color="000000" w:fill="8DB4E2"/>
            <w:noWrap/>
            <w:vAlign w:val="bottom"/>
            <w:hideMark/>
          </w:tcPr>
          <w:p w14:paraId="63FB8719"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2014-15</w:t>
            </w:r>
          </w:p>
        </w:tc>
        <w:tc>
          <w:tcPr>
            <w:tcW w:w="1068" w:type="dxa"/>
            <w:tcBorders>
              <w:top w:val="nil"/>
              <w:left w:val="nil"/>
              <w:bottom w:val="single" w:sz="4" w:space="0" w:color="auto"/>
              <w:right w:val="single" w:sz="4" w:space="0" w:color="auto"/>
            </w:tcBorders>
            <w:shd w:val="clear" w:color="000000" w:fill="8DB4E2"/>
            <w:noWrap/>
            <w:vAlign w:val="bottom"/>
            <w:hideMark/>
          </w:tcPr>
          <w:p w14:paraId="437AB588"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2015-16</w:t>
            </w:r>
          </w:p>
        </w:tc>
        <w:tc>
          <w:tcPr>
            <w:tcW w:w="1068" w:type="dxa"/>
            <w:tcBorders>
              <w:top w:val="nil"/>
              <w:left w:val="nil"/>
              <w:bottom w:val="single" w:sz="4" w:space="0" w:color="auto"/>
              <w:right w:val="single" w:sz="4" w:space="0" w:color="auto"/>
            </w:tcBorders>
            <w:shd w:val="clear" w:color="000000" w:fill="8DB4E2"/>
            <w:noWrap/>
            <w:vAlign w:val="bottom"/>
            <w:hideMark/>
          </w:tcPr>
          <w:p w14:paraId="5592E803"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2016-17</w:t>
            </w: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7FDBB179" w14:textId="77777777" w:rsidR="0045589E" w:rsidRPr="00954F7B" w:rsidRDefault="0045589E" w:rsidP="0045589E">
            <w:pPr>
              <w:rPr>
                <w:rFonts w:ascii="Arial" w:hAnsi="Arial" w:cs="Arial"/>
                <w:b/>
                <w:bCs/>
                <w:color w:val="000000"/>
                <w:sz w:val="18"/>
                <w:szCs w:val="18"/>
              </w:rPr>
            </w:pPr>
          </w:p>
        </w:tc>
      </w:tr>
      <w:tr w:rsidR="0045589E" w14:paraId="3CAC5AF1" w14:textId="77777777" w:rsidTr="0045589E">
        <w:trPr>
          <w:trHeight w:val="358"/>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388DCA29" w14:textId="77777777" w:rsidR="0045589E" w:rsidRPr="00954F7B" w:rsidRDefault="0045589E" w:rsidP="0045589E">
            <w:pPr>
              <w:rPr>
                <w:rFonts w:ascii="Arial" w:hAnsi="Arial" w:cs="Arial"/>
                <w:color w:val="000000"/>
                <w:sz w:val="18"/>
                <w:szCs w:val="18"/>
              </w:rPr>
            </w:pPr>
            <w:r w:rsidRPr="00954F7B">
              <w:rPr>
                <w:rFonts w:ascii="Arial" w:hAnsi="Arial" w:cs="Arial"/>
                <w:color w:val="000000"/>
                <w:sz w:val="18"/>
                <w:szCs w:val="18"/>
              </w:rPr>
              <w:t>0-34</w:t>
            </w:r>
          </w:p>
        </w:tc>
        <w:tc>
          <w:tcPr>
            <w:tcW w:w="1068" w:type="dxa"/>
            <w:tcBorders>
              <w:top w:val="nil"/>
              <w:left w:val="nil"/>
              <w:bottom w:val="single" w:sz="4" w:space="0" w:color="auto"/>
              <w:right w:val="single" w:sz="4" w:space="0" w:color="auto"/>
            </w:tcBorders>
            <w:shd w:val="clear" w:color="auto" w:fill="auto"/>
            <w:noWrap/>
            <w:vAlign w:val="center"/>
            <w:hideMark/>
          </w:tcPr>
          <w:p w14:paraId="32915160"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14:paraId="0BEB987C"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14:paraId="684580E5"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14:paraId="4D6EC5B4"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14:paraId="2DA3758A"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14:paraId="72E0FF3A"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0%</w:t>
            </w:r>
          </w:p>
        </w:tc>
      </w:tr>
      <w:tr w:rsidR="0045589E" w14:paraId="3C28B888" w14:textId="77777777" w:rsidTr="0045589E">
        <w:trPr>
          <w:trHeight w:val="358"/>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3B29A798" w14:textId="77777777" w:rsidR="0045589E" w:rsidRPr="00954F7B" w:rsidRDefault="0045589E" w:rsidP="0045589E">
            <w:pPr>
              <w:rPr>
                <w:rFonts w:ascii="Arial" w:hAnsi="Arial" w:cs="Arial"/>
                <w:color w:val="000000"/>
                <w:sz w:val="18"/>
                <w:szCs w:val="18"/>
              </w:rPr>
            </w:pPr>
            <w:r w:rsidRPr="00954F7B">
              <w:rPr>
                <w:rFonts w:ascii="Arial" w:hAnsi="Arial" w:cs="Arial"/>
                <w:color w:val="000000"/>
                <w:sz w:val="18"/>
                <w:szCs w:val="18"/>
              </w:rPr>
              <w:t>35-44</w:t>
            </w:r>
          </w:p>
        </w:tc>
        <w:tc>
          <w:tcPr>
            <w:tcW w:w="1068" w:type="dxa"/>
            <w:tcBorders>
              <w:top w:val="nil"/>
              <w:left w:val="nil"/>
              <w:bottom w:val="single" w:sz="4" w:space="0" w:color="auto"/>
              <w:right w:val="single" w:sz="4" w:space="0" w:color="auto"/>
            </w:tcBorders>
            <w:shd w:val="clear" w:color="auto" w:fill="auto"/>
            <w:noWrap/>
            <w:vAlign w:val="center"/>
            <w:hideMark/>
          </w:tcPr>
          <w:p w14:paraId="480F361B"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14:paraId="0A9B7304"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14:paraId="089825B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14:paraId="4FEAA47B"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&gt;1%</w:t>
            </w:r>
          </w:p>
        </w:tc>
        <w:tc>
          <w:tcPr>
            <w:tcW w:w="1068" w:type="dxa"/>
            <w:tcBorders>
              <w:top w:val="nil"/>
              <w:left w:val="nil"/>
              <w:bottom w:val="single" w:sz="4" w:space="0" w:color="auto"/>
              <w:right w:val="single" w:sz="4" w:space="0" w:color="auto"/>
            </w:tcBorders>
            <w:shd w:val="clear" w:color="auto" w:fill="auto"/>
            <w:noWrap/>
            <w:vAlign w:val="center"/>
            <w:hideMark/>
          </w:tcPr>
          <w:p w14:paraId="77B4F0D3"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14:paraId="7387CF4D"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&gt;1%</w:t>
            </w:r>
          </w:p>
        </w:tc>
      </w:tr>
      <w:tr w:rsidR="0045589E" w14:paraId="0BFC05AD" w14:textId="77777777" w:rsidTr="0045589E">
        <w:trPr>
          <w:trHeight w:val="358"/>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013C011E" w14:textId="77777777" w:rsidR="0045589E" w:rsidRPr="00954F7B" w:rsidRDefault="0045589E" w:rsidP="0045589E">
            <w:pPr>
              <w:rPr>
                <w:rFonts w:ascii="Arial" w:hAnsi="Arial" w:cs="Arial"/>
                <w:color w:val="000000"/>
                <w:sz w:val="18"/>
                <w:szCs w:val="18"/>
              </w:rPr>
            </w:pPr>
            <w:r w:rsidRPr="00954F7B">
              <w:rPr>
                <w:rFonts w:ascii="Arial" w:hAnsi="Arial" w:cs="Arial"/>
                <w:color w:val="000000"/>
                <w:sz w:val="18"/>
                <w:szCs w:val="18"/>
              </w:rPr>
              <w:t>45-54</w:t>
            </w:r>
          </w:p>
        </w:tc>
        <w:tc>
          <w:tcPr>
            <w:tcW w:w="1068" w:type="dxa"/>
            <w:tcBorders>
              <w:top w:val="nil"/>
              <w:left w:val="nil"/>
              <w:bottom w:val="single" w:sz="4" w:space="0" w:color="auto"/>
              <w:right w:val="single" w:sz="4" w:space="0" w:color="auto"/>
            </w:tcBorders>
            <w:shd w:val="clear" w:color="auto" w:fill="auto"/>
            <w:noWrap/>
            <w:vAlign w:val="center"/>
            <w:hideMark/>
          </w:tcPr>
          <w:p w14:paraId="760388DA"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1%</w:t>
            </w:r>
          </w:p>
        </w:tc>
        <w:tc>
          <w:tcPr>
            <w:tcW w:w="1068" w:type="dxa"/>
            <w:tcBorders>
              <w:top w:val="nil"/>
              <w:left w:val="nil"/>
              <w:bottom w:val="single" w:sz="4" w:space="0" w:color="auto"/>
              <w:right w:val="single" w:sz="4" w:space="0" w:color="auto"/>
            </w:tcBorders>
            <w:shd w:val="clear" w:color="auto" w:fill="auto"/>
            <w:noWrap/>
            <w:vAlign w:val="center"/>
            <w:hideMark/>
          </w:tcPr>
          <w:p w14:paraId="00A612CE"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3%</w:t>
            </w:r>
          </w:p>
        </w:tc>
        <w:tc>
          <w:tcPr>
            <w:tcW w:w="1068" w:type="dxa"/>
            <w:tcBorders>
              <w:top w:val="nil"/>
              <w:left w:val="nil"/>
              <w:bottom w:val="single" w:sz="4" w:space="0" w:color="auto"/>
              <w:right w:val="single" w:sz="4" w:space="0" w:color="auto"/>
            </w:tcBorders>
            <w:shd w:val="clear" w:color="auto" w:fill="auto"/>
            <w:noWrap/>
            <w:vAlign w:val="center"/>
            <w:hideMark/>
          </w:tcPr>
          <w:p w14:paraId="7E2C0E39"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w:t>
            </w:r>
          </w:p>
        </w:tc>
        <w:tc>
          <w:tcPr>
            <w:tcW w:w="1068" w:type="dxa"/>
            <w:tcBorders>
              <w:top w:val="nil"/>
              <w:left w:val="nil"/>
              <w:bottom w:val="single" w:sz="4" w:space="0" w:color="auto"/>
              <w:right w:val="single" w:sz="4" w:space="0" w:color="auto"/>
            </w:tcBorders>
            <w:shd w:val="clear" w:color="auto" w:fill="auto"/>
            <w:noWrap/>
            <w:vAlign w:val="center"/>
            <w:hideMark/>
          </w:tcPr>
          <w:p w14:paraId="7B2A930C"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1%</w:t>
            </w:r>
          </w:p>
        </w:tc>
        <w:tc>
          <w:tcPr>
            <w:tcW w:w="1068" w:type="dxa"/>
            <w:tcBorders>
              <w:top w:val="nil"/>
              <w:left w:val="nil"/>
              <w:bottom w:val="single" w:sz="4" w:space="0" w:color="auto"/>
              <w:right w:val="single" w:sz="4" w:space="0" w:color="auto"/>
            </w:tcBorders>
            <w:shd w:val="clear" w:color="auto" w:fill="auto"/>
            <w:noWrap/>
            <w:vAlign w:val="center"/>
            <w:hideMark/>
          </w:tcPr>
          <w:p w14:paraId="2B581FC8"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3%</w:t>
            </w:r>
          </w:p>
        </w:tc>
        <w:tc>
          <w:tcPr>
            <w:tcW w:w="1068" w:type="dxa"/>
            <w:tcBorders>
              <w:top w:val="nil"/>
              <w:left w:val="nil"/>
              <w:bottom w:val="single" w:sz="4" w:space="0" w:color="auto"/>
              <w:right w:val="single" w:sz="4" w:space="0" w:color="auto"/>
            </w:tcBorders>
            <w:shd w:val="clear" w:color="auto" w:fill="auto"/>
            <w:noWrap/>
            <w:vAlign w:val="center"/>
            <w:hideMark/>
          </w:tcPr>
          <w:p w14:paraId="6EC80F33"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3%</w:t>
            </w:r>
          </w:p>
        </w:tc>
      </w:tr>
      <w:tr w:rsidR="0045589E" w14:paraId="0F708DA6" w14:textId="77777777" w:rsidTr="0045589E">
        <w:trPr>
          <w:trHeight w:val="358"/>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5E7271C5" w14:textId="77777777" w:rsidR="0045589E" w:rsidRPr="00954F7B" w:rsidRDefault="0045589E" w:rsidP="0045589E">
            <w:pPr>
              <w:rPr>
                <w:rFonts w:ascii="Arial" w:hAnsi="Arial" w:cs="Arial"/>
                <w:color w:val="000000"/>
                <w:sz w:val="18"/>
                <w:szCs w:val="18"/>
              </w:rPr>
            </w:pPr>
            <w:r w:rsidRPr="00954F7B">
              <w:rPr>
                <w:rFonts w:ascii="Arial" w:hAnsi="Arial" w:cs="Arial"/>
                <w:color w:val="000000"/>
                <w:sz w:val="18"/>
                <w:szCs w:val="18"/>
              </w:rPr>
              <w:t>55-64</w:t>
            </w:r>
          </w:p>
        </w:tc>
        <w:tc>
          <w:tcPr>
            <w:tcW w:w="1068" w:type="dxa"/>
            <w:tcBorders>
              <w:top w:val="nil"/>
              <w:left w:val="nil"/>
              <w:bottom w:val="single" w:sz="4" w:space="0" w:color="auto"/>
              <w:right w:val="single" w:sz="4" w:space="0" w:color="auto"/>
            </w:tcBorders>
            <w:shd w:val="clear" w:color="auto" w:fill="auto"/>
            <w:noWrap/>
            <w:vAlign w:val="center"/>
            <w:hideMark/>
          </w:tcPr>
          <w:p w14:paraId="67838E0C"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25%</w:t>
            </w:r>
          </w:p>
        </w:tc>
        <w:tc>
          <w:tcPr>
            <w:tcW w:w="1068" w:type="dxa"/>
            <w:tcBorders>
              <w:top w:val="nil"/>
              <w:left w:val="nil"/>
              <w:bottom w:val="single" w:sz="4" w:space="0" w:color="auto"/>
              <w:right w:val="single" w:sz="4" w:space="0" w:color="auto"/>
            </w:tcBorders>
            <w:shd w:val="clear" w:color="auto" w:fill="auto"/>
            <w:noWrap/>
            <w:vAlign w:val="center"/>
            <w:hideMark/>
          </w:tcPr>
          <w:p w14:paraId="3CED4963"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28%</w:t>
            </w:r>
          </w:p>
        </w:tc>
        <w:tc>
          <w:tcPr>
            <w:tcW w:w="1068" w:type="dxa"/>
            <w:tcBorders>
              <w:top w:val="nil"/>
              <w:left w:val="nil"/>
              <w:bottom w:val="single" w:sz="4" w:space="0" w:color="auto"/>
              <w:right w:val="single" w:sz="4" w:space="0" w:color="auto"/>
            </w:tcBorders>
            <w:shd w:val="clear" w:color="auto" w:fill="auto"/>
            <w:noWrap/>
            <w:vAlign w:val="center"/>
            <w:hideMark/>
          </w:tcPr>
          <w:p w14:paraId="76252B6F"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21%</w:t>
            </w:r>
          </w:p>
        </w:tc>
        <w:tc>
          <w:tcPr>
            <w:tcW w:w="1068" w:type="dxa"/>
            <w:tcBorders>
              <w:top w:val="nil"/>
              <w:left w:val="nil"/>
              <w:bottom w:val="single" w:sz="4" w:space="0" w:color="auto"/>
              <w:right w:val="single" w:sz="4" w:space="0" w:color="auto"/>
            </w:tcBorders>
            <w:shd w:val="clear" w:color="auto" w:fill="auto"/>
            <w:noWrap/>
            <w:vAlign w:val="center"/>
            <w:hideMark/>
          </w:tcPr>
          <w:p w14:paraId="0B0044AD"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21%</w:t>
            </w:r>
          </w:p>
        </w:tc>
        <w:tc>
          <w:tcPr>
            <w:tcW w:w="1068" w:type="dxa"/>
            <w:tcBorders>
              <w:top w:val="nil"/>
              <w:left w:val="nil"/>
              <w:bottom w:val="single" w:sz="4" w:space="0" w:color="auto"/>
              <w:right w:val="single" w:sz="4" w:space="0" w:color="auto"/>
            </w:tcBorders>
            <w:shd w:val="clear" w:color="auto" w:fill="auto"/>
            <w:noWrap/>
            <w:vAlign w:val="center"/>
            <w:hideMark/>
          </w:tcPr>
          <w:p w14:paraId="2457645C"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22%</w:t>
            </w:r>
          </w:p>
        </w:tc>
        <w:tc>
          <w:tcPr>
            <w:tcW w:w="1068" w:type="dxa"/>
            <w:tcBorders>
              <w:top w:val="nil"/>
              <w:left w:val="nil"/>
              <w:bottom w:val="single" w:sz="4" w:space="0" w:color="auto"/>
              <w:right w:val="single" w:sz="4" w:space="0" w:color="auto"/>
            </w:tcBorders>
            <w:shd w:val="clear" w:color="auto" w:fill="auto"/>
            <w:noWrap/>
            <w:vAlign w:val="center"/>
            <w:hideMark/>
          </w:tcPr>
          <w:p w14:paraId="47B1EA26"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23%</w:t>
            </w:r>
          </w:p>
        </w:tc>
      </w:tr>
      <w:tr w:rsidR="0045589E" w14:paraId="23BB2B79" w14:textId="77777777" w:rsidTr="0045589E">
        <w:trPr>
          <w:trHeight w:val="358"/>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6BF6C49C" w14:textId="77777777" w:rsidR="0045589E" w:rsidRPr="00954F7B" w:rsidRDefault="0045589E" w:rsidP="0045589E">
            <w:pPr>
              <w:rPr>
                <w:rFonts w:ascii="Arial" w:hAnsi="Arial" w:cs="Arial"/>
                <w:color w:val="000000"/>
                <w:sz w:val="18"/>
                <w:szCs w:val="18"/>
              </w:rPr>
            </w:pPr>
            <w:r w:rsidRPr="00954F7B">
              <w:rPr>
                <w:rFonts w:ascii="Arial" w:hAnsi="Arial" w:cs="Arial"/>
                <w:color w:val="000000"/>
                <w:sz w:val="18"/>
                <w:szCs w:val="18"/>
              </w:rPr>
              <w:t>65-74</w:t>
            </w:r>
          </w:p>
        </w:tc>
        <w:tc>
          <w:tcPr>
            <w:tcW w:w="1068" w:type="dxa"/>
            <w:tcBorders>
              <w:top w:val="nil"/>
              <w:left w:val="nil"/>
              <w:bottom w:val="single" w:sz="4" w:space="0" w:color="auto"/>
              <w:right w:val="single" w:sz="4" w:space="0" w:color="auto"/>
            </w:tcBorders>
            <w:shd w:val="clear" w:color="auto" w:fill="auto"/>
            <w:noWrap/>
            <w:vAlign w:val="center"/>
            <w:hideMark/>
          </w:tcPr>
          <w:p w14:paraId="74E1946C"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42%</w:t>
            </w:r>
          </w:p>
        </w:tc>
        <w:tc>
          <w:tcPr>
            <w:tcW w:w="1068" w:type="dxa"/>
            <w:tcBorders>
              <w:top w:val="nil"/>
              <w:left w:val="nil"/>
              <w:bottom w:val="single" w:sz="4" w:space="0" w:color="auto"/>
              <w:right w:val="single" w:sz="4" w:space="0" w:color="auto"/>
            </w:tcBorders>
            <w:shd w:val="clear" w:color="auto" w:fill="auto"/>
            <w:noWrap/>
            <w:vAlign w:val="center"/>
            <w:hideMark/>
          </w:tcPr>
          <w:p w14:paraId="0D07E7E7"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41%</w:t>
            </w:r>
          </w:p>
        </w:tc>
        <w:tc>
          <w:tcPr>
            <w:tcW w:w="1068" w:type="dxa"/>
            <w:tcBorders>
              <w:top w:val="nil"/>
              <w:left w:val="nil"/>
              <w:bottom w:val="single" w:sz="4" w:space="0" w:color="auto"/>
              <w:right w:val="single" w:sz="4" w:space="0" w:color="auto"/>
            </w:tcBorders>
            <w:shd w:val="clear" w:color="auto" w:fill="auto"/>
            <w:noWrap/>
            <w:vAlign w:val="center"/>
            <w:hideMark/>
          </w:tcPr>
          <w:p w14:paraId="0358355B"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41%</w:t>
            </w:r>
          </w:p>
        </w:tc>
        <w:tc>
          <w:tcPr>
            <w:tcW w:w="1068" w:type="dxa"/>
            <w:tcBorders>
              <w:top w:val="nil"/>
              <w:left w:val="nil"/>
              <w:bottom w:val="single" w:sz="4" w:space="0" w:color="auto"/>
              <w:right w:val="single" w:sz="4" w:space="0" w:color="auto"/>
            </w:tcBorders>
            <w:shd w:val="clear" w:color="auto" w:fill="auto"/>
            <w:noWrap/>
            <w:vAlign w:val="center"/>
            <w:hideMark/>
          </w:tcPr>
          <w:p w14:paraId="6A038C85"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44%</w:t>
            </w:r>
          </w:p>
        </w:tc>
        <w:tc>
          <w:tcPr>
            <w:tcW w:w="1068" w:type="dxa"/>
            <w:tcBorders>
              <w:top w:val="nil"/>
              <w:left w:val="nil"/>
              <w:bottom w:val="single" w:sz="4" w:space="0" w:color="auto"/>
              <w:right w:val="single" w:sz="4" w:space="0" w:color="auto"/>
            </w:tcBorders>
            <w:shd w:val="clear" w:color="auto" w:fill="auto"/>
            <w:noWrap/>
            <w:vAlign w:val="center"/>
            <w:hideMark/>
          </w:tcPr>
          <w:p w14:paraId="2532A774"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45%</w:t>
            </w:r>
          </w:p>
        </w:tc>
        <w:tc>
          <w:tcPr>
            <w:tcW w:w="1068" w:type="dxa"/>
            <w:tcBorders>
              <w:top w:val="nil"/>
              <w:left w:val="nil"/>
              <w:bottom w:val="single" w:sz="4" w:space="0" w:color="auto"/>
              <w:right w:val="single" w:sz="4" w:space="0" w:color="auto"/>
            </w:tcBorders>
            <w:shd w:val="clear" w:color="auto" w:fill="auto"/>
            <w:noWrap/>
            <w:vAlign w:val="center"/>
            <w:hideMark/>
          </w:tcPr>
          <w:p w14:paraId="234EDE84"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43%</w:t>
            </w:r>
          </w:p>
        </w:tc>
      </w:tr>
      <w:tr w:rsidR="0045589E" w14:paraId="7CCDE382" w14:textId="77777777" w:rsidTr="0045589E">
        <w:trPr>
          <w:trHeight w:val="358"/>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5E7F794D" w14:textId="77777777" w:rsidR="0045589E" w:rsidRPr="00954F7B" w:rsidRDefault="0045589E" w:rsidP="0045589E">
            <w:pPr>
              <w:rPr>
                <w:rFonts w:ascii="Arial" w:hAnsi="Arial" w:cs="Arial"/>
                <w:color w:val="000000"/>
                <w:sz w:val="18"/>
                <w:szCs w:val="18"/>
              </w:rPr>
            </w:pPr>
            <w:r w:rsidRPr="00954F7B">
              <w:rPr>
                <w:rFonts w:ascii="Arial" w:hAnsi="Arial" w:cs="Arial"/>
                <w:color w:val="000000"/>
                <w:sz w:val="18"/>
                <w:szCs w:val="18"/>
              </w:rPr>
              <w:t>75-84</w:t>
            </w:r>
          </w:p>
        </w:tc>
        <w:tc>
          <w:tcPr>
            <w:tcW w:w="1068" w:type="dxa"/>
            <w:tcBorders>
              <w:top w:val="nil"/>
              <w:left w:val="nil"/>
              <w:bottom w:val="single" w:sz="4" w:space="0" w:color="auto"/>
              <w:right w:val="single" w:sz="4" w:space="0" w:color="auto"/>
            </w:tcBorders>
            <w:shd w:val="clear" w:color="auto" w:fill="auto"/>
            <w:noWrap/>
            <w:vAlign w:val="center"/>
            <w:hideMark/>
          </w:tcPr>
          <w:p w14:paraId="5B5D6F97"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31%</w:t>
            </w:r>
          </w:p>
        </w:tc>
        <w:tc>
          <w:tcPr>
            <w:tcW w:w="1068" w:type="dxa"/>
            <w:tcBorders>
              <w:top w:val="nil"/>
              <w:left w:val="nil"/>
              <w:bottom w:val="single" w:sz="4" w:space="0" w:color="auto"/>
              <w:right w:val="single" w:sz="4" w:space="0" w:color="auto"/>
            </w:tcBorders>
            <w:shd w:val="clear" w:color="auto" w:fill="auto"/>
            <w:noWrap/>
            <w:vAlign w:val="center"/>
            <w:hideMark/>
          </w:tcPr>
          <w:p w14:paraId="2A8ECDEC"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23%</w:t>
            </w:r>
          </w:p>
        </w:tc>
        <w:tc>
          <w:tcPr>
            <w:tcW w:w="1068" w:type="dxa"/>
            <w:tcBorders>
              <w:top w:val="nil"/>
              <w:left w:val="nil"/>
              <w:bottom w:val="single" w:sz="4" w:space="0" w:color="auto"/>
              <w:right w:val="single" w:sz="4" w:space="0" w:color="auto"/>
            </w:tcBorders>
            <w:shd w:val="clear" w:color="auto" w:fill="auto"/>
            <w:noWrap/>
            <w:vAlign w:val="center"/>
            <w:hideMark/>
          </w:tcPr>
          <w:p w14:paraId="437E96F3"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28%</w:t>
            </w:r>
          </w:p>
        </w:tc>
        <w:tc>
          <w:tcPr>
            <w:tcW w:w="1068" w:type="dxa"/>
            <w:tcBorders>
              <w:top w:val="nil"/>
              <w:left w:val="nil"/>
              <w:bottom w:val="single" w:sz="4" w:space="0" w:color="auto"/>
              <w:right w:val="single" w:sz="4" w:space="0" w:color="auto"/>
            </w:tcBorders>
            <w:shd w:val="clear" w:color="auto" w:fill="auto"/>
            <w:noWrap/>
            <w:vAlign w:val="center"/>
            <w:hideMark/>
          </w:tcPr>
          <w:p w14:paraId="6A71B54D"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30%</w:t>
            </w:r>
          </w:p>
        </w:tc>
        <w:tc>
          <w:tcPr>
            <w:tcW w:w="1068" w:type="dxa"/>
            <w:tcBorders>
              <w:top w:val="nil"/>
              <w:left w:val="nil"/>
              <w:bottom w:val="single" w:sz="4" w:space="0" w:color="auto"/>
              <w:right w:val="single" w:sz="4" w:space="0" w:color="auto"/>
            </w:tcBorders>
            <w:shd w:val="clear" w:color="auto" w:fill="auto"/>
            <w:noWrap/>
            <w:vAlign w:val="center"/>
            <w:hideMark/>
          </w:tcPr>
          <w:p w14:paraId="274540B0"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25%</w:t>
            </w:r>
          </w:p>
        </w:tc>
        <w:tc>
          <w:tcPr>
            <w:tcW w:w="1068" w:type="dxa"/>
            <w:tcBorders>
              <w:top w:val="nil"/>
              <w:left w:val="nil"/>
              <w:bottom w:val="single" w:sz="4" w:space="0" w:color="auto"/>
              <w:right w:val="single" w:sz="4" w:space="0" w:color="auto"/>
            </w:tcBorders>
            <w:shd w:val="clear" w:color="auto" w:fill="auto"/>
            <w:noWrap/>
            <w:vAlign w:val="center"/>
            <w:hideMark/>
          </w:tcPr>
          <w:p w14:paraId="26CF612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26%</w:t>
            </w:r>
          </w:p>
        </w:tc>
      </w:tr>
      <w:tr w:rsidR="0045589E" w14:paraId="4CA28285" w14:textId="77777777" w:rsidTr="0045589E">
        <w:trPr>
          <w:trHeight w:val="358"/>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019DFF19" w14:textId="77777777" w:rsidR="0045589E" w:rsidRPr="00954F7B" w:rsidRDefault="0045589E" w:rsidP="0045589E">
            <w:pPr>
              <w:rPr>
                <w:rFonts w:ascii="Arial" w:hAnsi="Arial" w:cs="Arial"/>
                <w:color w:val="000000"/>
                <w:sz w:val="18"/>
                <w:szCs w:val="18"/>
              </w:rPr>
            </w:pPr>
            <w:r w:rsidRPr="00954F7B">
              <w:rPr>
                <w:rFonts w:ascii="Arial" w:hAnsi="Arial" w:cs="Arial"/>
                <w:color w:val="000000"/>
                <w:sz w:val="18"/>
                <w:szCs w:val="18"/>
              </w:rPr>
              <w:t>85+</w:t>
            </w:r>
          </w:p>
        </w:tc>
        <w:tc>
          <w:tcPr>
            <w:tcW w:w="1068" w:type="dxa"/>
            <w:tcBorders>
              <w:top w:val="nil"/>
              <w:left w:val="nil"/>
              <w:bottom w:val="single" w:sz="4" w:space="0" w:color="auto"/>
              <w:right w:val="single" w:sz="4" w:space="0" w:color="auto"/>
            </w:tcBorders>
            <w:shd w:val="clear" w:color="auto" w:fill="auto"/>
            <w:noWrap/>
            <w:vAlign w:val="center"/>
            <w:hideMark/>
          </w:tcPr>
          <w:p w14:paraId="255001C7"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1%</w:t>
            </w:r>
          </w:p>
        </w:tc>
        <w:tc>
          <w:tcPr>
            <w:tcW w:w="1068" w:type="dxa"/>
            <w:tcBorders>
              <w:top w:val="nil"/>
              <w:left w:val="nil"/>
              <w:bottom w:val="single" w:sz="4" w:space="0" w:color="auto"/>
              <w:right w:val="single" w:sz="4" w:space="0" w:color="auto"/>
            </w:tcBorders>
            <w:shd w:val="clear" w:color="auto" w:fill="auto"/>
            <w:noWrap/>
            <w:vAlign w:val="center"/>
            <w:hideMark/>
          </w:tcPr>
          <w:p w14:paraId="096102C5"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5%</w:t>
            </w:r>
          </w:p>
        </w:tc>
        <w:tc>
          <w:tcPr>
            <w:tcW w:w="1068" w:type="dxa"/>
            <w:tcBorders>
              <w:top w:val="nil"/>
              <w:left w:val="nil"/>
              <w:bottom w:val="single" w:sz="4" w:space="0" w:color="auto"/>
              <w:right w:val="single" w:sz="4" w:space="0" w:color="auto"/>
            </w:tcBorders>
            <w:shd w:val="clear" w:color="auto" w:fill="auto"/>
            <w:noWrap/>
            <w:vAlign w:val="center"/>
            <w:hideMark/>
          </w:tcPr>
          <w:p w14:paraId="69B3E584"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6%</w:t>
            </w:r>
          </w:p>
        </w:tc>
        <w:tc>
          <w:tcPr>
            <w:tcW w:w="1068" w:type="dxa"/>
            <w:tcBorders>
              <w:top w:val="nil"/>
              <w:left w:val="nil"/>
              <w:bottom w:val="single" w:sz="4" w:space="0" w:color="auto"/>
              <w:right w:val="single" w:sz="4" w:space="0" w:color="auto"/>
            </w:tcBorders>
            <w:shd w:val="clear" w:color="auto" w:fill="auto"/>
            <w:noWrap/>
            <w:vAlign w:val="center"/>
            <w:hideMark/>
          </w:tcPr>
          <w:p w14:paraId="3578E603"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w:t>
            </w:r>
          </w:p>
        </w:tc>
        <w:tc>
          <w:tcPr>
            <w:tcW w:w="1068" w:type="dxa"/>
            <w:tcBorders>
              <w:top w:val="nil"/>
              <w:left w:val="nil"/>
              <w:bottom w:val="single" w:sz="4" w:space="0" w:color="auto"/>
              <w:right w:val="single" w:sz="4" w:space="0" w:color="auto"/>
            </w:tcBorders>
            <w:shd w:val="clear" w:color="auto" w:fill="auto"/>
            <w:noWrap/>
            <w:vAlign w:val="center"/>
            <w:hideMark/>
          </w:tcPr>
          <w:p w14:paraId="7A1CD648"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5%</w:t>
            </w:r>
          </w:p>
        </w:tc>
        <w:tc>
          <w:tcPr>
            <w:tcW w:w="1068" w:type="dxa"/>
            <w:tcBorders>
              <w:top w:val="nil"/>
              <w:left w:val="nil"/>
              <w:bottom w:val="single" w:sz="4" w:space="0" w:color="auto"/>
              <w:right w:val="single" w:sz="4" w:space="0" w:color="auto"/>
            </w:tcBorders>
            <w:shd w:val="clear" w:color="auto" w:fill="auto"/>
            <w:noWrap/>
            <w:vAlign w:val="center"/>
            <w:hideMark/>
          </w:tcPr>
          <w:p w14:paraId="3F557627"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5%</w:t>
            </w:r>
          </w:p>
        </w:tc>
      </w:tr>
    </w:tbl>
    <w:p w14:paraId="4DD93724" w14:textId="11319CAF" w:rsidR="0045589E" w:rsidRPr="00143CD0" w:rsidRDefault="0045589E" w:rsidP="00143CD0">
      <w:pPr>
        <w:spacing w:after="240"/>
        <w:rPr>
          <w:i/>
          <w:sz w:val="18"/>
        </w:rPr>
      </w:pPr>
      <w:r w:rsidRPr="002B5C7C">
        <w:rPr>
          <w:i/>
          <w:sz w:val="18"/>
        </w:rPr>
        <w:t xml:space="preserve">Source: </w:t>
      </w:r>
      <w:r>
        <w:rPr>
          <w:i/>
          <w:sz w:val="18"/>
        </w:rPr>
        <w:t>Medicare Statistics Online, accessed 15</w:t>
      </w:r>
      <w:r w:rsidRPr="00182DC3">
        <w:rPr>
          <w:i/>
          <w:sz w:val="18"/>
          <w:vertAlign w:val="superscript"/>
        </w:rPr>
        <w:t>th</w:t>
      </w:r>
      <w:r>
        <w:rPr>
          <w:i/>
          <w:sz w:val="18"/>
        </w:rPr>
        <w:t xml:space="preserve"> January 2018</w:t>
      </w:r>
    </w:p>
    <w:p w14:paraId="21253FEA" w14:textId="77777777" w:rsidR="0045589E" w:rsidRPr="00396F1D" w:rsidRDefault="0045589E" w:rsidP="0045589E">
      <w:pPr>
        <w:rPr>
          <w:rFonts w:asciiTheme="minorHAnsi" w:hAnsiTheme="minorHAnsi"/>
          <w:b/>
        </w:rPr>
      </w:pPr>
      <w:r w:rsidRPr="00396F1D">
        <w:rPr>
          <w:rFonts w:asciiTheme="minorHAnsi" w:hAnsiTheme="minorHAnsi"/>
          <w:b/>
        </w:rPr>
        <w:t>a)</w:t>
      </w:r>
    </w:p>
    <w:p w14:paraId="7917AC8C" w14:textId="7F7389C5" w:rsidR="0045589E" w:rsidRPr="00143CD0" w:rsidRDefault="0045589E" w:rsidP="00B75127">
      <w:pPr>
        <w:rPr>
          <w:noProof/>
        </w:rPr>
      </w:pPr>
      <w:r w:rsidRPr="00396F1D">
        <w:rPr>
          <w:noProof/>
        </w:rPr>
        <w:drawing>
          <wp:inline distT="0" distB="0" distL="0" distR="0" wp14:anchorId="0C256079" wp14:editId="22E5BE18">
            <wp:extent cx="4774019" cy="2404352"/>
            <wp:effectExtent l="0" t="0" r="7620" b="0"/>
            <wp:docPr id="12" name="Picture 12" descr="This figure shows the demographic distribution of patients who claimed this service. Largest portion in the 65-74 age group, followed by 55-64, then 75-84, with the lowest proportion of claims being under 55." title="Demographic profile for MBS item 37245 for 2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duotone>
                        <a:schemeClr val="accent1">
                          <a:shade val="45000"/>
                          <a:satMod val="135000"/>
                        </a:schemeClr>
                        <a:prstClr val="white"/>
                      </a:duotone>
                    </a:blip>
                    <a:stretch>
                      <a:fillRect/>
                    </a:stretch>
                  </pic:blipFill>
                  <pic:spPr>
                    <a:xfrm>
                      <a:off x="0" y="0"/>
                      <a:ext cx="4788414" cy="2411602"/>
                    </a:xfrm>
                    <a:prstGeom prst="rect">
                      <a:avLst/>
                    </a:prstGeom>
                  </pic:spPr>
                </pic:pic>
              </a:graphicData>
            </a:graphic>
          </wp:inline>
        </w:drawing>
      </w:r>
    </w:p>
    <w:p w14:paraId="1C437C89" w14:textId="77777777" w:rsidR="0045589E" w:rsidRPr="00396F1D" w:rsidRDefault="0045589E" w:rsidP="0045589E">
      <w:pPr>
        <w:rPr>
          <w:rFonts w:asciiTheme="minorHAnsi" w:hAnsiTheme="minorHAnsi"/>
          <w:b/>
        </w:rPr>
      </w:pPr>
      <w:r w:rsidRPr="00396F1D">
        <w:rPr>
          <w:rFonts w:asciiTheme="minorHAnsi" w:hAnsiTheme="minorHAnsi"/>
          <w:b/>
        </w:rPr>
        <w:t>b)</w:t>
      </w:r>
    </w:p>
    <w:p w14:paraId="76950D54" w14:textId="0E793A96" w:rsidR="000871B7" w:rsidRDefault="0045589E" w:rsidP="0045589E">
      <w:pPr>
        <w:rPr>
          <w:rFonts w:asciiTheme="minorHAnsi" w:hAnsiTheme="minorHAnsi"/>
          <w:b/>
        </w:rPr>
      </w:pPr>
      <w:r w:rsidRPr="00396F1D">
        <w:rPr>
          <w:noProof/>
        </w:rPr>
        <w:drawing>
          <wp:inline distT="0" distB="0" distL="0" distR="0" wp14:anchorId="4A15F5C6" wp14:editId="21FA1B72">
            <wp:extent cx="4731489" cy="2524978"/>
            <wp:effectExtent l="0" t="0" r="0" b="8890"/>
            <wp:docPr id="10" name="Picture 10" descr="This figure shows the demographic distribution of patients who claimed this service. Largest portion in the 65-74 age group, followed by 75-84, then 55-64, with the lowest proportion of claims being under 55." title="Demographic profile for MBS item 37245 for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duotone>
                        <a:schemeClr val="accent1">
                          <a:shade val="45000"/>
                          <a:satMod val="135000"/>
                        </a:schemeClr>
                        <a:prstClr val="white"/>
                      </a:duotone>
                    </a:blip>
                    <a:stretch>
                      <a:fillRect/>
                    </a:stretch>
                  </pic:blipFill>
                  <pic:spPr>
                    <a:xfrm>
                      <a:off x="0" y="0"/>
                      <a:ext cx="4732511" cy="2525523"/>
                    </a:xfrm>
                    <a:prstGeom prst="rect">
                      <a:avLst/>
                    </a:prstGeom>
                  </pic:spPr>
                </pic:pic>
              </a:graphicData>
            </a:graphic>
          </wp:inline>
        </w:drawing>
      </w:r>
    </w:p>
    <w:p w14:paraId="6CB80A74" w14:textId="77777777" w:rsidR="0045589E" w:rsidRDefault="0045589E" w:rsidP="00143CD0">
      <w:pPr>
        <w:keepNext/>
        <w:keepLines/>
        <w:rPr>
          <w:rFonts w:asciiTheme="minorHAnsi" w:hAnsiTheme="minorHAnsi"/>
          <w:b/>
        </w:rPr>
      </w:pPr>
      <w:r w:rsidRPr="00396F1D">
        <w:rPr>
          <w:rFonts w:asciiTheme="minorHAnsi" w:hAnsiTheme="minorHAnsi"/>
          <w:b/>
        </w:rPr>
        <w:lastRenderedPageBreak/>
        <w:t>c)</w:t>
      </w:r>
    </w:p>
    <w:p w14:paraId="262D5CC6" w14:textId="1DCD3CF7" w:rsidR="0045589E" w:rsidRPr="00143CD0" w:rsidRDefault="0045589E" w:rsidP="00143CD0">
      <w:pPr>
        <w:keepNext/>
        <w:keepLines/>
        <w:rPr>
          <w:rFonts w:asciiTheme="minorHAnsi" w:hAnsiTheme="minorHAnsi"/>
          <w:b/>
        </w:rPr>
      </w:pPr>
      <w:r w:rsidRPr="00396F1D">
        <w:rPr>
          <w:noProof/>
        </w:rPr>
        <w:t xml:space="preserve"> </w:t>
      </w:r>
      <w:r w:rsidRPr="00396F1D">
        <w:rPr>
          <w:noProof/>
        </w:rPr>
        <w:drawing>
          <wp:inline distT="0" distB="0" distL="0" distR="0" wp14:anchorId="735C9D8C" wp14:editId="7890B3FB">
            <wp:extent cx="4625163" cy="2396091"/>
            <wp:effectExtent l="0" t="0" r="4445" b="4445"/>
            <wp:docPr id="5" name="Picture 5" descr="This figure shows the demographic distribution of patients who claimed this service. Largest portion in the 65-74 age group, followed by 75-84, then 55-64, with the lowest proportion of claims being under 55." title="Demopgraphic profile for MBS item 37245 for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saturation sat="66000"/>
                              </a14:imgEffect>
                            </a14:imgLayer>
                          </a14:imgProps>
                        </a:ext>
                      </a:extLst>
                    </a:blip>
                    <a:stretch>
                      <a:fillRect/>
                    </a:stretch>
                  </pic:blipFill>
                  <pic:spPr>
                    <a:xfrm>
                      <a:off x="0" y="0"/>
                      <a:ext cx="4625654" cy="2396345"/>
                    </a:xfrm>
                    <a:prstGeom prst="rect">
                      <a:avLst/>
                    </a:prstGeom>
                  </pic:spPr>
                </pic:pic>
              </a:graphicData>
            </a:graphic>
          </wp:inline>
        </w:drawing>
      </w:r>
    </w:p>
    <w:p w14:paraId="354CE2EF" w14:textId="77777777" w:rsidR="0045589E" w:rsidRPr="00396F1D" w:rsidRDefault="0045589E" w:rsidP="0045589E">
      <w:pPr>
        <w:rPr>
          <w:rFonts w:asciiTheme="minorHAnsi" w:hAnsiTheme="minorHAnsi"/>
          <w:b/>
        </w:rPr>
      </w:pPr>
      <w:r w:rsidRPr="00396F1D">
        <w:rPr>
          <w:rFonts w:asciiTheme="minorHAnsi" w:hAnsiTheme="minorHAnsi"/>
          <w:b/>
        </w:rPr>
        <w:t>d)</w:t>
      </w:r>
    </w:p>
    <w:p w14:paraId="61AABDD8" w14:textId="77777777" w:rsidR="0045589E" w:rsidRPr="00396F1D" w:rsidRDefault="0045589E" w:rsidP="0045589E">
      <w:r w:rsidRPr="00396F1D">
        <w:rPr>
          <w:noProof/>
        </w:rPr>
        <w:drawing>
          <wp:inline distT="0" distB="0" distL="0" distR="0" wp14:anchorId="1957DF68" wp14:editId="0373FA41">
            <wp:extent cx="4731489" cy="2444602"/>
            <wp:effectExtent l="0" t="0" r="0" b="0"/>
            <wp:docPr id="3" name="Picture 3" descr="This figure shows the demographic distribution of patients who claimed this service. Largest portion in the 65-74 age group, followed by 75-84, then 55-64, with the lowest proportion of claims being under 55." title="Demographic profile for MBS item 37245 for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saturation sat="66000"/>
                              </a14:imgEffect>
                            </a14:imgLayer>
                          </a14:imgProps>
                        </a:ext>
                      </a:extLst>
                    </a:blip>
                    <a:stretch>
                      <a:fillRect/>
                    </a:stretch>
                  </pic:blipFill>
                  <pic:spPr>
                    <a:xfrm>
                      <a:off x="0" y="0"/>
                      <a:ext cx="4749887" cy="2454107"/>
                    </a:xfrm>
                    <a:prstGeom prst="rect">
                      <a:avLst/>
                    </a:prstGeom>
                  </pic:spPr>
                </pic:pic>
              </a:graphicData>
            </a:graphic>
          </wp:inline>
        </w:drawing>
      </w:r>
    </w:p>
    <w:p w14:paraId="6E41EB32" w14:textId="03C87A24" w:rsidR="0045589E" w:rsidRPr="00B75127" w:rsidRDefault="0062146B" w:rsidP="00B75127">
      <w:pPr>
        <w:rPr>
          <w:b/>
          <w:sz w:val="20"/>
        </w:rPr>
      </w:pPr>
      <w:r>
        <w:rPr>
          <w:b/>
          <w:sz w:val="20"/>
        </w:rPr>
        <w:t>Figure 2</w:t>
      </w:r>
      <w:r w:rsidR="0045589E" w:rsidRPr="00B75127">
        <w:rPr>
          <w:b/>
          <w:sz w:val="20"/>
        </w:rPr>
        <w:t>: Demographic profile for MBS item 37245 for (a) 2013-14, (b) 2014-15, (c) 2015-16 and (d) 2016-17.</w:t>
      </w:r>
    </w:p>
    <w:p w14:paraId="103B4B21" w14:textId="65A88707" w:rsidR="009D08F8" w:rsidRPr="00143CD0" w:rsidRDefault="0045589E" w:rsidP="00143CD0">
      <w:pPr>
        <w:rPr>
          <w:i/>
          <w:sz w:val="20"/>
          <w:lang w:eastAsia="en-US"/>
        </w:rPr>
      </w:pPr>
      <w:r w:rsidRPr="002B5C7C">
        <w:rPr>
          <w:i/>
          <w:sz w:val="18"/>
        </w:rPr>
        <w:t>Source: Medicare Statistics Online, accessed 9</w:t>
      </w:r>
      <w:r w:rsidRPr="002B5C7C">
        <w:rPr>
          <w:i/>
          <w:sz w:val="18"/>
          <w:vertAlign w:val="superscript"/>
        </w:rPr>
        <w:t>th</w:t>
      </w:r>
      <w:r w:rsidRPr="002B5C7C">
        <w:rPr>
          <w:i/>
          <w:sz w:val="18"/>
        </w:rPr>
        <w:t xml:space="preserve"> January 2018</w:t>
      </w:r>
    </w:p>
    <w:p w14:paraId="4ACBFCDC" w14:textId="29DBD073" w:rsidR="004E015F" w:rsidRDefault="004E015F" w:rsidP="004E015F">
      <w:pPr>
        <w:pStyle w:val="Heading2"/>
      </w:pPr>
      <w:r>
        <w:t>Practitioner breakdown</w:t>
      </w:r>
    </w:p>
    <w:p w14:paraId="4D560763" w14:textId="0D50F355" w:rsidR="009D08F8" w:rsidRDefault="0045589E" w:rsidP="00143CD0">
      <w:pPr>
        <w:spacing w:after="240"/>
      </w:pPr>
      <w:bookmarkStart w:id="1" w:name="_Toc465347395"/>
      <w:r w:rsidRPr="000745B6">
        <w:t xml:space="preserve">There has been a gradual increase in the number of practitioners providing services under item 37245.  There were </w:t>
      </w:r>
      <w:r>
        <w:t>14</w:t>
      </w:r>
      <w:r w:rsidRPr="000745B6">
        <w:t xml:space="preserve"> practitioners in 2012-13, increasing to </w:t>
      </w:r>
      <w:r>
        <w:t>33</w:t>
      </w:r>
      <w:r w:rsidRPr="000745B6">
        <w:t xml:space="preserve"> practitioners in 201</w:t>
      </w:r>
      <w:r>
        <w:t>6-17</w:t>
      </w:r>
      <w:r w:rsidRPr="000745B6">
        <w:t xml:space="preserve"> </w:t>
      </w:r>
      <w:r w:rsidRPr="00842CF5">
        <w:t xml:space="preserve">(Table </w:t>
      </w:r>
      <w:r>
        <w:t>5</w:t>
      </w:r>
      <w:r w:rsidRPr="00842CF5">
        <w:t xml:space="preserve">). </w:t>
      </w:r>
      <w:r w:rsidRPr="009A1CB0">
        <w:t xml:space="preserve"> About 20% of practitioners have provided close to 60% of all services (Table </w:t>
      </w:r>
      <w:r>
        <w:t>6</w:t>
      </w:r>
      <w:r w:rsidRPr="00390F24">
        <w:t>).</w:t>
      </w:r>
    </w:p>
    <w:p w14:paraId="0C25B60C" w14:textId="75499FD0" w:rsidR="009D08F8" w:rsidRPr="00143CD0" w:rsidRDefault="0045589E">
      <w:pPr>
        <w:rPr>
          <w:sz w:val="20"/>
        </w:rPr>
      </w:pPr>
      <w:r>
        <w:t>D</w:t>
      </w:r>
      <w:r w:rsidRPr="00390F24">
        <w:t xml:space="preserve">ata indicates </w:t>
      </w:r>
      <w:r>
        <w:t>that 99% of services were provided by Urologists. The remaining 1% of</w:t>
      </w:r>
      <w:r w:rsidRPr="00390F24">
        <w:t xml:space="preserve"> services </w:t>
      </w:r>
      <w:proofErr w:type="gramStart"/>
      <w:r w:rsidRPr="00390F24">
        <w:t>are</w:t>
      </w:r>
      <w:proofErr w:type="gramEnd"/>
      <w:r w:rsidRPr="00390F24">
        <w:t xml:space="preserve"> being provided by specialists in </w:t>
      </w:r>
      <w:r>
        <w:t>Obstetrics and G</w:t>
      </w:r>
      <w:r w:rsidRPr="00390F24">
        <w:t>ynaecology</w:t>
      </w:r>
      <w:r>
        <w:t>, Anaesthesia and Vascular S</w:t>
      </w:r>
      <w:r w:rsidRPr="00390F24">
        <w:t xml:space="preserve">urgery. </w:t>
      </w:r>
      <w:r>
        <w:t>G</w:t>
      </w:r>
      <w:r w:rsidRPr="00390F24">
        <w:t xml:space="preserve">iven the data is based on provider billing behaviour (i.e. derived specialty as opposed to registered specialty), it is possible that these services were provided by </w:t>
      </w:r>
      <w:r>
        <w:t>Urologists</w:t>
      </w:r>
      <w:r w:rsidRPr="00390F24">
        <w:t>, but not classified as such in the data.</w:t>
      </w:r>
      <w:r w:rsidR="009D08F8">
        <w:rPr>
          <w:sz w:val="20"/>
        </w:rPr>
        <w:t xml:space="preserve"> </w:t>
      </w:r>
      <w:r w:rsidR="009D08F8">
        <w:rPr>
          <w:b/>
          <w:sz w:val="20"/>
        </w:rPr>
        <w:br w:type="page"/>
      </w:r>
    </w:p>
    <w:p w14:paraId="2E47F360" w14:textId="0B1B19FF" w:rsidR="0045589E" w:rsidRPr="00B75127" w:rsidRDefault="006A4D42" w:rsidP="00B75127">
      <w:pPr>
        <w:rPr>
          <w:b/>
          <w:sz w:val="20"/>
        </w:rPr>
      </w:pPr>
      <w:r w:rsidRPr="00B75127">
        <w:rPr>
          <w:b/>
          <w:sz w:val="20"/>
        </w:rPr>
        <w:lastRenderedPageBreak/>
        <w:t>Table 4</w:t>
      </w:r>
      <w:r w:rsidR="0045589E" w:rsidRPr="00B75127">
        <w:rPr>
          <w:b/>
          <w:sz w:val="20"/>
        </w:rPr>
        <w:t>: Number of practitioners providing services under item 37245 in 2012-13 to 2016-17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w:tblDescription w:val="Visual representation of number of practitioners providing serices under item 37245 in 2012-13 to 2016-17. Average number for all years was 22.3."/>
      </w:tblPr>
      <w:tblGrid>
        <w:gridCol w:w="2409"/>
        <w:gridCol w:w="1605"/>
        <w:gridCol w:w="1285"/>
        <w:gridCol w:w="1285"/>
      </w:tblGrid>
      <w:tr w:rsidR="0045589E" w:rsidRPr="00842CF5" w14:paraId="007572E2" w14:textId="77777777" w:rsidTr="0045589E">
        <w:trPr>
          <w:trHeight w:val="453"/>
        </w:trPr>
        <w:tc>
          <w:tcPr>
            <w:tcW w:w="2409" w:type="dxa"/>
            <w:shd w:val="clear" w:color="auto" w:fill="8DB3E2" w:themeFill="text2" w:themeFillTint="66"/>
            <w:vAlign w:val="center"/>
          </w:tcPr>
          <w:p w14:paraId="19506D8A" w14:textId="77777777" w:rsidR="0045589E" w:rsidRPr="00842CF5" w:rsidRDefault="0045589E" w:rsidP="0045589E">
            <w:pPr>
              <w:jc w:val="center"/>
              <w:rPr>
                <w:rFonts w:ascii="Arial" w:hAnsi="Arial" w:cs="Arial"/>
                <w:b/>
                <w:bCs/>
                <w:sz w:val="18"/>
                <w:szCs w:val="18"/>
              </w:rPr>
            </w:pPr>
            <w:r w:rsidRPr="00842CF5">
              <w:rPr>
                <w:rFonts w:ascii="Arial" w:hAnsi="Arial" w:cs="Arial"/>
                <w:b/>
                <w:bCs/>
                <w:sz w:val="18"/>
                <w:szCs w:val="18"/>
              </w:rPr>
              <w:t>Financial year</w:t>
            </w:r>
          </w:p>
        </w:tc>
        <w:tc>
          <w:tcPr>
            <w:tcW w:w="1605" w:type="dxa"/>
            <w:shd w:val="clear" w:color="auto" w:fill="8DB3E2" w:themeFill="text2" w:themeFillTint="66"/>
            <w:vAlign w:val="center"/>
          </w:tcPr>
          <w:p w14:paraId="3D86FB6F" w14:textId="77777777" w:rsidR="0045589E" w:rsidRPr="00842CF5" w:rsidRDefault="0045589E" w:rsidP="0045589E">
            <w:pPr>
              <w:jc w:val="center"/>
              <w:rPr>
                <w:rFonts w:ascii="Arial" w:hAnsi="Arial" w:cs="Arial"/>
                <w:b/>
                <w:bCs/>
                <w:sz w:val="18"/>
                <w:szCs w:val="18"/>
              </w:rPr>
            </w:pPr>
            <w:r w:rsidRPr="00842CF5">
              <w:rPr>
                <w:rFonts w:ascii="Arial" w:hAnsi="Arial" w:cs="Arial"/>
                <w:b/>
                <w:bCs/>
                <w:sz w:val="18"/>
                <w:szCs w:val="18"/>
              </w:rPr>
              <w:t>Practitioners</w:t>
            </w:r>
          </w:p>
        </w:tc>
        <w:tc>
          <w:tcPr>
            <w:tcW w:w="1285" w:type="dxa"/>
            <w:shd w:val="clear" w:color="auto" w:fill="8DB3E2" w:themeFill="text2" w:themeFillTint="66"/>
            <w:vAlign w:val="center"/>
          </w:tcPr>
          <w:p w14:paraId="7E68A2EB" w14:textId="77777777" w:rsidR="0045589E" w:rsidRPr="00842CF5" w:rsidRDefault="0045589E" w:rsidP="0045589E">
            <w:pPr>
              <w:jc w:val="center"/>
              <w:rPr>
                <w:rFonts w:ascii="Arial" w:hAnsi="Arial" w:cs="Arial"/>
                <w:b/>
                <w:bCs/>
                <w:sz w:val="18"/>
                <w:szCs w:val="18"/>
              </w:rPr>
            </w:pPr>
            <w:r w:rsidRPr="00842CF5">
              <w:rPr>
                <w:rFonts w:ascii="Arial" w:hAnsi="Arial" w:cs="Arial"/>
                <w:b/>
                <w:bCs/>
                <w:sz w:val="18"/>
                <w:szCs w:val="18"/>
              </w:rPr>
              <w:t>Services</w:t>
            </w:r>
          </w:p>
        </w:tc>
        <w:tc>
          <w:tcPr>
            <w:tcW w:w="1285" w:type="dxa"/>
            <w:shd w:val="clear" w:color="auto" w:fill="8DB3E2" w:themeFill="text2" w:themeFillTint="66"/>
            <w:vAlign w:val="center"/>
          </w:tcPr>
          <w:p w14:paraId="0F3F0A29" w14:textId="77777777" w:rsidR="0045589E" w:rsidRPr="00842CF5" w:rsidRDefault="0045589E" w:rsidP="0045589E">
            <w:pPr>
              <w:jc w:val="center"/>
              <w:rPr>
                <w:rFonts w:ascii="Arial" w:hAnsi="Arial" w:cs="Arial"/>
                <w:b/>
                <w:bCs/>
                <w:sz w:val="18"/>
                <w:szCs w:val="18"/>
              </w:rPr>
            </w:pPr>
            <w:r w:rsidRPr="00842CF5">
              <w:rPr>
                <w:rFonts w:ascii="Arial" w:hAnsi="Arial" w:cs="Arial"/>
                <w:b/>
                <w:bCs/>
                <w:sz w:val="18"/>
                <w:szCs w:val="18"/>
              </w:rPr>
              <w:t>Average</w:t>
            </w:r>
          </w:p>
        </w:tc>
      </w:tr>
      <w:tr w:rsidR="0045589E" w:rsidRPr="00842CF5" w14:paraId="32D47588" w14:textId="77777777" w:rsidTr="0045589E">
        <w:trPr>
          <w:trHeight w:val="269"/>
        </w:trPr>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34C4ED1E" w14:textId="77777777" w:rsidR="0045589E" w:rsidRPr="00842CF5" w:rsidRDefault="0045589E" w:rsidP="0045589E">
            <w:pPr>
              <w:rPr>
                <w:rFonts w:ascii="Arial" w:hAnsi="Arial" w:cs="Arial"/>
                <w:bCs/>
                <w:sz w:val="18"/>
                <w:szCs w:val="18"/>
              </w:rPr>
            </w:pPr>
            <w:r w:rsidRPr="00842CF5">
              <w:rPr>
                <w:rFonts w:ascii="Arial" w:hAnsi="Arial" w:cs="Arial"/>
                <w:bCs/>
                <w:sz w:val="18"/>
                <w:szCs w:val="18"/>
              </w:rPr>
              <w:t>2012-13</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01C96767"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 xml:space="preserve">14 </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26908EAF"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110</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12BE8A83"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7.9</w:t>
            </w:r>
          </w:p>
        </w:tc>
      </w:tr>
      <w:tr w:rsidR="0045589E" w:rsidRPr="00842CF5" w14:paraId="65DDC018" w14:textId="77777777" w:rsidTr="0045589E">
        <w:trPr>
          <w:trHeight w:val="269"/>
        </w:trPr>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1BADAB80" w14:textId="77777777" w:rsidR="0045589E" w:rsidRPr="00842CF5" w:rsidRDefault="0045589E" w:rsidP="0045589E">
            <w:pPr>
              <w:rPr>
                <w:rFonts w:ascii="Arial" w:hAnsi="Arial" w:cs="Arial"/>
                <w:bCs/>
                <w:sz w:val="18"/>
                <w:szCs w:val="18"/>
              </w:rPr>
            </w:pPr>
            <w:r w:rsidRPr="00842CF5">
              <w:rPr>
                <w:rFonts w:ascii="Arial" w:hAnsi="Arial" w:cs="Arial"/>
                <w:bCs/>
                <w:sz w:val="18"/>
                <w:szCs w:val="18"/>
              </w:rPr>
              <w:t>2013-14</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70991B76"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 xml:space="preserve">26 </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3CBF6AC7"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 xml:space="preserve">550 </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16701B8D"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21.2</w:t>
            </w:r>
          </w:p>
        </w:tc>
      </w:tr>
      <w:tr w:rsidR="0045589E" w:rsidRPr="00842CF5" w14:paraId="55D30342" w14:textId="77777777" w:rsidTr="0045589E">
        <w:trPr>
          <w:trHeight w:val="269"/>
        </w:trPr>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071F4AB0" w14:textId="77777777" w:rsidR="0045589E" w:rsidRPr="00842CF5" w:rsidRDefault="0045589E" w:rsidP="0045589E">
            <w:pPr>
              <w:rPr>
                <w:rFonts w:ascii="Arial" w:hAnsi="Arial" w:cs="Arial"/>
                <w:bCs/>
                <w:sz w:val="18"/>
                <w:szCs w:val="18"/>
              </w:rPr>
            </w:pPr>
            <w:r w:rsidRPr="00842CF5">
              <w:rPr>
                <w:rFonts w:ascii="Arial" w:hAnsi="Arial" w:cs="Arial"/>
                <w:bCs/>
                <w:sz w:val="18"/>
                <w:szCs w:val="18"/>
              </w:rPr>
              <w:t>2014-15</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5680FFFA"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 xml:space="preserve">28 </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2DE902F2"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662</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5F22D1AF"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23.6</w:t>
            </w:r>
          </w:p>
        </w:tc>
      </w:tr>
      <w:tr w:rsidR="0045589E" w:rsidRPr="00842CF5" w14:paraId="373B1D95" w14:textId="77777777" w:rsidTr="0045589E">
        <w:trPr>
          <w:trHeight w:val="269"/>
        </w:trPr>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1B30EF45" w14:textId="77777777" w:rsidR="0045589E" w:rsidRPr="00842CF5" w:rsidRDefault="0045589E" w:rsidP="0045589E">
            <w:pPr>
              <w:rPr>
                <w:rFonts w:ascii="Arial" w:hAnsi="Arial" w:cs="Arial"/>
                <w:bCs/>
                <w:sz w:val="18"/>
                <w:szCs w:val="18"/>
              </w:rPr>
            </w:pPr>
            <w:r w:rsidRPr="00842CF5">
              <w:rPr>
                <w:rFonts w:ascii="Arial" w:hAnsi="Arial" w:cs="Arial"/>
                <w:bCs/>
                <w:sz w:val="18"/>
                <w:szCs w:val="18"/>
              </w:rPr>
              <w:t>2015-16</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3F57D9F2"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 xml:space="preserve">29 </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2850F561"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725</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44E24342"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25</w:t>
            </w:r>
            <w:r>
              <w:rPr>
                <w:rFonts w:ascii="Arial" w:hAnsi="Arial" w:cs="Arial"/>
                <w:sz w:val="18"/>
                <w:szCs w:val="18"/>
              </w:rPr>
              <w:t>.0</w:t>
            </w:r>
          </w:p>
        </w:tc>
      </w:tr>
      <w:tr w:rsidR="0045589E" w:rsidRPr="00842CF5" w14:paraId="30224A8C" w14:textId="77777777" w:rsidTr="0045589E">
        <w:trPr>
          <w:trHeight w:val="269"/>
        </w:trPr>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71EAB877" w14:textId="77777777" w:rsidR="0045589E" w:rsidRPr="00842CF5" w:rsidRDefault="0045589E" w:rsidP="0045589E">
            <w:pPr>
              <w:rPr>
                <w:rFonts w:ascii="Arial" w:hAnsi="Arial" w:cs="Arial"/>
                <w:bCs/>
                <w:sz w:val="18"/>
                <w:szCs w:val="18"/>
              </w:rPr>
            </w:pPr>
            <w:r w:rsidRPr="00842CF5">
              <w:rPr>
                <w:rFonts w:ascii="Arial" w:hAnsi="Arial" w:cs="Arial"/>
                <w:bCs/>
                <w:sz w:val="18"/>
                <w:szCs w:val="18"/>
              </w:rPr>
              <w:t>2016-17</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54B3972E"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 xml:space="preserve">33 </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08BB9369"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 xml:space="preserve">855 </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1F12D280" w14:textId="77777777" w:rsidR="0045589E" w:rsidRPr="00842CF5" w:rsidRDefault="0045589E" w:rsidP="0045589E">
            <w:pPr>
              <w:jc w:val="right"/>
              <w:rPr>
                <w:rFonts w:ascii="Arial" w:hAnsi="Arial" w:cs="Arial"/>
                <w:sz w:val="18"/>
                <w:szCs w:val="18"/>
              </w:rPr>
            </w:pPr>
            <w:r w:rsidRPr="00842CF5">
              <w:rPr>
                <w:rFonts w:ascii="Arial" w:hAnsi="Arial" w:cs="Arial"/>
                <w:sz w:val="18"/>
                <w:szCs w:val="18"/>
              </w:rPr>
              <w:t>25.9</w:t>
            </w:r>
          </w:p>
        </w:tc>
      </w:tr>
      <w:tr w:rsidR="0045589E" w:rsidRPr="00842CF5" w14:paraId="4630E547" w14:textId="77777777" w:rsidTr="0045589E">
        <w:trPr>
          <w:trHeight w:val="269"/>
        </w:trPr>
        <w:tc>
          <w:tcPr>
            <w:tcW w:w="2409" w:type="dxa"/>
            <w:shd w:val="clear" w:color="000000" w:fill="FFFFFF"/>
            <w:vAlign w:val="center"/>
          </w:tcPr>
          <w:p w14:paraId="2E92B2BB" w14:textId="77777777" w:rsidR="0045589E" w:rsidRPr="00842CF5" w:rsidRDefault="0045589E" w:rsidP="0045589E">
            <w:pPr>
              <w:rPr>
                <w:rFonts w:ascii="Arial" w:hAnsi="Arial" w:cs="Arial"/>
                <w:b/>
                <w:bCs/>
                <w:sz w:val="16"/>
                <w:szCs w:val="16"/>
              </w:rPr>
            </w:pPr>
            <w:r w:rsidRPr="00842CF5">
              <w:rPr>
                <w:rFonts w:ascii="Arial" w:hAnsi="Arial" w:cs="Arial"/>
                <w:b/>
                <w:bCs/>
                <w:sz w:val="16"/>
                <w:szCs w:val="16"/>
              </w:rPr>
              <w:t>All Years</w:t>
            </w:r>
          </w:p>
        </w:tc>
        <w:tc>
          <w:tcPr>
            <w:tcW w:w="1605" w:type="dxa"/>
            <w:shd w:val="clear" w:color="000000" w:fill="FFFFFF"/>
            <w:vAlign w:val="center"/>
          </w:tcPr>
          <w:p w14:paraId="4CDF698E" w14:textId="77777777" w:rsidR="0045589E" w:rsidRPr="00842CF5" w:rsidRDefault="0045589E" w:rsidP="0045589E">
            <w:pPr>
              <w:jc w:val="right"/>
              <w:rPr>
                <w:rFonts w:ascii="Arial" w:hAnsi="Arial" w:cs="Arial"/>
                <w:b/>
                <w:sz w:val="18"/>
                <w:szCs w:val="18"/>
              </w:rPr>
            </w:pPr>
            <w:r w:rsidRPr="00842CF5">
              <w:rPr>
                <w:rFonts w:ascii="Arial" w:hAnsi="Arial" w:cs="Arial"/>
                <w:b/>
                <w:sz w:val="18"/>
                <w:szCs w:val="18"/>
              </w:rPr>
              <w:t>130</w:t>
            </w:r>
          </w:p>
        </w:tc>
        <w:tc>
          <w:tcPr>
            <w:tcW w:w="1285" w:type="dxa"/>
            <w:shd w:val="clear" w:color="000000" w:fill="FFFFFF"/>
            <w:vAlign w:val="center"/>
          </w:tcPr>
          <w:p w14:paraId="31E13A36" w14:textId="77777777" w:rsidR="0045589E" w:rsidRPr="00842CF5" w:rsidRDefault="0045589E" w:rsidP="0045589E">
            <w:pPr>
              <w:jc w:val="right"/>
              <w:rPr>
                <w:rFonts w:ascii="Arial" w:hAnsi="Arial" w:cs="Arial"/>
                <w:b/>
                <w:sz w:val="18"/>
                <w:szCs w:val="18"/>
              </w:rPr>
            </w:pPr>
            <w:r w:rsidRPr="00842CF5">
              <w:rPr>
                <w:rFonts w:ascii="Arial" w:hAnsi="Arial" w:cs="Arial"/>
                <w:b/>
                <w:sz w:val="18"/>
              </w:rPr>
              <w:t>2</w:t>
            </w:r>
            <w:r>
              <w:rPr>
                <w:rFonts w:ascii="Arial" w:hAnsi="Arial" w:cs="Arial"/>
                <w:b/>
                <w:sz w:val="18"/>
              </w:rPr>
              <w:t>,</w:t>
            </w:r>
            <w:r w:rsidRPr="00842CF5">
              <w:rPr>
                <w:rFonts w:ascii="Arial" w:hAnsi="Arial" w:cs="Arial"/>
                <w:b/>
                <w:sz w:val="18"/>
              </w:rPr>
              <w:t>902</w:t>
            </w:r>
            <w:r w:rsidRPr="00842CF5">
              <w:rPr>
                <w:rFonts w:ascii="Arial" w:hAnsi="Arial" w:cs="Arial"/>
                <w:b/>
                <w:sz w:val="18"/>
                <w:szCs w:val="18"/>
              </w:rPr>
              <w:t xml:space="preserve"> </w:t>
            </w:r>
          </w:p>
        </w:tc>
        <w:tc>
          <w:tcPr>
            <w:tcW w:w="1285" w:type="dxa"/>
            <w:shd w:val="clear" w:color="000000" w:fill="FFFFFF"/>
            <w:vAlign w:val="center"/>
          </w:tcPr>
          <w:p w14:paraId="28830A5A" w14:textId="77777777" w:rsidR="0045589E" w:rsidRPr="00842CF5" w:rsidRDefault="0045589E" w:rsidP="0045589E">
            <w:pPr>
              <w:jc w:val="right"/>
              <w:rPr>
                <w:rFonts w:ascii="Arial" w:hAnsi="Arial" w:cs="Arial"/>
                <w:b/>
                <w:sz w:val="18"/>
                <w:szCs w:val="18"/>
              </w:rPr>
            </w:pPr>
            <w:r w:rsidRPr="00842CF5">
              <w:rPr>
                <w:rFonts w:ascii="Arial" w:hAnsi="Arial" w:cs="Arial"/>
                <w:b/>
                <w:sz w:val="18"/>
                <w:szCs w:val="18"/>
              </w:rPr>
              <w:t xml:space="preserve">22.3 </w:t>
            </w:r>
          </w:p>
        </w:tc>
      </w:tr>
    </w:tbl>
    <w:p w14:paraId="004B878B" w14:textId="6C66A8F0" w:rsidR="0045589E" w:rsidRPr="00B75127" w:rsidRDefault="0045589E" w:rsidP="00B75127">
      <w:pPr>
        <w:spacing w:before="120"/>
        <w:rPr>
          <w:b/>
          <w:sz w:val="20"/>
        </w:rPr>
      </w:pPr>
      <w:r w:rsidRPr="00B75127">
        <w:rPr>
          <w:b/>
          <w:sz w:val="20"/>
        </w:rPr>
        <w:t xml:space="preserve">Table </w:t>
      </w:r>
      <w:r w:rsidR="006A4D42" w:rsidRPr="00B75127">
        <w:rPr>
          <w:b/>
          <w:sz w:val="20"/>
        </w:rPr>
        <w:t>5</w:t>
      </w:r>
      <w:r w:rsidRPr="00B75127">
        <w:rPr>
          <w:b/>
          <w:sz w:val="20"/>
        </w:rPr>
        <w:t>: Cumulative percentage of medical practitioners providing item 37245 and how many services each percentile accounts for in 2012-13 to 2016-17</w:t>
      </w:r>
    </w:p>
    <w:tbl>
      <w:tblPr>
        <w:tblW w:w="6720" w:type="dxa"/>
        <w:tblInd w:w="93" w:type="dxa"/>
        <w:tblLook w:val="04A0" w:firstRow="1" w:lastRow="0" w:firstColumn="1" w:lastColumn="0" w:noHBand="0" w:noVBand="1"/>
        <w:tblCaption w:val="Table 5"/>
        <w:tblDescription w:val="Visual representation of cumulative percentage of medical practitioners providing item 37245 and how many services each percentile acounts for 2012-13 to 2016-17. "/>
      </w:tblPr>
      <w:tblGrid>
        <w:gridCol w:w="1187"/>
        <w:gridCol w:w="1120"/>
        <w:gridCol w:w="1120"/>
        <w:gridCol w:w="1120"/>
        <w:gridCol w:w="1120"/>
        <w:gridCol w:w="1120"/>
      </w:tblGrid>
      <w:tr w:rsidR="0045589E" w14:paraId="1635483D" w14:textId="77777777" w:rsidTr="0045589E">
        <w:trPr>
          <w:trHeight w:val="720"/>
        </w:trPr>
        <w:tc>
          <w:tcPr>
            <w:tcW w:w="11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9B9A2A" w14:textId="77777777" w:rsidR="0045589E" w:rsidRPr="00954F7B" w:rsidRDefault="0045589E" w:rsidP="0045589E">
            <w:pPr>
              <w:jc w:val="center"/>
              <w:rPr>
                <w:rFonts w:ascii="Arial" w:hAnsi="Arial" w:cs="Arial"/>
                <w:b/>
                <w:bCs/>
                <w:sz w:val="18"/>
                <w:szCs w:val="18"/>
              </w:rPr>
            </w:pPr>
            <w:r w:rsidRPr="00954F7B">
              <w:rPr>
                <w:rFonts w:ascii="Arial" w:hAnsi="Arial" w:cs="Arial"/>
                <w:b/>
                <w:bCs/>
                <w:sz w:val="18"/>
                <w:szCs w:val="18"/>
              </w:rPr>
              <w:t>Provider Cumulative %</w:t>
            </w:r>
          </w:p>
        </w:tc>
        <w:tc>
          <w:tcPr>
            <w:tcW w:w="11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8761FB8" w14:textId="77777777" w:rsidR="0045589E" w:rsidRPr="00954F7B" w:rsidRDefault="0045589E" w:rsidP="0045589E">
            <w:pPr>
              <w:jc w:val="center"/>
              <w:rPr>
                <w:rFonts w:ascii="Arial" w:hAnsi="Arial" w:cs="Arial"/>
                <w:b/>
                <w:bCs/>
                <w:sz w:val="18"/>
                <w:szCs w:val="18"/>
              </w:rPr>
            </w:pPr>
            <w:r w:rsidRPr="00954F7B">
              <w:rPr>
                <w:rFonts w:ascii="Arial" w:hAnsi="Arial" w:cs="Arial"/>
                <w:b/>
                <w:bCs/>
                <w:sz w:val="18"/>
                <w:szCs w:val="18"/>
              </w:rPr>
              <w:t>2012-13</w:t>
            </w:r>
          </w:p>
        </w:tc>
        <w:tc>
          <w:tcPr>
            <w:tcW w:w="11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6AB8B44" w14:textId="77777777" w:rsidR="0045589E" w:rsidRPr="00954F7B" w:rsidRDefault="0045589E" w:rsidP="0045589E">
            <w:pPr>
              <w:jc w:val="center"/>
              <w:rPr>
                <w:rFonts w:ascii="Arial" w:hAnsi="Arial" w:cs="Arial"/>
                <w:b/>
                <w:bCs/>
                <w:sz w:val="18"/>
                <w:szCs w:val="18"/>
              </w:rPr>
            </w:pPr>
            <w:r w:rsidRPr="00954F7B">
              <w:rPr>
                <w:rFonts w:ascii="Arial" w:hAnsi="Arial" w:cs="Arial"/>
                <w:b/>
                <w:bCs/>
                <w:sz w:val="18"/>
                <w:szCs w:val="18"/>
              </w:rPr>
              <w:t>2013-14</w:t>
            </w:r>
          </w:p>
        </w:tc>
        <w:tc>
          <w:tcPr>
            <w:tcW w:w="11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0A9D1A" w14:textId="77777777" w:rsidR="0045589E" w:rsidRPr="00954F7B" w:rsidRDefault="0045589E" w:rsidP="0045589E">
            <w:pPr>
              <w:jc w:val="center"/>
              <w:rPr>
                <w:rFonts w:ascii="Arial" w:hAnsi="Arial" w:cs="Arial"/>
                <w:b/>
                <w:bCs/>
                <w:sz w:val="18"/>
                <w:szCs w:val="18"/>
              </w:rPr>
            </w:pPr>
            <w:r w:rsidRPr="00954F7B">
              <w:rPr>
                <w:rFonts w:ascii="Arial" w:hAnsi="Arial" w:cs="Arial"/>
                <w:b/>
                <w:bCs/>
                <w:sz w:val="18"/>
                <w:szCs w:val="18"/>
              </w:rPr>
              <w:t>2014-15</w:t>
            </w:r>
          </w:p>
        </w:tc>
        <w:tc>
          <w:tcPr>
            <w:tcW w:w="11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839A96A" w14:textId="77777777" w:rsidR="0045589E" w:rsidRPr="00954F7B" w:rsidRDefault="0045589E" w:rsidP="0045589E">
            <w:pPr>
              <w:jc w:val="center"/>
              <w:rPr>
                <w:rFonts w:ascii="Arial" w:hAnsi="Arial" w:cs="Arial"/>
                <w:b/>
                <w:bCs/>
                <w:sz w:val="18"/>
                <w:szCs w:val="18"/>
              </w:rPr>
            </w:pPr>
            <w:r w:rsidRPr="00954F7B">
              <w:rPr>
                <w:rFonts w:ascii="Arial" w:hAnsi="Arial" w:cs="Arial"/>
                <w:b/>
                <w:bCs/>
                <w:sz w:val="18"/>
                <w:szCs w:val="18"/>
              </w:rPr>
              <w:t>2015-16</w:t>
            </w:r>
          </w:p>
        </w:tc>
        <w:tc>
          <w:tcPr>
            <w:tcW w:w="11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7251F79" w14:textId="77777777" w:rsidR="0045589E" w:rsidRPr="00954F7B" w:rsidRDefault="0045589E" w:rsidP="0045589E">
            <w:pPr>
              <w:jc w:val="center"/>
              <w:rPr>
                <w:rFonts w:ascii="Arial" w:hAnsi="Arial" w:cs="Arial"/>
                <w:b/>
                <w:bCs/>
                <w:sz w:val="18"/>
                <w:szCs w:val="18"/>
              </w:rPr>
            </w:pPr>
            <w:r w:rsidRPr="00954F7B">
              <w:rPr>
                <w:rFonts w:ascii="Arial" w:hAnsi="Arial" w:cs="Arial"/>
                <w:b/>
                <w:bCs/>
                <w:sz w:val="18"/>
                <w:szCs w:val="18"/>
              </w:rPr>
              <w:t xml:space="preserve">2016-17 </w:t>
            </w:r>
          </w:p>
        </w:tc>
      </w:tr>
      <w:tr w:rsidR="0045589E" w14:paraId="1E666474" w14:textId="77777777" w:rsidTr="0045589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521197D"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10%</w:t>
            </w:r>
          </w:p>
        </w:tc>
        <w:tc>
          <w:tcPr>
            <w:tcW w:w="1120" w:type="dxa"/>
            <w:tcBorders>
              <w:top w:val="nil"/>
              <w:left w:val="nil"/>
              <w:bottom w:val="single" w:sz="4" w:space="0" w:color="auto"/>
              <w:right w:val="single" w:sz="4" w:space="0" w:color="auto"/>
            </w:tcBorders>
            <w:shd w:val="clear" w:color="000000" w:fill="FFFFFF"/>
            <w:noWrap/>
            <w:vAlign w:val="center"/>
            <w:hideMark/>
          </w:tcPr>
          <w:p w14:paraId="31DB9545"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40%</w:t>
            </w:r>
          </w:p>
        </w:tc>
        <w:tc>
          <w:tcPr>
            <w:tcW w:w="1120" w:type="dxa"/>
            <w:tcBorders>
              <w:top w:val="nil"/>
              <w:left w:val="nil"/>
              <w:bottom w:val="single" w:sz="4" w:space="0" w:color="auto"/>
              <w:right w:val="single" w:sz="4" w:space="0" w:color="auto"/>
            </w:tcBorders>
            <w:shd w:val="clear" w:color="000000" w:fill="FFFFFF"/>
            <w:noWrap/>
            <w:vAlign w:val="center"/>
            <w:hideMark/>
          </w:tcPr>
          <w:p w14:paraId="4FFA4F22"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45%</w:t>
            </w:r>
          </w:p>
        </w:tc>
        <w:tc>
          <w:tcPr>
            <w:tcW w:w="1120" w:type="dxa"/>
            <w:tcBorders>
              <w:top w:val="nil"/>
              <w:left w:val="nil"/>
              <w:bottom w:val="single" w:sz="4" w:space="0" w:color="auto"/>
              <w:right w:val="single" w:sz="4" w:space="0" w:color="auto"/>
            </w:tcBorders>
            <w:shd w:val="clear" w:color="000000" w:fill="FFFFFF"/>
            <w:noWrap/>
            <w:vAlign w:val="center"/>
            <w:hideMark/>
          </w:tcPr>
          <w:p w14:paraId="50BAA7BD"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44%</w:t>
            </w:r>
          </w:p>
        </w:tc>
        <w:tc>
          <w:tcPr>
            <w:tcW w:w="1120" w:type="dxa"/>
            <w:tcBorders>
              <w:top w:val="nil"/>
              <w:left w:val="nil"/>
              <w:bottom w:val="single" w:sz="4" w:space="0" w:color="auto"/>
              <w:right w:val="single" w:sz="4" w:space="0" w:color="auto"/>
            </w:tcBorders>
            <w:shd w:val="clear" w:color="000000" w:fill="FFFFFF"/>
            <w:noWrap/>
            <w:vAlign w:val="center"/>
            <w:hideMark/>
          </w:tcPr>
          <w:p w14:paraId="23C1D614"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41%</w:t>
            </w:r>
          </w:p>
        </w:tc>
        <w:tc>
          <w:tcPr>
            <w:tcW w:w="1120" w:type="dxa"/>
            <w:tcBorders>
              <w:top w:val="nil"/>
              <w:left w:val="nil"/>
              <w:bottom w:val="single" w:sz="4" w:space="0" w:color="auto"/>
              <w:right w:val="single" w:sz="4" w:space="0" w:color="auto"/>
            </w:tcBorders>
            <w:shd w:val="clear" w:color="000000" w:fill="FFFFFF"/>
            <w:noWrap/>
            <w:vAlign w:val="center"/>
            <w:hideMark/>
          </w:tcPr>
          <w:p w14:paraId="5E3E7DA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39%</w:t>
            </w:r>
          </w:p>
        </w:tc>
      </w:tr>
      <w:tr w:rsidR="0045589E" w14:paraId="4B46F42D" w14:textId="77777777" w:rsidTr="0045589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9287D3F"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20%</w:t>
            </w:r>
          </w:p>
        </w:tc>
        <w:tc>
          <w:tcPr>
            <w:tcW w:w="1120" w:type="dxa"/>
            <w:tcBorders>
              <w:top w:val="nil"/>
              <w:left w:val="nil"/>
              <w:bottom w:val="single" w:sz="4" w:space="0" w:color="auto"/>
              <w:right w:val="single" w:sz="4" w:space="0" w:color="auto"/>
            </w:tcBorders>
            <w:shd w:val="clear" w:color="000000" w:fill="FFFFFF"/>
            <w:noWrap/>
            <w:vAlign w:val="center"/>
            <w:hideMark/>
          </w:tcPr>
          <w:p w14:paraId="0159C23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55%</w:t>
            </w:r>
          </w:p>
        </w:tc>
        <w:tc>
          <w:tcPr>
            <w:tcW w:w="1120" w:type="dxa"/>
            <w:tcBorders>
              <w:top w:val="nil"/>
              <w:left w:val="nil"/>
              <w:bottom w:val="single" w:sz="4" w:space="0" w:color="auto"/>
              <w:right w:val="single" w:sz="4" w:space="0" w:color="auto"/>
            </w:tcBorders>
            <w:shd w:val="clear" w:color="000000" w:fill="FFFFFF"/>
            <w:noWrap/>
            <w:vAlign w:val="center"/>
            <w:hideMark/>
          </w:tcPr>
          <w:p w14:paraId="6B7B7F48"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66%</w:t>
            </w:r>
          </w:p>
        </w:tc>
        <w:tc>
          <w:tcPr>
            <w:tcW w:w="1120" w:type="dxa"/>
            <w:tcBorders>
              <w:top w:val="nil"/>
              <w:left w:val="nil"/>
              <w:bottom w:val="single" w:sz="4" w:space="0" w:color="auto"/>
              <w:right w:val="single" w:sz="4" w:space="0" w:color="auto"/>
            </w:tcBorders>
            <w:shd w:val="clear" w:color="000000" w:fill="FFFFFF"/>
            <w:noWrap/>
            <w:vAlign w:val="center"/>
            <w:hideMark/>
          </w:tcPr>
          <w:p w14:paraId="7BCED0CF"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60%</w:t>
            </w:r>
          </w:p>
        </w:tc>
        <w:tc>
          <w:tcPr>
            <w:tcW w:w="1120" w:type="dxa"/>
            <w:tcBorders>
              <w:top w:val="nil"/>
              <w:left w:val="nil"/>
              <w:bottom w:val="single" w:sz="4" w:space="0" w:color="auto"/>
              <w:right w:val="single" w:sz="4" w:space="0" w:color="auto"/>
            </w:tcBorders>
            <w:shd w:val="clear" w:color="000000" w:fill="FFFFFF"/>
            <w:noWrap/>
            <w:vAlign w:val="center"/>
            <w:hideMark/>
          </w:tcPr>
          <w:p w14:paraId="482D90E8"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62%</w:t>
            </w:r>
          </w:p>
        </w:tc>
        <w:tc>
          <w:tcPr>
            <w:tcW w:w="1120" w:type="dxa"/>
            <w:tcBorders>
              <w:top w:val="nil"/>
              <w:left w:val="nil"/>
              <w:bottom w:val="single" w:sz="4" w:space="0" w:color="auto"/>
              <w:right w:val="single" w:sz="4" w:space="0" w:color="auto"/>
            </w:tcBorders>
            <w:shd w:val="clear" w:color="000000" w:fill="FFFFFF"/>
            <w:noWrap/>
            <w:vAlign w:val="center"/>
            <w:hideMark/>
          </w:tcPr>
          <w:p w14:paraId="171CE9ED"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62%</w:t>
            </w:r>
          </w:p>
        </w:tc>
      </w:tr>
      <w:tr w:rsidR="0045589E" w14:paraId="159B693F" w14:textId="77777777" w:rsidTr="0045589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C123C55"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30%</w:t>
            </w:r>
          </w:p>
        </w:tc>
        <w:tc>
          <w:tcPr>
            <w:tcW w:w="1120" w:type="dxa"/>
            <w:tcBorders>
              <w:top w:val="nil"/>
              <w:left w:val="nil"/>
              <w:bottom w:val="single" w:sz="4" w:space="0" w:color="auto"/>
              <w:right w:val="single" w:sz="4" w:space="0" w:color="auto"/>
            </w:tcBorders>
            <w:shd w:val="clear" w:color="000000" w:fill="FFFFFF"/>
            <w:noWrap/>
            <w:vAlign w:val="center"/>
            <w:hideMark/>
          </w:tcPr>
          <w:p w14:paraId="62A18ED9"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63%</w:t>
            </w:r>
          </w:p>
        </w:tc>
        <w:tc>
          <w:tcPr>
            <w:tcW w:w="1120" w:type="dxa"/>
            <w:tcBorders>
              <w:top w:val="nil"/>
              <w:left w:val="nil"/>
              <w:bottom w:val="single" w:sz="4" w:space="0" w:color="auto"/>
              <w:right w:val="single" w:sz="4" w:space="0" w:color="auto"/>
            </w:tcBorders>
            <w:shd w:val="clear" w:color="000000" w:fill="FFFFFF"/>
            <w:noWrap/>
            <w:vAlign w:val="center"/>
            <w:hideMark/>
          </w:tcPr>
          <w:p w14:paraId="6AF21257"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80%</w:t>
            </w:r>
          </w:p>
        </w:tc>
        <w:tc>
          <w:tcPr>
            <w:tcW w:w="1120" w:type="dxa"/>
            <w:tcBorders>
              <w:top w:val="nil"/>
              <w:left w:val="nil"/>
              <w:bottom w:val="single" w:sz="4" w:space="0" w:color="auto"/>
              <w:right w:val="single" w:sz="4" w:space="0" w:color="auto"/>
            </w:tcBorders>
            <w:shd w:val="clear" w:color="000000" w:fill="FFFFFF"/>
            <w:noWrap/>
            <w:vAlign w:val="center"/>
            <w:hideMark/>
          </w:tcPr>
          <w:p w14:paraId="63B688F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74%</w:t>
            </w:r>
          </w:p>
        </w:tc>
        <w:tc>
          <w:tcPr>
            <w:tcW w:w="1120" w:type="dxa"/>
            <w:tcBorders>
              <w:top w:val="nil"/>
              <w:left w:val="nil"/>
              <w:bottom w:val="single" w:sz="4" w:space="0" w:color="auto"/>
              <w:right w:val="single" w:sz="4" w:space="0" w:color="auto"/>
            </w:tcBorders>
            <w:shd w:val="clear" w:color="000000" w:fill="FFFFFF"/>
            <w:noWrap/>
            <w:vAlign w:val="center"/>
            <w:hideMark/>
          </w:tcPr>
          <w:p w14:paraId="6CB0709F"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74%</w:t>
            </w:r>
          </w:p>
        </w:tc>
        <w:tc>
          <w:tcPr>
            <w:tcW w:w="1120" w:type="dxa"/>
            <w:tcBorders>
              <w:top w:val="nil"/>
              <w:left w:val="nil"/>
              <w:bottom w:val="single" w:sz="4" w:space="0" w:color="auto"/>
              <w:right w:val="single" w:sz="4" w:space="0" w:color="auto"/>
            </w:tcBorders>
            <w:shd w:val="clear" w:color="000000" w:fill="FFFFFF"/>
            <w:noWrap/>
            <w:vAlign w:val="center"/>
            <w:hideMark/>
          </w:tcPr>
          <w:p w14:paraId="47DD734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73%</w:t>
            </w:r>
          </w:p>
        </w:tc>
      </w:tr>
      <w:tr w:rsidR="0045589E" w14:paraId="18A5FDDA" w14:textId="77777777" w:rsidTr="0045589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6214732"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40%</w:t>
            </w:r>
          </w:p>
        </w:tc>
        <w:tc>
          <w:tcPr>
            <w:tcW w:w="1120" w:type="dxa"/>
            <w:tcBorders>
              <w:top w:val="nil"/>
              <w:left w:val="nil"/>
              <w:bottom w:val="single" w:sz="4" w:space="0" w:color="auto"/>
              <w:right w:val="single" w:sz="4" w:space="0" w:color="auto"/>
            </w:tcBorders>
            <w:shd w:val="clear" w:color="000000" w:fill="FFFFFF"/>
            <w:noWrap/>
            <w:vAlign w:val="center"/>
            <w:hideMark/>
          </w:tcPr>
          <w:p w14:paraId="45B4EA35"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77%</w:t>
            </w:r>
          </w:p>
        </w:tc>
        <w:tc>
          <w:tcPr>
            <w:tcW w:w="1120" w:type="dxa"/>
            <w:tcBorders>
              <w:top w:val="nil"/>
              <w:left w:val="nil"/>
              <w:bottom w:val="single" w:sz="4" w:space="0" w:color="auto"/>
              <w:right w:val="single" w:sz="4" w:space="0" w:color="auto"/>
            </w:tcBorders>
            <w:shd w:val="clear" w:color="000000" w:fill="FFFFFF"/>
            <w:noWrap/>
            <w:vAlign w:val="center"/>
            <w:hideMark/>
          </w:tcPr>
          <w:p w14:paraId="4889D110"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86%</w:t>
            </w:r>
          </w:p>
        </w:tc>
        <w:tc>
          <w:tcPr>
            <w:tcW w:w="1120" w:type="dxa"/>
            <w:tcBorders>
              <w:top w:val="nil"/>
              <w:left w:val="nil"/>
              <w:bottom w:val="single" w:sz="4" w:space="0" w:color="auto"/>
              <w:right w:val="single" w:sz="4" w:space="0" w:color="auto"/>
            </w:tcBorders>
            <w:shd w:val="clear" w:color="000000" w:fill="FFFFFF"/>
            <w:noWrap/>
            <w:vAlign w:val="center"/>
            <w:hideMark/>
          </w:tcPr>
          <w:p w14:paraId="6A263C89"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85%</w:t>
            </w:r>
          </w:p>
        </w:tc>
        <w:tc>
          <w:tcPr>
            <w:tcW w:w="1120" w:type="dxa"/>
            <w:tcBorders>
              <w:top w:val="nil"/>
              <w:left w:val="nil"/>
              <w:bottom w:val="single" w:sz="4" w:space="0" w:color="auto"/>
              <w:right w:val="single" w:sz="4" w:space="0" w:color="auto"/>
            </w:tcBorders>
            <w:shd w:val="clear" w:color="000000" w:fill="FFFFFF"/>
            <w:noWrap/>
            <w:vAlign w:val="center"/>
            <w:hideMark/>
          </w:tcPr>
          <w:p w14:paraId="57ED38EC"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85%</w:t>
            </w:r>
          </w:p>
        </w:tc>
        <w:tc>
          <w:tcPr>
            <w:tcW w:w="1120" w:type="dxa"/>
            <w:tcBorders>
              <w:top w:val="nil"/>
              <w:left w:val="nil"/>
              <w:bottom w:val="single" w:sz="4" w:space="0" w:color="auto"/>
              <w:right w:val="single" w:sz="4" w:space="0" w:color="auto"/>
            </w:tcBorders>
            <w:shd w:val="clear" w:color="000000" w:fill="FFFFFF"/>
            <w:noWrap/>
            <w:vAlign w:val="center"/>
            <w:hideMark/>
          </w:tcPr>
          <w:p w14:paraId="42AD97D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81%</w:t>
            </w:r>
          </w:p>
        </w:tc>
      </w:tr>
      <w:tr w:rsidR="0045589E" w14:paraId="7D5BD5A2" w14:textId="77777777" w:rsidTr="0045589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3084E44"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50%</w:t>
            </w:r>
          </w:p>
        </w:tc>
        <w:tc>
          <w:tcPr>
            <w:tcW w:w="1120" w:type="dxa"/>
            <w:tcBorders>
              <w:top w:val="nil"/>
              <w:left w:val="nil"/>
              <w:bottom w:val="single" w:sz="4" w:space="0" w:color="auto"/>
              <w:right w:val="single" w:sz="4" w:space="0" w:color="auto"/>
            </w:tcBorders>
            <w:shd w:val="clear" w:color="000000" w:fill="FFFFFF"/>
            <w:noWrap/>
            <w:vAlign w:val="center"/>
            <w:hideMark/>
          </w:tcPr>
          <w:p w14:paraId="60AF57C6"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84%</w:t>
            </w:r>
          </w:p>
        </w:tc>
        <w:tc>
          <w:tcPr>
            <w:tcW w:w="1120" w:type="dxa"/>
            <w:tcBorders>
              <w:top w:val="nil"/>
              <w:left w:val="nil"/>
              <w:bottom w:val="single" w:sz="4" w:space="0" w:color="auto"/>
              <w:right w:val="single" w:sz="4" w:space="0" w:color="auto"/>
            </w:tcBorders>
            <w:shd w:val="clear" w:color="000000" w:fill="FFFFFF"/>
            <w:noWrap/>
            <w:vAlign w:val="center"/>
            <w:hideMark/>
          </w:tcPr>
          <w:p w14:paraId="41C7354D"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92%</w:t>
            </w:r>
          </w:p>
        </w:tc>
        <w:tc>
          <w:tcPr>
            <w:tcW w:w="1120" w:type="dxa"/>
            <w:tcBorders>
              <w:top w:val="nil"/>
              <w:left w:val="nil"/>
              <w:bottom w:val="single" w:sz="4" w:space="0" w:color="auto"/>
              <w:right w:val="single" w:sz="4" w:space="0" w:color="auto"/>
            </w:tcBorders>
            <w:shd w:val="clear" w:color="000000" w:fill="FFFFFF"/>
            <w:noWrap/>
            <w:vAlign w:val="center"/>
            <w:hideMark/>
          </w:tcPr>
          <w:p w14:paraId="125493CE"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91%</w:t>
            </w:r>
          </w:p>
        </w:tc>
        <w:tc>
          <w:tcPr>
            <w:tcW w:w="1120" w:type="dxa"/>
            <w:tcBorders>
              <w:top w:val="nil"/>
              <w:left w:val="nil"/>
              <w:bottom w:val="single" w:sz="4" w:space="0" w:color="auto"/>
              <w:right w:val="single" w:sz="4" w:space="0" w:color="auto"/>
            </w:tcBorders>
            <w:shd w:val="clear" w:color="000000" w:fill="FFFFFF"/>
            <w:noWrap/>
            <w:vAlign w:val="center"/>
            <w:hideMark/>
          </w:tcPr>
          <w:p w14:paraId="51B70E97"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91%</w:t>
            </w:r>
          </w:p>
        </w:tc>
        <w:tc>
          <w:tcPr>
            <w:tcW w:w="1120" w:type="dxa"/>
            <w:tcBorders>
              <w:top w:val="nil"/>
              <w:left w:val="nil"/>
              <w:bottom w:val="single" w:sz="4" w:space="0" w:color="auto"/>
              <w:right w:val="single" w:sz="4" w:space="0" w:color="auto"/>
            </w:tcBorders>
            <w:shd w:val="clear" w:color="000000" w:fill="FFFFFF"/>
            <w:noWrap/>
            <w:vAlign w:val="center"/>
            <w:hideMark/>
          </w:tcPr>
          <w:p w14:paraId="76B79F0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89%</w:t>
            </w:r>
          </w:p>
        </w:tc>
      </w:tr>
      <w:tr w:rsidR="0045589E" w14:paraId="463F6AD1" w14:textId="77777777" w:rsidTr="0045589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71F93D3"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60%</w:t>
            </w:r>
          </w:p>
        </w:tc>
        <w:tc>
          <w:tcPr>
            <w:tcW w:w="1120" w:type="dxa"/>
            <w:tcBorders>
              <w:top w:val="nil"/>
              <w:left w:val="nil"/>
              <w:bottom w:val="single" w:sz="4" w:space="0" w:color="auto"/>
              <w:right w:val="single" w:sz="4" w:space="0" w:color="auto"/>
            </w:tcBorders>
            <w:shd w:val="clear" w:color="000000" w:fill="FFFFFF"/>
            <w:noWrap/>
            <w:vAlign w:val="center"/>
            <w:hideMark/>
          </w:tcPr>
          <w:p w14:paraId="2176D5C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95%</w:t>
            </w:r>
          </w:p>
        </w:tc>
        <w:tc>
          <w:tcPr>
            <w:tcW w:w="1120" w:type="dxa"/>
            <w:tcBorders>
              <w:top w:val="nil"/>
              <w:left w:val="nil"/>
              <w:bottom w:val="single" w:sz="4" w:space="0" w:color="auto"/>
              <w:right w:val="single" w:sz="4" w:space="0" w:color="auto"/>
            </w:tcBorders>
            <w:shd w:val="clear" w:color="000000" w:fill="FFFFFF"/>
            <w:noWrap/>
            <w:vAlign w:val="center"/>
            <w:hideMark/>
          </w:tcPr>
          <w:p w14:paraId="66F3074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95%</w:t>
            </w:r>
          </w:p>
        </w:tc>
        <w:tc>
          <w:tcPr>
            <w:tcW w:w="1120" w:type="dxa"/>
            <w:tcBorders>
              <w:top w:val="nil"/>
              <w:left w:val="nil"/>
              <w:bottom w:val="single" w:sz="4" w:space="0" w:color="auto"/>
              <w:right w:val="single" w:sz="4" w:space="0" w:color="auto"/>
            </w:tcBorders>
            <w:shd w:val="clear" w:color="000000" w:fill="FFFFFF"/>
            <w:noWrap/>
            <w:vAlign w:val="center"/>
            <w:hideMark/>
          </w:tcPr>
          <w:p w14:paraId="146A4705"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95%</w:t>
            </w:r>
          </w:p>
        </w:tc>
        <w:tc>
          <w:tcPr>
            <w:tcW w:w="1120" w:type="dxa"/>
            <w:tcBorders>
              <w:top w:val="nil"/>
              <w:left w:val="nil"/>
              <w:bottom w:val="single" w:sz="4" w:space="0" w:color="auto"/>
              <w:right w:val="single" w:sz="4" w:space="0" w:color="auto"/>
            </w:tcBorders>
            <w:shd w:val="clear" w:color="000000" w:fill="FFFFFF"/>
            <w:noWrap/>
            <w:vAlign w:val="center"/>
            <w:hideMark/>
          </w:tcPr>
          <w:p w14:paraId="4C334EB3"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96%</w:t>
            </w:r>
          </w:p>
        </w:tc>
        <w:tc>
          <w:tcPr>
            <w:tcW w:w="1120" w:type="dxa"/>
            <w:tcBorders>
              <w:top w:val="nil"/>
              <w:left w:val="nil"/>
              <w:bottom w:val="single" w:sz="4" w:space="0" w:color="auto"/>
              <w:right w:val="single" w:sz="4" w:space="0" w:color="auto"/>
            </w:tcBorders>
            <w:shd w:val="clear" w:color="000000" w:fill="FFFFFF"/>
            <w:noWrap/>
            <w:vAlign w:val="center"/>
            <w:hideMark/>
          </w:tcPr>
          <w:p w14:paraId="675F1898"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95%</w:t>
            </w:r>
          </w:p>
        </w:tc>
      </w:tr>
      <w:tr w:rsidR="0045589E" w14:paraId="15A1336A" w14:textId="77777777" w:rsidTr="0045589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9F1A779"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70%</w:t>
            </w:r>
          </w:p>
        </w:tc>
        <w:tc>
          <w:tcPr>
            <w:tcW w:w="1120" w:type="dxa"/>
            <w:tcBorders>
              <w:top w:val="nil"/>
              <w:left w:val="nil"/>
              <w:bottom w:val="single" w:sz="4" w:space="0" w:color="auto"/>
              <w:right w:val="single" w:sz="4" w:space="0" w:color="auto"/>
            </w:tcBorders>
            <w:shd w:val="clear" w:color="000000" w:fill="FFFFFF"/>
            <w:noWrap/>
            <w:vAlign w:val="center"/>
            <w:hideMark/>
          </w:tcPr>
          <w:p w14:paraId="16B294BE"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96%</w:t>
            </w:r>
          </w:p>
        </w:tc>
        <w:tc>
          <w:tcPr>
            <w:tcW w:w="1120" w:type="dxa"/>
            <w:tcBorders>
              <w:top w:val="nil"/>
              <w:left w:val="nil"/>
              <w:bottom w:val="single" w:sz="4" w:space="0" w:color="auto"/>
              <w:right w:val="single" w:sz="4" w:space="0" w:color="auto"/>
            </w:tcBorders>
            <w:shd w:val="clear" w:color="000000" w:fill="FFFFFF"/>
            <w:noWrap/>
            <w:vAlign w:val="center"/>
            <w:hideMark/>
          </w:tcPr>
          <w:p w14:paraId="5C00F0F3"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98%</w:t>
            </w:r>
          </w:p>
        </w:tc>
        <w:tc>
          <w:tcPr>
            <w:tcW w:w="1120" w:type="dxa"/>
            <w:tcBorders>
              <w:top w:val="nil"/>
              <w:left w:val="nil"/>
              <w:bottom w:val="single" w:sz="4" w:space="0" w:color="auto"/>
              <w:right w:val="single" w:sz="4" w:space="0" w:color="auto"/>
            </w:tcBorders>
            <w:shd w:val="clear" w:color="000000" w:fill="FFFFFF"/>
            <w:noWrap/>
            <w:vAlign w:val="center"/>
            <w:hideMark/>
          </w:tcPr>
          <w:p w14:paraId="2B286F66"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97%</w:t>
            </w:r>
          </w:p>
        </w:tc>
        <w:tc>
          <w:tcPr>
            <w:tcW w:w="1120" w:type="dxa"/>
            <w:tcBorders>
              <w:top w:val="nil"/>
              <w:left w:val="nil"/>
              <w:bottom w:val="single" w:sz="4" w:space="0" w:color="auto"/>
              <w:right w:val="single" w:sz="4" w:space="0" w:color="auto"/>
            </w:tcBorders>
            <w:shd w:val="clear" w:color="000000" w:fill="FFFFFF"/>
            <w:noWrap/>
            <w:vAlign w:val="center"/>
            <w:hideMark/>
          </w:tcPr>
          <w:p w14:paraId="49465CB8"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98%</w:t>
            </w:r>
          </w:p>
        </w:tc>
        <w:tc>
          <w:tcPr>
            <w:tcW w:w="1120" w:type="dxa"/>
            <w:tcBorders>
              <w:top w:val="nil"/>
              <w:left w:val="nil"/>
              <w:bottom w:val="single" w:sz="4" w:space="0" w:color="auto"/>
              <w:right w:val="single" w:sz="4" w:space="0" w:color="auto"/>
            </w:tcBorders>
            <w:shd w:val="clear" w:color="000000" w:fill="FFFFFF"/>
            <w:noWrap/>
            <w:vAlign w:val="center"/>
            <w:hideMark/>
          </w:tcPr>
          <w:p w14:paraId="2B5FCF5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98%</w:t>
            </w:r>
          </w:p>
        </w:tc>
      </w:tr>
      <w:tr w:rsidR="0045589E" w14:paraId="34A07DC1" w14:textId="77777777" w:rsidTr="0045589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43E2CF1"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80%</w:t>
            </w:r>
          </w:p>
        </w:tc>
        <w:tc>
          <w:tcPr>
            <w:tcW w:w="1120" w:type="dxa"/>
            <w:tcBorders>
              <w:top w:val="nil"/>
              <w:left w:val="nil"/>
              <w:bottom w:val="single" w:sz="4" w:space="0" w:color="auto"/>
              <w:right w:val="single" w:sz="4" w:space="0" w:color="auto"/>
            </w:tcBorders>
            <w:shd w:val="clear" w:color="000000" w:fill="FFFFFF"/>
            <w:noWrap/>
            <w:vAlign w:val="center"/>
            <w:hideMark/>
          </w:tcPr>
          <w:p w14:paraId="404F05AC"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97%</w:t>
            </w:r>
          </w:p>
        </w:tc>
        <w:tc>
          <w:tcPr>
            <w:tcW w:w="1120" w:type="dxa"/>
            <w:tcBorders>
              <w:top w:val="nil"/>
              <w:left w:val="nil"/>
              <w:bottom w:val="single" w:sz="4" w:space="0" w:color="auto"/>
              <w:right w:val="single" w:sz="4" w:space="0" w:color="auto"/>
            </w:tcBorders>
            <w:shd w:val="clear" w:color="000000" w:fill="FFFFFF"/>
            <w:noWrap/>
            <w:vAlign w:val="center"/>
            <w:hideMark/>
          </w:tcPr>
          <w:p w14:paraId="32997572"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99%</w:t>
            </w:r>
          </w:p>
        </w:tc>
        <w:tc>
          <w:tcPr>
            <w:tcW w:w="1120" w:type="dxa"/>
            <w:tcBorders>
              <w:top w:val="nil"/>
              <w:left w:val="nil"/>
              <w:bottom w:val="single" w:sz="4" w:space="0" w:color="auto"/>
              <w:right w:val="single" w:sz="4" w:space="0" w:color="auto"/>
            </w:tcBorders>
            <w:shd w:val="clear" w:color="000000" w:fill="FFFFFF"/>
            <w:noWrap/>
            <w:vAlign w:val="center"/>
            <w:hideMark/>
          </w:tcPr>
          <w:p w14:paraId="443B67B6"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99%</w:t>
            </w:r>
          </w:p>
        </w:tc>
        <w:tc>
          <w:tcPr>
            <w:tcW w:w="1120" w:type="dxa"/>
            <w:tcBorders>
              <w:top w:val="nil"/>
              <w:left w:val="nil"/>
              <w:bottom w:val="single" w:sz="4" w:space="0" w:color="auto"/>
              <w:right w:val="single" w:sz="4" w:space="0" w:color="auto"/>
            </w:tcBorders>
            <w:shd w:val="clear" w:color="000000" w:fill="FFFFFF"/>
            <w:noWrap/>
            <w:vAlign w:val="center"/>
            <w:hideMark/>
          </w:tcPr>
          <w:p w14:paraId="36068E07"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99%</w:t>
            </w:r>
          </w:p>
        </w:tc>
        <w:tc>
          <w:tcPr>
            <w:tcW w:w="1120" w:type="dxa"/>
            <w:tcBorders>
              <w:top w:val="nil"/>
              <w:left w:val="nil"/>
              <w:bottom w:val="single" w:sz="4" w:space="0" w:color="auto"/>
              <w:right w:val="single" w:sz="4" w:space="0" w:color="auto"/>
            </w:tcBorders>
            <w:shd w:val="clear" w:color="000000" w:fill="FFFFFF"/>
            <w:noWrap/>
            <w:vAlign w:val="center"/>
            <w:hideMark/>
          </w:tcPr>
          <w:p w14:paraId="34838560"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99%</w:t>
            </w:r>
          </w:p>
        </w:tc>
      </w:tr>
      <w:tr w:rsidR="0045589E" w14:paraId="6D4C65CB" w14:textId="77777777" w:rsidTr="0045589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C0532B4" w14:textId="77777777" w:rsidR="0045589E" w:rsidRPr="00954F7B" w:rsidRDefault="0045589E" w:rsidP="0045589E">
            <w:pPr>
              <w:rPr>
                <w:rFonts w:ascii="Arial" w:hAnsi="Arial" w:cs="Arial"/>
                <w:b/>
                <w:bCs/>
                <w:color w:val="000000"/>
                <w:sz w:val="18"/>
                <w:szCs w:val="18"/>
              </w:rPr>
            </w:pPr>
            <w:r w:rsidRPr="00954F7B">
              <w:rPr>
                <w:rFonts w:ascii="Arial" w:hAnsi="Arial" w:cs="Arial"/>
                <w:b/>
                <w:bCs/>
                <w:color w:val="000000"/>
                <w:sz w:val="18"/>
                <w:szCs w:val="18"/>
              </w:rPr>
              <w:t>90%</w:t>
            </w:r>
          </w:p>
        </w:tc>
        <w:tc>
          <w:tcPr>
            <w:tcW w:w="1120" w:type="dxa"/>
            <w:tcBorders>
              <w:top w:val="nil"/>
              <w:left w:val="nil"/>
              <w:bottom w:val="single" w:sz="4" w:space="0" w:color="auto"/>
              <w:right w:val="single" w:sz="4" w:space="0" w:color="auto"/>
            </w:tcBorders>
            <w:shd w:val="clear" w:color="000000" w:fill="FFFFFF"/>
            <w:noWrap/>
            <w:vAlign w:val="center"/>
            <w:hideMark/>
          </w:tcPr>
          <w:p w14:paraId="3E76D1D9"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99%</w:t>
            </w:r>
          </w:p>
        </w:tc>
        <w:tc>
          <w:tcPr>
            <w:tcW w:w="1120" w:type="dxa"/>
            <w:tcBorders>
              <w:top w:val="nil"/>
              <w:left w:val="nil"/>
              <w:bottom w:val="single" w:sz="4" w:space="0" w:color="auto"/>
              <w:right w:val="single" w:sz="4" w:space="0" w:color="auto"/>
            </w:tcBorders>
            <w:shd w:val="clear" w:color="000000" w:fill="FFFFFF"/>
            <w:noWrap/>
            <w:vAlign w:val="center"/>
            <w:hideMark/>
          </w:tcPr>
          <w:p w14:paraId="6F5D3CFC"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100%</w:t>
            </w:r>
          </w:p>
        </w:tc>
        <w:tc>
          <w:tcPr>
            <w:tcW w:w="1120" w:type="dxa"/>
            <w:tcBorders>
              <w:top w:val="nil"/>
              <w:left w:val="nil"/>
              <w:bottom w:val="single" w:sz="4" w:space="0" w:color="auto"/>
              <w:right w:val="single" w:sz="4" w:space="0" w:color="auto"/>
            </w:tcBorders>
            <w:shd w:val="clear" w:color="000000" w:fill="FFFFFF"/>
            <w:noWrap/>
            <w:vAlign w:val="center"/>
            <w:hideMark/>
          </w:tcPr>
          <w:p w14:paraId="66F97081"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100%</w:t>
            </w:r>
          </w:p>
        </w:tc>
        <w:tc>
          <w:tcPr>
            <w:tcW w:w="1120" w:type="dxa"/>
            <w:tcBorders>
              <w:top w:val="nil"/>
              <w:left w:val="nil"/>
              <w:bottom w:val="single" w:sz="4" w:space="0" w:color="auto"/>
              <w:right w:val="single" w:sz="4" w:space="0" w:color="auto"/>
            </w:tcBorders>
            <w:shd w:val="clear" w:color="000000" w:fill="FFFFFF"/>
            <w:noWrap/>
            <w:vAlign w:val="center"/>
            <w:hideMark/>
          </w:tcPr>
          <w:p w14:paraId="0A5DE05B"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100%</w:t>
            </w:r>
          </w:p>
        </w:tc>
        <w:tc>
          <w:tcPr>
            <w:tcW w:w="1120" w:type="dxa"/>
            <w:tcBorders>
              <w:top w:val="nil"/>
              <w:left w:val="nil"/>
              <w:bottom w:val="single" w:sz="4" w:space="0" w:color="auto"/>
              <w:right w:val="single" w:sz="4" w:space="0" w:color="auto"/>
            </w:tcBorders>
            <w:shd w:val="clear" w:color="000000" w:fill="FFFFFF"/>
            <w:noWrap/>
            <w:vAlign w:val="center"/>
            <w:hideMark/>
          </w:tcPr>
          <w:p w14:paraId="4E74AE37" w14:textId="77777777" w:rsidR="0045589E" w:rsidRPr="00954F7B" w:rsidRDefault="0045589E" w:rsidP="0045589E">
            <w:pPr>
              <w:jc w:val="right"/>
              <w:rPr>
                <w:rFonts w:ascii="Arial" w:hAnsi="Arial" w:cs="Arial"/>
                <w:color w:val="000000"/>
                <w:sz w:val="18"/>
                <w:szCs w:val="18"/>
              </w:rPr>
            </w:pPr>
            <w:r w:rsidRPr="00954F7B">
              <w:rPr>
                <w:rFonts w:ascii="Arial" w:hAnsi="Arial" w:cs="Arial"/>
                <w:color w:val="000000"/>
                <w:sz w:val="18"/>
                <w:szCs w:val="18"/>
              </w:rPr>
              <w:t>100%</w:t>
            </w:r>
          </w:p>
        </w:tc>
      </w:tr>
      <w:tr w:rsidR="0045589E" w:rsidRPr="009A1CB0" w14:paraId="3BCE8507" w14:textId="77777777" w:rsidTr="0045589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6EA1994" w14:textId="77777777" w:rsidR="0045589E" w:rsidRPr="00954F7B" w:rsidRDefault="0045589E" w:rsidP="0045589E">
            <w:pPr>
              <w:rPr>
                <w:rFonts w:ascii="Arial" w:hAnsi="Arial" w:cs="Arial"/>
                <w:b/>
                <w:bCs/>
                <w:sz w:val="18"/>
                <w:szCs w:val="18"/>
              </w:rPr>
            </w:pPr>
            <w:r w:rsidRPr="00954F7B">
              <w:rPr>
                <w:rFonts w:ascii="Arial" w:hAnsi="Arial" w:cs="Arial"/>
                <w:b/>
                <w:bCs/>
                <w:sz w:val="18"/>
                <w:szCs w:val="18"/>
              </w:rPr>
              <w:t>100%</w:t>
            </w:r>
          </w:p>
        </w:tc>
        <w:tc>
          <w:tcPr>
            <w:tcW w:w="1120" w:type="dxa"/>
            <w:tcBorders>
              <w:top w:val="nil"/>
              <w:left w:val="nil"/>
              <w:bottom w:val="single" w:sz="4" w:space="0" w:color="auto"/>
              <w:right w:val="single" w:sz="4" w:space="0" w:color="auto"/>
            </w:tcBorders>
            <w:shd w:val="clear" w:color="000000" w:fill="FFFFFF"/>
            <w:noWrap/>
            <w:vAlign w:val="center"/>
            <w:hideMark/>
          </w:tcPr>
          <w:p w14:paraId="7DE40DC4" w14:textId="77777777" w:rsidR="0045589E" w:rsidRPr="00954F7B" w:rsidRDefault="0045589E" w:rsidP="0045589E">
            <w:pPr>
              <w:jc w:val="right"/>
              <w:rPr>
                <w:rFonts w:ascii="Arial" w:hAnsi="Arial" w:cs="Arial"/>
                <w:sz w:val="18"/>
                <w:szCs w:val="18"/>
              </w:rPr>
            </w:pPr>
            <w:r w:rsidRPr="00954F7B">
              <w:rPr>
                <w:rFonts w:ascii="Arial" w:hAnsi="Arial" w:cs="Arial"/>
                <w:sz w:val="18"/>
                <w:szCs w:val="18"/>
              </w:rPr>
              <w:t>100%</w:t>
            </w:r>
          </w:p>
        </w:tc>
        <w:tc>
          <w:tcPr>
            <w:tcW w:w="1120" w:type="dxa"/>
            <w:tcBorders>
              <w:top w:val="nil"/>
              <w:left w:val="nil"/>
              <w:bottom w:val="single" w:sz="4" w:space="0" w:color="auto"/>
              <w:right w:val="single" w:sz="4" w:space="0" w:color="auto"/>
            </w:tcBorders>
            <w:shd w:val="clear" w:color="000000" w:fill="FFFFFF"/>
            <w:noWrap/>
            <w:vAlign w:val="center"/>
            <w:hideMark/>
          </w:tcPr>
          <w:p w14:paraId="30F11197" w14:textId="77777777" w:rsidR="0045589E" w:rsidRPr="00954F7B" w:rsidRDefault="0045589E" w:rsidP="0045589E">
            <w:pPr>
              <w:jc w:val="right"/>
              <w:rPr>
                <w:rFonts w:ascii="Arial" w:hAnsi="Arial" w:cs="Arial"/>
                <w:sz w:val="18"/>
                <w:szCs w:val="18"/>
              </w:rPr>
            </w:pPr>
            <w:r w:rsidRPr="00954F7B">
              <w:rPr>
                <w:rFonts w:ascii="Arial" w:hAnsi="Arial" w:cs="Arial"/>
                <w:sz w:val="18"/>
                <w:szCs w:val="18"/>
              </w:rPr>
              <w:t>100%</w:t>
            </w:r>
          </w:p>
        </w:tc>
        <w:tc>
          <w:tcPr>
            <w:tcW w:w="1120" w:type="dxa"/>
            <w:tcBorders>
              <w:top w:val="nil"/>
              <w:left w:val="nil"/>
              <w:bottom w:val="single" w:sz="4" w:space="0" w:color="auto"/>
              <w:right w:val="single" w:sz="4" w:space="0" w:color="auto"/>
            </w:tcBorders>
            <w:shd w:val="clear" w:color="000000" w:fill="FFFFFF"/>
            <w:noWrap/>
            <w:vAlign w:val="center"/>
            <w:hideMark/>
          </w:tcPr>
          <w:p w14:paraId="2B3C8B39" w14:textId="77777777" w:rsidR="0045589E" w:rsidRPr="00954F7B" w:rsidRDefault="0045589E" w:rsidP="0045589E">
            <w:pPr>
              <w:jc w:val="right"/>
              <w:rPr>
                <w:rFonts w:ascii="Arial" w:hAnsi="Arial" w:cs="Arial"/>
                <w:sz w:val="18"/>
                <w:szCs w:val="18"/>
              </w:rPr>
            </w:pPr>
            <w:r w:rsidRPr="00954F7B">
              <w:rPr>
                <w:rFonts w:ascii="Arial" w:hAnsi="Arial" w:cs="Arial"/>
                <w:sz w:val="18"/>
                <w:szCs w:val="18"/>
              </w:rPr>
              <w:t>100%</w:t>
            </w:r>
          </w:p>
        </w:tc>
        <w:tc>
          <w:tcPr>
            <w:tcW w:w="1120" w:type="dxa"/>
            <w:tcBorders>
              <w:top w:val="nil"/>
              <w:left w:val="nil"/>
              <w:bottom w:val="single" w:sz="4" w:space="0" w:color="auto"/>
              <w:right w:val="single" w:sz="4" w:space="0" w:color="auto"/>
            </w:tcBorders>
            <w:shd w:val="clear" w:color="000000" w:fill="FFFFFF"/>
            <w:noWrap/>
            <w:vAlign w:val="center"/>
            <w:hideMark/>
          </w:tcPr>
          <w:p w14:paraId="4CB5DA7B" w14:textId="77777777" w:rsidR="0045589E" w:rsidRPr="00954F7B" w:rsidRDefault="0045589E" w:rsidP="0045589E">
            <w:pPr>
              <w:jc w:val="right"/>
              <w:rPr>
                <w:rFonts w:ascii="Arial" w:hAnsi="Arial" w:cs="Arial"/>
                <w:sz w:val="18"/>
                <w:szCs w:val="18"/>
              </w:rPr>
            </w:pPr>
            <w:r w:rsidRPr="00954F7B">
              <w:rPr>
                <w:rFonts w:ascii="Arial" w:hAnsi="Arial" w:cs="Arial"/>
                <w:sz w:val="18"/>
                <w:szCs w:val="18"/>
              </w:rPr>
              <w:t>100%</w:t>
            </w:r>
          </w:p>
        </w:tc>
        <w:tc>
          <w:tcPr>
            <w:tcW w:w="1120" w:type="dxa"/>
            <w:tcBorders>
              <w:top w:val="nil"/>
              <w:left w:val="nil"/>
              <w:bottom w:val="single" w:sz="4" w:space="0" w:color="auto"/>
              <w:right w:val="single" w:sz="4" w:space="0" w:color="auto"/>
            </w:tcBorders>
            <w:shd w:val="clear" w:color="000000" w:fill="FFFFFF"/>
            <w:noWrap/>
            <w:vAlign w:val="center"/>
            <w:hideMark/>
          </w:tcPr>
          <w:p w14:paraId="778B732D" w14:textId="77777777" w:rsidR="0045589E" w:rsidRPr="00954F7B" w:rsidRDefault="0045589E" w:rsidP="0045589E">
            <w:pPr>
              <w:jc w:val="right"/>
              <w:rPr>
                <w:rFonts w:ascii="Arial" w:hAnsi="Arial" w:cs="Arial"/>
                <w:sz w:val="18"/>
                <w:szCs w:val="18"/>
              </w:rPr>
            </w:pPr>
            <w:r w:rsidRPr="00954F7B">
              <w:rPr>
                <w:rFonts w:ascii="Arial" w:hAnsi="Arial" w:cs="Arial"/>
                <w:sz w:val="18"/>
                <w:szCs w:val="18"/>
              </w:rPr>
              <w:t>100%</w:t>
            </w:r>
          </w:p>
        </w:tc>
      </w:tr>
    </w:tbl>
    <w:p w14:paraId="1FFD12F1" w14:textId="4A0158C9" w:rsidR="0045589E" w:rsidRPr="00B75127" w:rsidRDefault="0045589E" w:rsidP="00B75127">
      <w:pPr>
        <w:rPr>
          <w:rFonts w:ascii="Arial Narrow" w:hAnsi="Arial Narrow"/>
          <w:i/>
          <w:sz w:val="20"/>
        </w:rPr>
      </w:pPr>
      <w:r w:rsidRPr="00B75127">
        <w:rPr>
          <w:rFonts w:ascii="Arial Narrow" w:hAnsi="Arial Narrow"/>
          <w:i/>
          <w:sz w:val="20"/>
        </w:rPr>
        <w:t>Source for tables 5-6: Department of Health, File: Q20994_1149 Item 37245 utilisation 07NOV17.xls</w:t>
      </w:r>
    </w:p>
    <w:p w14:paraId="0952FEF9" w14:textId="5C1BB07C" w:rsidR="004E015F" w:rsidRPr="00457F5E" w:rsidRDefault="004E015F" w:rsidP="004E015F">
      <w:pPr>
        <w:pStyle w:val="Heading2"/>
      </w:pPr>
      <w:r w:rsidRPr="00457F5E">
        <w:t>Co-claiming</w:t>
      </w:r>
      <w:bookmarkEnd w:id="1"/>
    </w:p>
    <w:p w14:paraId="40805A0C" w14:textId="1C18B42A" w:rsidR="0045589E" w:rsidRPr="008F56A7" w:rsidRDefault="0045589E" w:rsidP="00143CD0">
      <w:pPr>
        <w:spacing w:after="240"/>
      </w:pPr>
      <w:r>
        <w:t xml:space="preserve">In approximately 39% of episodes between </w:t>
      </w:r>
      <w:r w:rsidRPr="004A293E">
        <w:t>2013-14 and 2016-17</w:t>
      </w:r>
      <w:r>
        <w:t>, item 37245 was not claimed with any other item. In the same period</w:t>
      </w:r>
      <w:r w:rsidRPr="004A293E">
        <w:t xml:space="preserve">, </w:t>
      </w:r>
      <w:r>
        <w:t>item 37245 was co-claimed with specialist attendance item 105 in 33</w:t>
      </w:r>
      <w:r w:rsidRPr="004A293E">
        <w:t>% of episodes</w:t>
      </w:r>
      <w:r>
        <w:t>. The rate of co-claiming with item 105 only has increased from 22</w:t>
      </w:r>
      <w:r w:rsidRPr="00A96F90">
        <w:t xml:space="preserve">% </w:t>
      </w:r>
      <w:r>
        <w:t>in 2013-14 to 40% in 2016-17</w:t>
      </w:r>
      <w:r w:rsidRPr="004A293E">
        <w:t xml:space="preserve"> (Tables </w:t>
      </w:r>
      <w:r>
        <w:t>7-10</w:t>
      </w:r>
      <w:r w:rsidRPr="004A293E">
        <w:t>).</w:t>
      </w:r>
    </w:p>
    <w:p w14:paraId="1055AA8C" w14:textId="052FD439" w:rsidR="0045589E" w:rsidRDefault="0045589E" w:rsidP="00143CD0">
      <w:pPr>
        <w:spacing w:after="240"/>
      </w:pPr>
      <w:r w:rsidRPr="00D51872">
        <w:t xml:space="preserve">As of </w:t>
      </w:r>
      <w:r>
        <w:t xml:space="preserve">1 </w:t>
      </w:r>
      <w:r w:rsidRPr="00D51872">
        <w:t>November</w:t>
      </w:r>
      <w:r>
        <w:t xml:space="preserve"> 2017, medical practitioners were</w:t>
      </w:r>
      <w:r w:rsidRPr="00D51872">
        <w:t xml:space="preserve"> no longer be able to claim MBS benefits for subsequent attendance items 105, 116, and 119 if they are claiming any Group T8 items with a schedule fee of equal to or greater than $300 on the same day.  </w:t>
      </w:r>
      <w:r w:rsidRPr="00351810">
        <w:t>Three new consultation items have been implemented (111, 117 and 120)</w:t>
      </w:r>
      <w:r>
        <w:t>.</w:t>
      </w:r>
      <w:r w:rsidRPr="00351810">
        <w:t xml:space="preserve"> </w:t>
      </w:r>
      <w:r>
        <w:t>T</w:t>
      </w:r>
      <w:r w:rsidRPr="00351810">
        <w:t>hese do not replace any current MBS items. They are additional items to be used in extenuating circumstances whereby a consultation take</w:t>
      </w:r>
      <w:r>
        <w:t>s</w:t>
      </w:r>
      <w:r w:rsidRPr="00351810">
        <w:t xml:space="preserve"> place and is followed by a T8 surgical proce</w:t>
      </w:r>
      <w:r>
        <w:t xml:space="preserve">dure on the same day, with a </w:t>
      </w:r>
      <w:r w:rsidRPr="00351810">
        <w:t>schedule fee $300</w:t>
      </w:r>
      <w:r>
        <w:t xml:space="preserve"> or more</w:t>
      </w:r>
      <w:r w:rsidRPr="00351810">
        <w:t>. The procedure must be unscheduled and otherwise unpredicted prior to the consultation.</w:t>
      </w:r>
    </w:p>
    <w:p w14:paraId="5784BECA" w14:textId="15D5E5D8" w:rsidR="0045589E" w:rsidRPr="00ED2B25" w:rsidRDefault="0045589E" w:rsidP="00143CD0">
      <w:pPr>
        <w:spacing w:after="240"/>
      </w:pPr>
      <w:r>
        <w:t xml:space="preserve">With regards to this change and item 37245, medical practitioners who are not claiming subsequent attendance items will not be affected. However, practitioners who are co-claiming item 37245 with subsequent consultation item 105 will no longer be able to do so. Therefore, </w:t>
      </w:r>
      <w:r w:rsidRPr="00ED2B25">
        <w:t>an increased rate of item 37245 being claimed on its own</w:t>
      </w:r>
      <w:r>
        <w:t xml:space="preserve"> is anticipated.</w:t>
      </w:r>
      <w:r w:rsidRPr="00ED2B25">
        <w:t xml:space="preserve"> The new attendance items are not expected to be co-claimed with item 37245.</w:t>
      </w:r>
    </w:p>
    <w:p w14:paraId="5A93A4F9" w14:textId="6EBD99F5" w:rsidR="0045589E" w:rsidRPr="00ED2B25" w:rsidRDefault="0045589E" w:rsidP="00143CD0">
      <w:pPr>
        <w:spacing w:after="240"/>
      </w:pPr>
      <w:r w:rsidRPr="00ED2B25">
        <w:t>Five of the remaining eight co-claimed items are for the purposes of Cysto</w:t>
      </w:r>
      <w:r>
        <w:t>scopy</w:t>
      </w:r>
      <w:r w:rsidRPr="00ED2B25">
        <w:t xml:space="preserve"> (36811, 36824, 36827, 36840 and 37011). The remaining two are for the purposes of biopsy and ultraso</w:t>
      </w:r>
      <w:r w:rsidR="00143CD0">
        <w:t>und of the bladder or prostate.</w:t>
      </w:r>
    </w:p>
    <w:p w14:paraId="6D2CBE85" w14:textId="77777777" w:rsidR="0045589E" w:rsidRPr="00ED2B25" w:rsidRDefault="0045589E" w:rsidP="0045589E">
      <w:r w:rsidRPr="00ED2B25">
        <w:t>Departmental medical advice stated that these co-claimed items are all clinically appropriate.</w:t>
      </w:r>
    </w:p>
    <w:p w14:paraId="5F442390" w14:textId="6265038C" w:rsidR="0045589E" w:rsidRPr="00B75127" w:rsidRDefault="006A4D42" w:rsidP="00B75127">
      <w:pPr>
        <w:keepNext/>
        <w:keepLines/>
        <w:rPr>
          <w:b/>
          <w:sz w:val="20"/>
        </w:rPr>
      </w:pPr>
      <w:r w:rsidRPr="00B75127">
        <w:rPr>
          <w:b/>
          <w:sz w:val="20"/>
        </w:rPr>
        <w:lastRenderedPageBreak/>
        <w:t>Table 6</w:t>
      </w:r>
      <w:r w:rsidR="0045589E" w:rsidRPr="00B75127">
        <w:rPr>
          <w:b/>
          <w:sz w:val="20"/>
        </w:rPr>
        <w:t>: Instances of co-claiming with MBS item 37245 in 2013-14</w:t>
      </w:r>
    </w:p>
    <w:tbl>
      <w:tblPr>
        <w:tblW w:w="8000" w:type="dxa"/>
        <w:tblInd w:w="93" w:type="dxa"/>
        <w:tblLook w:val="04A0" w:firstRow="1" w:lastRow="0" w:firstColumn="1" w:lastColumn="0" w:noHBand="0" w:noVBand="1"/>
        <w:tblCaption w:val="Table 6"/>
        <w:tblDescription w:val="Visual representation of instances of co-claiming with MBS item 37245 in 2013-14. 50% of the claiming instances for 37245 were with no other items and 22% of instances 37245 was co claimed with 105."/>
      </w:tblPr>
      <w:tblGrid>
        <w:gridCol w:w="658"/>
        <w:gridCol w:w="2143"/>
        <w:gridCol w:w="1017"/>
        <w:gridCol w:w="957"/>
        <w:gridCol w:w="1286"/>
        <w:gridCol w:w="942"/>
        <w:gridCol w:w="997"/>
      </w:tblGrid>
      <w:tr w:rsidR="0045589E" w14:paraId="2079B8C4" w14:textId="77777777" w:rsidTr="0045589E">
        <w:trPr>
          <w:trHeight w:val="960"/>
        </w:trPr>
        <w:tc>
          <w:tcPr>
            <w:tcW w:w="65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4152EBE" w14:textId="77777777" w:rsidR="0045589E" w:rsidRPr="00127D35" w:rsidRDefault="0045589E" w:rsidP="00B75127">
            <w:pPr>
              <w:keepNext/>
              <w:keepLines/>
              <w:jc w:val="center"/>
              <w:rPr>
                <w:rFonts w:ascii="Arial" w:hAnsi="Arial" w:cs="Arial"/>
                <w:b/>
                <w:bCs/>
                <w:sz w:val="18"/>
                <w:szCs w:val="18"/>
              </w:rPr>
            </w:pPr>
            <w:r w:rsidRPr="00127D35">
              <w:rPr>
                <w:rFonts w:ascii="Arial" w:hAnsi="Arial" w:cs="Arial"/>
                <w:b/>
                <w:bCs/>
                <w:sz w:val="18"/>
                <w:szCs w:val="18"/>
              </w:rPr>
              <w:t>#</w:t>
            </w:r>
          </w:p>
        </w:tc>
        <w:tc>
          <w:tcPr>
            <w:tcW w:w="214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BAF0A49" w14:textId="77777777" w:rsidR="0045589E" w:rsidRPr="00127D35" w:rsidRDefault="0045589E" w:rsidP="00B75127">
            <w:pPr>
              <w:keepNext/>
              <w:keepLines/>
              <w:jc w:val="center"/>
              <w:rPr>
                <w:rFonts w:ascii="Arial" w:hAnsi="Arial" w:cs="Arial"/>
                <w:b/>
                <w:bCs/>
                <w:sz w:val="18"/>
                <w:szCs w:val="18"/>
              </w:rPr>
            </w:pPr>
            <w:r w:rsidRPr="00127D35">
              <w:rPr>
                <w:rFonts w:ascii="Arial" w:hAnsi="Arial" w:cs="Arial"/>
                <w:b/>
                <w:bCs/>
                <w:sz w:val="18"/>
                <w:szCs w:val="18"/>
              </w:rPr>
              <w:t>Items</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52A7581" w14:textId="77777777" w:rsidR="0045589E" w:rsidRPr="00127D35" w:rsidRDefault="0045589E" w:rsidP="00B75127">
            <w:pPr>
              <w:keepNext/>
              <w:keepLines/>
              <w:jc w:val="center"/>
              <w:rPr>
                <w:rFonts w:ascii="Arial" w:hAnsi="Arial" w:cs="Arial"/>
                <w:b/>
                <w:bCs/>
                <w:sz w:val="18"/>
                <w:szCs w:val="18"/>
              </w:rPr>
            </w:pPr>
            <w:r w:rsidRPr="00127D35">
              <w:rPr>
                <w:rFonts w:ascii="Arial" w:hAnsi="Arial" w:cs="Arial"/>
                <w:b/>
                <w:bCs/>
                <w:sz w:val="18"/>
                <w:szCs w:val="18"/>
              </w:rPr>
              <w:t>Episodes</w:t>
            </w:r>
          </w:p>
        </w:tc>
        <w:tc>
          <w:tcPr>
            <w:tcW w:w="95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8EA8752" w14:textId="77777777" w:rsidR="0045589E" w:rsidRPr="00127D35" w:rsidRDefault="0045589E" w:rsidP="00B75127">
            <w:pPr>
              <w:keepNext/>
              <w:keepLines/>
              <w:jc w:val="center"/>
              <w:rPr>
                <w:rFonts w:ascii="Arial" w:hAnsi="Arial" w:cs="Arial"/>
                <w:b/>
                <w:bCs/>
                <w:sz w:val="18"/>
                <w:szCs w:val="18"/>
              </w:rPr>
            </w:pPr>
            <w:r w:rsidRPr="00127D35">
              <w:rPr>
                <w:rFonts w:ascii="Arial" w:hAnsi="Arial" w:cs="Arial"/>
                <w:b/>
                <w:bCs/>
                <w:sz w:val="18"/>
                <w:szCs w:val="18"/>
              </w:rPr>
              <w:t>Services</w:t>
            </w:r>
          </w:p>
        </w:tc>
        <w:tc>
          <w:tcPr>
            <w:tcW w:w="128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85603C4" w14:textId="77777777" w:rsidR="0045589E" w:rsidRPr="00127D35" w:rsidRDefault="0045589E" w:rsidP="00B75127">
            <w:pPr>
              <w:keepNext/>
              <w:keepLines/>
              <w:jc w:val="center"/>
              <w:rPr>
                <w:rFonts w:ascii="Arial" w:hAnsi="Arial" w:cs="Arial"/>
                <w:b/>
                <w:bCs/>
                <w:sz w:val="18"/>
                <w:szCs w:val="18"/>
              </w:rPr>
            </w:pPr>
            <w:r w:rsidRPr="00127D35">
              <w:rPr>
                <w:rFonts w:ascii="Arial" w:hAnsi="Arial" w:cs="Arial"/>
                <w:b/>
                <w:bCs/>
                <w:sz w:val="18"/>
                <w:szCs w:val="18"/>
              </w:rPr>
              <w:t>Schedule Fee for combination</w:t>
            </w:r>
          </w:p>
        </w:tc>
        <w:tc>
          <w:tcPr>
            <w:tcW w:w="94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6DB7223" w14:textId="77777777" w:rsidR="0045589E" w:rsidRPr="00127D35" w:rsidRDefault="0045589E" w:rsidP="00B75127">
            <w:pPr>
              <w:keepNext/>
              <w:keepLines/>
              <w:jc w:val="center"/>
              <w:rPr>
                <w:rFonts w:ascii="Arial" w:hAnsi="Arial" w:cs="Arial"/>
                <w:b/>
                <w:bCs/>
                <w:sz w:val="18"/>
                <w:szCs w:val="18"/>
              </w:rPr>
            </w:pPr>
            <w:r w:rsidRPr="00127D35">
              <w:rPr>
                <w:rFonts w:ascii="Arial" w:hAnsi="Arial" w:cs="Arial"/>
                <w:b/>
                <w:bCs/>
                <w:sz w:val="18"/>
                <w:szCs w:val="18"/>
              </w:rPr>
              <w:t>Number of patients</w:t>
            </w:r>
          </w:p>
        </w:tc>
        <w:tc>
          <w:tcPr>
            <w:tcW w:w="99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BB66CD2" w14:textId="77777777" w:rsidR="0045589E" w:rsidRPr="00127D35" w:rsidRDefault="0045589E" w:rsidP="00B75127">
            <w:pPr>
              <w:keepNext/>
              <w:keepLines/>
              <w:jc w:val="center"/>
              <w:rPr>
                <w:rFonts w:ascii="Arial" w:hAnsi="Arial" w:cs="Arial"/>
                <w:b/>
                <w:bCs/>
                <w:sz w:val="18"/>
                <w:szCs w:val="18"/>
              </w:rPr>
            </w:pPr>
            <w:r w:rsidRPr="00127D35">
              <w:rPr>
                <w:rFonts w:ascii="Arial" w:hAnsi="Arial" w:cs="Arial"/>
                <w:b/>
                <w:bCs/>
                <w:sz w:val="18"/>
                <w:szCs w:val="18"/>
              </w:rPr>
              <w:t>% of episodes</w:t>
            </w:r>
          </w:p>
        </w:tc>
      </w:tr>
      <w:tr w:rsidR="0045589E" w14:paraId="795CC224"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78B1F012"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1</w:t>
            </w:r>
          </w:p>
        </w:tc>
        <w:tc>
          <w:tcPr>
            <w:tcW w:w="2143" w:type="dxa"/>
            <w:tcBorders>
              <w:top w:val="nil"/>
              <w:left w:val="nil"/>
              <w:bottom w:val="single" w:sz="4" w:space="0" w:color="auto"/>
              <w:right w:val="single" w:sz="4" w:space="0" w:color="auto"/>
            </w:tcBorders>
            <w:shd w:val="clear" w:color="000000" w:fill="FFFFFF"/>
            <w:noWrap/>
            <w:vAlign w:val="center"/>
            <w:hideMark/>
          </w:tcPr>
          <w:p w14:paraId="5D53DD92" w14:textId="77777777" w:rsidR="0045589E" w:rsidRPr="00127D35" w:rsidRDefault="0045589E" w:rsidP="00B75127">
            <w:pPr>
              <w:keepNext/>
              <w:keepLines/>
              <w:rPr>
                <w:rFonts w:ascii="Arial" w:hAnsi="Arial" w:cs="Arial"/>
                <w:sz w:val="18"/>
                <w:szCs w:val="18"/>
              </w:rPr>
            </w:pPr>
            <w:r w:rsidRPr="00127D35">
              <w:rPr>
                <w:rFonts w:ascii="Arial" w:hAnsi="Arial" w:cs="Arial"/>
                <w:sz w:val="18"/>
                <w:szCs w:val="18"/>
              </w:rPr>
              <w:t>37245</w:t>
            </w:r>
          </w:p>
        </w:tc>
        <w:tc>
          <w:tcPr>
            <w:tcW w:w="1017" w:type="dxa"/>
            <w:tcBorders>
              <w:top w:val="nil"/>
              <w:left w:val="nil"/>
              <w:bottom w:val="single" w:sz="4" w:space="0" w:color="000000"/>
              <w:right w:val="single" w:sz="4" w:space="0" w:color="000000"/>
            </w:tcBorders>
            <w:shd w:val="clear" w:color="auto" w:fill="auto"/>
            <w:noWrap/>
            <w:vAlign w:val="center"/>
            <w:hideMark/>
          </w:tcPr>
          <w:p w14:paraId="75680D9E"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275 </w:t>
            </w:r>
          </w:p>
        </w:tc>
        <w:tc>
          <w:tcPr>
            <w:tcW w:w="957" w:type="dxa"/>
            <w:tcBorders>
              <w:top w:val="nil"/>
              <w:left w:val="nil"/>
              <w:bottom w:val="single" w:sz="4" w:space="0" w:color="000000"/>
              <w:right w:val="single" w:sz="4" w:space="0" w:color="000000"/>
            </w:tcBorders>
            <w:shd w:val="clear" w:color="auto" w:fill="auto"/>
            <w:noWrap/>
            <w:vAlign w:val="center"/>
            <w:hideMark/>
          </w:tcPr>
          <w:p w14:paraId="33DF4F99"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275 </w:t>
            </w:r>
          </w:p>
        </w:tc>
        <w:tc>
          <w:tcPr>
            <w:tcW w:w="1286" w:type="dxa"/>
            <w:tcBorders>
              <w:top w:val="nil"/>
              <w:left w:val="nil"/>
              <w:bottom w:val="single" w:sz="4" w:space="0" w:color="000000"/>
              <w:right w:val="single" w:sz="4" w:space="0" w:color="000000"/>
            </w:tcBorders>
            <w:shd w:val="clear" w:color="auto" w:fill="auto"/>
            <w:noWrap/>
            <w:vAlign w:val="center"/>
            <w:hideMark/>
          </w:tcPr>
          <w:p w14:paraId="18FD7B53"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$347,091 </w:t>
            </w:r>
          </w:p>
        </w:tc>
        <w:tc>
          <w:tcPr>
            <w:tcW w:w="942" w:type="dxa"/>
            <w:tcBorders>
              <w:top w:val="nil"/>
              <w:left w:val="nil"/>
              <w:bottom w:val="single" w:sz="4" w:space="0" w:color="000000"/>
              <w:right w:val="single" w:sz="4" w:space="0" w:color="000000"/>
            </w:tcBorders>
            <w:shd w:val="clear" w:color="auto" w:fill="auto"/>
            <w:noWrap/>
            <w:vAlign w:val="center"/>
            <w:hideMark/>
          </w:tcPr>
          <w:p w14:paraId="4F70D15B"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275 </w:t>
            </w:r>
          </w:p>
        </w:tc>
        <w:tc>
          <w:tcPr>
            <w:tcW w:w="997" w:type="dxa"/>
            <w:tcBorders>
              <w:top w:val="nil"/>
              <w:left w:val="nil"/>
              <w:bottom w:val="single" w:sz="4" w:space="0" w:color="000000"/>
              <w:right w:val="single" w:sz="4" w:space="0" w:color="000000"/>
            </w:tcBorders>
            <w:shd w:val="clear" w:color="auto" w:fill="auto"/>
            <w:noWrap/>
            <w:vAlign w:val="center"/>
            <w:hideMark/>
          </w:tcPr>
          <w:p w14:paraId="361C5E5C" w14:textId="77777777" w:rsidR="0045589E" w:rsidRPr="00127D35" w:rsidRDefault="0045589E" w:rsidP="00B75127">
            <w:pPr>
              <w:keepNext/>
              <w:keepLines/>
              <w:jc w:val="right"/>
              <w:rPr>
                <w:rFonts w:ascii="Arial" w:hAnsi="Arial" w:cs="Arial"/>
                <w:sz w:val="18"/>
                <w:szCs w:val="18"/>
              </w:rPr>
            </w:pPr>
            <w:r>
              <w:rPr>
                <w:rFonts w:ascii="Arial" w:hAnsi="Arial" w:cs="Arial"/>
                <w:sz w:val="18"/>
                <w:szCs w:val="18"/>
              </w:rPr>
              <w:t>50</w:t>
            </w:r>
            <w:r w:rsidRPr="00127D35">
              <w:rPr>
                <w:rFonts w:ascii="Arial" w:hAnsi="Arial" w:cs="Arial"/>
                <w:sz w:val="18"/>
                <w:szCs w:val="18"/>
              </w:rPr>
              <w:t xml:space="preserve">% </w:t>
            </w:r>
          </w:p>
        </w:tc>
      </w:tr>
      <w:tr w:rsidR="0045589E" w14:paraId="59829BD4"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7690CD4B"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2</w:t>
            </w:r>
          </w:p>
        </w:tc>
        <w:tc>
          <w:tcPr>
            <w:tcW w:w="2143" w:type="dxa"/>
            <w:tcBorders>
              <w:top w:val="nil"/>
              <w:left w:val="nil"/>
              <w:bottom w:val="single" w:sz="4" w:space="0" w:color="auto"/>
              <w:right w:val="single" w:sz="4" w:space="0" w:color="auto"/>
            </w:tcBorders>
            <w:shd w:val="clear" w:color="000000" w:fill="FFFFFF"/>
            <w:noWrap/>
            <w:vAlign w:val="center"/>
            <w:hideMark/>
          </w:tcPr>
          <w:p w14:paraId="2C20BDF1" w14:textId="77777777" w:rsidR="0045589E" w:rsidRPr="00127D35" w:rsidRDefault="0045589E" w:rsidP="00B75127">
            <w:pPr>
              <w:keepNext/>
              <w:keepLines/>
              <w:rPr>
                <w:rFonts w:ascii="Arial" w:hAnsi="Arial" w:cs="Arial"/>
                <w:sz w:val="18"/>
                <w:szCs w:val="18"/>
              </w:rPr>
            </w:pPr>
            <w:r w:rsidRPr="00127D35">
              <w:rPr>
                <w:rFonts w:ascii="Arial" w:hAnsi="Arial" w:cs="Arial"/>
                <w:sz w:val="18"/>
                <w:szCs w:val="18"/>
              </w:rPr>
              <w:t>37245, 105</w:t>
            </w:r>
          </w:p>
        </w:tc>
        <w:tc>
          <w:tcPr>
            <w:tcW w:w="1017" w:type="dxa"/>
            <w:tcBorders>
              <w:top w:val="nil"/>
              <w:left w:val="nil"/>
              <w:bottom w:val="single" w:sz="4" w:space="0" w:color="000000"/>
              <w:right w:val="single" w:sz="4" w:space="0" w:color="000000"/>
            </w:tcBorders>
            <w:shd w:val="clear" w:color="auto" w:fill="auto"/>
            <w:noWrap/>
            <w:vAlign w:val="center"/>
            <w:hideMark/>
          </w:tcPr>
          <w:p w14:paraId="7F239E97"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119 </w:t>
            </w:r>
          </w:p>
        </w:tc>
        <w:tc>
          <w:tcPr>
            <w:tcW w:w="957" w:type="dxa"/>
            <w:tcBorders>
              <w:top w:val="nil"/>
              <w:left w:val="nil"/>
              <w:bottom w:val="single" w:sz="4" w:space="0" w:color="000000"/>
              <w:right w:val="single" w:sz="4" w:space="0" w:color="000000"/>
            </w:tcBorders>
            <w:shd w:val="clear" w:color="auto" w:fill="auto"/>
            <w:noWrap/>
            <w:vAlign w:val="center"/>
            <w:hideMark/>
          </w:tcPr>
          <w:p w14:paraId="1487F11B"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238 </w:t>
            </w:r>
          </w:p>
        </w:tc>
        <w:tc>
          <w:tcPr>
            <w:tcW w:w="1286" w:type="dxa"/>
            <w:tcBorders>
              <w:top w:val="nil"/>
              <w:left w:val="nil"/>
              <w:bottom w:val="single" w:sz="4" w:space="0" w:color="000000"/>
              <w:right w:val="single" w:sz="4" w:space="0" w:color="000000"/>
            </w:tcBorders>
            <w:shd w:val="clear" w:color="auto" w:fill="auto"/>
            <w:noWrap/>
            <w:vAlign w:val="center"/>
            <w:hideMark/>
          </w:tcPr>
          <w:p w14:paraId="3E396204"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$155,313 </w:t>
            </w:r>
          </w:p>
        </w:tc>
        <w:tc>
          <w:tcPr>
            <w:tcW w:w="942" w:type="dxa"/>
            <w:tcBorders>
              <w:top w:val="nil"/>
              <w:left w:val="nil"/>
              <w:bottom w:val="single" w:sz="4" w:space="0" w:color="000000"/>
              <w:right w:val="single" w:sz="4" w:space="0" w:color="000000"/>
            </w:tcBorders>
            <w:shd w:val="clear" w:color="auto" w:fill="auto"/>
            <w:noWrap/>
            <w:vAlign w:val="center"/>
            <w:hideMark/>
          </w:tcPr>
          <w:p w14:paraId="3A71F8B0"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119 </w:t>
            </w:r>
          </w:p>
        </w:tc>
        <w:tc>
          <w:tcPr>
            <w:tcW w:w="997" w:type="dxa"/>
            <w:tcBorders>
              <w:top w:val="nil"/>
              <w:left w:val="nil"/>
              <w:bottom w:val="single" w:sz="4" w:space="0" w:color="000000"/>
              <w:right w:val="single" w:sz="4" w:space="0" w:color="000000"/>
            </w:tcBorders>
            <w:shd w:val="clear" w:color="auto" w:fill="auto"/>
            <w:noWrap/>
            <w:vAlign w:val="center"/>
            <w:hideMark/>
          </w:tcPr>
          <w:p w14:paraId="415E4B7C" w14:textId="77777777" w:rsidR="0045589E" w:rsidRPr="00127D35" w:rsidRDefault="0045589E" w:rsidP="00B75127">
            <w:pPr>
              <w:keepNext/>
              <w:keepLines/>
              <w:jc w:val="right"/>
              <w:rPr>
                <w:rFonts w:ascii="Arial" w:hAnsi="Arial" w:cs="Arial"/>
                <w:sz w:val="18"/>
                <w:szCs w:val="18"/>
              </w:rPr>
            </w:pPr>
            <w:r>
              <w:rPr>
                <w:rFonts w:ascii="Arial" w:hAnsi="Arial" w:cs="Arial"/>
                <w:sz w:val="18"/>
                <w:szCs w:val="18"/>
              </w:rPr>
              <w:t>22</w:t>
            </w:r>
            <w:r w:rsidRPr="00127D35">
              <w:rPr>
                <w:rFonts w:ascii="Arial" w:hAnsi="Arial" w:cs="Arial"/>
                <w:sz w:val="18"/>
                <w:szCs w:val="18"/>
              </w:rPr>
              <w:t xml:space="preserve">% </w:t>
            </w:r>
          </w:p>
        </w:tc>
      </w:tr>
      <w:tr w:rsidR="0045589E" w14:paraId="72026567"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02A0EE4F"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3</w:t>
            </w:r>
          </w:p>
        </w:tc>
        <w:tc>
          <w:tcPr>
            <w:tcW w:w="2143" w:type="dxa"/>
            <w:tcBorders>
              <w:top w:val="nil"/>
              <w:left w:val="nil"/>
              <w:bottom w:val="single" w:sz="4" w:space="0" w:color="auto"/>
              <w:right w:val="single" w:sz="4" w:space="0" w:color="auto"/>
            </w:tcBorders>
            <w:shd w:val="clear" w:color="000000" w:fill="FFFFFF"/>
            <w:noWrap/>
            <w:vAlign w:val="center"/>
            <w:hideMark/>
          </w:tcPr>
          <w:p w14:paraId="72E2FB74" w14:textId="77777777" w:rsidR="0045589E" w:rsidRPr="00127D35" w:rsidRDefault="0045589E" w:rsidP="00B75127">
            <w:pPr>
              <w:keepNext/>
              <w:keepLines/>
              <w:rPr>
                <w:rFonts w:ascii="Arial" w:hAnsi="Arial" w:cs="Arial"/>
                <w:sz w:val="18"/>
                <w:szCs w:val="18"/>
              </w:rPr>
            </w:pPr>
            <w:r w:rsidRPr="00127D35">
              <w:rPr>
                <w:rFonts w:ascii="Arial" w:hAnsi="Arial" w:cs="Arial"/>
                <w:sz w:val="18"/>
                <w:szCs w:val="18"/>
              </w:rPr>
              <w:t>37245, 36827</w:t>
            </w:r>
          </w:p>
        </w:tc>
        <w:tc>
          <w:tcPr>
            <w:tcW w:w="1017" w:type="dxa"/>
            <w:tcBorders>
              <w:top w:val="nil"/>
              <w:left w:val="nil"/>
              <w:bottom w:val="single" w:sz="4" w:space="0" w:color="000000"/>
              <w:right w:val="single" w:sz="4" w:space="0" w:color="000000"/>
            </w:tcBorders>
            <w:shd w:val="clear" w:color="000000" w:fill="FFFFFF"/>
            <w:noWrap/>
            <w:vAlign w:val="center"/>
            <w:hideMark/>
          </w:tcPr>
          <w:p w14:paraId="08D5782C"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42 </w:t>
            </w:r>
          </w:p>
        </w:tc>
        <w:tc>
          <w:tcPr>
            <w:tcW w:w="957" w:type="dxa"/>
            <w:tcBorders>
              <w:top w:val="nil"/>
              <w:left w:val="nil"/>
              <w:bottom w:val="single" w:sz="4" w:space="0" w:color="000000"/>
              <w:right w:val="single" w:sz="4" w:space="0" w:color="000000"/>
            </w:tcBorders>
            <w:shd w:val="clear" w:color="auto" w:fill="auto"/>
            <w:noWrap/>
            <w:vAlign w:val="center"/>
            <w:hideMark/>
          </w:tcPr>
          <w:p w14:paraId="006FF11A"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84 </w:t>
            </w:r>
          </w:p>
        </w:tc>
        <w:tc>
          <w:tcPr>
            <w:tcW w:w="1286" w:type="dxa"/>
            <w:tcBorders>
              <w:top w:val="nil"/>
              <w:left w:val="nil"/>
              <w:bottom w:val="single" w:sz="4" w:space="0" w:color="000000"/>
              <w:right w:val="single" w:sz="4" w:space="0" w:color="000000"/>
            </w:tcBorders>
            <w:shd w:val="clear" w:color="auto" w:fill="auto"/>
            <w:noWrap/>
            <w:vAlign w:val="center"/>
            <w:hideMark/>
          </w:tcPr>
          <w:p w14:paraId="61812000"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$57,838 </w:t>
            </w:r>
          </w:p>
        </w:tc>
        <w:tc>
          <w:tcPr>
            <w:tcW w:w="942" w:type="dxa"/>
            <w:tcBorders>
              <w:top w:val="nil"/>
              <w:left w:val="nil"/>
              <w:bottom w:val="single" w:sz="4" w:space="0" w:color="000000"/>
              <w:right w:val="single" w:sz="4" w:space="0" w:color="000000"/>
            </w:tcBorders>
            <w:shd w:val="clear" w:color="000000" w:fill="FFFFFF"/>
            <w:noWrap/>
            <w:vAlign w:val="center"/>
            <w:hideMark/>
          </w:tcPr>
          <w:p w14:paraId="31B58AA0" w14:textId="77777777" w:rsidR="0045589E" w:rsidRPr="00127D35" w:rsidRDefault="0045589E" w:rsidP="00B75127">
            <w:pPr>
              <w:keepNext/>
              <w:keepLines/>
              <w:jc w:val="right"/>
              <w:rPr>
                <w:rFonts w:ascii="Arial" w:hAnsi="Arial" w:cs="Arial"/>
                <w:sz w:val="18"/>
                <w:szCs w:val="18"/>
              </w:rPr>
            </w:pPr>
            <w:r w:rsidRPr="00127D35">
              <w:rPr>
                <w:rFonts w:ascii="Arial" w:hAnsi="Arial" w:cs="Arial"/>
                <w:sz w:val="18"/>
                <w:szCs w:val="18"/>
              </w:rPr>
              <w:t xml:space="preserve">42 </w:t>
            </w:r>
          </w:p>
        </w:tc>
        <w:tc>
          <w:tcPr>
            <w:tcW w:w="997" w:type="dxa"/>
            <w:tcBorders>
              <w:top w:val="nil"/>
              <w:left w:val="nil"/>
              <w:bottom w:val="single" w:sz="4" w:space="0" w:color="000000"/>
              <w:right w:val="single" w:sz="4" w:space="0" w:color="000000"/>
            </w:tcBorders>
            <w:shd w:val="clear" w:color="auto" w:fill="auto"/>
            <w:noWrap/>
            <w:vAlign w:val="center"/>
            <w:hideMark/>
          </w:tcPr>
          <w:p w14:paraId="1C93ED46" w14:textId="77777777" w:rsidR="0045589E" w:rsidRPr="00127D35" w:rsidRDefault="0045589E" w:rsidP="00B75127">
            <w:pPr>
              <w:keepNext/>
              <w:keepLines/>
              <w:jc w:val="right"/>
              <w:rPr>
                <w:rFonts w:ascii="Arial" w:hAnsi="Arial" w:cs="Arial"/>
                <w:sz w:val="18"/>
                <w:szCs w:val="18"/>
              </w:rPr>
            </w:pPr>
            <w:r>
              <w:rPr>
                <w:rFonts w:ascii="Arial" w:hAnsi="Arial" w:cs="Arial"/>
                <w:sz w:val="18"/>
                <w:szCs w:val="18"/>
              </w:rPr>
              <w:t>8</w:t>
            </w:r>
            <w:r w:rsidRPr="00127D35">
              <w:rPr>
                <w:rFonts w:ascii="Arial" w:hAnsi="Arial" w:cs="Arial"/>
                <w:sz w:val="18"/>
                <w:szCs w:val="18"/>
              </w:rPr>
              <w:t xml:space="preserve">% </w:t>
            </w:r>
          </w:p>
        </w:tc>
      </w:tr>
      <w:tr w:rsidR="0045589E" w14:paraId="41C12F4A"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60F90B7D"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4</w:t>
            </w:r>
          </w:p>
        </w:tc>
        <w:tc>
          <w:tcPr>
            <w:tcW w:w="2143" w:type="dxa"/>
            <w:tcBorders>
              <w:top w:val="nil"/>
              <w:left w:val="nil"/>
              <w:bottom w:val="single" w:sz="4" w:space="0" w:color="auto"/>
              <w:right w:val="single" w:sz="4" w:space="0" w:color="auto"/>
            </w:tcBorders>
            <w:shd w:val="clear" w:color="000000" w:fill="FFFFFF"/>
            <w:noWrap/>
            <w:vAlign w:val="center"/>
            <w:hideMark/>
          </w:tcPr>
          <w:p w14:paraId="4D3AA9FA" w14:textId="77777777" w:rsidR="0045589E" w:rsidRPr="00127D35" w:rsidRDefault="0045589E" w:rsidP="0045589E">
            <w:pPr>
              <w:rPr>
                <w:rFonts w:ascii="Arial" w:hAnsi="Arial" w:cs="Arial"/>
                <w:sz w:val="18"/>
                <w:szCs w:val="18"/>
              </w:rPr>
            </w:pPr>
            <w:r w:rsidRPr="00127D35">
              <w:rPr>
                <w:rFonts w:ascii="Arial" w:hAnsi="Arial" w:cs="Arial"/>
                <w:sz w:val="18"/>
                <w:szCs w:val="18"/>
              </w:rPr>
              <w:t>37245, 55603</w:t>
            </w:r>
          </w:p>
        </w:tc>
        <w:tc>
          <w:tcPr>
            <w:tcW w:w="1017" w:type="dxa"/>
            <w:tcBorders>
              <w:top w:val="nil"/>
              <w:left w:val="nil"/>
              <w:bottom w:val="single" w:sz="4" w:space="0" w:color="000000"/>
              <w:right w:val="single" w:sz="4" w:space="0" w:color="000000"/>
            </w:tcBorders>
            <w:shd w:val="clear" w:color="000000" w:fill="FFFFFF"/>
            <w:noWrap/>
            <w:vAlign w:val="center"/>
            <w:hideMark/>
          </w:tcPr>
          <w:p w14:paraId="5E97C76A"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30 </w:t>
            </w:r>
          </w:p>
        </w:tc>
        <w:tc>
          <w:tcPr>
            <w:tcW w:w="957" w:type="dxa"/>
            <w:tcBorders>
              <w:top w:val="nil"/>
              <w:left w:val="nil"/>
              <w:bottom w:val="single" w:sz="4" w:space="0" w:color="000000"/>
              <w:right w:val="single" w:sz="4" w:space="0" w:color="000000"/>
            </w:tcBorders>
            <w:shd w:val="clear" w:color="auto" w:fill="auto"/>
            <w:noWrap/>
            <w:vAlign w:val="center"/>
            <w:hideMark/>
          </w:tcPr>
          <w:p w14:paraId="7FCA276A"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60 </w:t>
            </w:r>
          </w:p>
        </w:tc>
        <w:tc>
          <w:tcPr>
            <w:tcW w:w="1286" w:type="dxa"/>
            <w:tcBorders>
              <w:top w:val="nil"/>
              <w:left w:val="nil"/>
              <w:bottom w:val="single" w:sz="4" w:space="0" w:color="000000"/>
              <w:right w:val="single" w:sz="4" w:space="0" w:color="000000"/>
            </w:tcBorders>
            <w:shd w:val="clear" w:color="auto" w:fill="auto"/>
            <w:noWrap/>
            <w:vAlign w:val="center"/>
            <w:hideMark/>
          </w:tcPr>
          <w:p w14:paraId="0956FBA8"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$40,988 </w:t>
            </w:r>
          </w:p>
        </w:tc>
        <w:tc>
          <w:tcPr>
            <w:tcW w:w="942" w:type="dxa"/>
            <w:tcBorders>
              <w:top w:val="nil"/>
              <w:left w:val="nil"/>
              <w:bottom w:val="single" w:sz="4" w:space="0" w:color="000000"/>
              <w:right w:val="single" w:sz="4" w:space="0" w:color="000000"/>
            </w:tcBorders>
            <w:shd w:val="clear" w:color="000000" w:fill="FFFFFF"/>
            <w:noWrap/>
            <w:vAlign w:val="center"/>
            <w:hideMark/>
          </w:tcPr>
          <w:p w14:paraId="69010FF4"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30 </w:t>
            </w:r>
          </w:p>
        </w:tc>
        <w:tc>
          <w:tcPr>
            <w:tcW w:w="997" w:type="dxa"/>
            <w:tcBorders>
              <w:top w:val="nil"/>
              <w:left w:val="nil"/>
              <w:bottom w:val="single" w:sz="4" w:space="0" w:color="000000"/>
              <w:right w:val="single" w:sz="4" w:space="0" w:color="000000"/>
            </w:tcBorders>
            <w:shd w:val="clear" w:color="auto" w:fill="auto"/>
            <w:noWrap/>
            <w:vAlign w:val="center"/>
            <w:hideMark/>
          </w:tcPr>
          <w:p w14:paraId="68CDFF1F" w14:textId="77777777" w:rsidR="0045589E" w:rsidRPr="00127D35" w:rsidRDefault="0045589E" w:rsidP="0045589E">
            <w:pPr>
              <w:jc w:val="right"/>
              <w:rPr>
                <w:rFonts w:ascii="Arial" w:hAnsi="Arial" w:cs="Arial"/>
                <w:sz w:val="18"/>
                <w:szCs w:val="18"/>
              </w:rPr>
            </w:pPr>
            <w:r>
              <w:rPr>
                <w:rFonts w:ascii="Arial" w:hAnsi="Arial" w:cs="Arial"/>
                <w:sz w:val="18"/>
                <w:szCs w:val="18"/>
              </w:rPr>
              <w:t>5</w:t>
            </w:r>
            <w:r w:rsidRPr="00127D35">
              <w:rPr>
                <w:rFonts w:ascii="Arial" w:hAnsi="Arial" w:cs="Arial"/>
                <w:sz w:val="18"/>
                <w:szCs w:val="18"/>
              </w:rPr>
              <w:t xml:space="preserve">% </w:t>
            </w:r>
          </w:p>
        </w:tc>
      </w:tr>
      <w:tr w:rsidR="0045589E" w14:paraId="7E2F2331"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2B3FFA5B"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5</w:t>
            </w:r>
          </w:p>
        </w:tc>
        <w:tc>
          <w:tcPr>
            <w:tcW w:w="2143" w:type="dxa"/>
            <w:tcBorders>
              <w:top w:val="nil"/>
              <w:left w:val="nil"/>
              <w:bottom w:val="single" w:sz="4" w:space="0" w:color="auto"/>
              <w:right w:val="single" w:sz="4" w:space="0" w:color="auto"/>
            </w:tcBorders>
            <w:shd w:val="clear" w:color="000000" w:fill="FFFFFF"/>
            <w:noWrap/>
            <w:vAlign w:val="center"/>
            <w:hideMark/>
          </w:tcPr>
          <w:p w14:paraId="5074520B" w14:textId="77777777" w:rsidR="0045589E" w:rsidRPr="00127D35" w:rsidRDefault="0045589E" w:rsidP="0045589E">
            <w:pPr>
              <w:rPr>
                <w:rFonts w:ascii="Arial" w:hAnsi="Arial" w:cs="Arial"/>
                <w:sz w:val="18"/>
                <w:szCs w:val="18"/>
              </w:rPr>
            </w:pPr>
            <w:r w:rsidRPr="00127D35">
              <w:rPr>
                <w:rFonts w:ascii="Arial" w:hAnsi="Arial" w:cs="Arial"/>
                <w:sz w:val="18"/>
                <w:szCs w:val="18"/>
              </w:rPr>
              <w:t>37245, 36863</w:t>
            </w:r>
          </w:p>
        </w:tc>
        <w:tc>
          <w:tcPr>
            <w:tcW w:w="1017" w:type="dxa"/>
            <w:tcBorders>
              <w:top w:val="nil"/>
              <w:left w:val="nil"/>
              <w:bottom w:val="single" w:sz="4" w:space="0" w:color="000000"/>
              <w:right w:val="single" w:sz="4" w:space="0" w:color="000000"/>
            </w:tcBorders>
            <w:shd w:val="clear" w:color="000000" w:fill="FFFFFF"/>
            <w:noWrap/>
            <w:vAlign w:val="center"/>
            <w:hideMark/>
          </w:tcPr>
          <w:p w14:paraId="197C59CC"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15 </w:t>
            </w:r>
          </w:p>
        </w:tc>
        <w:tc>
          <w:tcPr>
            <w:tcW w:w="957" w:type="dxa"/>
            <w:tcBorders>
              <w:top w:val="nil"/>
              <w:left w:val="nil"/>
              <w:bottom w:val="single" w:sz="4" w:space="0" w:color="000000"/>
              <w:right w:val="single" w:sz="4" w:space="0" w:color="000000"/>
            </w:tcBorders>
            <w:shd w:val="clear" w:color="auto" w:fill="auto"/>
            <w:noWrap/>
            <w:vAlign w:val="center"/>
            <w:hideMark/>
          </w:tcPr>
          <w:p w14:paraId="528DACDE"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30 </w:t>
            </w:r>
          </w:p>
        </w:tc>
        <w:tc>
          <w:tcPr>
            <w:tcW w:w="1286" w:type="dxa"/>
            <w:tcBorders>
              <w:top w:val="nil"/>
              <w:left w:val="nil"/>
              <w:bottom w:val="single" w:sz="4" w:space="0" w:color="000000"/>
              <w:right w:val="single" w:sz="4" w:space="0" w:color="000000"/>
            </w:tcBorders>
            <w:shd w:val="clear" w:color="auto" w:fill="auto"/>
            <w:noWrap/>
            <w:vAlign w:val="center"/>
            <w:hideMark/>
          </w:tcPr>
          <w:p w14:paraId="202D9E9C"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$22,430 </w:t>
            </w:r>
          </w:p>
        </w:tc>
        <w:tc>
          <w:tcPr>
            <w:tcW w:w="942" w:type="dxa"/>
            <w:tcBorders>
              <w:top w:val="nil"/>
              <w:left w:val="nil"/>
              <w:bottom w:val="single" w:sz="4" w:space="0" w:color="000000"/>
              <w:right w:val="single" w:sz="4" w:space="0" w:color="000000"/>
            </w:tcBorders>
            <w:shd w:val="clear" w:color="000000" w:fill="FFFFFF"/>
            <w:noWrap/>
            <w:vAlign w:val="center"/>
            <w:hideMark/>
          </w:tcPr>
          <w:p w14:paraId="112A97F9"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15 </w:t>
            </w:r>
          </w:p>
        </w:tc>
        <w:tc>
          <w:tcPr>
            <w:tcW w:w="997" w:type="dxa"/>
            <w:tcBorders>
              <w:top w:val="nil"/>
              <w:left w:val="nil"/>
              <w:bottom w:val="single" w:sz="4" w:space="0" w:color="000000"/>
              <w:right w:val="single" w:sz="4" w:space="0" w:color="000000"/>
            </w:tcBorders>
            <w:shd w:val="clear" w:color="auto" w:fill="auto"/>
            <w:noWrap/>
            <w:vAlign w:val="center"/>
            <w:hideMark/>
          </w:tcPr>
          <w:p w14:paraId="2A14E202" w14:textId="77777777" w:rsidR="0045589E" w:rsidRPr="00127D35" w:rsidRDefault="0045589E" w:rsidP="0045589E">
            <w:pPr>
              <w:jc w:val="right"/>
              <w:rPr>
                <w:rFonts w:ascii="Arial" w:hAnsi="Arial" w:cs="Arial"/>
                <w:sz w:val="18"/>
                <w:szCs w:val="18"/>
              </w:rPr>
            </w:pPr>
            <w:r>
              <w:rPr>
                <w:rFonts w:ascii="Arial" w:hAnsi="Arial" w:cs="Arial"/>
                <w:sz w:val="18"/>
                <w:szCs w:val="18"/>
              </w:rPr>
              <w:t>3</w:t>
            </w:r>
            <w:r w:rsidRPr="00127D35">
              <w:rPr>
                <w:rFonts w:ascii="Arial" w:hAnsi="Arial" w:cs="Arial"/>
                <w:sz w:val="18"/>
                <w:szCs w:val="18"/>
              </w:rPr>
              <w:t xml:space="preserve">% </w:t>
            </w:r>
          </w:p>
        </w:tc>
      </w:tr>
      <w:tr w:rsidR="0045589E" w14:paraId="2A6CF125"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7165FF0A"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6</w:t>
            </w:r>
          </w:p>
        </w:tc>
        <w:tc>
          <w:tcPr>
            <w:tcW w:w="2143" w:type="dxa"/>
            <w:tcBorders>
              <w:top w:val="nil"/>
              <w:left w:val="nil"/>
              <w:bottom w:val="single" w:sz="4" w:space="0" w:color="auto"/>
              <w:right w:val="single" w:sz="4" w:space="0" w:color="auto"/>
            </w:tcBorders>
            <w:shd w:val="clear" w:color="000000" w:fill="FFFFFF"/>
            <w:noWrap/>
            <w:vAlign w:val="center"/>
            <w:hideMark/>
          </w:tcPr>
          <w:p w14:paraId="70F62694" w14:textId="77777777" w:rsidR="0045589E" w:rsidRPr="00127D35" w:rsidRDefault="0045589E" w:rsidP="0045589E">
            <w:pPr>
              <w:rPr>
                <w:rFonts w:ascii="Arial" w:hAnsi="Arial" w:cs="Arial"/>
                <w:sz w:val="18"/>
                <w:szCs w:val="18"/>
              </w:rPr>
            </w:pPr>
            <w:r>
              <w:rPr>
                <w:rFonts w:ascii="Arial" w:hAnsi="Arial" w:cs="Arial"/>
                <w:sz w:val="18"/>
                <w:szCs w:val="18"/>
              </w:rPr>
              <w:t xml:space="preserve">37245, </w:t>
            </w:r>
            <w:r w:rsidRPr="00127D35">
              <w:rPr>
                <w:rFonts w:ascii="Arial" w:hAnsi="Arial" w:cs="Arial"/>
                <w:sz w:val="18"/>
                <w:szCs w:val="18"/>
              </w:rPr>
              <w:t>105,36863</w:t>
            </w:r>
          </w:p>
        </w:tc>
        <w:tc>
          <w:tcPr>
            <w:tcW w:w="1017" w:type="dxa"/>
            <w:tcBorders>
              <w:top w:val="nil"/>
              <w:left w:val="nil"/>
              <w:bottom w:val="single" w:sz="4" w:space="0" w:color="000000"/>
              <w:right w:val="single" w:sz="4" w:space="0" w:color="000000"/>
            </w:tcBorders>
            <w:shd w:val="clear" w:color="000000" w:fill="FFFFFF"/>
            <w:noWrap/>
            <w:vAlign w:val="center"/>
            <w:hideMark/>
          </w:tcPr>
          <w:p w14:paraId="2E32F706"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6 </w:t>
            </w:r>
          </w:p>
        </w:tc>
        <w:tc>
          <w:tcPr>
            <w:tcW w:w="957" w:type="dxa"/>
            <w:tcBorders>
              <w:top w:val="nil"/>
              <w:left w:val="nil"/>
              <w:bottom w:val="single" w:sz="4" w:space="0" w:color="000000"/>
              <w:right w:val="single" w:sz="4" w:space="0" w:color="000000"/>
            </w:tcBorders>
            <w:shd w:val="clear" w:color="auto" w:fill="auto"/>
            <w:noWrap/>
            <w:vAlign w:val="center"/>
            <w:hideMark/>
          </w:tcPr>
          <w:p w14:paraId="743B7360"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18 </w:t>
            </w:r>
          </w:p>
        </w:tc>
        <w:tc>
          <w:tcPr>
            <w:tcW w:w="1286" w:type="dxa"/>
            <w:tcBorders>
              <w:top w:val="nil"/>
              <w:left w:val="nil"/>
              <w:bottom w:val="single" w:sz="4" w:space="0" w:color="000000"/>
              <w:right w:val="single" w:sz="4" w:space="0" w:color="000000"/>
            </w:tcBorders>
            <w:shd w:val="clear" w:color="auto" w:fill="auto"/>
            <w:noWrap/>
            <w:vAlign w:val="center"/>
            <w:hideMark/>
          </w:tcPr>
          <w:p w14:paraId="27C60DAE"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$9,230 </w:t>
            </w:r>
          </w:p>
        </w:tc>
        <w:tc>
          <w:tcPr>
            <w:tcW w:w="942" w:type="dxa"/>
            <w:tcBorders>
              <w:top w:val="nil"/>
              <w:left w:val="nil"/>
              <w:bottom w:val="single" w:sz="4" w:space="0" w:color="000000"/>
              <w:right w:val="single" w:sz="4" w:space="0" w:color="000000"/>
            </w:tcBorders>
            <w:shd w:val="clear" w:color="000000" w:fill="FFFFFF"/>
            <w:noWrap/>
            <w:vAlign w:val="center"/>
            <w:hideMark/>
          </w:tcPr>
          <w:p w14:paraId="7407A3F3"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6 </w:t>
            </w:r>
          </w:p>
        </w:tc>
        <w:tc>
          <w:tcPr>
            <w:tcW w:w="997" w:type="dxa"/>
            <w:tcBorders>
              <w:top w:val="nil"/>
              <w:left w:val="nil"/>
              <w:bottom w:val="single" w:sz="4" w:space="0" w:color="000000"/>
              <w:right w:val="single" w:sz="4" w:space="0" w:color="000000"/>
            </w:tcBorders>
            <w:shd w:val="clear" w:color="auto" w:fill="auto"/>
            <w:noWrap/>
            <w:vAlign w:val="center"/>
            <w:hideMark/>
          </w:tcPr>
          <w:p w14:paraId="64299604" w14:textId="77777777" w:rsidR="0045589E" w:rsidRPr="00127D35" w:rsidRDefault="0045589E" w:rsidP="0045589E">
            <w:pPr>
              <w:jc w:val="right"/>
              <w:rPr>
                <w:rFonts w:ascii="Arial" w:hAnsi="Arial" w:cs="Arial"/>
                <w:sz w:val="18"/>
                <w:szCs w:val="18"/>
              </w:rPr>
            </w:pPr>
            <w:r>
              <w:rPr>
                <w:rFonts w:ascii="Arial" w:hAnsi="Arial" w:cs="Arial"/>
                <w:sz w:val="18"/>
                <w:szCs w:val="18"/>
              </w:rPr>
              <w:t>1</w:t>
            </w:r>
            <w:r w:rsidRPr="00127D35">
              <w:rPr>
                <w:rFonts w:ascii="Arial" w:hAnsi="Arial" w:cs="Arial"/>
                <w:sz w:val="18"/>
                <w:szCs w:val="18"/>
              </w:rPr>
              <w:t xml:space="preserve">% </w:t>
            </w:r>
          </w:p>
        </w:tc>
      </w:tr>
      <w:tr w:rsidR="0045589E" w14:paraId="4F7F00FF"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306BDC2E"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7</w:t>
            </w:r>
          </w:p>
        </w:tc>
        <w:tc>
          <w:tcPr>
            <w:tcW w:w="2143" w:type="dxa"/>
            <w:tcBorders>
              <w:top w:val="nil"/>
              <w:left w:val="nil"/>
              <w:bottom w:val="single" w:sz="4" w:space="0" w:color="auto"/>
              <w:right w:val="single" w:sz="4" w:space="0" w:color="auto"/>
            </w:tcBorders>
            <w:shd w:val="clear" w:color="000000" w:fill="FFFFFF"/>
            <w:noWrap/>
            <w:vAlign w:val="center"/>
            <w:hideMark/>
          </w:tcPr>
          <w:p w14:paraId="34EA8BFB" w14:textId="77777777" w:rsidR="0045589E" w:rsidRPr="00127D35" w:rsidRDefault="0045589E" w:rsidP="0045589E">
            <w:pPr>
              <w:rPr>
                <w:rFonts w:ascii="Arial" w:hAnsi="Arial" w:cs="Arial"/>
                <w:sz w:val="18"/>
                <w:szCs w:val="18"/>
              </w:rPr>
            </w:pPr>
            <w:r w:rsidRPr="00127D35">
              <w:rPr>
                <w:rFonts w:ascii="Arial" w:hAnsi="Arial" w:cs="Arial"/>
                <w:sz w:val="18"/>
                <w:szCs w:val="18"/>
              </w:rPr>
              <w:t>37245, 36840</w:t>
            </w:r>
          </w:p>
        </w:tc>
        <w:tc>
          <w:tcPr>
            <w:tcW w:w="1017" w:type="dxa"/>
            <w:tcBorders>
              <w:top w:val="nil"/>
              <w:left w:val="nil"/>
              <w:bottom w:val="single" w:sz="4" w:space="0" w:color="000000"/>
              <w:right w:val="single" w:sz="4" w:space="0" w:color="000000"/>
            </w:tcBorders>
            <w:shd w:val="clear" w:color="000000" w:fill="FFFFFF"/>
            <w:noWrap/>
            <w:vAlign w:val="center"/>
            <w:hideMark/>
          </w:tcPr>
          <w:p w14:paraId="2508E9A9"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5 </w:t>
            </w:r>
          </w:p>
        </w:tc>
        <w:tc>
          <w:tcPr>
            <w:tcW w:w="957" w:type="dxa"/>
            <w:tcBorders>
              <w:top w:val="nil"/>
              <w:left w:val="nil"/>
              <w:bottom w:val="single" w:sz="4" w:space="0" w:color="000000"/>
              <w:right w:val="single" w:sz="4" w:space="0" w:color="000000"/>
            </w:tcBorders>
            <w:shd w:val="clear" w:color="auto" w:fill="auto"/>
            <w:noWrap/>
            <w:vAlign w:val="center"/>
            <w:hideMark/>
          </w:tcPr>
          <w:p w14:paraId="61F8CB30"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10 </w:t>
            </w:r>
          </w:p>
        </w:tc>
        <w:tc>
          <w:tcPr>
            <w:tcW w:w="1286" w:type="dxa"/>
            <w:tcBorders>
              <w:top w:val="nil"/>
              <w:left w:val="nil"/>
              <w:bottom w:val="single" w:sz="4" w:space="0" w:color="000000"/>
              <w:right w:val="single" w:sz="4" w:space="0" w:color="000000"/>
            </w:tcBorders>
            <w:shd w:val="clear" w:color="auto" w:fill="auto"/>
            <w:noWrap/>
            <w:vAlign w:val="center"/>
            <w:hideMark/>
          </w:tcPr>
          <w:p w14:paraId="2097E5A1"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$7,119 </w:t>
            </w:r>
          </w:p>
        </w:tc>
        <w:tc>
          <w:tcPr>
            <w:tcW w:w="942" w:type="dxa"/>
            <w:tcBorders>
              <w:top w:val="nil"/>
              <w:left w:val="nil"/>
              <w:bottom w:val="single" w:sz="4" w:space="0" w:color="000000"/>
              <w:right w:val="single" w:sz="4" w:space="0" w:color="000000"/>
            </w:tcBorders>
            <w:shd w:val="clear" w:color="000000" w:fill="FFFFFF"/>
            <w:noWrap/>
            <w:vAlign w:val="center"/>
            <w:hideMark/>
          </w:tcPr>
          <w:p w14:paraId="7E510842"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5 </w:t>
            </w:r>
          </w:p>
        </w:tc>
        <w:tc>
          <w:tcPr>
            <w:tcW w:w="997" w:type="dxa"/>
            <w:tcBorders>
              <w:top w:val="nil"/>
              <w:left w:val="nil"/>
              <w:bottom w:val="single" w:sz="4" w:space="0" w:color="000000"/>
              <w:right w:val="single" w:sz="4" w:space="0" w:color="000000"/>
            </w:tcBorders>
            <w:shd w:val="clear" w:color="auto" w:fill="auto"/>
            <w:noWrap/>
            <w:vAlign w:val="center"/>
            <w:hideMark/>
          </w:tcPr>
          <w:p w14:paraId="05B6C3B7" w14:textId="77777777" w:rsidR="0045589E" w:rsidRPr="00127D35" w:rsidRDefault="0045589E" w:rsidP="0045589E">
            <w:pPr>
              <w:jc w:val="right"/>
              <w:rPr>
                <w:rFonts w:ascii="Arial" w:hAnsi="Arial" w:cs="Arial"/>
                <w:sz w:val="18"/>
                <w:szCs w:val="18"/>
              </w:rPr>
            </w:pPr>
            <w:r>
              <w:rPr>
                <w:rFonts w:ascii="Arial" w:hAnsi="Arial" w:cs="Arial"/>
                <w:sz w:val="18"/>
                <w:szCs w:val="18"/>
              </w:rPr>
              <w:t>&gt;1</w:t>
            </w:r>
            <w:r w:rsidRPr="00127D35">
              <w:rPr>
                <w:rFonts w:ascii="Arial" w:hAnsi="Arial" w:cs="Arial"/>
                <w:sz w:val="18"/>
                <w:szCs w:val="18"/>
              </w:rPr>
              <w:t xml:space="preserve">% </w:t>
            </w:r>
          </w:p>
        </w:tc>
      </w:tr>
      <w:tr w:rsidR="0045589E" w14:paraId="5410156A"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56561558"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8</w:t>
            </w:r>
          </w:p>
        </w:tc>
        <w:tc>
          <w:tcPr>
            <w:tcW w:w="2143" w:type="dxa"/>
            <w:tcBorders>
              <w:top w:val="nil"/>
              <w:left w:val="nil"/>
              <w:bottom w:val="single" w:sz="4" w:space="0" w:color="auto"/>
              <w:right w:val="single" w:sz="4" w:space="0" w:color="auto"/>
            </w:tcBorders>
            <w:shd w:val="clear" w:color="000000" w:fill="FFFFFF"/>
            <w:noWrap/>
            <w:vAlign w:val="center"/>
            <w:hideMark/>
          </w:tcPr>
          <w:p w14:paraId="3F7DC196" w14:textId="77777777" w:rsidR="0045589E" w:rsidRPr="00127D35" w:rsidRDefault="0045589E" w:rsidP="0045589E">
            <w:pPr>
              <w:rPr>
                <w:rFonts w:ascii="Arial" w:hAnsi="Arial" w:cs="Arial"/>
                <w:sz w:val="18"/>
                <w:szCs w:val="18"/>
              </w:rPr>
            </w:pPr>
            <w:r w:rsidRPr="00127D35">
              <w:rPr>
                <w:rFonts w:ascii="Arial" w:hAnsi="Arial" w:cs="Arial"/>
                <w:sz w:val="18"/>
                <w:szCs w:val="18"/>
              </w:rPr>
              <w:t>37245, 37011</w:t>
            </w:r>
          </w:p>
        </w:tc>
        <w:tc>
          <w:tcPr>
            <w:tcW w:w="1017" w:type="dxa"/>
            <w:tcBorders>
              <w:top w:val="nil"/>
              <w:left w:val="nil"/>
              <w:bottom w:val="single" w:sz="4" w:space="0" w:color="000000"/>
              <w:right w:val="single" w:sz="4" w:space="0" w:color="000000"/>
            </w:tcBorders>
            <w:shd w:val="clear" w:color="000000" w:fill="FFFFFF"/>
            <w:noWrap/>
            <w:vAlign w:val="center"/>
            <w:hideMark/>
          </w:tcPr>
          <w:p w14:paraId="5678718E"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5 </w:t>
            </w:r>
          </w:p>
        </w:tc>
        <w:tc>
          <w:tcPr>
            <w:tcW w:w="957" w:type="dxa"/>
            <w:tcBorders>
              <w:top w:val="nil"/>
              <w:left w:val="nil"/>
              <w:bottom w:val="single" w:sz="4" w:space="0" w:color="000000"/>
              <w:right w:val="single" w:sz="4" w:space="0" w:color="000000"/>
            </w:tcBorders>
            <w:shd w:val="clear" w:color="auto" w:fill="auto"/>
            <w:noWrap/>
            <w:vAlign w:val="center"/>
            <w:hideMark/>
          </w:tcPr>
          <w:p w14:paraId="65A93B29"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10 </w:t>
            </w:r>
          </w:p>
        </w:tc>
        <w:tc>
          <w:tcPr>
            <w:tcW w:w="1286" w:type="dxa"/>
            <w:tcBorders>
              <w:top w:val="nil"/>
              <w:left w:val="nil"/>
              <w:bottom w:val="single" w:sz="4" w:space="0" w:color="000000"/>
              <w:right w:val="single" w:sz="4" w:space="0" w:color="000000"/>
            </w:tcBorders>
            <w:shd w:val="clear" w:color="auto" w:fill="auto"/>
            <w:noWrap/>
            <w:vAlign w:val="center"/>
            <w:hideMark/>
          </w:tcPr>
          <w:p w14:paraId="284F8749"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$6,544 </w:t>
            </w:r>
          </w:p>
        </w:tc>
        <w:tc>
          <w:tcPr>
            <w:tcW w:w="942" w:type="dxa"/>
            <w:tcBorders>
              <w:top w:val="nil"/>
              <w:left w:val="nil"/>
              <w:bottom w:val="single" w:sz="4" w:space="0" w:color="000000"/>
              <w:right w:val="single" w:sz="4" w:space="0" w:color="000000"/>
            </w:tcBorders>
            <w:shd w:val="clear" w:color="000000" w:fill="FFFFFF"/>
            <w:noWrap/>
            <w:vAlign w:val="center"/>
            <w:hideMark/>
          </w:tcPr>
          <w:p w14:paraId="0E05CADF"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5 </w:t>
            </w:r>
          </w:p>
        </w:tc>
        <w:tc>
          <w:tcPr>
            <w:tcW w:w="997" w:type="dxa"/>
            <w:tcBorders>
              <w:top w:val="nil"/>
              <w:left w:val="nil"/>
              <w:bottom w:val="single" w:sz="4" w:space="0" w:color="000000"/>
              <w:right w:val="single" w:sz="4" w:space="0" w:color="000000"/>
            </w:tcBorders>
            <w:shd w:val="clear" w:color="auto" w:fill="auto"/>
            <w:noWrap/>
            <w:vAlign w:val="center"/>
            <w:hideMark/>
          </w:tcPr>
          <w:p w14:paraId="0F448E34" w14:textId="77777777" w:rsidR="0045589E" w:rsidRPr="00127D35" w:rsidRDefault="0045589E" w:rsidP="0045589E">
            <w:pPr>
              <w:jc w:val="right"/>
              <w:rPr>
                <w:rFonts w:ascii="Arial" w:hAnsi="Arial" w:cs="Arial"/>
                <w:sz w:val="18"/>
                <w:szCs w:val="18"/>
              </w:rPr>
            </w:pPr>
            <w:r>
              <w:rPr>
                <w:rFonts w:ascii="Arial" w:hAnsi="Arial" w:cs="Arial"/>
                <w:sz w:val="18"/>
                <w:szCs w:val="18"/>
              </w:rPr>
              <w:t>&gt;</w:t>
            </w:r>
            <w:r w:rsidRPr="00127D35">
              <w:rPr>
                <w:rFonts w:ascii="Arial" w:hAnsi="Arial" w:cs="Arial"/>
                <w:sz w:val="18"/>
                <w:szCs w:val="18"/>
              </w:rPr>
              <w:t xml:space="preserve">1% </w:t>
            </w:r>
          </w:p>
        </w:tc>
      </w:tr>
      <w:tr w:rsidR="0045589E" w14:paraId="291974B6"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08126A03"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9</w:t>
            </w:r>
          </w:p>
        </w:tc>
        <w:tc>
          <w:tcPr>
            <w:tcW w:w="2143" w:type="dxa"/>
            <w:tcBorders>
              <w:top w:val="nil"/>
              <w:left w:val="nil"/>
              <w:bottom w:val="single" w:sz="4" w:space="0" w:color="auto"/>
              <w:right w:val="single" w:sz="4" w:space="0" w:color="auto"/>
            </w:tcBorders>
            <w:shd w:val="clear" w:color="000000" w:fill="FFFFFF"/>
            <w:noWrap/>
            <w:vAlign w:val="center"/>
            <w:hideMark/>
          </w:tcPr>
          <w:p w14:paraId="4579BB26" w14:textId="77777777" w:rsidR="0045589E" w:rsidRPr="00127D35" w:rsidRDefault="0045589E" w:rsidP="0045589E">
            <w:pPr>
              <w:rPr>
                <w:rFonts w:ascii="Arial" w:hAnsi="Arial" w:cs="Arial"/>
                <w:sz w:val="18"/>
                <w:szCs w:val="18"/>
              </w:rPr>
            </w:pPr>
            <w:r w:rsidRPr="00127D35">
              <w:rPr>
                <w:rFonts w:ascii="Arial" w:hAnsi="Arial" w:cs="Arial"/>
                <w:sz w:val="18"/>
                <w:szCs w:val="18"/>
              </w:rPr>
              <w:t>37245, 37219,55603</w:t>
            </w:r>
          </w:p>
        </w:tc>
        <w:tc>
          <w:tcPr>
            <w:tcW w:w="1017" w:type="dxa"/>
            <w:tcBorders>
              <w:top w:val="nil"/>
              <w:left w:val="nil"/>
              <w:bottom w:val="single" w:sz="4" w:space="0" w:color="000000"/>
              <w:right w:val="single" w:sz="4" w:space="0" w:color="000000"/>
            </w:tcBorders>
            <w:shd w:val="clear" w:color="000000" w:fill="FFFFFF"/>
            <w:noWrap/>
            <w:vAlign w:val="center"/>
            <w:hideMark/>
          </w:tcPr>
          <w:p w14:paraId="6A0D7446"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5 </w:t>
            </w:r>
          </w:p>
        </w:tc>
        <w:tc>
          <w:tcPr>
            <w:tcW w:w="957" w:type="dxa"/>
            <w:tcBorders>
              <w:top w:val="nil"/>
              <w:left w:val="nil"/>
              <w:bottom w:val="single" w:sz="4" w:space="0" w:color="000000"/>
              <w:right w:val="single" w:sz="4" w:space="0" w:color="000000"/>
            </w:tcBorders>
            <w:shd w:val="clear" w:color="auto" w:fill="auto"/>
            <w:noWrap/>
            <w:vAlign w:val="center"/>
            <w:hideMark/>
          </w:tcPr>
          <w:p w14:paraId="2132889C"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15 </w:t>
            </w:r>
          </w:p>
        </w:tc>
        <w:tc>
          <w:tcPr>
            <w:tcW w:w="1286" w:type="dxa"/>
            <w:tcBorders>
              <w:top w:val="nil"/>
              <w:left w:val="nil"/>
              <w:bottom w:val="single" w:sz="4" w:space="0" w:color="000000"/>
              <w:right w:val="single" w:sz="4" w:space="0" w:color="000000"/>
            </w:tcBorders>
            <w:shd w:val="clear" w:color="auto" w:fill="auto"/>
            <w:noWrap/>
            <w:vAlign w:val="center"/>
            <w:hideMark/>
          </w:tcPr>
          <w:p w14:paraId="2AAF80B8"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$7,533 </w:t>
            </w:r>
          </w:p>
        </w:tc>
        <w:tc>
          <w:tcPr>
            <w:tcW w:w="942" w:type="dxa"/>
            <w:tcBorders>
              <w:top w:val="nil"/>
              <w:left w:val="nil"/>
              <w:bottom w:val="single" w:sz="4" w:space="0" w:color="000000"/>
              <w:right w:val="single" w:sz="4" w:space="0" w:color="000000"/>
            </w:tcBorders>
            <w:shd w:val="clear" w:color="000000" w:fill="FFFFFF"/>
            <w:noWrap/>
            <w:vAlign w:val="center"/>
            <w:hideMark/>
          </w:tcPr>
          <w:p w14:paraId="29E9E797"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5 </w:t>
            </w:r>
          </w:p>
        </w:tc>
        <w:tc>
          <w:tcPr>
            <w:tcW w:w="997" w:type="dxa"/>
            <w:tcBorders>
              <w:top w:val="nil"/>
              <w:left w:val="nil"/>
              <w:bottom w:val="single" w:sz="4" w:space="0" w:color="000000"/>
              <w:right w:val="single" w:sz="4" w:space="0" w:color="000000"/>
            </w:tcBorders>
            <w:shd w:val="clear" w:color="auto" w:fill="auto"/>
            <w:noWrap/>
            <w:vAlign w:val="center"/>
            <w:hideMark/>
          </w:tcPr>
          <w:p w14:paraId="0D66500B" w14:textId="77777777" w:rsidR="0045589E" w:rsidRPr="00127D35" w:rsidRDefault="0045589E" w:rsidP="0045589E">
            <w:pPr>
              <w:jc w:val="right"/>
              <w:rPr>
                <w:rFonts w:ascii="Arial" w:hAnsi="Arial" w:cs="Arial"/>
                <w:sz w:val="18"/>
                <w:szCs w:val="18"/>
              </w:rPr>
            </w:pPr>
            <w:r>
              <w:rPr>
                <w:rFonts w:ascii="Arial" w:hAnsi="Arial" w:cs="Arial"/>
                <w:sz w:val="18"/>
                <w:szCs w:val="18"/>
              </w:rPr>
              <w:t>&gt;</w:t>
            </w:r>
            <w:r w:rsidRPr="00127D35">
              <w:rPr>
                <w:rFonts w:ascii="Arial" w:hAnsi="Arial" w:cs="Arial"/>
                <w:sz w:val="18"/>
                <w:szCs w:val="18"/>
              </w:rPr>
              <w:t xml:space="preserve">1% </w:t>
            </w:r>
          </w:p>
        </w:tc>
      </w:tr>
    </w:tbl>
    <w:p w14:paraId="0784D162" w14:textId="36045840" w:rsidR="0045589E" w:rsidRPr="00B75127" w:rsidRDefault="006A4D42" w:rsidP="00B75127">
      <w:pPr>
        <w:spacing w:before="120"/>
        <w:rPr>
          <w:b/>
          <w:sz w:val="20"/>
        </w:rPr>
      </w:pPr>
      <w:r w:rsidRPr="00B75127">
        <w:rPr>
          <w:b/>
          <w:sz w:val="20"/>
        </w:rPr>
        <w:t>Table 7</w:t>
      </w:r>
      <w:r w:rsidR="0045589E" w:rsidRPr="00B75127">
        <w:rPr>
          <w:b/>
          <w:sz w:val="20"/>
        </w:rPr>
        <w:t xml:space="preserve">: Instances of co-claiming with MBS item 37245 in 2014-15 </w:t>
      </w:r>
    </w:p>
    <w:tbl>
      <w:tblPr>
        <w:tblW w:w="7997" w:type="dxa"/>
        <w:tblInd w:w="93" w:type="dxa"/>
        <w:tblLook w:val="04A0" w:firstRow="1" w:lastRow="0" w:firstColumn="1" w:lastColumn="0" w:noHBand="0" w:noVBand="1"/>
        <w:tblCaption w:val="Table 7"/>
        <w:tblDescription w:val="Visual representation of instances of co-claiming with MBS item 37245 in 2014-15. 40% of the claiming instances for 37245 were with no other items and 32% of instances 37245 was co claimed with 105."/>
      </w:tblPr>
      <w:tblGrid>
        <w:gridCol w:w="661"/>
        <w:gridCol w:w="2135"/>
        <w:gridCol w:w="1017"/>
        <w:gridCol w:w="957"/>
        <w:gridCol w:w="1286"/>
        <w:gridCol w:w="944"/>
        <w:gridCol w:w="997"/>
      </w:tblGrid>
      <w:tr w:rsidR="0045589E" w14:paraId="3258A281" w14:textId="77777777" w:rsidTr="0045589E">
        <w:trPr>
          <w:trHeight w:val="960"/>
        </w:trPr>
        <w:tc>
          <w:tcPr>
            <w:tcW w:w="6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D614AD6" w14:textId="77777777" w:rsidR="0045589E" w:rsidRPr="00127D35" w:rsidRDefault="0045589E" w:rsidP="0045589E">
            <w:pPr>
              <w:jc w:val="center"/>
              <w:rPr>
                <w:rFonts w:ascii="Arial" w:hAnsi="Arial" w:cs="Arial"/>
                <w:b/>
                <w:bCs/>
                <w:sz w:val="18"/>
                <w:szCs w:val="18"/>
              </w:rPr>
            </w:pPr>
            <w:r w:rsidRPr="00127D35">
              <w:rPr>
                <w:rFonts w:ascii="Arial" w:hAnsi="Arial" w:cs="Arial"/>
                <w:b/>
                <w:bCs/>
                <w:sz w:val="18"/>
                <w:szCs w:val="18"/>
              </w:rPr>
              <w:t>#</w:t>
            </w:r>
          </w:p>
        </w:tc>
        <w:tc>
          <w:tcPr>
            <w:tcW w:w="213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880A9FD" w14:textId="77777777" w:rsidR="0045589E" w:rsidRPr="00127D35" w:rsidRDefault="0045589E" w:rsidP="0045589E">
            <w:pPr>
              <w:jc w:val="center"/>
              <w:rPr>
                <w:rFonts w:ascii="Arial" w:hAnsi="Arial" w:cs="Arial"/>
                <w:b/>
                <w:bCs/>
                <w:sz w:val="18"/>
                <w:szCs w:val="18"/>
              </w:rPr>
            </w:pPr>
            <w:r w:rsidRPr="00127D35">
              <w:rPr>
                <w:rFonts w:ascii="Arial" w:hAnsi="Arial" w:cs="Arial"/>
                <w:b/>
                <w:bCs/>
                <w:sz w:val="18"/>
                <w:szCs w:val="18"/>
              </w:rPr>
              <w:t>Items</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B063C3B" w14:textId="77777777" w:rsidR="0045589E" w:rsidRPr="00127D35" w:rsidRDefault="0045589E" w:rsidP="0045589E">
            <w:pPr>
              <w:jc w:val="center"/>
              <w:rPr>
                <w:rFonts w:ascii="Arial" w:hAnsi="Arial" w:cs="Arial"/>
                <w:b/>
                <w:bCs/>
                <w:sz w:val="18"/>
                <w:szCs w:val="18"/>
              </w:rPr>
            </w:pPr>
            <w:r w:rsidRPr="00127D35">
              <w:rPr>
                <w:rFonts w:ascii="Arial" w:hAnsi="Arial" w:cs="Arial"/>
                <w:b/>
                <w:bCs/>
                <w:sz w:val="18"/>
                <w:szCs w:val="18"/>
              </w:rPr>
              <w:t>Episodes</w:t>
            </w:r>
          </w:p>
        </w:tc>
        <w:tc>
          <w:tcPr>
            <w:tcW w:w="95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9417DCC" w14:textId="77777777" w:rsidR="0045589E" w:rsidRPr="00127D35" w:rsidRDefault="0045589E" w:rsidP="0045589E">
            <w:pPr>
              <w:jc w:val="center"/>
              <w:rPr>
                <w:rFonts w:ascii="Arial" w:hAnsi="Arial" w:cs="Arial"/>
                <w:b/>
                <w:bCs/>
                <w:sz w:val="18"/>
                <w:szCs w:val="18"/>
              </w:rPr>
            </w:pPr>
            <w:r w:rsidRPr="00127D35">
              <w:rPr>
                <w:rFonts w:ascii="Arial" w:hAnsi="Arial" w:cs="Arial"/>
                <w:b/>
                <w:bCs/>
                <w:sz w:val="18"/>
                <w:szCs w:val="18"/>
              </w:rPr>
              <w:t>Services</w:t>
            </w:r>
          </w:p>
        </w:tc>
        <w:tc>
          <w:tcPr>
            <w:tcW w:w="128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083D732" w14:textId="77777777" w:rsidR="0045589E" w:rsidRPr="00127D35" w:rsidRDefault="0045589E" w:rsidP="0045589E">
            <w:pPr>
              <w:jc w:val="center"/>
              <w:rPr>
                <w:rFonts w:ascii="Arial" w:hAnsi="Arial" w:cs="Arial"/>
                <w:b/>
                <w:bCs/>
                <w:sz w:val="18"/>
                <w:szCs w:val="18"/>
              </w:rPr>
            </w:pPr>
            <w:r w:rsidRPr="00127D35">
              <w:rPr>
                <w:rFonts w:ascii="Arial" w:hAnsi="Arial" w:cs="Arial"/>
                <w:b/>
                <w:bCs/>
                <w:sz w:val="18"/>
                <w:szCs w:val="18"/>
              </w:rPr>
              <w:t>Schedule Fee for combination</w:t>
            </w:r>
          </w:p>
        </w:tc>
        <w:tc>
          <w:tcPr>
            <w:tcW w:w="94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CE37C11" w14:textId="77777777" w:rsidR="0045589E" w:rsidRPr="00127D35" w:rsidRDefault="0045589E" w:rsidP="0045589E">
            <w:pPr>
              <w:jc w:val="center"/>
              <w:rPr>
                <w:rFonts w:ascii="Arial" w:hAnsi="Arial" w:cs="Arial"/>
                <w:b/>
                <w:bCs/>
                <w:sz w:val="18"/>
                <w:szCs w:val="18"/>
              </w:rPr>
            </w:pPr>
            <w:r w:rsidRPr="00127D35">
              <w:rPr>
                <w:rFonts w:ascii="Arial" w:hAnsi="Arial" w:cs="Arial"/>
                <w:b/>
                <w:bCs/>
                <w:sz w:val="18"/>
                <w:szCs w:val="18"/>
              </w:rPr>
              <w:t>Number of patients</w:t>
            </w:r>
          </w:p>
        </w:tc>
        <w:tc>
          <w:tcPr>
            <w:tcW w:w="99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E1B8F62" w14:textId="77777777" w:rsidR="0045589E" w:rsidRPr="00127D35" w:rsidRDefault="0045589E" w:rsidP="0045589E">
            <w:pPr>
              <w:jc w:val="center"/>
              <w:rPr>
                <w:rFonts w:ascii="Arial" w:hAnsi="Arial" w:cs="Arial"/>
                <w:b/>
                <w:bCs/>
                <w:sz w:val="18"/>
                <w:szCs w:val="18"/>
              </w:rPr>
            </w:pPr>
            <w:r w:rsidRPr="00127D35">
              <w:rPr>
                <w:rFonts w:ascii="Arial" w:hAnsi="Arial" w:cs="Arial"/>
                <w:b/>
                <w:bCs/>
                <w:sz w:val="18"/>
                <w:szCs w:val="18"/>
              </w:rPr>
              <w:t>% of episodes</w:t>
            </w:r>
          </w:p>
        </w:tc>
      </w:tr>
      <w:tr w:rsidR="0045589E" w14:paraId="56610DB6" w14:textId="77777777" w:rsidTr="0045589E">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14:paraId="0D5F0B1A"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1</w:t>
            </w:r>
          </w:p>
        </w:tc>
        <w:tc>
          <w:tcPr>
            <w:tcW w:w="2135" w:type="dxa"/>
            <w:tcBorders>
              <w:top w:val="nil"/>
              <w:left w:val="nil"/>
              <w:bottom w:val="single" w:sz="4" w:space="0" w:color="auto"/>
              <w:right w:val="single" w:sz="4" w:space="0" w:color="auto"/>
            </w:tcBorders>
            <w:shd w:val="clear" w:color="000000" w:fill="FFFFFF"/>
            <w:noWrap/>
            <w:vAlign w:val="center"/>
            <w:hideMark/>
          </w:tcPr>
          <w:p w14:paraId="1239AEED" w14:textId="77777777" w:rsidR="0045589E" w:rsidRPr="00127D35" w:rsidRDefault="0045589E" w:rsidP="0045589E">
            <w:pPr>
              <w:rPr>
                <w:rFonts w:ascii="Arial" w:hAnsi="Arial" w:cs="Arial"/>
                <w:sz w:val="18"/>
                <w:szCs w:val="18"/>
              </w:rPr>
            </w:pPr>
            <w:r w:rsidRPr="00127D35">
              <w:rPr>
                <w:rFonts w:ascii="Arial" w:hAnsi="Arial" w:cs="Arial"/>
                <w:sz w:val="18"/>
                <w:szCs w:val="18"/>
              </w:rPr>
              <w:t>37245</w:t>
            </w:r>
          </w:p>
        </w:tc>
        <w:tc>
          <w:tcPr>
            <w:tcW w:w="1017" w:type="dxa"/>
            <w:tcBorders>
              <w:top w:val="nil"/>
              <w:left w:val="nil"/>
              <w:bottom w:val="single" w:sz="4" w:space="0" w:color="000000"/>
              <w:right w:val="single" w:sz="4" w:space="0" w:color="000000"/>
            </w:tcBorders>
            <w:shd w:val="clear" w:color="auto" w:fill="auto"/>
            <w:noWrap/>
            <w:vAlign w:val="center"/>
            <w:hideMark/>
          </w:tcPr>
          <w:p w14:paraId="49F882B4"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264 </w:t>
            </w:r>
          </w:p>
        </w:tc>
        <w:tc>
          <w:tcPr>
            <w:tcW w:w="957" w:type="dxa"/>
            <w:tcBorders>
              <w:top w:val="nil"/>
              <w:left w:val="nil"/>
              <w:bottom w:val="single" w:sz="4" w:space="0" w:color="000000"/>
              <w:right w:val="single" w:sz="4" w:space="0" w:color="000000"/>
            </w:tcBorders>
            <w:shd w:val="clear" w:color="auto" w:fill="auto"/>
            <w:noWrap/>
            <w:vAlign w:val="center"/>
            <w:hideMark/>
          </w:tcPr>
          <w:p w14:paraId="5DBB0D9A"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264 </w:t>
            </w:r>
          </w:p>
        </w:tc>
        <w:tc>
          <w:tcPr>
            <w:tcW w:w="1286" w:type="dxa"/>
            <w:tcBorders>
              <w:top w:val="nil"/>
              <w:left w:val="nil"/>
              <w:bottom w:val="single" w:sz="4" w:space="0" w:color="000000"/>
              <w:right w:val="single" w:sz="4" w:space="0" w:color="000000"/>
            </w:tcBorders>
            <w:shd w:val="clear" w:color="auto" w:fill="auto"/>
            <w:noWrap/>
            <w:vAlign w:val="center"/>
            <w:hideMark/>
          </w:tcPr>
          <w:p w14:paraId="6C05C175"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$333,208 </w:t>
            </w:r>
          </w:p>
        </w:tc>
        <w:tc>
          <w:tcPr>
            <w:tcW w:w="944" w:type="dxa"/>
            <w:tcBorders>
              <w:top w:val="nil"/>
              <w:left w:val="nil"/>
              <w:bottom w:val="single" w:sz="4" w:space="0" w:color="000000"/>
              <w:right w:val="single" w:sz="4" w:space="0" w:color="000000"/>
            </w:tcBorders>
            <w:shd w:val="clear" w:color="auto" w:fill="auto"/>
            <w:noWrap/>
            <w:vAlign w:val="center"/>
            <w:hideMark/>
          </w:tcPr>
          <w:p w14:paraId="33DB90A7"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264 </w:t>
            </w:r>
          </w:p>
        </w:tc>
        <w:tc>
          <w:tcPr>
            <w:tcW w:w="997" w:type="dxa"/>
            <w:tcBorders>
              <w:top w:val="nil"/>
              <w:left w:val="nil"/>
              <w:bottom w:val="single" w:sz="4" w:space="0" w:color="000000"/>
              <w:right w:val="single" w:sz="4" w:space="0" w:color="000000"/>
            </w:tcBorders>
            <w:shd w:val="clear" w:color="auto" w:fill="auto"/>
            <w:noWrap/>
            <w:vAlign w:val="center"/>
            <w:hideMark/>
          </w:tcPr>
          <w:p w14:paraId="094926C5" w14:textId="77777777" w:rsidR="0045589E" w:rsidRPr="00127D35" w:rsidRDefault="0045589E" w:rsidP="0045589E">
            <w:pPr>
              <w:jc w:val="right"/>
              <w:rPr>
                <w:rFonts w:ascii="Arial" w:hAnsi="Arial" w:cs="Arial"/>
                <w:sz w:val="18"/>
                <w:szCs w:val="18"/>
              </w:rPr>
            </w:pPr>
            <w:r>
              <w:rPr>
                <w:rFonts w:ascii="Arial" w:hAnsi="Arial" w:cs="Arial"/>
                <w:sz w:val="18"/>
                <w:szCs w:val="18"/>
              </w:rPr>
              <w:t>40</w:t>
            </w:r>
            <w:r w:rsidRPr="00127D35">
              <w:rPr>
                <w:rFonts w:ascii="Arial" w:hAnsi="Arial" w:cs="Arial"/>
                <w:sz w:val="18"/>
                <w:szCs w:val="18"/>
              </w:rPr>
              <w:t xml:space="preserve">% </w:t>
            </w:r>
          </w:p>
        </w:tc>
      </w:tr>
      <w:tr w:rsidR="0045589E" w14:paraId="4D66C83D" w14:textId="77777777" w:rsidTr="0045589E">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14:paraId="6457D728"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2</w:t>
            </w:r>
          </w:p>
        </w:tc>
        <w:tc>
          <w:tcPr>
            <w:tcW w:w="2135" w:type="dxa"/>
            <w:tcBorders>
              <w:top w:val="nil"/>
              <w:left w:val="nil"/>
              <w:bottom w:val="single" w:sz="4" w:space="0" w:color="auto"/>
              <w:right w:val="single" w:sz="4" w:space="0" w:color="auto"/>
            </w:tcBorders>
            <w:shd w:val="clear" w:color="000000" w:fill="FFFFFF"/>
            <w:noWrap/>
            <w:vAlign w:val="center"/>
            <w:hideMark/>
          </w:tcPr>
          <w:p w14:paraId="18E603C8" w14:textId="77777777" w:rsidR="0045589E" w:rsidRPr="00127D35" w:rsidRDefault="0045589E" w:rsidP="0045589E">
            <w:pPr>
              <w:rPr>
                <w:rFonts w:ascii="Arial" w:hAnsi="Arial" w:cs="Arial"/>
                <w:sz w:val="18"/>
                <w:szCs w:val="18"/>
              </w:rPr>
            </w:pPr>
            <w:r w:rsidRPr="00127D35">
              <w:rPr>
                <w:rFonts w:ascii="Arial" w:hAnsi="Arial" w:cs="Arial"/>
                <w:sz w:val="18"/>
                <w:szCs w:val="18"/>
              </w:rPr>
              <w:t>37245, 105</w:t>
            </w:r>
          </w:p>
        </w:tc>
        <w:tc>
          <w:tcPr>
            <w:tcW w:w="1017" w:type="dxa"/>
            <w:tcBorders>
              <w:top w:val="nil"/>
              <w:left w:val="nil"/>
              <w:bottom w:val="single" w:sz="4" w:space="0" w:color="000000"/>
              <w:right w:val="single" w:sz="4" w:space="0" w:color="000000"/>
            </w:tcBorders>
            <w:shd w:val="clear" w:color="000000" w:fill="FFFFFF"/>
            <w:noWrap/>
            <w:vAlign w:val="center"/>
            <w:hideMark/>
          </w:tcPr>
          <w:p w14:paraId="4B2BD8DC"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213 </w:t>
            </w:r>
          </w:p>
        </w:tc>
        <w:tc>
          <w:tcPr>
            <w:tcW w:w="957" w:type="dxa"/>
            <w:tcBorders>
              <w:top w:val="nil"/>
              <w:left w:val="nil"/>
              <w:bottom w:val="single" w:sz="4" w:space="0" w:color="000000"/>
              <w:right w:val="single" w:sz="4" w:space="0" w:color="000000"/>
            </w:tcBorders>
            <w:shd w:val="clear" w:color="000000" w:fill="FFFFFF"/>
            <w:noWrap/>
            <w:vAlign w:val="center"/>
            <w:hideMark/>
          </w:tcPr>
          <w:p w14:paraId="6C2B5B84"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426 </w:t>
            </w:r>
          </w:p>
        </w:tc>
        <w:tc>
          <w:tcPr>
            <w:tcW w:w="1286" w:type="dxa"/>
            <w:tcBorders>
              <w:top w:val="nil"/>
              <w:left w:val="nil"/>
              <w:bottom w:val="single" w:sz="4" w:space="0" w:color="000000"/>
              <w:right w:val="single" w:sz="4" w:space="0" w:color="000000"/>
            </w:tcBorders>
            <w:shd w:val="clear" w:color="000000" w:fill="FFFFFF"/>
            <w:noWrap/>
            <w:vAlign w:val="center"/>
            <w:hideMark/>
          </w:tcPr>
          <w:p w14:paraId="5662D0DC"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$277,997 </w:t>
            </w:r>
          </w:p>
        </w:tc>
        <w:tc>
          <w:tcPr>
            <w:tcW w:w="944" w:type="dxa"/>
            <w:tcBorders>
              <w:top w:val="nil"/>
              <w:left w:val="nil"/>
              <w:bottom w:val="single" w:sz="4" w:space="0" w:color="000000"/>
              <w:right w:val="single" w:sz="4" w:space="0" w:color="000000"/>
            </w:tcBorders>
            <w:shd w:val="clear" w:color="000000" w:fill="FFFFFF"/>
            <w:noWrap/>
            <w:vAlign w:val="center"/>
            <w:hideMark/>
          </w:tcPr>
          <w:p w14:paraId="27F37625"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213 </w:t>
            </w:r>
          </w:p>
        </w:tc>
        <w:tc>
          <w:tcPr>
            <w:tcW w:w="997" w:type="dxa"/>
            <w:tcBorders>
              <w:top w:val="nil"/>
              <w:left w:val="nil"/>
              <w:bottom w:val="single" w:sz="4" w:space="0" w:color="000000"/>
              <w:right w:val="single" w:sz="4" w:space="0" w:color="000000"/>
            </w:tcBorders>
            <w:shd w:val="clear" w:color="auto" w:fill="auto"/>
            <w:noWrap/>
            <w:vAlign w:val="center"/>
            <w:hideMark/>
          </w:tcPr>
          <w:p w14:paraId="42082456" w14:textId="77777777" w:rsidR="0045589E" w:rsidRPr="00127D35" w:rsidRDefault="0045589E" w:rsidP="0045589E">
            <w:pPr>
              <w:jc w:val="right"/>
              <w:rPr>
                <w:rFonts w:ascii="Arial" w:hAnsi="Arial" w:cs="Arial"/>
                <w:sz w:val="18"/>
                <w:szCs w:val="18"/>
              </w:rPr>
            </w:pPr>
            <w:r>
              <w:rPr>
                <w:rFonts w:ascii="Arial" w:hAnsi="Arial" w:cs="Arial"/>
                <w:sz w:val="18"/>
                <w:szCs w:val="18"/>
              </w:rPr>
              <w:t>32</w:t>
            </w:r>
            <w:r w:rsidRPr="00127D35">
              <w:rPr>
                <w:rFonts w:ascii="Arial" w:hAnsi="Arial" w:cs="Arial"/>
                <w:sz w:val="18"/>
                <w:szCs w:val="18"/>
              </w:rPr>
              <w:t xml:space="preserve">% </w:t>
            </w:r>
          </w:p>
        </w:tc>
      </w:tr>
      <w:tr w:rsidR="0045589E" w14:paraId="24FF5165" w14:textId="77777777" w:rsidTr="0045589E">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14:paraId="7B1CB38F"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3</w:t>
            </w:r>
          </w:p>
        </w:tc>
        <w:tc>
          <w:tcPr>
            <w:tcW w:w="2135" w:type="dxa"/>
            <w:tcBorders>
              <w:top w:val="nil"/>
              <w:left w:val="nil"/>
              <w:bottom w:val="single" w:sz="4" w:space="0" w:color="auto"/>
              <w:right w:val="single" w:sz="4" w:space="0" w:color="auto"/>
            </w:tcBorders>
            <w:shd w:val="clear" w:color="000000" w:fill="FFFFFF"/>
            <w:noWrap/>
            <w:vAlign w:val="center"/>
            <w:hideMark/>
          </w:tcPr>
          <w:p w14:paraId="17216844" w14:textId="77777777" w:rsidR="0045589E" w:rsidRPr="00127D35" w:rsidRDefault="0045589E" w:rsidP="0045589E">
            <w:pPr>
              <w:rPr>
                <w:rFonts w:ascii="Arial" w:hAnsi="Arial" w:cs="Arial"/>
                <w:sz w:val="18"/>
                <w:szCs w:val="18"/>
              </w:rPr>
            </w:pPr>
            <w:r w:rsidRPr="00127D35">
              <w:rPr>
                <w:rFonts w:ascii="Arial" w:hAnsi="Arial" w:cs="Arial"/>
                <w:sz w:val="18"/>
                <w:szCs w:val="18"/>
              </w:rPr>
              <w:t>37245, 36827</w:t>
            </w:r>
          </w:p>
        </w:tc>
        <w:tc>
          <w:tcPr>
            <w:tcW w:w="1017" w:type="dxa"/>
            <w:tcBorders>
              <w:top w:val="nil"/>
              <w:left w:val="nil"/>
              <w:bottom w:val="single" w:sz="4" w:space="0" w:color="000000"/>
              <w:right w:val="single" w:sz="4" w:space="0" w:color="000000"/>
            </w:tcBorders>
            <w:shd w:val="clear" w:color="000000" w:fill="FFFFFF"/>
            <w:noWrap/>
            <w:vAlign w:val="center"/>
            <w:hideMark/>
          </w:tcPr>
          <w:p w14:paraId="77A9C128"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41 </w:t>
            </w:r>
          </w:p>
        </w:tc>
        <w:tc>
          <w:tcPr>
            <w:tcW w:w="957" w:type="dxa"/>
            <w:tcBorders>
              <w:top w:val="nil"/>
              <w:left w:val="nil"/>
              <w:bottom w:val="single" w:sz="4" w:space="0" w:color="000000"/>
              <w:right w:val="single" w:sz="4" w:space="0" w:color="000000"/>
            </w:tcBorders>
            <w:shd w:val="clear" w:color="000000" w:fill="FFFFFF"/>
            <w:noWrap/>
            <w:vAlign w:val="center"/>
            <w:hideMark/>
          </w:tcPr>
          <w:p w14:paraId="46640E2C"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82 </w:t>
            </w:r>
          </w:p>
        </w:tc>
        <w:tc>
          <w:tcPr>
            <w:tcW w:w="1286" w:type="dxa"/>
            <w:tcBorders>
              <w:top w:val="nil"/>
              <w:left w:val="nil"/>
              <w:bottom w:val="single" w:sz="4" w:space="0" w:color="000000"/>
              <w:right w:val="single" w:sz="4" w:space="0" w:color="000000"/>
            </w:tcBorders>
            <w:shd w:val="clear" w:color="000000" w:fill="FFFFFF"/>
            <w:noWrap/>
            <w:vAlign w:val="center"/>
            <w:hideMark/>
          </w:tcPr>
          <w:p w14:paraId="07808461"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$56,461 </w:t>
            </w:r>
          </w:p>
        </w:tc>
        <w:tc>
          <w:tcPr>
            <w:tcW w:w="944" w:type="dxa"/>
            <w:tcBorders>
              <w:top w:val="nil"/>
              <w:left w:val="nil"/>
              <w:bottom w:val="single" w:sz="4" w:space="0" w:color="000000"/>
              <w:right w:val="single" w:sz="4" w:space="0" w:color="000000"/>
            </w:tcBorders>
            <w:shd w:val="clear" w:color="000000" w:fill="FFFFFF"/>
            <w:noWrap/>
            <w:vAlign w:val="center"/>
            <w:hideMark/>
          </w:tcPr>
          <w:p w14:paraId="68634145"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41 </w:t>
            </w:r>
          </w:p>
        </w:tc>
        <w:tc>
          <w:tcPr>
            <w:tcW w:w="997" w:type="dxa"/>
            <w:tcBorders>
              <w:top w:val="nil"/>
              <w:left w:val="nil"/>
              <w:bottom w:val="single" w:sz="4" w:space="0" w:color="000000"/>
              <w:right w:val="single" w:sz="4" w:space="0" w:color="000000"/>
            </w:tcBorders>
            <w:shd w:val="clear" w:color="auto" w:fill="auto"/>
            <w:noWrap/>
            <w:vAlign w:val="center"/>
            <w:hideMark/>
          </w:tcPr>
          <w:p w14:paraId="42CBF192" w14:textId="77777777" w:rsidR="0045589E" w:rsidRPr="00127D35" w:rsidRDefault="0045589E" w:rsidP="0045589E">
            <w:pPr>
              <w:jc w:val="right"/>
              <w:rPr>
                <w:rFonts w:ascii="Arial" w:hAnsi="Arial" w:cs="Arial"/>
                <w:sz w:val="18"/>
                <w:szCs w:val="18"/>
              </w:rPr>
            </w:pPr>
            <w:r>
              <w:rPr>
                <w:rFonts w:ascii="Arial" w:hAnsi="Arial" w:cs="Arial"/>
                <w:sz w:val="18"/>
                <w:szCs w:val="18"/>
              </w:rPr>
              <w:t>6</w:t>
            </w:r>
            <w:r w:rsidRPr="00127D35">
              <w:rPr>
                <w:rFonts w:ascii="Arial" w:hAnsi="Arial" w:cs="Arial"/>
                <w:sz w:val="18"/>
                <w:szCs w:val="18"/>
              </w:rPr>
              <w:t xml:space="preserve">% </w:t>
            </w:r>
          </w:p>
        </w:tc>
      </w:tr>
      <w:tr w:rsidR="0045589E" w14:paraId="698BD140" w14:textId="77777777" w:rsidTr="0045589E">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14:paraId="71E263FC"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4</w:t>
            </w:r>
          </w:p>
        </w:tc>
        <w:tc>
          <w:tcPr>
            <w:tcW w:w="2135" w:type="dxa"/>
            <w:tcBorders>
              <w:top w:val="nil"/>
              <w:left w:val="nil"/>
              <w:bottom w:val="single" w:sz="4" w:space="0" w:color="auto"/>
              <w:right w:val="single" w:sz="4" w:space="0" w:color="auto"/>
            </w:tcBorders>
            <w:shd w:val="clear" w:color="000000" w:fill="FFFFFF"/>
            <w:noWrap/>
            <w:vAlign w:val="center"/>
            <w:hideMark/>
          </w:tcPr>
          <w:p w14:paraId="1522A1A7" w14:textId="77777777" w:rsidR="0045589E" w:rsidRPr="00127D35" w:rsidRDefault="0045589E" w:rsidP="0045589E">
            <w:pPr>
              <w:rPr>
                <w:rFonts w:ascii="Arial" w:hAnsi="Arial" w:cs="Arial"/>
                <w:sz w:val="18"/>
                <w:szCs w:val="18"/>
              </w:rPr>
            </w:pPr>
            <w:r w:rsidRPr="00127D35">
              <w:rPr>
                <w:rFonts w:ascii="Arial" w:hAnsi="Arial" w:cs="Arial"/>
                <w:sz w:val="18"/>
                <w:szCs w:val="18"/>
              </w:rPr>
              <w:t>37245, 55603</w:t>
            </w:r>
          </w:p>
        </w:tc>
        <w:tc>
          <w:tcPr>
            <w:tcW w:w="1017" w:type="dxa"/>
            <w:tcBorders>
              <w:top w:val="nil"/>
              <w:left w:val="nil"/>
              <w:bottom w:val="single" w:sz="4" w:space="0" w:color="000000"/>
              <w:right w:val="single" w:sz="4" w:space="0" w:color="000000"/>
            </w:tcBorders>
            <w:shd w:val="clear" w:color="000000" w:fill="FFFFFF"/>
            <w:noWrap/>
            <w:vAlign w:val="center"/>
            <w:hideMark/>
          </w:tcPr>
          <w:p w14:paraId="6CA034BE"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32 </w:t>
            </w:r>
          </w:p>
        </w:tc>
        <w:tc>
          <w:tcPr>
            <w:tcW w:w="957" w:type="dxa"/>
            <w:tcBorders>
              <w:top w:val="nil"/>
              <w:left w:val="nil"/>
              <w:bottom w:val="single" w:sz="4" w:space="0" w:color="000000"/>
              <w:right w:val="single" w:sz="4" w:space="0" w:color="000000"/>
            </w:tcBorders>
            <w:shd w:val="clear" w:color="000000" w:fill="FFFFFF"/>
            <w:noWrap/>
            <w:vAlign w:val="center"/>
            <w:hideMark/>
          </w:tcPr>
          <w:p w14:paraId="59145C40"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64 </w:t>
            </w:r>
          </w:p>
        </w:tc>
        <w:tc>
          <w:tcPr>
            <w:tcW w:w="1286" w:type="dxa"/>
            <w:tcBorders>
              <w:top w:val="nil"/>
              <w:left w:val="nil"/>
              <w:bottom w:val="single" w:sz="4" w:space="0" w:color="000000"/>
              <w:right w:val="single" w:sz="4" w:space="0" w:color="000000"/>
            </w:tcBorders>
            <w:shd w:val="clear" w:color="000000" w:fill="FFFFFF"/>
            <w:noWrap/>
            <w:vAlign w:val="center"/>
            <w:hideMark/>
          </w:tcPr>
          <w:p w14:paraId="7D23ED6C"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$43,720 </w:t>
            </w:r>
          </w:p>
        </w:tc>
        <w:tc>
          <w:tcPr>
            <w:tcW w:w="944" w:type="dxa"/>
            <w:tcBorders>
              <w:top w:val="nil"/>
              <w:left w:val="nil"/>
              <w:bottom w:val="single" w:sz="4" w:space="0" w:color="000000"/>
              <w:right w:val="single" w:sz="4" w:space="0" w:color="000000"/>
            </w:tcBorders>
            <w:shd w:val="clear" w:color="000000" w:fill="FFFFFF"/>
            <w:noWrap/>
            <w:vAlign w:val="center"/>
            <w:hideMark/>
          </w:tcPr>
          <w:p w14:paraId="665830D5"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32 </w:t>
            </w:r>
          </w:p>
        </w:tc>
        <w:tc>
          <w:tcPr>
            <w:tcW w:w="997" w:type="dxa"/>
            <w:tcBorders>
              <w:top w:val="nil"/>
              <w:left w:val="nil"/>
              <w:bottom w:val="single" w:sz="4" w:space="0" w:color="000000"/>
              <w:right w:val="single" w:sz="4" w:space="0" w:color="000000"/>
            </w:tcBorders>
            <w:shd w:val="clear" w:color="auto" w:fill="auto"/>
            <w:noWrap/>
            <w:vAlign w:val="center"/>
            <w:hideMark/>
          </w:tcPr>
          <w:p w14:paraId="60564B18" w14:textId="77777777" w:rsidR="0045589E" w:rsidRPr="00127D35" w:rsidRDefault="0045589E" w:rsidP="0045589E">
            <w:pPr>
              <w:jc w:val="right"/>
              <w:rPr>
                <w:rFonts w:ascii="Arial" w:hAnsi="Arial" w:cs="Arial"/>
                <w:sz w:val="18"/>
                <w:szCs w:val="18"/>
              </w:rPr>
            </w:pPr>
            <w:r>
              <w:rPr>
                <w:rFonts w:ascii="Arial" w:hAnsi="Arial" w:cs="Arial"/>
                <w:sz w:val="18"/>
                <w:szCs w:val="18"/>
              </w:rPr>
              <w:t>5</w:t>
            </w:r>
            <w:r w:rsidRPr="00127D35">
              <w:rPr>
                <w:rFonts w:ascii="Arial" w:hAnsi="Arial" w:cs="Arial"/>
                <w:sz w:val="18"/>
                <w:szCs w:val="18"/>
              </w:rPr>
              <w:t xml:space="preserve">% </w:t>
            </w:r>
          </w:p>
        </w:tc>
      </w:tr>
      <w:tr w:rsidR="0045589E" w14:paraId="79ECCBD6" w14:textId="77777777" w:rsidTr="0045589E">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14:paraId="33E775EB"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5</w:t>
            </w:r>
          </w:p>
        </w:tc>
        <w:tc>
          <w:tcPr>
            <w:tcW w:w="2135" w:type="dxa"/>
            <w:tcBorders>
              <w:top w:val="nil"/>
              <w:left w:val="nil"/>
              <w:bottom w:val="single" w:sz="4" w:space="0" w:color="auto"/>
              <w:right w:val="single" w:sz="4" w:space="0" w:color="auto"/>
            </w:tcBorders>
            <w:shd w:val="clear" w:color="000000" w:fill="FFFFFF"/>
            <w:noWrap/>
            <w:vAlign w:val="center"/>
            <w:hideMark/>
          </w:tcPr>
          <w:p w14:paraId="51A380E7" w14:textId="77777777" w:rsidR="0045589E" w:rsidRPr="00127D35" w:rsidRDefault="0045589E" w:rsidP="0045589E">
            <w:pPr>
              <w:rPr>
                <w:rFonts w:ascii="Arial" w:hAnsi="Arial" w:cs="Arial"/>
                <w:sz w:val="18"/>
                <w:szCs w:val="18"/>
              </w:rPr>
            </w:pPr>
            <w:r w:rsidRPr="00127D35">
              <w:rPr>
                <w:rFonts w:ascii="Arial" w:hAnsi="Arial" w:cs="Arial"/>
                <w:sz w:val="18"/>
                <w:szCs w:val="18"/>
              </w:rPr>
              <w:t>37245, 36863</w:t>
            </w:r>
          </w:p>
        </w:tc>
        <w:tc>
          <w:tcPr>
            <w:tcW w:w="1017" w:type="dxa"/>
            <w:tcBorders>
              <w:top w:val="nil"/>
              <w:left w:val="nil"/>
              <w:bottom w:val="single" w:sz="4" w:space="0" w:color="000000"/>
              <w:right w:val="single" w:sz="4" w:space="0" w:color="000000"/>
            </w:tcBorders>
            <w:shd w:val="clear" w:color="000000" w:fill="FFFFFF"/>
            <w:noWrap/>
            <w:vAlign w:val="center"/>
            <w:hideMark/>
          </w:tcPr>
          <w:p w14:paraId="0894F12B"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26 </w:t>
            </w:r>
          </w:p>
        </w:tc>
        <w:tc>
          <w:tcPr>
            <w:tcW w:w="957" w:type="dxa"/>
            <w:tcBorders>
              <w:top w:val="nil"/>
              <w:left w:val="nil"/>
              <w:bottom w:val="single" w:sz="4" w:space="0" w:color="000000"/>
              <w:right w:val="single" w:sz="4" w:space="0" w:color="000000"/>
            </w:tcBorders>
            <w:shd w:val="clear" w:color="000000" w:fill="FFFFFF"/>
            <w:noWrap/>
            <w:vAlign w:val="center"/>
            <w:hideMark/>
          </w:tcPr>
          <w:p w14:paraId="54F4AA87"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52 </w:t>
            </w:r>
          </w:p>
        </w:tc>
        <w:tc>
          <w:tcPr>
            <w:tcW w:w="1286" w:type="dxa"/>
            <w:tcBorders>
              <w:top w:val="nil"/>
              <w:left w:val="nil"/>
              <w:bottom w:val="single" w:sz="4" w:space="0" w:color="000000"/>
              <w:right w:val="single" w:sz="4" w:space="0" w:color="000000"/>
            </w:tcBorders>
            <w:shd w:val="clear" w:color="000000" w:fill="FFFFFF"/>
            <w:noWrap/>
            <w:vAlign w:val="center"/>
            <w:hideMark/>
          </w:tcPr>
          <w:p w14:paraId="493EE7D1"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$38,879 </w:t>
            </w:r>
          </w:p>
        </w:tc>
        <w:tc>
          <w:tcPr>
            <w:tcW w:w="944" w:type="dxa"/>
            <w:tcBorders>
              <w:top w:val="nil"/>
              <w:left w:val="nil"/>
              <w:bottom w:val="single" w:sz="4" w:space="0" w:color="000000"/>
              <w:right w:val="single" w:sz="4" w:space="0" w:color="000000"/>
            </w:tcBorders>
            <w:shd w:val="clear" w:color="000000" w:fill="FFFFFF"/>
            <w:noWrap/>
            <w:vAlign w:val="center"/>
            <w:hideMark/>
          </w:tcPr>
          <w:p w14:paraId="0D50108D"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26 </w:t>
            </w:r>
          </w:p>
        </w:tc>
        <w:tc>
          <w:tcPr>
            <w:tcW w:w="997" w:type="dxa"/>
            <w:tcBorders>
              <w:top w:val="nil"/>
              <w:left w:val="nil"/>
              <w:bottom w:val="single" w:sz="4" w:space="0" w:color="000000"/>
              <w:right w:val="single" w:sz="4" w:space="0" w:color="000000"/>
            </w:tcBorders>
            <w:shd w:val="clear" w:color="auto" w:fill="auto"/>
            <w:noWrap/>
            <w:vAlign w:val="center"/>
            <w:hideMark/>
          </w:tcPr>
          <w:p w14:paraId="5397999C" w14:textId="77777777" w:rsidR="0045589E" w:rsidRPr="00127D35" w:rsidRDefault="0045589E" w:rsidP="0045589E">
            <w:pPr>
              <w:jc w:val="right"/>
              <w:rPr>
                <w:rFonts w:ascii="Arial" w:hAnsi="Arial" w:cs="Arial"/>
                <w:sz w:val="18"/>
                <w:szCs w:val="18"/>
              </w:rPr>
            </w:pPr>
            <w:r>
              <w:rPr>
                <w:rFonts w:ascii="Arial" w:hAnsi="Arial" w:cs="Arial"/>
                <w:sz w:val="18"/>
                <w:szCs w:val="18"/>
              </w:rPr>
              <w:t>4</w:t>
            </w:r>
            <w:r w:rsidRPr="00127D35">
              <w:rPr>
                <w:rFonts w:ascii="Arial" w:hAnsi="Arial" w:cs="Arial"/>
                <w:sz w:val="18"/>
                <w:szCs w:val="18"/>
              </w:rPr>
              <w:t xml:space="preserve">% </w:t>
            </w:r>
          </w:p>
        </w:tc>
      </w:tr>
      <w:tr w:rsidR="0045589E" w14:paraId="3DE791DF" w14:textId="77777777" w:rsidTr="0045589E">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14:paraId="0C54CC9A"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6</w:t>
            </w:r>
          </w:p>
        </w:tc>
        <w:tc>
          <w:tcPr>
            <w:tcW w:w="2135" w:type="dxa"/>
            <w:tcBorders>
              <w:top w:val="nil"/>
              <w:left w:val="nil"/>
              <w:bottom w:val="single" w:sz="4" w:space="0" w:color="auto"/>
              <w:right w:val="single" w:sz="4" w:space="0" w:color="auto"/>
            </w:tcBorders>
            <w:shd w:val="clear" w:color="000000" w:fill="FFFFFF"/>
            <w:noWrap/>
            <w:vAlign w:val="center"/>
            <w:hideMark/>
          </w:tcPr>
          <w:p w14:paraId="2C39ED2A" w14:textId="77777777" w:rsidR="0045589E" w:rsidRPr="00127D35" w:rsidRDefault="0045589E" w:rsidP="0045589E">
            <w:pPr>
              <w:rPr>
                <w:rFonts w:ascii="Arial" w:hAnsi="Arial" w:cs="Arial"/>
                <w:sz w:val="18"/>
                <w:szCs w:val="18"/>
              </w:rPr>
            </w:pPr>
            <w:r w:rsidRPr="00127D35">
              <w:rPr>
                <w:rFonts w:ascii="Arial" w:hAnsi="Arial" w:cs="Arial"/>
                <w:sz w:val="18"/>
                <w:szCs w:val="18"/>
              </w:rPr>
              <w:t>37245, 37011</w:t>
            </w:r>
          </w:p>
        </w:tc>
        <w:tc>
          <w:tcPr>
            <w:tcW w:w="1017" w:type="dxa"/>
            <w:tcBorders>
              <w:top w:val="nil"/>
              <w:left w:val="nil"/>
              <w:bottom w:val="single" w:sz="4" w:space="0" w:color="000000"/>
              <w:right w:val="single" w:sz="4" w:space="0" w:color="000000"/>
            </w:tcBorders>
            <w:shd w:val="clear" w:color="000000" w:fill="FFFFFF"/>
            <w:noWrap/>
            <w:vAlign w:val="center"/>
            <w:hideMark/>
          </w:tcPr>
          <w:p w14:paraId="454C2718"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14 </w:t>
            </w:r>
          </w:p>
        </w:tc>
        <w:tc>
          <w:tcPr>
            <w:tcW w:w="957" w:type="dxa"/>
            <w:tcBorders>
              <w:top w:val="nil"/>
              <w:left w:val="nil"/>
              <w:bottom w:val="single" w:sz="4" w:space="0" w:color="000000"/>
              <w:right w:val="single" w:sz="4" w:space="0" w:color="000000"/>
            </w:tcBorders>
            <w:shd w:val="clear" w:color="000000" w:fill="FFFFFF"/>
            <w:noWrap/>
            <w:vAlign w:val="center"/>
            <w:hideMark/>
          </w:tcPr>
          <w:p w14:paraId="15849E76"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28 </w:t>
            </w:r>
          </w:p>
        </w:tc>
        <w:tc>
          <w:tcPr>
            <w:tcW w:w="1286" w:type="dxa"/>
            <w:tcBorders>
              <w:top w:val="nil"/>
              <w:left w:val="nil"/>
              <w:bottom w:val="single" w:sz="4" w:space="0" w:color="000000"/>
              <w:right w:val="single" w:sz="4" w:space="0" w:color="000000"/>
            </w:tcBorders>
            <w:shd w:val="clear" w:color="000000" w:fill="FFFFFF"/>
            <w:noWrap/>
            <w:vAlign w:val="center"/>
            <w:hideMark/>
          </w:tcPr>
          <w:p w14:paraId="1BBFC712"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$18,324 </w:t>
            </w:r>
          </w:p>
        </w:tc>
        <w:tc>
          <w:tcPr>
            <w:tcW w:w="944" w:type="dxa"/>
            <w:tcBorders>
              <w:top w:val="nil"/>
              <w:left w:val="nil"/>
              <w:bottom w:val="single" w:sz="4" w:space="0" w:color="000000"/>
              <w:right w:val="single" w:sz="4" w:space="0" w:color="000000"/>
            </w:tcBorders>
            <w:shd w:val="clear" w:color="000000" w:fill="FFFFFF"/>
            <w:noWrap/>
            <w:vAlign w:val="center"/>
            <w:hideMark/>
          </w:tcPr>
          <w:p w14:paraId="2744CBD7"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14 </w:t>
            </w:r>
          </w:p>
        </w:tc>
        <w:tc>
          <w:tcPr>
            <w:tcW w:w="997" w:type="dxa"/>
            <w:tcBorders>
              <w:top w:val="nil"/>
              <w:left w:val="nil"/>
              <w:bottom w:val="single" w:sz="4" w:space="0" w:color="000000"/>
              <w:right w:val="single" w:sz="4" w:space="0" w:color="000000"/>
            </w:tcBorders>
            <w:shd w:val="clear" w:color="auto" w:fill="auto"/>
            <w:noWrap/>
            <w:vAlign w:val="center"/>
            <w:hideMark/>
          </w:tcPr>
          <w:p w14:paraId="154CC9D4" w14:textId="77777777" w:rsidR="0045589E" w:rsidRPr="00127D35" w:rsidRDefault="0045589E" w:rsidP="0045589E">
            <w:pPr>
              <w:jc w:val="right"/>
              <w:rPr>
                <w:rFonts w:ascii="Arial" w:hAnsi="Arial" w:cs="Arial"/>
                <w:sz w:val="18"/>
                <w:szCs w:val="18"/>
              </w:rPr>
            </w:pPr>
            <w:r>
              <w:rPr>
                <w:rFonts w:ascii="Arial" w:hAnsi="Arial" w:cs="Arial"/>
                <w:sz w:val="18"/>
                <w:szCs w:val="18"/>
              </w:rPr>
              <w:t>2</w:t>
            </w:r>
            <w:r w:rsidRPr="00127D35">
              <w:rPr>
                <w:rFonts w:ascii="Arial" w:hAnsi="Arial" w:cs="Arial"/>
                <w:sz w:val="18"/>
                <w:szCs w:val="18"/>
              </w:rPr>
              <w:t xml:space="preserve">% </w:t>
            </w:r>
          </w:p>
        </w:tc>
      </w:tr>
      <w:tr w:rsidR="0045589E" w14:paraId="3C6B6C95" w14:textId="77777777" w:rsidTr="0045589E">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14:paraId="77D3F944"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7</w:t>
            </w:r>
          </w:p>
        </w:tc>
        <w:tc>
          <w:tcPr>
            <w:tcW w:w="2135" w:type="dxa"/>
            <w:tcBorders>
              <w:top w:val="nil"/>
              <w:left w:val="nil"/>
              <w:bottom w:val="single" w:sz="4" w:space="0" w:color="auto"/>
              <w:right w:val="single" w:sz="4" w:space="0" w:color="auto"/>
            </w:tcBorders>
            <w:shd w:val="clear" w:color="000000" w:fill="FFFFFF"/>
            <w:noWrap/>
            <w:vAlign w:val="center"/>
            <w:hideMark/>
          </w:tcPr>
          <w:p w14:paraId="1A0E9D11" w14:textId="77777777" w:rsidR="0045589E" w:rsidRPr="00127D35" w:rsidRDefault="0045589E" w:rsidP="0045589E">
            <w:pPr>
              <w:rPr>
                <w:rFonts w:ascii="Arial" w:hAnsi="Arial" w:cs="Arial"/>
                <w:sz w:val="18"/>
                <w:szCs w:val="18"/>
              </w:rPr>
            </w:pPr>
            <w:r w:rsidRPr="00127D35">
              <w:rPr>
                <w:rFonts w:ascii="Arial" w:hAnsi="Arial" w:cs="Arial"/>
                <w:sz w:val="18"/>
                <w:szCs w:val="18"/>
              </w:rPr>
              <w:t>37245, 105, 36863</w:t>
            </w:r>
          </w:p>
        </w:tc>
        <w:tc>
          <w:tcPr>
            <w:tcW w:w="1017" w:type="dxa"/>
            <w:tcBorders>
              <w:top w:val="nil"/>
              <w:left w:val="nil"/>
              <w:bottom w:val="single" w:sz="4" w:space="0" w:color="000000"/>
              <w:right w:val="single" w:sz="4" w:space="0" w:color="000000"/>
            </w:tcBorders>
            <w:shd w:val="clear" w:color="000000" w:fill="FFFFFF"/>
            <w:noWrap/>
            <w:vAlign w:val="center"/>
            <w:hideMark/>
          </w:tcPr>
          <w:p w14:paraId="3DAC564A"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9 </w:t>
            </w:r>
          </w:p>
        </w:tc>
        <w:tc>
          <w:tcPr>
            <w:tcW w:w="957" w:type="dxa"/>
            <w:tcBorders>
              <w:top w:val="nil"/>
              <w:left w:val="nil"/>
              <w:bottom w:val="single" w:sz="4" w:space="0" w:color="000000"/>
              <w:right w:val="single" w:sz="4" w:space="0" w:color="000000"/>
            </w:tcBorders>
            <w:shd w:val="clear" w:color="000000" w:fill="FFFFFF"/>
            <w:noWrap/>
            <w:vAlign w:val="center"/>
            <w:hideMark/>
          </w:tcPr>
          <w:p w14:paraId="177728CE"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27 </w:t>
            </w:r>
          </w:p>
        </w:tc>
        <w:tc>
          <w:tcPr>
            <w:tcW w:w="1286" w:type="dxa"/>
            <w:tcBorders>
              <w:top w:val="nil"/>
              <w:left w:val="nil"/>
              <w:bottom w:val="single" w:sz="4" w:space="0" w:color="000000"/>
              <w:right w:val="single" w:sz="4" w:space="0" w:color="000000"/>
            </w:tcBorders>
            <w:shd w:val="clear" w:color="000000" w:fill="FFFFFF"/>
            <w:noWrap/>
            <w:vAlign w:val="center"/>
            <w:hideMark/>
          </w:tcPr>
          <w:p w14:paraId="51652B18"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$13,845 </w:t>
            </w:r>
          </w:p>
        </w:tc>
        <w:tc>
          <w:tcPr>
            <w:tcW w:w="944" w:type="dxa"/>
            <w:tcBorders>
              <w:top w:val="nil"/>
              <w:left w:val="nil"/>
              <w:bottom w:val="single" w:sz="4" w:space="0" w:color="000000"/>
              <w:right w:val="single" w:sz="4" w:space="0" w:color="000000"/>
            </w:tcBorders>
            <w:shd w:val="clear" w:color="000000" w:fill="FFFFFF"/>
            <w:noWrap/>
            <w:vAlign w:val="center"/>
            <w:hideMark/>
          </w:tcPr>
          <w:p w14:paraId="313323C4" w14:textId="77777777" w:rsidR="0045589E" w:rsidRPr="00127D35" w:rsidRDefault="0045589E" w:rsidP="0045589E">
            <w:pPr>
              <w:jc w:val="right"/>
              <w:rPr>
                <w:rFonts w:ascii="Arial" w:hAnsi="Arial" w:cs="Arial"/>
                <w:sz w:val="18"/>
                <w:szCs w:val="18"/>
              </w:rPr>
            </w:pPr>
            <w:r w:rsidRPr="00127D35">
              <w:rPr>
                <w:rFonts w:ascii="Arial" w:hAnsi="Arial" w:cs="Arial"/>
                <w:sz w:val="18"/>
                <w:szCs w:val="18"/>
              </w:rPr>
              <w:t xml:space="preserve">9 </w:t>
            </w:r>
          </w:p>
        </w:tc>
        <w:tc>
          <w:tcPr>
            <w:tcW w:w="997" w:type="dxa"/>
            <w:tcBorders>
              <w:top w:val="nil"/>
              <w:left w:val="nil"/>
              <w:bottom w:val="single" w:sz="4" w:space="0" w:color="000000"/>
              <w:right w:val="single" w:sz="4" w:space="0" w:color="000000"/>
            </w:tcBorders>
            <w:shd w:val="clear" w:color="auto" w:fill="auto"/>
            <w:noWrap/>
            <w:vAlign w:val="center"/>
            <w:hideMark/>
          </w:tcPr>
          <w:p w14:paraId="11EFED33" w14:textId="77777777" w:rsidR="0045589E" w:rsidRPr="00127D35" w:rsidRDefault="0045589E" w:rsidP="0045589E">
            <w:pPr>
              <w:jc w:val="right"/>
              <w:rPr>
                <w:rFonts w:ascii="Arial" w:hAnsi="Arial" w:cs="Arial"/>
                <w:sz w:val="18"/>
                <w:szCs w:val="18"/>
              </w:rPr>
            </w:pPr>
            <w:r>
              <w:rPr>
                <w:rFonts w:ascii="Arial" w:hAnsi="Arial" w:cs="Arial"/>
                <w:sz w:val="18"/>
                <w:szCs w:val="18"/>
              </w:rPr>
              <w:t>1</w:t>
            </w:r>
            <w:r w:rsidRPr="00127D35">
              <w:rPr>
                <w:rFonts w:ascii="Arial" w:hAnsi="Arial" w:cs="Arial"/>
                <w:sz w:val="18"/>
                <w:szCs w:val="18"/>
              </w:rPr>
              <w:t xml:space="preserve">% </w:t>
            </w:r>
          </w:p>
        </w:tc>
      </w:tr>
    </w:tbl>
    <w:p w14:paraId="03229C1D" w14:textId="70CAEDEE" w:rsidR="0045589E" w:rsidRPr="00B75127" w:rsidRDefault="006A4D42" w:rsidP="00B75127">
      <w:pPr>
        <w:spacing w:before="120"/>
        <w:rPr>
          <w:b/>
          <w:sz w:val="20"/>
        </w:rPr>
      </w:pPr>
      <w:r w:rsidRPr="00B75127">
        <w:rPr>
          <w:b/>
          <w:sz w:val="20"/>
        </w:rPr>
        <w:t>Table 8</w:t>
      </w:r>
      <w:r w:rsidR="0045589E" w:rsidRPr="00B75127">
        <w:rPr>
          <w:b/>
          <w:sz w:val="20"/>
        </w:rPr>
        <w:t xml:space="preserve">: Instances of co-claiming with MBS item 37245 in 2015-16 </w:t>
      </w:r>
    </w:p>
    <w:tbl>
      <w:tblPr>
        <w:tblW w:w="8000" w:type="dxa"/>
        <w:tblInd w:w="93" w:type="dxa"/>
        <w:tblLook w:val="04A0" w:firstRow="1" w:lastRow="0" w:firstColumn="1" w:lastColumn="0" w:noHBand="0" w:noVBand="1"/>
        <w:tblCaption w:val="Table 8"/>
        <w:tblDescription w:val="Visual representation of instances of co-claiming with MBS item 37245 in 2015-16. 33% of the claiming instances for 37245 were with no other items and 37% of instances 37245 was co claimed with 105."/>
      </w:tblPr>
      <w:tblGrid>
        <w:gridCol w:w="656"/>
        <w:gridCol w:w="2145"/>
        <w:gridCol w:w="1017"/>
        <w:gridCol w:w="957"/>
        <w:gridCol w:w="1286"/>
        <w:gridCol w:w="942"/>
        <w:gridCol w:w="997"/>
      </w:tblGrid>
      <w:tr w:rsidR="0045589E" w14:paraId="1A200428" w14:textId="77777777" w:rsidTr="0045589E">
        <w:trPr>
          <w:trHeight w:val="960"/>
        </w:trPr>
        <w:tc>
          <w:tcPr>
            <w:tcW w:w="6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1CBBCA8"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w:t>
            </w:r>
          </w:p>
        </w:tc>
        <w:tc>
          <w:tcPr>
            <w:tcW w:w="214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011631E"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Items</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614579C"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Episodes</w:t>
            </w:r>
          </w:p>
        </w:tc>
        <w:tc>
          <w:tcPr>
            <w:tcW w:w="95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571A9C1"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Services</w:t>
            </w:r>
          </w:p>
        </w:tc>
        <w:tc>
          <w:tcPr>
            <w:tcW w:w="128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48A1FCA"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Schedule Fee for combination</w:t>
            </w:r>
          </w:p>
        </w:tc>
        <w:tc>
          <w:tcPr>
            <w:tcW w:w="94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1F25796"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Number of patients</w:t>
            </w:r>
          </w:p>
        </w:tc>
        <w:tc>
          <w:tcPr>
            <w:tcW w:w="99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916C8BF"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 of episodes</w:t>
            </w:r>
          </w:p>
        </w:tc>
      </w:tr>
      <w:tr w:rsidR="0045589E" w14:paraId="1EA65058" w14:textId="77777777" w:rsidTr="0045589E">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594C31EB"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1</w:t>
            </w:r>
          </w:p>
        </w:tc>
        <w:tc>
          <w:tcPr>
            <w:tcW w:w="2145" w:type="dxa"/>
            <w:tcBorders>
              <w:top w:val="nil"/>
              <w:left w:val="nil"/>
              <w:bottom w:val="single" w:sz="4" w:space="0" w:color="auto"/>
              <w:right w:val="single" w:sz="4" w:space="0" w:color="auto"/>
            </w:tcBorders>
            <w:shd w:val="clear" w:color="000000" w:fill="FFFFFF"/>
            <w:noWrap/>
            <w:vAlign w:val="center"/>
            <w:hideMark/>
          </w:tcPr>
          <w:p w14:paraId="5B23F7D6" w14:textId="77777777" w:rsidR="0045589E" w:rsidRPr="00213197" w:rsidRDefault="0045589E" w:rsidP="0045589E">
            <w:pPr>
              <w:rPr>
                <w:rFonts w:ascii="Arial" w:hAnsi="Arial" w:cs="Arial"/>
                <w:sz w:val="18"/>
                <w:szCs w:val="18"/>
              </w:rPr>
            </w:pPr>
            <w:r w:rsidRPr="00213197">
              <w:rPr>
                <w:rFonts w:ascii="Arial" w:hAnsi="Arial" w:cs="Arial"/>
                <w:sz w:val="18"/>
                <w:szCs w:val="18"/>
              </w:rPr>
              <w:t>37245, 105</w:t>
            </w:r>
          </w:p>
        </w:tc>
        <w:tc>
          <w:tcPr>
            <w:tcW w:w="1017" w:type="dxa"/>
            <w:tcBorders>
              <w:top w:val="nil"/>
              <w:left w:val="nil"/>
              <w:bottom w:val="single" w:sz="4" w:space="0" w:color="000000"/>
              <w:right w:val="single" w:sz="4" w:space="0" w:color="000000"/>
            </w:tcBorders>
            <w:shd w:val="clear" w:color="auto" w:fill="auto"/>
            <w:noWrap/>
            <w:vAlign w:val="center"/>
            <w:hideMark/>
          </w:tcPr>
          <w:p w14:paraId="0DE7A310"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267 </w:t>
            </w:r>
          </w:p>
        </w:tc>
        <w:tc>
          <w:tcPr>
            <w:tcW w:w="957" w:type="dxa"/>
            <w:tcBorders>
              <w:top w:val="nil"/>
              <w:left w:val="nil"/>
              <w:bottom w:val="single" w:sz="4" w:space="0" w:color="000000"/>
              <w:right w:val="single" w:sz="4" w:space="0" w:color="000000"/>
            </w:tcBorders>
            <w:shd w:val="clear" w:color="auto" w:fill="auto"/>
            <w:noWrap/>
            <w:vAlign w:val="center"/>
            <w:hideMark/>
          </w:tcPr>
          <w:p w14:paraId="0A6759E2"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534 </w:t>
            </w:r>
          </w:p>
        </w:tc>
        <w:tc>
          <w:tcPr>
            <w:tcW w:w="1286" w:type="dxa"/>
            <w:tcBorders>
              <w:top w:val="nil"/>
              <w:left w:val="nil"/>
              <w:bottom w:val="single" w:sz="4" w:space="0" w:color="000000"/>
              <w:right w:val="single" w:sz="4" w:space="0" w:color="000000"/>
            </w:tcBorders>
            <w:shd w:val="clear" w:color="auto" w:fill="auto"/>
            <w:noWrap/>
            <w:vAlign w:val="center"/>
            <w:hideMark/>
          </w:tcPr>
          <w:p w14:paraId="39EFE800"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$348,475 </w:t>
            </w:r>
          </w:p>
        </w:tc>
        <w:tc>
          <w:tcPr>
            <w:tcW w:w="942" w:type="dxa"/>
            <w:tcBorders>
              <w:top w:val="nil"/>
              <w:left w:val="nil"/>
              <w:bottom w:val="single" w:sz="4" w:space="0" w:color="000000"/>
              <w:right w:val="single" w:sz="4" w:space="0" w:color="000000"/>
            </w:tcBorders>
            <w:shd w:val="clear" w:color="auto" w:fill="auto"/>
            <w:noWrap/>
            <w:vAlign w:val="center"/>
            <w:hideMark/>
          </w:tcPr>
          <w:p w14:paraId="43A42AFB"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266 </w:t>
            </w:r>
          </w:p>
        </w:tc>
        <w:tc>
          <w:tcPr>
            <w:tcW w:w="997" w:type="dxa"/>
            <w:tcBorders>
              <w:top w:val="nil"/>
              <w:left w:val="nil"/>
              <w:bottom w:val="single" w:sz="4" w:space="0" w:color="000000"/>
              <w:right w:val="single" w:sz="4" w:space="0" w:color="000000"/>
            </w:tcBorders>
            <w:shd w:val="clear" w:color="auto" w:fill="auto"/>
            <w:noWrap/>
            <w:vAlign w:val="center"/>
            <w:hideMark/>
          </w:tcPr>
          <w:p w14:paraId="0C11B701" w14:textId="77777777" w:rsidR="0045589E" w:rsidRPr="00213197" w:rsidRDefault="0045589E" w:rsidP="0045589E">
            <w:pPr>
              <w:jc w:val="right"/>
              <w:rPr>
                <w:rFonts w:ascii="Arial" w:hAnsi="Arial" w:cs="Arial"/>
                <w:sz w:val="18"/>
                <w:szCs w:val="18"/>
              </w:rPr>
            </w:pPr>
            <w:r>
              <w:rPr>
                <w:rFonts w:ascii="Arial" w:hAnsi="Arial" w:cs="Arial"/>
                <w:sz w:val="18"/>
                <w:szCs w:val="18"/>
              </w:rPr>
              <w:t>37</w:t>
            </w:r>
            <w:r w:rsidRPr="00213197">
              <w:rPr>
                <w:rFonts w:ascii="Arial" w:hAnsi="Arial" w:cs="Arial"/>
                <w:sz w:val="18"/>
                <w:szCs w:val="18"/>
              </w:rPr>
              <w:t xml:space="preserve">% </w:t>
            </w:r>
          </w:p>
        </w:tc>
      </w:tr>
      <w:tr w:rsidR="0045589E" w14:paraId="269AEEAD" w14:textId="77777777" w:rsidTr="0045589E">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6D651589"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2</w:t>
            </w:r>
          </w:p>
        </w:tc>
        <w:tc>
          <w:tcPr>
            <w:tcW w:w="2145" w:type="dxa"/>
            <w:tcBorders>
              <w:top w:val="nil"/>
              <w:left w:val="nil"/>
              <w:bottom w:val="single" w:sz="4" w:space="0" w:color="auto"/>
              <w:right w:val="single" w:sz="4" w:space="0" w:color="auto"/>
            </w:tcBorders>
            <w:shd w:val="clear" w:color="000000" w:fill="FFFFFF"/>
            <w:noWrap/>
            <w:vAlign w:val="center"/>
            <w:hideMark/>
          </w:tcPr>
          <w:p w14:paraId="59F8133E" w14:textId="77777777" w:rsidR="0045589E" w:rsidRPr="00213197" w:rsidRDefault="0045589E" w:rsidP="0045589E">
            <w:pPr>
              <w:rPr>
                <w:rFonts w:ascii="Arial" w:hAnsi="Arial" w:cs="Arial"/>
                <w:sz w:val="18"/>
                <w:szCs w:val="18"/>
              </w:rPr>
            </w:pPr>
            <w:r w:rsidRPr="00213197">
              <w:rPr>
                <w:rFonts w:ascii="Arial" w:hAnsi="Arial" w:cs="Arial"/>
                <w:sz w:val="18"/>
                <w:szCs w:val="18"/>
              </w:rPr>
              <w:t>37245</w:t>
            </w:r>
          </w:p>
        </w:tc>
        <w:tc>
          <w:tcPr>
            <w:tcW w:w="1017" w:type="dxa"/>
            <w:tcBorders>
              <w:top w:val="nil"/>
              <w:left w:val="nil"/>
              <w:bottom w:val="single" w:sz="4" w:space="0" w:color="000000"/>
              <w:right w:val="single" w:sz="4" w:space="0" w:color="000000"/>
            </w:tcBorders>
            <w:shd w:val="clear" w:color="000000" w:fill="FFFFFF"/>
            <w:noWrap/>
            <w:vAlign w:val="center"/>
            <w:hideMark/>
          </w:tcPr>
          <w:p w14:paraId="1D070FB6"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238 </w:t>
            </w:r>
          </w:p>
        </w:tc>
        <w:tc>
          <w:tcPr>
            <w:tcW w:w="957" w:type="dxa"/>
            <w:tcBorders>
              <w:top w:val="nil"/>
              <w:left w:val="nil"/>
              <w:bottom w:val="single" w:sz="4" w:space="0" w:color="000000"/>
              <w:right w:val="single" w:sz="4" w:space="0" w:color="000000"/>
            </w:tcBorders>
            <w:shd w:val="clear" w:color="000000" w:fill="FFFFFF"/>
            <w:noWrap/>
            <w:vAlign w:val="center"/>
            <w:hideMark/>
          </w:tcPr>
          <w:p w14:paraId="32F278F5"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238 </w:t>
            </w:r>
          </w:p>
        </w:tc>
        <w:tc>
          <w:tcPr>
            <w:tcW w:w="1286" w:type="dxa"/>
            <w:tcBorders>
              <w:top w:val="nil"/>
              <w:left w:val="nil"/>
              <w:bottom w:val="single" w:sz="4" w:space="0" w:color="000000"/>
              <w:right w:val="single" w:sz="4" w:space="0" w:color="000000"/>
            </w:tcBorders>
            <w:shd w:val="clear" w:color="000000" w:fill="FFFFFF"/>
            <w:noWrap/>
            <w:vAlign w:val="center"/>
            <w:hideMark/>
          </w:tcPr>
          <w:p w14:paraId="1B171F8E"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$300,392 </w:t>
            </w:r>
          </w:p>
        </w:tc>
        <w:tc>
          <w:tcPr>
            <w:tcW w:w="942" w:type="dxa"/>
            <w:tcBorders>
              <w:top w:val="nil"/>
              <w:left w:val="nil"/>
              <w:bottom w:val="single" w:sz="4" w:space="0" w:color="000000"/>
              <w:right w:val="single" w:sz="4" w:space="0" w:color="000000"/>
            </w:tcBorders>
            <w:shd w:val="clear" w:color="000000" w:fill="FFFFFF"/>
            <w:noWrap/>
            <w:vAlign w:val="center"/>
            <w:hideMark/>
          </w:tcPr>
          <w:p w14:paraId="6122482D"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238 </w:t>
            </w:r>
          </w:p>
        </w:tc>
        <w:tc>
          <w:tcPr>
            <w:tcW w:w="997" w:type="dxa"/>
            <w:tcBorders>
              <w:top w:val="nil"/>
              <w:left w:val="nil"/>
              <w:bottom w:val="single" w:sz="4" w:space="0" w:color="000000"/>
              <w:right w:val="single" w:sz="4" w:space="0" w:color="000000"/>
            </w:tcBorders>
            <w:shd w:val="clear" w:color="000000" w:fill="FFFFFF"/>
            <w:noWrap/>
            <w:vAlign w:val="center"/>
            <w:hideMark/>
          </w:tcPr>
          <w:p w14:paraId="7B37CC06" w14:textId="77777777" w:rsidR="0045589E" w:rsidRPr="00213197" w:rsidRDefault="0045589E" w:rsidP="0045589E">
            <w:pPr>
              <w:jc w:val="right"/>
              <w:rPr>
                <w:rFonts w:ascii="Arial" w:hAnsi="Arial" w:cs="Arial"/>
                <w:sz w:val="18"/>
                <w:szCs w:val="18"/>
              </w:rPr>
            </w:pPr>
            <w:r>
              <w:rPr>
                <w:rFonts w:ascii="Arial" w:hAnsi="Arial" w:cs="Arial"/>
                <w:sz w:val="18"/>
                <w:szCs w:val="18"/>
              </w:rPr>
              <w:t>33</w:t>
            </w:r>
            <w:r w:rsidRPr="00213197">
              <w:rPr>
                <w:rFonts w:ascii="Arial" w:hAnsi="Arial" w:cs="Arial"/>
                <w:sz w:val="18"/>
                <w:szCs w:val="18"/>
              </w:rPr>
              <w:t xml:space="preserve">% </w:t>
            </w:r>
          </w:p>
        </w:tc>
      </w:tr>
      <w:tr w:rsidR="0045589E" w14:paraId="30CCB699" w14:textId="77777777" w:rsidTr="0045589E">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20C33D4A"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3</w:t>
            </w:r>
          </w:p>
        </w:tc>
        <w:tc>
          <w:tcPr>
            <w:tcW w:w="2145" w:type="dxa"/>
            <w:tcBorders>
              <w:top w:val="nil"/>
              <w:left w:val="nil"/>
              <w:bottom w:val="single" w:sz="4" w:space="0" w:color="auto"/>
              <w:right w:val="single" w:sz="4" w:space="0" w:color="auto"/>
            </w:tcBorders>
            <w:shd w:val="clear" w:color="000000" w:fill="FFFFFF"/>
            <w:noWrap/>
            <w:vAlign w:val="center"/>
            <w:hideMark/>
          </w:tcPr>
          <w:p w14:paraId="7D12FC92" w14:textId="77777777" w:rsidR="0045589E" w:rsidRPr="00213197" w:rsidRDefault="0045589E" w:rsidP="0045589E">
            <w:pPr>
              <w:rPr>
                <w:rFonts w:ascii="Arial" w:hAnsi="Arial" w:cs="Arial"/>
                <w:sz w:val="18"/>
                <w:szCs w:val="18"/>
              </w:rPr>
            </w:pPr>
            <w:r w:rsidRPr="00213197">
              <w:rPr>
                <w:rFonts w:ascii="Arial" w:hAnsi="Arial" w:cs="Arial"/>
                <w:sz w:val="18"/>
                <w:szCs w:val="18"/>
              </w:rPr>
              <w:t>37245, 36827</w:t>
            </w:r>
          </w:p>
        </w:tc>
        <w:tc>
          <w:tcPr>
            <w:tcW w:w="1017" w:type="dxa"/>
            <w:tcBorders>
              <w:top w:val="nil"/>
              <w:left w:val="nil"/>
              <w:bottom w:val="single" w:sz="4" w:space="0" w:color="000000"/>
              <w:right w:val="single" w:sz="4" w:space="0" w:color="000000"/>
            </w:tcBorders>
            <w:shd w:val="clear" w:color="000000" w:fill="FFFFFF"/>
            <w:noWrap/>
            <w:vAlign w:val="center"/>
            <w:hideMark/>
          </w:tcPr>
          <w:p w14:paraId="5C70722F"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43 </w:t>
            </w:r>
          </w:p>
        </w:tc>
        <w:tc>
          <w:tcPr>
            <w:tcW w:w="957" w:type="dxa"/>
            <w:tcBorders>
              <w:top w:val="nil"/>
              <w:left w:val="nil"/>
              <w:bottom w:val="single" w:sz="4" w:space="0" w:color="000000"/>
              <w:right w:val="single" w:sz="4" w:space="0" w:color="000000"/>
            </w:tcBorders>
            <w:shd w:val="clear" w:color="000000" w:fill="FFFFFF"/>
            <w:noWrap/>
            <w:vAlign w:val="center"/>
            <w:hideMark/>
          </w:tcPr>
          <w:p w14:paraId="60D96CBC"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86 </w:t>
            </w:r>
          </w:p>
        </w:tc>
        <w:tc>
          <w:tcPr>
            <w:tcW w:w="1286" w:type="dxa"/>
            <w:tcBorders>
              <w:top w:val="nil"/>
              <w:left w:val="nil"/>
              <w:bottom w:val="single" w:sz="4" w:space="0" w:color="000000"/>
              <w:right w:val="single" w:sz="4" w:space="0" w:color="000000"/>
            </w:tcBorders>
            <w:shd w:val="clear" w:color="000000" w:fill="FFFFFF"/>
            <w:noWrap/>
            <w:vAlign w:val="center"/>
            <w:hideMark/>
          </w:tcPr>
          <w:p w14:paraId="102D4536"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$59,215 </w:t>
            </w:r>
          </w:p>
        </w:tc>
        <w:tc>
          <w:tcPr>
            <w:tcW w:w="942" w:type="dxa"/>
            <w:tcBorders>
              <w:top w:val="nil"/>
              <w:left w:val="nil"/>
              <w:bottom w:val="single" w:sz="4" w:space="0" w:color="000000"/>
              <w:right w:val="single" w:sz="4" w:space="0" w:color="000000"/>
            </w:tcBorders>
            <w:shd w:val="clear" w:color="000000" w:fill="FFFFFF"/>
            <w:noWrap/>
            <w:vAlign w:val="center"/>
            <w:hideMark/>
          </w:tcPr>
          <w:p w14:paraId="33C4E516"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43 </w:t>
            </w:r>
          </w:p>
        </w:tc>
        <w:tc>
          <w:tcPr>
            <w:tcW w:w="997" w:type="dxa"/>
            <w:tcBorders>
              <w:top w:val="nil"/>
              <w:left w:val="nil"/>
              <w:bottom w:val="single" w:sz="4" w:space="0" w:color="000000"/>
              <w:right w:val="single" w:sz="4" w:space="0" w:color="000000"/>
            </w:tcBorders>
            <w:shd w:val="clear" w:color="000000" w:fill="FFFFFF"/>
            <w:noWrap/>
            <w:vAlign w:val="center"/>
            <w:hideMark/>
          </w:tcPr>
          <w:p w14:paraId="239546E0" w14:textId="77777777" w:rsidR="0045589E" w:rsidRPr="00213197" w:rsidRDefault="0045589E" w:rsidP="0045589E">
            <w:pPr>
              <w:jc w:val="right"/>
              <w:rPr>
                <w:rFonts w:ascii="Arial" w:hAnsi="Arial" w:cs="Arial"/>
                <w:sz w:val="18"/>
                <w:szCs w:val="18"/>
              </w:rPr>
            </w:pPr>
            <w:r>
              <w:rPr>
                <w:rFonts w:ascii="Arial" w:hAnsi="Arial" w:cs="Arial"/>
                <w:sz w:val="18"/>
                <w:szCs w:val="18"/>
              </w:rPr>
              <w:t>6</w:t>
            </w:r>
            <w:r w:rsidRPr="00213197">
              <w:rPr>
                <w:rFonts w:ascii="Arial" w:hAnsi="Arial" w:cs="Arial"/>
                <w:sz w:val="18"/>
                <w:szCs w:val="18"/>
              </w:rPr>
              <w:t xml:space="preserve">% </w:t>
            </w:r>
          </w:p>
        </w:tc>
      </w:tr>
      <w:tr w:rsidR="0045589E" w14:paraId="20223FBE" w14:textId="77777777" w:rsidTr="0045589E">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885E067"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4</w:t>
            </w:r>
          </w:p>
        </w:tc>
        <w:tc>
          <w:tcPr>
            <w:tcW w:w="2145" w:type="dxa"/>
            <w:tcBorders>
              <w:top w:val="nil"/>
              <w:left w:val="nil"/>
              <w:bottom w:val="single" w:sz="4" w:space="0" w:color="auto"/>
              <w:right w:val="single" w:sz="4" w:space="0" w:color="auto"/>
            </w:tcBorders>
            <w:shd w:val="clear" w:color="000000" w:fill="FFFFFF"/>
            <w:noWrap/>
            <w:vAlign w:val="center"/>
            <w:hideMark/>
          </w:tcPr>
          <w:p w14:paraId="02FE9A93" w14:textId="77777777" w:rsidR="0045589E" w:rsidRPr="00213197" w:rsidRDefault="0045589E" w:rsidP="0045589E">
            <w:pPr>
              <w:rPr>
                <w:rFonts w:ascii="Arial" w:hAnsi="Arial" w:cs="Arial"/>
                <w:sz w:val="18"/>
                <w:szCs w:val="18"/>
              </w:rPr>
            </w:pPr>
            <w:r w:rsidRPr="00213197">
              <w:rPr>
                <w:rFonts w:ascii="Arial" w:hAnsi="Arial" w:cs="Arial"/>
                <w:sz w:val="18"/>
                <w:szCs w:val="18"/>
              </w:rPr>
              <w:t>37245, 55603</w:t>
            </w:r>
          </w:p>
        </w:tc>
        <w:tc>
          <w:tcPr>
            <w:tcW w:w="1017" w:type="dxa"/>
            <w:tcBorders>
              <w:top w:val="nil"/>
              <w:left w:val="nil"/>
              <w:bottom w:val="single" w:sz="4" w:space="0" w:color="000000"/>
              <w:right w:val="single" w:sz="4" w:space="0" w:color="000000"/>
            </w:tcBorders>
            <w:shd w:val="clear" w:color="000000" w:fill="FFFFFF"/>
            <w:noWrap/>
            <w:vAlign w:val="center"/>
            <w:hideMark/>
          </w:tcPr>
          <w:p w14:paraId="7C7CB3FE"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37 </w:t>
            </w:r>
          </w:p>
        </w:tc>
        <w:tc>
          <w:tcPr>
            <w:tcW w:w="957" w:type="dxa"/>
            <w:tcBorders>
              <w:top w:val="nil"/>
              <w:left w:val="nil"/>
              <w:bottom w:val="single" w:sz="4" w:space="0" w:color="000000"/>
              <w:right w:val="single" w:sz="4" w:space="0" w:color="000000"/>
            </w:tcBorders>
            <w:shd w:val="clear" w:color="000000" w:fill="FFFFFF"/>
            <w:noWrap/>
            <w:vAlign w:val="center"/>
            <w:hideMark/>
          </w:tcPr>
          <w:p w14:paraId="57121920"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74 </w:t>
            </w:r>
          </w:p>
        </w:tc>
        <w:tc>
          <w:tcPr>
            <w:tcW w:w="1286" w:type="dxa"/>
            <w:tcBorders>
              <w:top w:val="nil"/>
              <w:left w:val="nil"/>
              <w:bottom w:val="single" w:sz="4" w:space="0" w:color="000000"/>
              <w:right w:val="single" w:sz="4" w:space="0" w:color="000000"/>
            </w:tcBorders>
            <w:shd w:val="clear" w:color="000000" w:fill="FFFFFF"/>
            <w:noWrap/>
            <w:vAlign w:val="center"/>
            <w:hideMark/>
          </w:tcPr>
          <w:p w14:paraId="6C5AC926"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$50,551 </w:t>
            </w:r>
          </w:p>
        </w:tc>
        <w:tc>
          <w:tcPr>
            <w:tcW w:w="942" w:type="dxa"/>
            <w:tcBorders>
              <w:top w:val="nil"/>
              <w:left w:val="nil"/>
              <w:bottom w:val="single" w:sz="4" w:space="0" w:color="000000"/>
              <w:right w:val="single" w:sz="4" w:space="0" w:color="000000"/>
            </w:tcBorders>
            <w:shd w:val="clear" w:color="000000" w:fill="FFFFFF"/>
            <w:noWrap/>
            <w:vAlign w:val="center"/>
            <w:hideMark/>
          </w:tcPr>
          <w:p w14:paraId="71E39F8D"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37 </w:t>
            </w:r>
          </w:p>
        </w:tc>
        <w:tc>
          <w:tcPr>
            <w:tcW w:w="997" w:type="dxa"/>
            <w:tcBorders>
              <w:top w:val="nil"/>
              <w:left w:val="nil"/>
              <w:bottom w:val="single" w:sz="4" w:space="0" w:color="000000"/>
              <w:right w:val="single" w:sz="4" w:space="0" w:color="000000"/>
            </w:tcBorders>
            <w:shd w:val="clear" w:color="000000" w:fill="FFFFFF"/>
            <w:noWrap/>
            <w:vAlign w:val="center"/>
            <w:hideMark/>
          </w:tcPr>
          <w:p w14:paraId="446CE1E1" w14:textId="77777777" w:rsidR="0045589E" w:rsidRPr="00213197" w:rsidRDefault="0045589E" w:rsidP="0045589E">
            <w:pPr>
              <w:jc w:val="right"/>
              <w:rPr>
                <w:rFonts w:ascii="Arial" w:hAnsi="Arial" w:cs="Arial"/>
                <w:sz w:val="18"/>
                <w:szCs w:val="18"/>
              </w:rPr>
            </w:pPr>
            <w:r>
              <w:rPr>
                <w:rFonts w:ascii="Arial" w:hAnsi="Arial" w:cs="Arial"/>
                <w:sz w:val="18"/>
                <w:szCs w:val="18"/>
              </w:rPr>
              <w:t>5</w:t>
            </w:r>
            <w:r w:rsidRPr="00213197">
              <w:rPr>
                <w:rFonts w:ascii="Arial" w:hAnsi="Arial" w:cs="Arial"/>
                <w:sz w:val="18"/>
                <w:szCs w:val="18"/>
              </w:rPr>
              <w:t xml:space="preserve">% </w:t>
            </w:r>
          </w:p>
        </w:tc>
      </w:tr>
      <w:tr w:rsidR="0045589E" w14:paraId="7ED1A3BB" w14:textId="77777777" w:rsidTr="0045589E">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5CF42F0B"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5</w:t>
            </w:r>
          </w:p>
        </w:tc>
        <w:tc>
          <w:tcPr>
            <w:tcW w:w="2145" w:type="dxa"/>
            <w:tcBorders>
              <w:top w:val="nil"/>
              <w:left w:val="nil"/>
              <w:bottom w:val="single" w:sz="4" w:space="0" w:color="auto"/>
              <w:right w:val="single" w:sz="4" w:space="0" w:color="auto"/>
            </w:tcBorders>
            <w:shd w:val="clear" w:color="000000" w:fill="FFFFFF"/>
            <w:noWrap/>
            <w:vAlign w:val="center"/>
            <w:hideMark/>
          </w:tcPr>
          <w:p w14:paraId="1EBD9CBA" w14:textId="77777777" w:rsidR="0045589E" w:rsidRPr="00213197" w:rsidRDefault="0045589E" w:rsidP="0045589E">
            <w:pPr>
              <w:rPr>
                <w:rFonts w:ascii="Arial" w:hAnsi="Arial" w:cs="Arial"/>
                <w:sz w:val="18"/>
                <w:szCs w:val="18"/>
              </w:rPr>
            </w:pPr>
            <w:r w:rsidRPr="00213197">
              <w:rPr>
                <w:rFonts w:ascii="Arial" w:hAnsi="Arial" w:cs="Arial"/>
                <w:sz w:val="18"/>
                <w:szCs w:val="18"/>
              </w:rPr>
              <w:t>37245, 37011</w:t>
            </w:r>
          </w:p>
        </w:tc>
        <w:tc>
          <w:tcPr>
            <w:tcW w:w="1017" w:type="dxa"/>
            <w:tcBorders>
              <w:top w:val="nil"/>
              <w:left w:val="nil"/>
              <w:bottom w:val="single" w:sz="4" w:space="0" w:color="000000"/>
              <w:right w:val="single" w:sz="4" w:space="0" w:color="000000"/>
            </w:tcBorders>
            <w:shd w:val="clear" w:color="000000" w:fill="FFFFFF"/>
            <w:noWrap/>
            <w:vAlign w:val="center"/>
            <w:hideMark/>
          </w:tcPr>
          <w:p w14:paraId="6B325C57"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13 </w:t>
            </w:r>
          </w:p>
        </w:tc>
        <w:tc>
          <w:tcPr>
            <w:tcW w:w="957" w:type="dxa"/>
            <w:tcBorders>
              <w:top w:val="nil"/>
              <w:left w:val="nil"/>
              <w:bottom w:val="single" w:sz="4" w:space="0" w:color="000000"/>
              <w:right w:val="single" w:sz="4" w:space="0" w:color="000000"/>
            </w:tcBorders>
            <w:shd w:val="clear" w:color="000000" w:fill="FFFFFF"/>
            <w:noWrap/>
            <w:vAlign w:val="center"/>
            <w:hideMark/>
          </w:tcPr>
          <w:p w14:paraId="060D6E78"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26 </w:t>
            </w:r>
          </w:p>
        </w:tc>
        <w:tc>
          <w:tcPr>
            <w:tcW w:w="1286" w:type="dxa"/>
            <w:tcBorders>
              <w:top w:val="nil"/>
              <w:left w:val="nil"/>
              <w:bottom w:val="single" w:sz="4" w:space="0" w:color="000000"/>
              <w:right w:val="single" w:sz="4" w:space="0" w:color="000000"/>
            </w:tcBorders>
            <w:shd w:val="clear" w:color="000000" w:fill="FFFFFF"/>
            <w:noWrap/>
            <w:vAlign w:val="center"/>
            <w:hideMark/>
          </w:tcPr>
          <w:p w14:paraId="4C53A49F"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$17,015 </w:t>
            </w:r>
          </w:p>
        </w:tc>
        <w:tc>
          <w:tcPr>
            <w:tcW w:w="942" w:type="dxa"/>
            <w:tcBorders>
              <w:top w:val="nil"/>
              <w:left w:val="nil"/>
              <w:bottom w:val="single" w:sz="4" w:space="0" w:color="000000"/>
              <w:right w:val="single" w:sz="4" w:space="0" w:color="000000"/>
            </w:tcBorders>
            <w:shd w:val="clear" w:color="000000" w:fill="FFFFFF"/>
            <w:noWrap/>
            <w:vAlign w:val="center"/>
            <w:hideMark/>
          </w:tcPr>
          <w:p w14:paraId="3FDF35FD"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13 </w:t>
            </w:r>
          </w:p>
        </w:tc>
        <w:tc>
          <w:tcPr>
            <w:tcW w:w="997" w:type="dxa"/>
            <w:tcBorders>
              <w:top w:val="nil"/>
              <w:left w:val="nil"/>
              <w:bottom w:val="single" w:sz="4" w:space="0" w:color="000000"/>
              <w:right w:val="single" w:sz="4" w:space="0" w:color="000000"/>
            </w:tcBorders>
            <w:shd w:val="clear" w:color="000000" w:fill="FFFFFF"/>
            <w:noWrap/>
            <w:vAlign w:val="center"/>
            <w:hideMark/>
          </w:tcPr>
          <w:p w14:paraId="7126F6A9" w14:textId="77777777" w:rsidR="0045589E" w:rsidRPr="00213197" w:rsidRDefault="0045589E" w:rsidP="0045589E">
            <w:pPr>
              <w:jc w:val="right"/>
              <w:rPr>
                <w:rFonts w:ascii="Arial" w:hAnsi="Arial" w:cs="Arial"/>
                <w:sz w:val="18"/>
                <w:szCs w:val="18"/>
              </w:rPr>
            </w:pPr>
            <w:r>
              <w:rPr>
                <w:rFonts w:ascii="Arial" w:hAnsi="Arial" w:cs="Arial"/>
                <w:sz w:val="18"/>
                <w:szCs w:val="18"/>
              </w:rPr>
              <w:t>2</w:t>
            </w:r>
            <w:r w:rsidRPr="00213197">
              <w:rPr>
                <w:rFonts w:ascii="Arial" w:hAnsi="Arial" w:cs="Arial"/>
                <w:sz w:val="18"/>
                <w:szCs w:val="18"/>
              </w:rPr>
              <w:t xml:space="preserve">% </w:t>
            </w:r>
          </w:p>
        </w:tc>
      </w:tr>
      <w:tr w:rsidR="0045589E" w14:paraId="42E83D34" w14:textId="77777777" w:rsidTr="0045589E">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4B83442E"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6</w:t>
            </w:r>
          </w:p>
        </w:tc>
        <w:tc>
          <w:tcPr>
            <w:tcW w:w="2145" w:type="dxa"/>
            <w:tcBorders>
              <w:top w:val="nil"/>
              <w:left w:val="nil"/>
              <w:bottom w:val="single" w:sz="4" w:space="0" w:color="auto"/>
              <w:right w:val="single" w:sz="4" w:space="0" w:color="auto"/>
            </w:tcBorders>
            <w:shd w:val="clear" w:color="000000" w:fill="FFFFFF"/>
            <w:noWrap/>
            <w:vAlign w:val="center"/>
            <w:hideMark/>
          </w:tcPr>
          <w:p w14:paraId="05DB6D4F" w14:textId="77777777" w:rsidR="0045589E" w:rsidRPr="00213197" w:rsidRDefault="0045589E" w:rsidP="0045589E">
            <w:pPr>
              <w:rPr>
                <w:rFonts w:ascii="Arial" w:hAnsi="Arial" w:cs="Arial"/>
                <w:sz w:val="18"/>
                <w:szCs w:val="18"/>
              </w:rPr>
            </w:pPr>
            <w:r w:rsidRPr="00213197">
              <w:rPr>
                <w:rFonts w:ascii="Arial" w:hAnsi="Arial" w:cs="Arial"/>
                <w:sz w:val="18"/>
                <w:szCs w:val="18"/>
              </w:rPr>
              <w:t>37245, 36824, 37011</w:t>
            </w:r>
          </w:p>
        </w:tc>
        <w:tc>
          <w:tcPr>
            <w:tcW w:w="1017" w:type="dxa"/>
            <w:tcBorders>
              <w:top w:val="nil"/>
              <w:left w:val="nil"/>
              <w:bottom w:val="single" w:sz="4" w:space="0" w:color="000000"/>
              <w:right w:val="single" w:sz="4" w:space="0" w:color="000000"/>
            </w:tcBorders>
            <w:shd w:val="clear" w:color="000000" w:fill="FFFFFF"/>
            <w:noWrap/>
            <w:vAlign w:val="center"/>
            <w:hideMark/>
          </w:tcPr>
          <w:p w14:paraId="4DFD25F2"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12 </w:t>
            </w:r>
          </w:p>
        </w:tc>
        <w:tc>
          <w:tcPr>
            <w:tcW w:w="957" w:type="dxa"/>
            <w:tcBorders>
              <w:top w:val="nil"/>
              <w:left w:val="nil"/>
              <w:bottom w:val="single" w:sz="4" w:space="0" w:color="000000"/>
              <w:right w:val="single" w:sz="4" w:space="0" w:color="000000"/>
            </w:tcBorders>
            <w:shd w:val="clear" w:color="000000" w:fill="FFFFFF"/>
            <w:noWrap/>
            <w:vAlign w:val="center"/>
            <w:hideMark/>
          </w:tcPr>
          <w:p w14:paraId="03A5A23D"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36 </w:t>
            </w:r>
          </w:p>
        </w:tc>
        <w:tc>
          <w:tcPr>
            <w:tcW w:w="1286" w:type="dxa"/>
            <w:tcBorders>
              <w:top w:val="nil"/>
              <w:left w:val="nil"/>
              <w:bottom w:val="single" w:sz="4" w:space="0" w:color="000000"/>
              <w:right w:val="single" w:sz="4" w:space="0" w:color="000000"/>
            </w:tcBorders>
            <w:shd w:val="clear" w:color="000000" w:fill="FFFFFF"/>
            <w:noWrap/>
            <w:vAlign w:val="center"/>
            <w:hideMark/>
          </w:tcPr>
          <w:p w14:paraId="044DB22A"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$16,705 </w:t>
            </w:r>
          </w:p>
        </w:tc>
        <w:tc>
          <w:tcPr>
            <w:tcW w:w="942" w:type="dxa"/>
            <w:tcBorders>
              <w:top w:val="nil"/>
              <w:left w:val="nil"/>
              <w:bottom w:val="single" w:sz="4" w:space="0" w:color="000000"/>
              <w:right w:val="single" w:sz="4" w:space="0" w:color="000000"/>
            </w:tcBorders>
            <w:shd w:val="clear" w:color="000000" w:fill="FFFFFF"/>
            <w:noWrap/>
            <w:vAlign w:val="center"/>
            <w:hideMark/>
          </w:tcPr>
          <w:p w14:paraId="33B8AAFC"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12 </w:t>
            </w:r>
          </w:p>
        </w:tc>
        <w:tc>
          <w:tcPr>
            <w:tcW w:w="997" w:type="dxa"/>
            <w:tcBorders>
              <w:top w:val="nil"/>
              <w:left w:val="nil"/>
              <w:bottom w:val="single" w:sz="4" w:space="0" w:color="000000"/>
              <w:right w:val="single" w:sz="4" w:space="0" w:color="000000"/>
            </w:tcBorders>
            <w:shd w:val="clear" w:color="000000" w:fill="FFFFFF"/>
            <w:noWrap/>
            <w:vAlign w:val="center"/>
            <w:hideMark/>
          </w:tcPr>
          <w:p w14:paraId="4E844217" w14:textId="77777777" w:rsidR="0045589E" w:rsidRPr="00213197" w:rsidRDefault="0045589E" w:rsidP="0045589E">
            <w:pPr>
              <w:jc w:val="right"/>
              <w:rPr>
                <w:rFonts w:ascii="Arial" w:hAnsi="Arial" w:cs="Arial"/>
                <w:sz w:val="18"/>
                <w:szCs w:val="18"/>
              </w:rPr>
            </w:pPr>
            <w:r>
              <w:rPr>
                <w:rFonts w:ascii="Arial" w:hAnsi="Arial" w:cs="Arial"/>
                <w:sz w:val="18"/>
                <w:szCs w:val="18"/>
              </w:rPr>
              <w:t>2</w:t>
            </w:r>
            <w:r w:rsidRPr="00213197">
              <w:rPr>
                <w:rFonts w:ascii="Arial" w:hAnsi="Arial" w:cs="Arial"/>
                <w:sz w:val="18"/>
                <w:szCs w:val="18"/>
              </w:rPr>
              <w:t xml:space="preserve">% </w:t>
            </w:r>
          </w:p>
        </w:tc>
      </w:tr>
      <w:tr w:rsidR="0045589E" w14:paraId="7BB39060" w14:textId="77777777" w:rsidTr="0045589E">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6280CD5A"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7</w:t>
            </w:r>
          </w:p>
        </w:tc>
        <w:tc>
          <w:tcPr>
            <w:tcW w:w="2145" w:type="dxa"/>
            <w:tcBorders>
              <w:top w:val="nil"/>
              <w:left w:val="nil"/>
              <w:bottom w:val="single" w:sz="4" w:space="0" w:color="auto"/>
              <w:right w:val="single" w:sz="4" w:space="0" w:color="auto"/>
            </w:tcBorders>
            <w:shd w:val="clear" w:color="000000" w:fill="FFFFFF"/>
            <w:noWrap/>
            <w:vAlign w:val="center"/>
            <w:hideMark/>
          </w:tcPr>
          <w:p w14:paraId="0252F142" w14:textId="77777777" w:rsidR="0045589E" w:rsidRPr="00213197" w:rsidRDefault="0045589E" w:rsidP="0045589E">
            <w:pPr>
              <w:rPr>
                <w:rFonts w:ascii="Arial" w:hAnsi="Arial" w:cs="Arial"/>
                <w:sz w:val="18"/>
                <w:szCs w:val="18"/>
              </w:rPr>
            </w:pPr>
            <w:r w:rsidRPr="00213197">
              <w:rPr>
                <w:rFonts w:ascii="Arial" w:hAnsi="Arial" w:cs="Arial"/>
                <w:sz w:val="18"/>
                <w:szCs w:val="18"/>
              </w:rPr>
              <w:t>37245, 105, 36863</w:t>
            </w:r>
          </w:p>
        </w:tc>
        <w:tc>
          <w:tcPr>
            <w:tcW w:w="1017" w:type="dxa"/>
            <w:tcBorders>
              <w:top w:val="nil"/>
              <w:left w:val="nil"/>
              <w:bottom w:val="single" w:sz="4" w:space="0" w:color="000000"/>
              <w:right w:val="single" w:sz="4" w:space="0" w:color="000000"/>
            </w:tcBorders>
            <w:shd w:val="clear" w:color="000000" w:fill="FFFFFF"/>
            <w:noWrap/>
            <w:vAlign w:val="center"/>
            <w:hideMark/>
          </w:tcPr>
          <w:p w14:paraId="42FE123F"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9 </w:t>
            </w:r>
          </w:p>
        </w:tc>
        <w:tc>
          <w:tcPr>
            <w:tcW w:w="957" w:type="dxa"/>
            <w:tcBorders>
              <w:top w:val="nil"/>
              <w:left w:val="nil"/>
              <w:bottom w:val="single" w:sz="4" w:space="0" w:color="000000"/>
              <w:right w:val="single" w:sz="4" w:space="0" w:color="000000"/>
            </w:tcBorders>
            <w:shd w:val="clear" w:color="000000" w:fill="FFFFFF"/>
            <w:noWrap/>
            <w:vAlign w:val="center"/>
            <w:hideMark/>
          </w:tcPr>
          <w:p w14:paraId="280EC73E"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27 </w:t>
            </w:r>
          </w:p>
        </w:tc>
        <w:tc>
          <w:tcPr>
            <w:tcW w:w="1286" w:type="dxa"/>
            <w:tcBorders>
              <w:top w:val="nil"/>
              <w:left w:val="nil"/>
              <w:bottom w:val="single" w:sz="4" w:space="0" w:color="000000"/>
              <w:right w:val="single" w:sz="4" w:space="0" w:color="000000"/>
            </w:tcBorders>
            <w:shd w:val="clear" w:color="000000" w:fill="FFFFFF"/>
            <w:noWrap/>
            <w:vAlign w:val="center"/>
            <w:hideMark/>
          </w:tcPr>
          <w:p w14:paraId="59FE6386"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$14,078 </w:t>
            </w:r>
          </w:p>
        </w:tc>
        <w:tc>
          <w:tcPr>
            <w:tcW w:w="942" w:type="dxa"/>
            <w:tcBorders>
              <w:top w:val="nil"/>
              <w:left w:val="nil"/>
              <w:bottom w:val="single" w:sz="4" w:space="0" w:color="000000"/>
              <w:right w:val="single" w:sz="4" w:space="0" w:color="000000"/>
            </w:tcBorders>
            <w:shd w:val="clear" w:color="000000" w:fill="FFFFFF"/>
            <w:noWrap/>
            <w:vAlign w:val="center"/>
            <w:hideMark/>
          </w:tcPr>
          <w:p w14:paraId="0F3CE8E5"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9 </w:t>
            </w:r>
          </w:p>
        </w:tc>
        <w:tc>
          <w:tcPr>
            <w:tcW w:w="997" w:type="dxa"/>
            <w:tcBorders>
              <w:top w:val="nil"/>
              <w:left w:val="nil"/>
              <w:bottom w:val="single" w:sz="4" w:space="0" w:color="000000"/>
              <w:right w:val="single" w:sz="4" w:space="0" w:color="000000"/>
            </w:tcBorders>
            <w:shd w:val="clear" w:color="000000" w:fill="FFFFFF"/>
            <w:noWrap/>
            <w:vAlign w:val="center"/>
            <w:hideMark/>
          </w:tcPr>
          <w:p w14:paraId="2EBF4B2C" w14:textId="77777777" w:rsidR="0045589E" w:rsidRPr="00213197" w:rsidRDefault="0045589E" w:rsidP="0045589E">
            <w:pPr>
              <w:jc w:val="right"/>
              <w:rPr>
                <w:rFonts w:ascii="Arial" w:hAnsi="Arial" w:cs="Arial"/>
                <w:sz w:val="18"/>
                <w:szCs w:val="18"/>
              </w:rPr>
            </w:pPr>
            <w:r>
              <w:rPr>
                <w:rFonts w:ascii="Arial" w:hAnsi="Arial" w:cs="Arial"/>
                <w:sz w:val="18"/>
                <w:szCs w:val="18"/>
              </w:rPr>
              <w:t>1</w:t>
            </w:r>
            <w:r w:rsidRPr="00213197">
              <w:rPr>
                <w:rFonts w:ascii="Arial" w:hAnsi="Arial" w:cs="Arial"/>
                <w:sz w:val="18"/>
                <w:szCs w:val="18"/>
              </w:rPr>
              <w:t xml:space="preserve">% </w:t>
            </w:r>
          </w:p>
        </w:tc>
      </w:tr>
      <w:tr w:rsidR="0045589E" w14:paraId="238E12D2" w14:textId="77777777" w:rsidTr="0045589E">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2B6B853"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8</w:t>
            </w:r>
          </w:p>
        </w:tc>
        <w:tc>
          <w:tcPr>
            <w:tcW w:w="2145" w:type="dxa"/>
            <w:tcBorders>
              <w:top w:val="nil"/>
              <w:left w:val="nil"/>
              <w:bottom w:val="single" w:sz="4" w:space="0" w:color="auto"/>
              <w:right w:val="single" w:sz="4" w:space="0" w:color="auto"/>
            </w:tcBorders>
            <w:shd w:val="clear" w:color="000000" w:fill="FFFFFF"/>
            <w:noWrap/>
            <w:vAlign w:val="center"/>
            <w:hideMark/>
          </w:tcPr>
          <w:p w14:paraId="26CA0EF6" w14:textId="77777777" w:rsidR="0045589E" w:rsidRPr="00213197" w:rsidRDefault="0045589E" w:rsidP="0045589E">
            <w:pPr>
              <w:rPr>
                <w:rFonts w:ascii="Arial" w:hAnsi="Arial" w:cs="Arial"/>
                <w:sz w:val="18"/>
                <w:szCs w:val="18"/>
              </w:rPr>
            </w:pPr>
            <w:r w:rsidRPr="00213197">
              <w:rPr>
                <w:rFonts w:ascii="Arial" w:hAnsi="Arial" w:cs="Arial"/>
                <w:sz w:val="18"/>
                <w:szCs w:val="18"/>
              </w:rPr>
              <w:t>37245, 36824</w:t>
            </w:r>
          </w:p>
        </w:tc>
        <w:tc>
          <w:tcPr>
            <w:tcW w:w="1017" w:type="dxa"/>
            <w:tcBorders>
              <w:top w:val="nil"/>
              <w:left w:val="nil"/>
              <w:bottom w:val="single" w:sz="4" w:space="0" w:color="000000"/>
              <w:right w:val="single" w:sz="4" w:space="0" w:color="000000"/>
            </w:tcBorders>
            <w:shd w:val="clear" w:color="000000" w:fill="FFFFFF"/>
            <w:noWrap/>
            <w:vAlign w:val="center"/>
            <w:hideMark/>
          </w:tcPr>
          <w:p w14:paraId="30ACBFCC"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8 </w:t>
            </w:r>
          </w:p>
        </w:tc>
        <w:tc>
          <w:tcPr>
            <w:tcW w:w="957" w:type="dxa"/>
            <w:tcBorders>
              <w:top w:val="nil"/>
              <w:left w:val="nil"/>
              <w:bottom w:val="single" w:sz="4" w:space="0" w:color="000000"/>
              <w:right w:val="single" w:sz="4" w:space="0" w:color="000000"/>
            </w:tcBorders>
            <w:shd w:val="clear" w:color="000000" w:fill="FFFFFF"/>
            <w:noWrap/>
            <w:vAlign w:val="center"/>
            <w:hideMark/>
          </w:tcPr>
          <w:p w14:paraId="6E46B313"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16 </w:t>
            </w:r>
          </w:p>
        </w:tc>
        <w:tc>
          <w:tcPr>
            <w:tcW w:w="1286" w:type="dxa"/>
            <w:tcBorders>
              <w:top w:val="nil"/>
              <w:left w:val="nil"/>
              <w:bottom w:val="single" w:sz="4" w:space="0" w:color="000000"/>
              <w:right w:val="single" w:sz="4" w:space="0" w:color="000000"/>
            </w:tcBorders>
            <w:shd w:val="clear" w:color="000000" w:fill="FFFFFF"/>
            <w:noWrap/>
            <w:vAlign w:val="center"/>
            <w:hideMark/>
          </w:tcPr>
          <w:p w14:paraId="2950C20F"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$10,950 </w:t>
            </w:r>
          </w:p>
        </w:tc>
        <w:tc>
          <w:tcPr>
            <w:tcW w:w="942" w:type="dxa"/>
            <w:tcBorders>
              <w:top w:val="nil"/>
              <w:left w:val="nil"/>
              <w:bottom w:val="single" w:sz="4" w:space="0" w:color="000000"/>
              <w:right w:val="single" w:sz="4" w:space="0" w:color="000000"/>
            </w:tcBorders>
            <w:shd w:val="clear" w:color="000000" w:fill="FFFFFF"/>
            <w:noWrap/>
            <w:vAlign w:val="center"/>
            <w:hideMark/>
          </w:tcPr>
          <w:p w14:paraId="1A319158"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8 </w:t>
            </w:r>
          </w:p>
        </w:tc>
        <w:tc>
          <w:tcPr>
            <w:tcW w:w="997" w:type="dxa"/>
            <w:tcBorders>
              <w:top w:val="nil"/>
              <w:left w:val="nil"/>
              <w:bottom w:val="single" w:sz="4" w:space="0" w:color="000000"/>
              <w:right w:val="single" w:sz="4" w:space="0" w:color="000000"/>
            </w:tcBorders>
            <w:shd w:val="clear" w:color="000000" w:fill="FFFFFF"/>
            <w:noWrap/>
            <w:vAlign w:val="center"/>
            <w:hideMark/>
          </w:tcPr>
          <w:p w14:paraId="7AA192EA" w14:textId="77777777" w:rsidR="0045589E" w:rsidRPr="00213197" w:rsidRDefault="0045589E" w:rsidP="0045589E">
            <w:pPr>
              <w:jc w:val="right"/>
              <w:rPr>
                <w:rFonts w:ascii="Arial" w:hAnsi="Arial" w:cs="Arial"/>
                <w:sz w:val="18"/>
                <w:szCs w:val="18"/>
              </w:rPr>
            </w:pPr>
            <w:r>
              <w:rPr>
                <w:rFonts w:ascii="Arial" w:hAnsi="Arial" w:cs="Arial"/>
                <w:sz w:val="18"/>
                <w:szCs w:val="18"/>
              </w:rPr>
              <w:t>1</w:t>
            </w:r>
            <w:r w:rsidRPr="00213197">
              <w:rPr>
                <w:rFonts w:ascii="Arial" w:hAnsi="Arial" w:cs="Arial"/>
                <w:sz w:val="18"/>
                <w:szCs w:val="18"/>
              </w:rPr>
              <w:t xml:space="preserve">% </w:t>
            </w:r>
          </w:p>
        </w:tc>
      </w:tr>
    </w:tbl>
    <w:p w14:paraId="353C8EF5" w14:textId="77777777" w:rsidR="00143CD0" w:rsidRDefault="00143CD0">
      <w:pPr>
        <w:rPr>
          <w:rFonts w:eastAsiaTheme="majorEastAsia"/>
          <w:b/>
          <w:sz w:val="20"/>
        </w:rPr>
      </w:pPr>
      <w:r>
        <w:rPr>
          <w:b/>
          <w:sz w:val="20"/>
        </w:rPr>
        <w:br w:type="page"/>
      </w:r>
    </w:p>
    <w:p w14:paraId="46FD5463" w14:textId="6EB51D93" w:rsidR="0045589E" w:rsidRPr="00B75127" w:rsidRDefault="006A4D42" w:rsidP="00B75127">
      <w:pPr>
        <w:rPr>
          <w:b/>
          <w:sz w:val="20"/>
        </w:rPr>
      </w:pPr>
      <w:r w:rsidRPr="00B75127">
        <w:rPr>
          <w:b/>
          <w:sz w:val="20"/>
        </w:rPr>
        <w:lastRenderedPageBreak/>
        <w:t>Table 9</w:t>
      </w:r>
      <w:r w:rsidR="0045589E" w:rsidRPr="00B75127">
        <w:rPr>
          <w:b/>
          <w:sz w:val="20"/>
        </w:rPr>
        <w:t xml:space="preserve">: Instances of co-claiming with MBS item 37245 in 2016-17 </w:t>
      </w:r>
    </w:p>
    <w:tbl>
      <w:tblPr>
        <w:tblW w:w="8000" w:type="dxa"/>
        <w:tblInd w:w="93" w:type="dxa"/>
        <w:tblLook w:val="04A0" w:firstRow="1" w:lastRow="0" w:firstColumn="1" w:lastColumn="0" w:noHBand="0" w:noVBand="1"/>
        <w:tblCaption w:val="Table 9"/>
        <w:tblDescription w:val="Visual representation of instances of co-claiming with MBS item 37245 in 2016-17. 32% of the claiming instances for 37245 were with no other items and 40% of instances 37245 was co claimed with 105."/>
      </w:tblPr>
      <w:tblGrid>
        <w:gridCol w:w="658"/>
        <w:gridCol w:w="2143"/>
        <w:gridCol w:w="1017"/>
        <w:gridCol w:w="957"/>
        <w:gridCol w:w="1286"/>
        <w:gridCol w:w="942"/>
        <w:gridCol w:w="997"/>
      </w:tblGrid>
      <w:tr w:rsidR="0045589E" w14:paraId="09B9C007" w14:textId="77777777" w:rsidTr="0045589E">
        <w:trPr>
          <w:trHeight w:val="960"/>
        </w:trPr>
        <w:tc>
          <w:tcPr>
            <w:tcW w:w="65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F9B46D5"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w:t>
            </w:r>
          </w:p>
        </w:tc>
        <w:tc>
          <w:tcPr>
            <w:tcW w:w="214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2F956AA"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Items</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27E5FD8"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Episodes</w:t>
            </w:r>
          </w:p>
        </w:tc>
        <w:tc>
          <w:tcPr>
            <w:tcW w:w="95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52FC221"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Services</w:t>
            </w:r>
          </w:p>
        </w:tc>
        <w:tc>
          <w:tcPr>
            <w:tcW w:w="128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437429C"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Schedule Fee for combination</w:t>
            </w:r>
          </w:p>
        </w:tc>
        <w:tc>
          <w:tcPr>
            <w:tcW w:w="94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7030D3F"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Number of patients</w:t>
            </w:r>
          </w:p>
        </w:tc>
        <w:tc>
          <w:tcPr>
            <w:tcW w:w="99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B201B08" w14:textId="77777777" w:rsidR="0045589E" w:rsidRPr="00213197" w:rsidRDefault="0045589E" w:rsidP="0045589E">
            <w:pPr>
              <w:jc w:val="center"/>
              <w:rPr>
                <w:rFonts w:ascii="Arial" w:hAnsi="Arial" w:cs="Arial"/>
                <w:b/>
                <w:bCs/>
                <w:sz w:val="18"/>
                <w:szCs w:val="18"/>
              </w:rPr>
            </w:pPr>
            <w:r w:rsidRPr="00213197">
              <w:rPr>
                <w:rFonts w:ascii="Arial" w:hAnsi="Arial" w:cs="Arial"/>
                <w:b/>
                <w:bCs/>
                <w:sz w:val="18"/>
                <w:szCs w:val="18"/>
              </w:rPr>
              <w:t>% of episodes</w:t>
            </w:r>
          </w:p>
        </w:tc>
      </w:tr>
      <w:tr w:rsidR="0045589E" w14:paraId="2D79FE5A"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36086FE9"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1</w:t>
            </w:r>
          </w:p>
        </w:tc>
        <w:tc>
          <w:tcPr>
            <w:tcW w:w="2143" w:type="dxa"/>
            <w:tcBorders>
              <w:top w:val="nil"/>
              <w:left w:val="nil"/>
              <w:bottom w:val="single" w:sz="4" w:space="0" w:color="auto"/>
              <w:right w:val="single" w:sz="4" w:space="0" w:color="auto"/>
            </w:tcBorders>
            <w:shd w:val="clear" w:color="000000" w:fill="FFFFFF"/>
            <w:noWrap/>
            <w:vAlign w:val="center"/>
            <w:hideMark/>
          </w:tcPr>
          <w:p w14:paraId="7CBA0D4A" w14:textId="77777777" w:rsidR="0045589E" w:rsidRPr="00213197" w:rsidRDefault="0045589E" w:rsidP="0045589E">
            <w:pPr>
              <w:rPr>
                <w:rFonts w:ascii="Arial" w:hAnsi="Arial" w:cs="Arial"/>
                <w:sz w:val="18"/>
                <w:szCs w:val="18"/>
              </w:rPr>
            </w:pPr>
            <w:r w:rsidRPr="00213197">
              <w:rPr>
                <w:rFonts w:ascii="Arial" w:hAnsi="Arial" w:cs="Arial"/>
                <w:sz w:val="18"/>
                <w:szCs w:val="18"/>
              </w:rPr>
              <w:t>37245, 105</w:t>
            </w:r>
          </w:p>
        </w:tc>
        <w:tc>
          <w:tcPr>
            <w:tcW w:w="1017" w:type="dxa"/>
            <w:tcBorders>
              <w:top w:val="nil"/>
              <w:left w:val="nil"/>
              <w:bottom w:val="single" w:sz="4" w:space="0" w:color="000000"/>
              <w:right w:val="single" w:sz="4" w:space="0" w:color="000000"/>
            </w:tcBorders>
            <w:shd w:val="clear" w:color="auto" w:fill="auto"/>
            <w:noWrap/>
            <w:vAlign w:val="center"/>
            <w:hideMark/>
          </w:tcPr>
          <w:p w14:paraId="089CD350"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343 </w:t>
            </w:r>
          </w:p>
        </w:tc>
        <w:tc>
          <w:tcPr>
            <w:tcW w:w="957" w:type="dxa"/>
            <w:tcBorders>
              <w:top w:val="nil"/>
              <w:left w:val="nil"/>
              <w:bottom w:val="single" w:sz="4" w:space="0" w:color="000000"/>
              <w:right w:val="single" w:sz="4" w:space="0" w:color="000000"/>
            </w:tcBorders>
            <w:shd w:val="clear" w:color="auto" w:fill="auto"/>
            <w:noWrap/>
            <w:vAlign w:val="center"/>
            <w:hideMark/>
          </w:tcPr>
          <w:p w14:paraId="0363481B"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686 </w:t>
            </w:r>
          </w:p>
        </w:tc>
        <w:tc>
          <w:tcPr>
            <w:tcW w:w="1286" w:type="dxa"/>
            <w:tcBorders>
              <w:top w:val="nil"/>
              <w:left w:val="nil"/>
              <w:bottom w:val="single" w:sz="4" w:space="0" w:color="000000"/>
              <w:right w:val="single" w:sz="4" w:space="0" w:color="000000"/>
            </w:tcBorders>
            <w:shd w:val="clear" w:color="auto" w:fill="auto"/>
            <w:noWrap/>
            <w:vAlign w:val="center"/>
            <w:hideMark/>
          </w:tcPr>
          <w:p w14:paraId="12D1F573"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$447,666 </w:t>
            </w:r>
          </w:p>
        </w:tc>
        <w:tc>
          <w:tcPr>
            <w:tcW w:w="942" w:type="dxa"/>
            <w:tcBorders>
              <w:top w:val="nil"/>
              <w:left w:val="nil"/>
              <w:bottom w:val="single" w:sz="4" w:space="0" w:color="000000"/>
              <w:right w:val="single" w:sz="4" w:space="0" w:color="000000"/>
            </w:tcBorders>
            <w:shd w:val="clear" w:color="auto" w:fill="auto"/>
            <w:noWrap/>
            <w:vAlign w:val="center"/>
            <w:hideMark/>
          </w:tcPr>
          <w:p w14:paraId="1BC1F4C0"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341 </w:t>
            </w:r>
          </w:p>
        </w:tc>
        <w:tc>
          <w:tcPr>
            <w:tcW w:w="997" w:type="dxa"/>
            <w:tcBorders>
              <w:top w:val="nil"/>
              <w:left w:val="nil"/>
              <w:bottom w:val="single" w:sz="4" w:space="0" w:color="000000"/>
              <w:right w:val="single" w:sz="4" w:space="0" w:color="000000"/>
            </w:tcBorders>
            <w:shd w:val="clear" w:color="auto" w:fill="auto"/>
            <w:noWrap/>
            <w:vAlign w:val="center"/>
            <w:hideMark/>
          </w:tcPr>
          <w:p w14:paraId="7AD73786" w14:textId="77777777" w:rsidR="0045589E" w:rsidRPr="00213197" w:rsidRDefault="0045589E" w:rsidP="0045589E">
            <w:pPr>
              <w:jc w:val="right"/>
              <w:rPr>
                <w:rFonts w:ascii="Arial" w:hAnsi="Arial" w:cs="Arial"/>
                <w:sz w:val="18"/>
                <w:szCs w:val="18"/>
              </w:rPr>
            </w:pPr>
            <w:r>
              <w:rPr>
                <w:rFonts w:ascii="Arial" w:hAnsi="Arial" w:cs="Arial"/>
                <w:sz w:val="18"/>
                <w:szCs w:val="18"/>
              </w:rPr>
              <w:t>40</w:t>
            </w:r>
            <w:r w:rsidRPr="00213197">
              <w:rPr>
                <w:rFonts w:ascii="Arial" w:hAnsi="Arial" w:cs="Arial"/>
                <w:sz w:val="18"/>
                <w:szCs w:val="18"/>
              </w:rPr>
              <w:t xml:space="preserve">% </w:t>
            </w:r>
          </w:p>
        </w:tc>
      </w:tr>
      <w:tr w:rsidR="0045589E" w14:paraId="5D337BAD"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3C1F811C"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2</w:t>
            </w:r>
          </w:p>
        </w:tc>
        <w:tc>
          <w:tcPr>
            <w:tcW w:w="2143" w:type="dxa"/>
            <w:tcBorders>
              <w:top w:val="nil"/>
              <w:left w:val="nil"/>
              <w:bottom w:val="single" w:sz="4" w:space="0" w:color="auto"/>
              <w:right w:val="single" w:sz="4" w:space="0" w:color="auto"/>
            </w:tcBorders>
            <w:shd w:val="clear" w:color="000000" w:fill="FFFFFF"/>
            <w:noWrap/>
            <w:vAlign w:val="center"/>
            <w:hideMark/>
          </w:tcPr>
          <w:p w14:paraId="1FA8F4C7" w14:textId="77777777" w:rsidR="0045589E" w:rsidRPr="00213197" w:rsidRDefault="0045589E" w:rsidP="0045589E">
            <w:pPr>
              <w:rPr>
                <w:rFonts w:ascii="Arial" w:hAnsi="Arial" w:cs="Arial"/>
                <w:sz w:val="18"/>
                <w:szCs w:val="18"/>
              </w:rPr>
            </w:pPr>
            <w:r w:rsidRPr="00213197">
              <w:rPr>
                <w:rFonts w:ascii="Arial" w:hAnsi="Arial" w:cs="Arial"/>
                <w:sz w:val="18"/>
                <w:szCs w:val="18"/>
              </w:rPr>
              <w:t>37245</w:t>
            </w:r>
          </w:p>
        </w:tc>
        <w:tc>
          <w:tcPr>
            <w:tcW w:w="1017" w:type="dxa"/>
            <w:tcBorders>
              <w:top w:val="nil"/>
              <w:left w:val="nil"/>
              <w:bottom w:val="single" w:sz="4" w:space="0" w:color="000000"/>
              <w:right w:val="single" w:sz="4" w:space="0" w:color="000000"/>
            </w:tcBorders>
            <w:shd w:val="clear" w:color="000000" w:fill="FFFFFF"/>
            <w:noWrap/>
            <w:vAlign w:val="center"/>
            <w:hideMark/>
          </w:tcPr>
          <w:p w14:paraId="2FC33575"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275 </w:t>
            </w:r>
          </w:p>
        </w:tc>
        <w:tc>
          <w:tcPr>
            <w:tcW w:w="957" w:type="dxa"/>
            <w:tcBorders>
              <w:top w:val="nil"/>
              <w:left w:val="nil"/>
              <w:bottom w:val="single" w:sz="4" w:space="0" w:color="000000"/>
              <w:right w:val="single" w:sz="4" w:space="0" w:color="000000"/>
            </w:tcBorders>
            <w:shd w:val="clear" w:color="000000" w:fill="FFFFFF"/>
            <w:noWrap/>
            <w:vAlign w:val="center"/>
            <w:hideMark/>
          </w:tcPr>
          <w:p w14:paraId="6EE6A810"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275 </w:t>
            </w:r>
          </w:p>
        </w:tc>
        <w:tc>
          <w:tcPr>
            <w:tcW w:w="1286" w:type="dxa"/>
            <w:tcBorders>
              <w:top w:val="nil"/>
              <w:left w:val="nil"/>
              <w:bottom w:val="single" w:sz="4" w:space="0" w:color="000000"/>
              <w:right w:val="single" w:sz="4" w:space="0" w:color="000000"/>
            </w:tcBorders>
            <w:shd w:val="clear" w:color="000000" w:fill="FFFFFF"/>
            <w:noWrap/>
            <w:vAlign w:val="center"/>
            <w:hideMark/>
          </w:tcPr>
          <w:p w14:paraId="21CA507F"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$347,091 </w:t>
            </w:r>
          </w:p>
        </w:tc>
        <w:tc>
          <w:tcPr>
            <w:tcW w:w="942" w:type="dxa"/>
            <w:tcBorders>
              <w:top w:val="nil"/>
              <w:left w:val="nil"/>
              <w:bottom w:val="single" w:sz="4" w:space="0" w:color="000000"/>
              <w:right w:val="single" w:sz="4" w:space="0" w:color="000000"/>
            </w:tcBorders>
            <w:shd w:val="clear" w:color="000000" w:fill="FFFFFF"/>
            <w:noWrap/>
            <w:vAlign w:val="center"/>
            <w:hideMark/>
          </w:tcPr>
          <w:p w14:paraId="697ED427"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275 </w:t>
            </w:r>
          </w:p>
        </w:tc>
        <w:tc>
          <w:tcPr>
            <w:tcW w:w="997" w:type="dxa"/>
            <w:tcBorders>
              <w:top w:val="nil"/>
              <w:left w:val="nil"/>
              <w:bottom w:val="single" w:sz="4" w:space="0" w:color="000000"/>
              <w:right w:val="single" w:sz="4" w:space="0" w:color="000000"/>
            </w:tcBorders>
            <w:shd w:val="clear" w:color="000000" w:fill="FFFFFF"/>
            <w:noWrap/>
            <w:vAlign w:val="center"/>
            <w:hideMark/>
          </w:tcPr>
          <w:p w14:paraId="419DC8F7" w14:textId="77777777" w:rsidR="0045589E" w:rsidRPr="00213197" w:rsidRDefault="0045589E" w:rsidP="0045589E">
            <w:pPr>
              <w:jc w:val="right"/>
              <w:rPr>
                <w:rFonts w:ascii="Arial" w:hAnsi="Arial" w:cs="Arial"/>
                <w:sz w:val="18"/>
                <w:szCs w:val="18"/>
              </w:rPr>
            </w:pPr>
            <w:r>
              <w:rPr>
                <w:rFonts w:ascii="Arial" w:hAnsi="Arial" w:cs="Arial"/>
                <w:sz w:val="18"/>
                <w:szCs w:val="18"/>
              </w:rPr>
              <w:t>32</w:t>
            </w:r>
            <w:r w:rsidRPr="00213197">
              <w:rPr>
                <w:rFonts w:ascii="Arial" w:hAnsi="Arial" w:cs="Arial"/>
                <w:sz w:val="18"/>
                <w:szCs w:val="18"/>
              </w:rPr>
              <w:t xml:space="preserve">% </w:t>
            </w:r>
          </w:p>
        </w:tc>
      </w:tr>
      <w:tr w:rsidR="0045589E" w14:paraId="12008EF0"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1B1C94C9"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3</w:t>
            </w:r>
          </w:p>
        </w:tc>
        <w:tc>
          <w:tcPr>
            <w:tcW w:w="2143" w:type="dxa"/>
            <w:tcBorders>
              <w:top w:val="nil"/>
              <w:left w:val="nil"/>
              <w:bottom w:val="single" w:sz="4" w:space="0" w:color="auto"/>
              <w:right w:val="single" w:sz="4" w:space="0" w:color="auto"/>
            </w:tcBorders>
            <w:shd w:val="clear" w:color="000000" w:fill="FFFFFF"/>
            <w:noWrap/>
            <w:vAlign w:val="center"/>
            <w:hideMark/>
          </w:tcPr>
          <w:p w14:paraId="32849CF1" w14:textId="77777777" w:rsidR="0045589E" w:rsidRPr="00213197" w:rsidRDefault="0045589E" w:rsidP="0045589E">
            <w:pPr>
              <w:rPr>
                <w:rFonts w:ascii="Arial" w:hAnsi="Arial" w:cs="Arial"/>
                <w:sz w:val="18"/>
                <w:szCs w:val="18"/>
              </w:rPr>
            </w:pPr>
            <w:r w:rsidRPr="00213197">
              <w:rPr>
                <w:rFonts w:ascii="Arial" w:hAnsi="Arial" w:cs="Arial"/>
                <w:sz w:val="18"/>
                <w:szCs w:val="18"/>
              </w:rPr>
              <w:t>37245, 55603</w:t>
            </w:r>
          </w:p>
        </w:tc>
        <w:tc>
          <w:tcPr>
            <w:tcW w:w="1017" w:type="dxa"/>
            <w:tcBorders>
              <w:top w:val="nil"/>
              <w:left w:val="nil"/>
              <w:bottom w:val="single" w:sz="4" w:space="0" w:color="000000"/>
              <w:right w:val="single" w:sz="4" w:space="0" w:color="000000"/>
            </w:tcBorders>
            <w:shd w:val="clear" w:color="000000" w:fill="FFFFFF"/>
            <w:noWrap/>
            <w:vAlign w:val="center"/>
            <w:hideMark/>
          </w:tcPr>
          <w:p w14:paraId="24858CB0"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45 </w:t>
            </w:r>
          </w:p>
        </w:tc>
        <w:tc>
          <w:tcPr>
            <w:tcW w:w="957" w:type="dxa"/>
            <w:tcBorders>
              <w:top w:val="nil"/>
              <w:left w:val="nil"/>
              <w:bottom w:val="single" w:sz="4" w:space="0" w:color="000000"/>
              <w:right w:val="single" w:sz="4" w:space="0" w:color="000000"/>
            </w:tcBorders>
            <w:shd w:val="clear" w:color="000000" w:fill="FFFFFF"/>
            <w:noWrap/>
            <w:vAlign w:val="center"/>
            <w:hideMark/>
          </w:tcPr>
          <w:p w14:paraId="32730C30"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90 </w:t>
            </w:r>
          </w:p>
        </w:tc>
        <w:tc>
          <w:tcPr>
            <w:tcW w:w="1286" w:type="dxa"/>
            <w:tcBorders>
              <w:top w:val="nil"/>
              <w:left w:val="nil"/>
              <w:bottom w:val="single" w:sz="4" w:space="0" w:color="000000"/>
              <w:right w:val="single" w:sz="4" w:space="0" w:color="000000"/>
            </w:tcBorders>
            <w:shd w:val="clear" w:color="000000" w:fill="FFFFFF"/>
            <w:noWrap/>
            <w:vAlign w:val="center"/>
            <w:hideMark/>
          </w:tcPr>
          <w:p w14:paraId="02A75586"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$61,481 </w:t>
            </w:r>
          </w:p>
        </w:tc>
        <w:tc>
          <w:tcPr>
            <w:tcW w:w="942" w:type="dxa"/>
            <w:tcBorders>
              <w:top w:val="nil"/>
              <w:left w:val="nil"/>
              <w:bottom w:val="single" w:sz="4" w:space="0" w:color="000000"/>
              <w:right w:val="single" w:sz="4" w:space="0" w:color="000000"/>
            </w:tcBorders>
            <w:shd w:val="clear" w:color="000000" w:fill="FFFFFF"/>
            <w:noWrap/>
            <w:vAlign w:val="center"/>
            <w:hideMark/>
          </w:tcPr>
          <w:p w14:paraId="68889F1D"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45 </w:t>
            </w:r>
          </w:p>
        </w:tc>
        <w:tc>
          <w:tcPr>
            <w:tcW w:w="997" w:type="dxa"/>
            <w:tcBorders>
              <w:top w:val="nil"/>
              <w:left w:val="nil"/>
              <w:bottom w:val="single" w:sz="4" w:space="0" w:color="000000"/>
              <w:right w:val="single" w:sz="4" w:space="0" w:color="000000"/>
            </w:tcBorders>
            <w:shd w:val="clear" w:color="000000" w:fill="FFFFFF"/>
            <w:noWrap/>
            <w:vAlign w:val="center"/>
            <w:hideMark/>
          </w:tcPr>
          <w:p w14:paraId="5C4D0689" w14:textId="77777777" w:rsidR="0045589E" w:rsidRPr="00213197" w:rsidRDefault="0045589E" w:rsidP="0045589E">
            <w:pPr>
              <w:jc w:val="right"/>
              <w:rPr>
                <w:rFonts w:ascii="Arial" w:hAnsi="Arial" w:cs="Arial"/>
                <w:sz w:val="18"/>
                <w:szCs w:val="18"/>
              </w:rPr>
            </w:pPr>
            <w:r>
              <w:rPr>
                <w:rFonts w:ascii="Arial" w:hAnsi="Arial" w:cs="Arial"/>
                <w:sz w:val="18"/>
                <w:szCs w:val="18"/>
              </w:rPr>
              <w:t>5</w:t>
            </w:r>
            <w:r w:rsidRPr="00213197">
              <w:rPr>
                <w:rFonts w:ascii="Arial" w:hAnsi="Arial" w:cs="Arial"/>
                <w:sz w:val="18"/>
                <w:szCs w:val="18"/>
              </w:rPr>
              <w:t xml:space="preserve">% </w:t>
            </w:r>
          </w:p>
        </w:tc>
      </w:tr>
      <w:tr w:rsidR="0045589E" w14:paraId="2F88A16E"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3A784682"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4</w:t>
            </w:r>
          </w:p>
        </w:tc>
        <w:tc>
          <w:tcPr>
            <w:tcW w:w="2143" w:type="dxa"/>
            <w:tcBorders>
              <w:top w:val="nil"/>
              <w:left w:val="nil"/>
              <w:bottom w:val="single" w:sz="4" w:space="0" w:color="auto"/>
              <w:right w:val="single" w:sz="4" w:space="0" w:color="auto"/>
            </w:tcBorders>
            <w:shd w:val="clear" w:color="000000" w:fill="FFFFFF"/>
            <w:noWrap/>
            <w:vAlign w:val="center"/>
            <w:hideMark/>
          </w:tcPr>
          <w:p w14:paraId="3335C158" w14:textId="77777777" w:rsidR="0045589E" w:rsidRPr="00213197" w:rsidRDefault="0045589E" w:rsidP="0045589E">
            <w:pPr>
              <w:rPr>
                <w:rFonts w:ascii="Arial" w:hAnsi="Arial" w:cs="Arial"/>
                <w:sz w:val="18"/>
                <w:szCs w:val="18"/>
              </w:rPr>
            </w:pPr>
            <w:r w:rsidRPr="00213197">
              <w:rPr>
                <w:rFonts w:ascii="Arial" w:hAnsi="Arial" w:cs="Arial"/>
                <w:sz w:val="18"/>
                <w:szCs w:val="18"/>
              </w:rPr>
              <w:t>37245, 36827</w:t>
            </w:r>
          </w:p>
        </w:tc>
        <w:tc>
          <w:tcPr>
            <w:tcW w:w="1017" w:type="dxa"/>
            <w:tcBorders>
              <w:top w:val="nil"/>
              <w:left w:val="nil"/>
              <w:bottom w:val="single" w:sz="4" w:space="0" w:color="000000"/>
              <w:right w:val="single" w:sz="4" w:space="0" w:color="000000"/>
            </w:tcBorders>
            <w:shd w:val="clear" w:color="000000" w:fill="FFFFFF"/>
            <w:noWrap/>
            <w:vAlign w:val="center"/>
            <w:hideMark/>
          </w:tcPr>
          <w:p w14:paraId="304717D3"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41 </w:t>
            </w:r>
          </w:p>
        </w:tc>
        <w:tc>
          <w:tcPr>
            <w:tcW w:w="957" w:type="dxa"/>
            <w:tcBorders>
              <w:top w:val="nil"/>
              <w:left w:val="nil"/>
              <w:bottom w:val="single" w:sz="4" w:space="0" w:color="000000"/>
              <w:right w:val="single" w:sz="4" w:space="0" w:color="000000"/>
            </w:tcBorders>
            <w:shd w:val="clear" w:color="000000" w:fill="FFFFFF"/>
            <w:noWrap/>
            <w:vAlign w:val="center"/>
            <w:hideMark/>
          </w:tcPr>
          <w:p w14:paraId="3269BEBD"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82 </w:t>
            </w:r>
          </w:p>
        </w:tc>
        <w:tc>
          <w:tcPr>
            <w:tcW w:w="1286" w:type="dxa"/>
            <w:tcBorders>
              <w:top w:val="nil"/>
              <w:left w:val="nil"/>
              <w:bottom w:val="single" w:sz="4" w:space="0" w:color="000000"/>
              <w:right w:val="single" w:sz="4" w:space="0" w:color="000000"/>
            </w:tcBorders>
            <w:shd w:val="clear" w:color="000000" w:fill="FFFFFF"/>
            <w:noWrap/>
            <w:vAlign w:val="center"/>
            <w:hideMark/>
          </w:tcPr>
          <w:p w14:paraId="1DC71E45"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$56,461 </w:t>
            </w:r>
          </w:p>
        </w:tc>
        <w:tc>
          <w:tcPr>
            <w:tcW w:w="942" w:type="dxa"/>
            <w:tcBorders>
              <w:top w:val="nil"/>
              <w:left w:val="nil"/>
              <w:bottom w:val="single" w:sz="4" w:space="0" w:color="000000"/>
              <w:right w:val="single" w:sz="4" w:space="0" w:color="000000"/>
            </w:tcBorders>
            <w:shd w:val="clear" w:color="000000" w:fill="FFFFFF"/>
            <w:noWrap/>
            <w:vAlign w:val="center"/>
            <w:hideMark/>
          </w:tcPr>
          <w:p w14:paraId="7AE10D16"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41 </w:t>
            </w:r>
          </w:p>
        </w:tc>
        <w:tc>
          <w:tcPr>
            <w:tcW w:w="997" w:type="dxa"/>
            <w:tcBorders>
              <w:top w:val="nil"/>
              <w:left w:val="nil"/>
              <w:bottom w:val="single" w:sz="4" w:space="0" w:color="000000"/>
              <w:right w:val="single" w:sz="4" w:space="0" w:color="000000"/>
            </w:tcBorders>
            <w:shd w:val="clear" w:color="000000" w:fill="FFFFFF"/>
            <w:noWrap/>
            <w:vAlign w:val="center"/>
            <w:hideMark/>
          </w:tcPr>
          <w:p w14:paraId="26C004E6" w14:textId="77777777" w:rsidR="0045589E" w:rsidRPr="00213197" w:rsidRDefault="0045589E" w:rsidP="0045589E">
            <w:pPr>
              <w:jc w:val="right"/>
              <w:rPr>
                <w:rFonts w:ascii="Arial" w:hAnsi="Arial" w:cs="Arial"/>
                <w:sz w:val="18"/>
                <w:szCs w:val="18"/>
              </w:rPr>
            </w:pPr>
            <w:r>
              <w:rPr>
                <w:rFonts w:ascii="Arial" w:hAnsi="Arial" w:cs="Arial"/>
                <w:sz w:val="18"/>
                <w:szCs w:val="18"/>
              </w:rPr>
              <w:t>5</w:t>
            </w:r>
            <w:r w:rsidRPr="00213197">
              <w:rPr>
                <w:rFonts w:ascii="Arial" w:hAnsi="Arial" w:cs="Arial"/>
                <w:sz w:val="18"/>
                <w:szCs w:val="18"/>
              </w:rPr>
              <w:t xml:space="preserve">% </w:t>
            </w:r>
          </w:p>
        </w:tc>
      </w:tr>
      <w:tr w:rsidR="0045589E" w14:paraId="668A41FC"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27A5C371"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5</w:t>
            </w:r>
          </w:p>
        </w:tc>
        <w:tc>
          <w:tcPr>
            <w:tcW w:w="2143" w:type="dxa"/>
            <w:tcBorders>
              <w:top w:val="nil"/>
              <w:left w:val="nil"/>
              <w:bottom w:val="single" w:sz="4" w:space="0" w:color="auto"/>
              <w:right w:val="single" w:sz="4" w:space="0" w:color="auto"/>
            </w:tcBorders>
            <w:shd w:val="clear" w:color="000000" w:fill="FFFFFF"/>
            <w:noWrap/>
            <w:vAlign w:val="center"/>
            <w:hideMark/>
          </w:tcPr>
          <w:p w14:paraId="1D478EA9" w14:textId="77777777" w:rsidR="0045589E" w:rsidRPr="00213197" w:rsidRDefault="0045589E" w:rsidP="0045589E">
            <w:pPr>
              <w:rPr>
                <w:rFonts w:ascii="Arial" w:hAnsi="Arial" w:cs="Arial"/>
                <w:sz w:val="18"/>
                <w:szCs w:val="18"/>
              </w:rPr>
            </w:pPr>
            <w:r w:rsidRPr="00213197">
              <w:rPr>
                <w:rFonts w:ascii="Arial" w:hAnsi="Arial" w:cs="Arial"/>
                <w:sz w:val="18"/>
                <w:szCs w:val="18"/>
              </w:rPr>
              <w:t>37245, 37011</w:t>
            </w:r>
          </w:p>
        </w:tc>
        <w:tc>
          <w:tcPr>
            <w:tcW w:w="1017" w:type="dxa"/>
            <w:tcBorders>
              <w:top w:val="nil"/>
              <w:left w:val="nil"/>
              <w:bottom w:val="single" w:sz="4" w:space="0" w:color="000000"/>
              <w:right w:val="single" w:sz="4" w:space="0" w:color="000000"/>
            </w:tcBorders>
            <w:shd w:val="clear" w:color="000000" w:fill="FFFFFF"/>
            <w:noWrap/>
            <w:vAlign w:val="center"/>
            <w:hideMark/>
          </w:tcPr>
          <w:p w14:paraId="5D389D3E"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20 </w:t>
            </w:r>
          </w:p>
        </w:tc>
        <w:tc>
          <w:tcPr>
            <w:tcW w:w="957" w:type="dxa"/>
            <w:tcBorders>
              <w:top w:val="nil"/>
              <w:left w:val="nil"/>
              <w:bottom w:val="single" w:sz="4" w:space="0" w:color="000000"/>
              <w:right w:val="single" w:sz="4" w:space="0" w:color="000000"/>
            </w:tcBorders>
            <w:shd w:val="clear" w:color="000000" w:fill="FFFFFF"/>
            <w:noWrap/>
            <w:vAlign w:val="center"/>
            <w:hideMark/>
          </w:tcPr>
          <w:p w14:paraId="5FF54809"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40 </w:t>
            </w:r>
          </w:p>
        </w:tc>
        <w:tc>
          <w:tcPr>
            <w:tcW w:w="1286" w:type="dxa"/>
            <w:tcBorders>
              <w:top w:val="nil"/>
              <w:left w:val="nil"/>
              <w:bottom w:val="single" w:sz="4" w:space="0" w:color="000000"/>
              <w:right w:val="single" w:sz="4" w:space="0" w:color="000000"/>
            </w:tcBorders>
            <w:shd w:val="clear" w:color="000000" w:fill="FFFFFF"/>
            <w:noWrap/>
            <w:vAlign w:val="center"/>
            <w:hideMark/>
          </w:tcPr>
          <w:p w14:paraId="5FD96C6A"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$26,177 </w:t>
            </w:r>
          </w:p>
        </w:tc>
        <w:tc>
          <w:tcPr>
            <w:tcW w:w="942" w:type="dxa"/>
            <w:tcBorders>
              <w:top w:val="nil"/>
              <w:left w:val="nil"/>
              <w:bottom w:val="single" w:sz="4" w:space="0" w:color="000000"/>
              <w:right w:val="single" w:sz="4" w:space="0" w:color="000000"/>
            </w:tcBorders>
            <w:shd w:val="clear" w:color="000000" w:fill="FFFFFF"/>
            <w:noWrap/>
            <w:vAlign w:val="center"/>
            <w:hideMark/>
          </w:tcPr>
          <w:p w14:paraId="332114F8"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20 </w:t>
            </w:r>
          </w:p>
        </w:tc>
        <w:tc>
          <w:tcPr>
            <w:tcW w:w="997" w:type="dxa"/>
            <w:tcBorders>
              <w:top w:val="nil"/>
              <w:left w:val="nil"/>
              <w:bottom w:val="single" w:sz="4" w:space="0" w:color="000000"/>
              <w:right w:val="single" w:sz="4" w:space="0" w:color="000000"/>
            </w:tcBorders>
            <w:shd w:val="clear" w:color="000000" w:fill="FFFFFF"/>
            <w:noWrap/>
            <w:vAlign w:val="center"/>
            <w:hideMark/>
          </w:tcPr>
          <w:p w14:paraId="172E4E9B" w14:textId="77777777" w:rsidR="0045589E" w:rsidRPr="00213197" w:rsidRDefault="0045589E" w:rsidP="0045589E">
            <w:pPr>
              <w:jc w:val="right"/>
              <w:rPr>
                <w:rFonts w:ascii="Arial" w:hAnsi="Arial" w:cs="Arial"/>
                <w:sz w:val="18"/>
                <w:szCs w:val="18"/>
              </w:rPr>
            </w:pPr>
            <w:r>
              <w:rPr>
                <w:rFonts w:ascii="Arial" w:hAnsi="Arial" w:cs="Arial"/>
                <w:sz w:val="18"/>
                <w:szCs w:val="18"/>
              </w:rPr>
              <w:t>2</w:t>
            </w:r>
            <w:r w:rsidRPr="00213197">
              <w:rPr>
                <w:rFonts w:ascii="Arial" w:hAnsi="Arial" w:cs="Arial"/>
                <w:sz w:val="18"/>
                <w:szCs w:val="18"/>
              </w:rPr>
              <w:t xml:space="preserve">% </w:t>
            </w:r>
          </w:p>
        </w:tc>
      </w:tr>
      <w:tr w:rsidR="0045589E" w14:paraId="335C72B0"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61124ACB"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6</w:t>
            </w:r>
          </w:p>
        </w:tc>
        <w:tc>
          <w:tcPr>
            <w:tcW w:w="2143" w:type="dxa"/>
            <w:tcBorders>
              <w:top w:val="nil"/>
              <w:left w:val="nil"/>
              <w:bottom w:val="single" w:sz="4" w:space="0" w:color="auto"/>
              <w:right w:val="single" w:sz="4" w:space="0" w:color="auto"/>
            </w:tcBorders>
            <w:shd w:val="clear" w:color="000000" w:fill="FFFFFF"/>
            <w:noWrap/>
            <w:vAlign w:val="center"/>
            <w:hideMark/>
          </w:tcPr>
          <w:p w14:paraId="15CC3D51" w14:textId="77777777" w:rsidR="0045589E" w:rsidRPr="00213197" w:rsidRDefault="0045589E" w:rsidP="0045589E">
            <w:pPr>
              <w:rPr>
                <w:rFonts w:ascii="Arial" w:hAnsi="Arial" w:cs="Arial"/>
                <w:sz w:val="18"/>
                <w:szCs w:val="18"/>
              </w:rPr>
            </w:pPr>
            <w:r w:rsidRPr="00213197">
              <w:rPr>
                <w:rFonts w:ascii="Arial" w:hAnsi="Arial" w:cs="Arial"/>
                <w:sz w:val="18"/>
                <w:szCs w:val="18"/>
              </w:rPr>
              <w:t>37245, 36863</w:t>
            </w:r>
          </w:p>
        </w:tc>
        <w:tc>
          <w:tcPr>
            <w:tcW w:w="1017" w:type="dxa"/>
            <w:tcBorders>
              <w:top w:val="nil"/>
              <w:left w:val="nil"/>
              <w:bottom w:val="single" w:sz="4" w:space="0" w:color="000000"/>
              <w:right w:val="single" w:sz="4" w:space="0" w:color="000000"/>
            </w:tcBorders>
            <w:shd w:val="clear" w:color="000000" w:fill="FFFFFF"/>
            <w:noWrap/>
            <w:vAlign w:val="center"/>
            <w:hideMark/>
          </w:tcPr>
          <w:p w14:paraId="575911A9"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16 </w:t>
            </w:r>
          </w:p>
        </w:tc>
        <w:tc>
          <w:tcPr>
            <w:tcW w:w="957" w:type="dxa"/>
            <w:tcBorders>
              <w:top w:val="nil"/>
              <w:left w:val="nil"/>
              <w:bottom w:val="single" w:sz="4" w:space="0" w:color="000000"/>
              <w:right w:val="single" w:sz="4" w:space="0" w:color="000000"/>
            </w:tcBorders>
            <w:shd w:val="clear" w:color="000000" w:fill="FFFFFF"/>
            <w:noWrap/>
            <w:vAlign w:val="center"/>
            <w:hideMark/>
          </w:tcPr>
          <w:p w14:paraId="0F0753F1"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32 </w:t>
            </w:r>
          </w:p>
        </w:tc>
        <w:tc>
          <w:tcPr>
            <w:tcW w:w="1286" w:type="dxa"/>
            <w:tcBorders>
              <w:top w:val="nil"/>
              <w:left w:val="nil"/>
              <w:bottom w:val="single" w:sz="4" w:space="0" w:color="000000"/>
              <w:right w:val="single" w:sz="4" w:space="0" w:color="000000"/>
            </w:tcBorders>
            <w:shd w:val="clear" w:color="000000" w:fill="FFFFFF"/>
            <w:noWrap/>
            <w:vAlign w:val="center"/>
            <w:hideMark/>
          </w:tcPr>
          <w:p w14:paraId="272C0C55"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$23,926 </w:t>
            </w:r>
          </w:p>
        </w:tc>
        <w:tc>
          <w:tcPr>
            <w:tcW w:w="942" w:type="dxa"/>
            <w:tcBorders>
              <w:top w:val="nil"/>
              <w:left w:val="nil"/>
              <w:bottom w:val="single" w:sz="4" w:space="0" w:color="000000"/>
              <w:right w:val="single" w:sz="4" w:space="0" w:color="000000"/>
            </w:tcBorders>
            <w:shd w:val="clear" w:color="000000" w:fill="FFFFFF"/>
            <w:noWrap/>
            <w:vAlign w:val="center"/>
            <w:hideMark/>
          </w:tcPr>
          <w:p w14:paraId="5FE1F32A"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16 </w:t>
            </w:r>
          </w:p>
        </w:tc>
        <w:tc>
          <w:tcPr>
            <w:tcW w:w="997" w:type="dxa"/>
            <w:tcBorders>
              <w:top w:val="nil"/>
              <w:left w:val="nil"/>
              <w:bottom w:val="single" w:sz="4" w:space="0" w:color="000000"/>
              <w:right w:val="single" w:sz="4" w:space="0" w:color="000000"/>
            </w:tcBorders>
            <w:shd w:val="clear" w:color="000000" w:fill="FFFFFF"/>
            <w:noWrap/>
            <w:vAlign w:val="center"/>
            <w:hideMark/>
          </w:tcPr>
          <w:p w14:paraId="7A3A8DBD" w14:textId="77777777" w:rsidR="0045589E" w:rsidRPr="00213197" w:rsidRDefault="0045589E" w:rsidP="0045589E">
            <w:pPr>
              <w:jc w:val="right"/>
              <w:rPr>
                <w:rFonts w:ascii="Arial" w:hAnsi="Arial" w:cs="Arial"/>
                <w:sz w:val="18"/>
                <w:szCs w:val="18"/>
              </w:rPr>
            </w:pPr>
            <w:r>
              <w:rPr>
                <w:rFonts w:ascii="Arial" w:hAnsi="Arial" w:cs="Arial"/>
                <w:sz w:val="18"/>
                <w:szCs w:val="18"/>
              </w:rPr>
              <w:t>2</w:t>
            </w:r>
            <w:r w:rsidRPr="00213197">
              <w:rPr>
                <w:rFonts w:ascii="Arial" w:hAnsi="Arial" w:cs="Arial"/>
                <w:sz w:val="18"/>
                <w:szCs w:val="18"/>
              </w:rPr>
              <w:t xml:space="preserve">% </w:t>
            </w:r>
          </w:p>
        </w:tc>
      </w:tr>
      <w:tr w:rsidR="0045589E" w14:paraId="0BD91AA3"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7CA89A7B"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7</w:t>
            </w:r>
          </w:p>
        </w:tc>
        <w:tc>
          <w:tcPr>
            <w:tcW w:w="2143" w:type="dxa"/>
            <w:tcBorders>
              <w:top w:val="nil"/>
              <w:left w:val="nil"/>
              <w:bottom w:val="single" w:sz="4" w:space="0" w:color="auto"/>
              <w:right w:val="single" w:sz="4" w:space="0" w:color="auto"/>
            </w:tcBorders>
            <w:shd w:val="clear" w:color="000000" w:fill="FFFFFF"/>
            <w:noWrap/>
            <w:vAlign w:val="center"/>
            <w:hideMark/>
          </w:tcPr>
          <w:p w14:paraId="6B3B6B00" w14:textId="77777777" w:rsidR="0045589E" w:rsidRPr="00213197" w:rsidRDefault="0045589E" w:rsidP="0045589E">
            <w:pPr>
              <w:rPr>
                <w:rFonts w:ascii="Arial" w:hAnsi="Arial" w:cs="Arial"/>
                <w:sz w:val="18"/>
                <w:szCs w:val="18"/>
              </w:rPr>
            </w:pPr>
            <w:r w:rsidRPr="00213197">
              <w:rPr>
                <w:rFonts w:ascii="Arial" w:hAnsi="Arial" w:cs="Arial"/>
                <w:sz w:val="18"/>
                <w:szCs w:val="18"/>
              </w:rPr>
              <w:t>37245, 36811</w:t>
            </w:r>
          </w:p>
        </w:tc>
        <w:tc>
          <w:tcPr>
            <w:tcW w:w="1017" w:type="dxa"/>
            <w:tcBorders>
              <w:top w:val="nil"/>
              <w:left w:val="nil"/>
              <w:bottom w:val="single" w:sz="4" w:space="0" w:color="000000"/>
              <w:right w:val="single" w:sz="4" w:space="0" w:color="000000"/>
            </w:tcBorders>
            <w:shd w:val="clear" w:color="000000" w:fill="FFFFFF"/>
            <w:noWrap/>
            <w:vAlign w:val="center"/>
            <w:hideMark/>
          </w:tcPr>
          <w:p w14:paraId="6184C4AD"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9 </w:t>
            </w:r>
          </w:p>
        </w:tc>
        <w:tc>
          <w:tcPr>
            <w:tcW w:w="957" w:type="dxa"/>
            <w:tcBorders>
              <w:top w:val="nil"/>
              <w:left w:val="nil"/>
              <w:bottom w:val="single" w:sz="4" w:space="0" w:color="000000"/>
              <w:right w:val="single" w:sz="4" w:space="0" w:color="000000"/>
            </w:tcBorders>
            <w:shd w:val="clear" w:color="000000" w:fill="FFFFFF"/>
            <w:noWrap/>
            <w:vAlign w:val="center"/>
            <w:hideMark/>
          </w:tcPr>
          <w:p w14:paraId="3D7A0D6B"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18 </w:t>
            </w:r>
          </w:p>
        </w:tc>
        <w:tc>
          <w:tcPr>
            <w:tcW w:w="1286" w:type="dxa"/>
            <w:tcBorders>
              <w:top w:val="nil"/>
              <w:left w:val="nil"/>
              <w:bottom w:val="single" w:sz="4" w:space="0" w:color="000000"/>
              <w:right w:val="single" w:sz="4" w:space="0" w:color="000000"/>
            </w:tcBorders>
            <w:shd w:val="clear" w:color="000000" w:fill="FFFFFF"/>
            <w:noWrap/>
            <w:vAlign w:val="center"/>
            <w:hideMark/>
          </w:tcPr>
          <w:p w14:paraId="0E61A348"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$12,815 </w:t>
            </w:r>
          </w:p>
        </w:tc>
        <w:tc>
          <w:tcPr>
            <w:tcW w:w="942" w:type="dxa"/>
            <w:tcBorders>
              <w:top w:val="nil"/>
              <w:left w:val="nil"/>
              <w:bottom w:val="single" w:sz="4" w:space="0" w:color="000000"/>
              <w:right w:val="single" w:sz="4" w:space="0" w:color="000000"/>
            </w:tcBorders>
            <w:shd w:val="clear" w:color="000000" w:fill="FFFFFF"/>
            <w:noWrap/>
            <w:vAlign w:val="center"/>
            <w:hideMark/>
          </w:tcPr>
          <w:p w14:paraId="52C1B9BA"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9 </w:t>
            </w:r>
          </w:p>
        </w:tc>
        <w:tc>
          <w:tcPr>
            <w:tcW w:w="997" w:type="dxa"/>
            <w:tcBorders>
              <w:top w:val="nil"/>
              <w:left w:val="nil"/>
              <w:bottom w:val="single" w:sz="4" w:space="0" w:color="000000"/>
              <w:right w:val="single" w:sz="4" w:space="0" w:color="000000"/>
            </w:tcBorders>
            <w:shd w:val="clear" w:color="000000" w:fill="FFFFFF"/>
            <w:noWrap/>
            <w:vAlign w:val="center"/>
            <w:hideMark/>
          </w:tcPr>
          <w:p w14:paraId="6CFEF3BA" w14:textId="77777777" w:rsidR="0045589E" w:rsidRPr="00213197" w:rsidRDefault="0045589E" w:rsidP="0045589E">
            <w:pPr>
              <w:jc w:val="right"/>
              <w:rPr>
                <w:rFonts w:ascii="Arial" w:hAnsi="Arial" w:cs="Arial"/>
                <w:sz w:val="18"/>
                <w:szCs w:val="18"/>
              </w:rPr>
            </w:pPr>
            <w:r>
              <w:rPr>
                <w:rFonts w:ascii="Arial" w:hAnsi="Arial" w:cs="Arial"/>
                <w:sz w:val="18"/>
                <w:szCs w:val="18"/>
              </w:rPr>
              <w:t>1</w:t>
            </w:r>
            <w:r w:rsidRPr="00213197">
              <w:rPr>
                <w:rFonts w:ascii="Arial" w:hAnsi="Arial" w:cs="Arial"/>
                <w:sz w:val="18"/>
                <w:szCs w:val="18"/>
              </w:rPr>
              <w:t xml:space="preserve">% </w:t>
            </w:r>
          </w:p>
        </w:tc>
      </w:tr>
      <w:tr w:rsidR="0045589E" w14:paraId="76104FFD" w14:textId="77777777" w:rsidTr="0045589E">
        <w:trPr>
          <w:trHeight w:val="300"/>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14:paraId="22DFA0A1"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8</w:t>
            </w:r>
          </w:p>
        </w:tc>
        <w:tc>
          <w:tcPr>
            <w:tcW w:w="2143" w:type="dxa"/>
            <w:tcBorders>
              <w:top w:val="nil"/>
              <w:left w:val="nil"/>
              <w:bottom w:val="single" w:sz="4" w:space="0" w:color="auto"/>
              <w:right w:val="single" w:sz="4" w:space="0" w:color="auto"/>
            </w:tcBorders>
            <w:shd w:val="clear" w:color="000000" w:fill="FFFFFF"/>
            <w:noWrap/>
            <w:vAlign w:val="center"/>
            <w:hideMark/>
          </w:tcPr>
          <w:p w14:paraId="782209EA" w14:textId="77777777" w:rsidR="0045589E" w:rsidRPr="00213197" w:rsidRDefault="0045589E" w:rsidP="0045589E">
            <w:pPr>
              <w:rPr>
                <w:rFonts w:ascii="Arial" w:hAnsi="Arial" w:cs="Arial"/>
                <w:sz w:val="18"/>
                <w:szCs w:val="18"/>
              </w:rPr>
            </w:pPr>
            <w:r>
              <w:rPr>
                <w:rFonts w:ascii="Arial" w:hAnsi="Arial" w:cs="Arial"/>
                <w:sz w:val="18"/>
                <w:szCs w:val="18"/>
              </w:rPr>
              <w:t xml:space="preserve">37245, </w:t>
            </w:r>
            <w:r w:rsidRPr="00213197">
              <w:rPr>
                <w:rFonts w:ascii="Arial" w:hAnsi="Arial" w:cs="Arial"/>
                <w:sz w:val="18"/>
                <w:szCs w:val="18"/>
              </w:rPr>
              <w:t>105,</w:t>
            </w:r>
            <w:r>
              <w:rPr>
                <w:rFonts w:ascii="Arial" w:hAnsi="Arial" w:cs="Arial"/>
                <w:sz w:val="18"/>
                <w:szCs w:val="18"/>
              </w:rPr>
              <w:t xml:space="preserve"> </w:t>
            </w:r>
            <w:r w:rsidRPr="00213197">
              <w:rPr>
                <w:rFonts w:ascii="Arial" w:hAnsi="Arial" w:cs="Arial"/>
                <w:sz w:val="18"/>
                <w:szCs w:val="18"/>
              </w:rPr>
              <w:t>36863</w:t>
            </w:r>
          </w:p>
        </w:tc>
        <w:tc>
          <w:tcPr>
            <w:tcW w:w="1017" w:type="dxa"/>
            <w:tcBorders>
              <w:top w:val="nil"/>
              <w:left w:val="nil"/>
              <w:bottom w:val="single" w:sz="4" w:space="0" w:color="000000"/>
              <w:right w:val="single" w:sz="4" w:space="0" w:color="000000"/>
            </w:tcBorders>
            <w:shd w:val="clear" w:color="000000" w:fill="FFFFFF"/>
            <w:noWrap/>
            <w:vAlign w:val="center"/>
            <w:hideMark/>
          </w:tcPr>
          <w:p w14:paraId="4CE35682"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8 </w:t>
            </w:r>
          </w:p>
        </w:tc>
        <w:tc>
          <w:tcPr>
            <w:tcW w:w="957" w:type="dxa"/>
            <w:tcBorders>
              <w:top w:val="nil"/>
              <w:left w:val="nil"/>
              <w:bottom w:val="single" w:sz="4" w:space="0" w:color="000000"/>
              <w:right w:val="single" w:sz="4" w:space="0" w:color="000000"/>
            </w:tcBorders>
            <w:shd w:val="clear" w:color="000000" w:fill="FFFFFF"/>
            <w:noWrap/>
            <w:vAlign w:val="center"/>
            <w:hideMark/>
          </w:tcPr>
          <w:p w14:paraId="487AA6D9"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24 </w:t>
            </w:r>
          </w:p>
        </w:tc>
        <w:tc>
          <w:tcPr>
            <w:tcW w:w="1286" w:type="dxa"/>
            <w:tcBorders>
              <w:top w:val="nil"/>
              <w:left w:val="nil"/>
              <w:bottom w:val="single" w:sz="4" w:space="0" w:color="000000"/>
              <w:right w:val="single" w:sz="4" w:space="0" w:color="000000"/>
            </w:tcBorders>
            <w:shd w:val="clear" w:color="000000" w:fill="FFFFFF"/>
            <w:noWrap/>
            <w:vAlign w:val="center"/>
            <w:hideMark/>
          </w:tcPr>
          <w:p w14:paraId="245FA2B5"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$12,307 </w:t>
            </w:r>
          </w:p>
        </w:tc>
        <w:tc>
          <w:tcPr>
            <w:tcW w:w="942" w:type="dxa"/>
            <w:tcBorders>
              <w:top w:val="nil"/>
              <w:left w:val="nil"/>
              <w:bottom w:val="single" w:sz="4" w:space="0" w:color="000000"/>
              <w:right w:val="single" w:sz="4" w:space="0" w:color="000000"/>
            </w:tcBorders>
            <w:shd w:val="clear" w:color="000000" w:fill="FFFFFF"/>
            <w:noWrap/>
            <w:vAlign w:val="center"/>
            <w:hideMark/>
          </w:tcPr>
          <w:p w14:paraId="03F1C55C" w14:textId="77777777" w:rsidR="0045589E" w:rsidRPr="00213197" w:rsidRDefault="0045589E" w:rsidP="0045589E">
            <w:pPr>
              <w:jc w:val="right"/>
              <w:rPr>
                <w:rFonts w:ascii="Arial" w:hAnsi="Arial" w:cs="Arial"/>
                <w:sz w:val="18"/>
                <w:szCs w:val="18"/>
              </w:rPr>
            </w:pPr>
            <w:r w:rsidRPr="00213197">
              <w:rPr>
                <w:rFonts w:ascii="Arial" w:hAnsi="Arial" w:cs="Arial"/>
                <w:sz w:val="18"/>
                <w:szCs w:val="18"/>
              </w:rPr>
              <w:t xml:space="preserve">8 </w:t>
            </w:r>
          </w:p>
        </w:tc>
        <w:tc>
          <w:tcPr>
            <w:tcW w:w="997" w:type="dxa"/>
            <w:tcBorders>
              <w:top w:val="nil"/>
              <w:left w:val="nil"/>
              <w:bottom w:val="single" w:sz="4" w:space="0" w:color="000000"/>
              <w:right w:val="single" w:sz="4" w:space="0" w:color="000000"/>
            </w:tcBorders>
            <w:shd w:val="clear" w:color="000000" w:fill="FFFFFF"/>
            <w:noWrap/>
            <w:vAlign w:val="center"/>
            <w:hideMark/>
          </w:tcPr>
          <w:p w14:paraId="6D2D1876" w14:textId="77777777" w:rsidR="0045589E" w:rsidRPr="00213197" w:rsidRDefault="0045589E" w:rsidP="0045589E">
            <w:pPr>
              <w:jc w:val="right"/>
              <w:rPr>
                <w:rFonts w:ascii="Arial" w:hAnsi="Arial" w:cs="Arial"/>
                <w:sz w:val="18"/>
                <w:szCs w:val="18"/>
              </w:rPr>
            </w:pPr>
            <w:r>
              <w:rPr>
                <w:rFonts w:ascii="Arial" w:hAnsi="Arial" w:cs="Arial"/>
                <w:sz w:val="18"/>
                <w:szCs w:val="18"/>
              </w:rPr>
              <w:t>1</w:t>
            </w:r>
            <w:r w:rsidRPr="00213197">
              <w:rPr>
                <w:rFonts w:ascii="Arial" w:hAnsi="Arial" w:cs="Arial"/>
                <w:sz w:val="18"/>
                <w:szCs w:val="18"/>
              </w:rPr>
              <w:t xml:space="preserve">% </w:t>
            </w:r>
          </w:p>
        </w:tc>
      </w:tr>
    </w:tbl>
    <w:p w14:paraId="38873DA1" w14:textId="6F451EE6" w:rsidR="0045589E" w:rsidRPr="00B75127" w:rsidRDefault="0045589E" w:rsidP="00B75127">
      <w:pPr>
        <w:rPr>
          <w:rFonts w:ascii="Arial Narrow" w:hAnsi="Arial Narrow"/>
          <w:i/>
          <w:sz w:val="20"/>
        </w:rPr>
      </w:pPr>
      <w:r w:rsidRPr="00B75127">
        <w:rPr>
          <w:rFonts w:ascii="Arial Narrow" w:hAnsi="Arial Narrow"/>
          <w:i/>
          <w:sz w:val="20"/>
        </w:rPr>
        <w:t>Source for Tables 7-10: Department of Health, Medical Benefits Division, Primary Care and Diagnostics Branch, MBS Analytics Section</w:t>
      </w:r>
    </w:p>
    <w:p w14:paraId="42A4BC07" w14:textId="3EBE2340" w:rsidR="00A91AFD" w:rsidRDefault="004E015F" w:rsidP="00036C20">
      <w:pPr>
        <w:pStyle w:val="Heading2"/>
      </w:pPr>
      <w:r>
        <w:t>Data on fee charged</w:t>
      </w:r>
    </w:p>
    <w:p w14:paraId="3CC5321A" w14:textId="49BF4BD9" w:rsidR="009D08F8" w:rsidRPr="00396F1D" w:rsidRDefault="0045589E" w:rsidP="00143CD0">
      <w:pPr>
        <w:spacing w:after="240"/>
      </w:pPr>
      <w:r w:rsidRPr="00396F1D">
        <w:t>The information provided on fees below is a snapshot of how the item is being claimed in practice. Data has not been printed for states and territories with low service volumes.</w:t>
      </w:r>
    </w:p>
    <w:p w14:paraId="6CFE22A8" w14:textId="53F22B91" w:rsidR="0045589E" w:rsidRPr="00396F1D" w:rsidRDefault="0045589E" w:rsidP="00143CD0">
      <w:pPr>
        <w:spacing w:after="240"/>
        <w:rPr>
          <w:color w:val="000000" w:themeColor="text1"/>
        </w:rPr>
      </w:pPr>
      <w:r w:rsidRPr="00396F1D">
        <w:rPr>
          <w:color w:val="000000" w:themeColor="text1"/>
        </w:rPr>
        <w:t>The 75% benefit for item 37245 is $946.65.</w:t>
      </w:r>
    </w:p>
    <w:p w14:paraId="30455D00" w14:textId="31B1E1BF" w:rsidR="0045589E" w:rsidRDefault="0045589E" w:rsidP="00143CD0">
      <w:pPr>
        <w:spacing w:after="240"/>
        <w:rPr>
          <w:color w:val="000000" w:themeColor="text1"/>
        </w:rPr>
      </w:pPr>
      <w:r w:rsidRPr="00396F1D">
        <w:rPr>
          <w:color w:val="000000" w:themeColor="text1"/>
        </w:rPr>
        <w:t xml:space="preserve">The </w:t>
      </w:r>
      <w:r>
        <w:rPr>
          <w:color w:val="000000" w:themeColor="text1"/>
        </w:rPr>
        <w:t xml:space="preserve">national </w:t>
      </w:r>
      <w:r w:rsidRPr="00396F1D">
        <w:rPr>
          <w:color w:val="000000" w:themeColor="text1"/>
        </w:rPr>
        <w:t>average fee charged for item 3724</w:t>
      </w:r>
      <w:r>
        <w:rPr>
          <w:color w:val="000000" w:themeColor="text1"/>
        </w:rPr>
        <w:t>5</w:t>
      </w:r>
      <w:r w:rsidRPr="00396F1D">
        <w:rPr>
          <w:color w:val="000000" w:themeColor="text1"/>
        </w:rPr>
        <w:t xml:space="preserve"> </w:t>
      </w:r>
      <w:r>
        <w:rPr>
          <w:color w:val="000000" w:themeColor="text1"/>
        </w:rPr>
        <w:t>has remained relatively stable</w:t>
      </w:r>
      <w:r w:rsidRPr="00396F1D">
        <w:rPr>
          <w:color w:val="000000" w:themeColor="text1"/>
        </w:rPr>
        <w:t xml:space="preserve"> (Table 4).  </w:t>
      </w:r>
      <w:r>
        <w:rPr>
          <w:color w:val="000000" w:themeColor="text1"/>
        </w:rPr>
        <w:t>In 2016-17 ACT was</w:t>
      </w:r>
      <w:r w:rsidRPr="00396F1D">
        <w:rPr>
          <w:color w:val="000000" w:themeColor="text1"/>
        </w:rPr>
        <w:t xml:space="preserve"> the state/territory with the highest average fee charged of $3043.65.</w:t>
      </w:r>
      <w:r>
        <w:rPr>
          <w:color w:val="000000" w:themeColor="text1"/>
        </w:rPr>
        <w:t xml:space="preserve"> NSW is the state/territory with the greatest disparity between 25</w:t>
      </w:r>
      <w:r w:rsidRPr="00AF3E9F">
        <w:rPr>
          <w:color w:val="000000" w:themeColor="text1"/>
          <w:vertAlign w:val="superscript"/>
        </w:rPr>
        <w:t>th</w:t>
      </w:r>
      <w:r>
        <w:rPr>
          <w:color w:val="000000" w:themeColor="text1"/>
        </w:rPr>
        <w:t xml:space="preserve"> and 95</w:t>
      </w:r>
      <w:r w:rsidRPr="00AF3E9F">
        <w:rPr>
          <w:color w:val="000000" w:themeColor="text1"/>
          <w:vertAlign w:val="superscript"/>
        </w:rPr>
        <w:t>th</w:t>
      </w:r>
      <w:r>
        <w:rPr>
          <w:color w:val="000000" w:themeColor="text1"/>
        </w:rPr>
        <w:t xml:space="preserve"> percentile fees charged (Table 2), as well as highest volume of claims (Table 1).</w:t>
      </w:r>
    </w:p>
    <w:p w14:paraId="5449F981" w14:textId="5388E103" w:rsidR="0045589E" w:rsidRDefault="0045589E" w:rsidP="00143CD0">
      <w:pPr>
        <w:spacing w:after="240"/>
        <w:rPr>
          <w:color w:val="000000" w:themeColor="text1"/>
        </w:rPr>
      </w:pPr>
      <w:r>
        <w:rPr>
          <w:color w:val="000000" w:themeColor="text1"/>
        </w:rPr>
        <w:t>The</w:t>
      </w:r>
      <w:r w:rsidRPr="00396F1D">
        <w:rPr>
          <w:color w:val="000000" w:themeColor="text1"/>
        </w:rPr>
        <w:t xml:space="preserve"> states/territories which have seen an increased average fee </w:t>
      </w:r>
      <w:r>
        <w:rPr>
          <w:color w:val="000000" w:themeColor="text1"/>
        </w:rPr>
        <w:t xml:space="preserve">over 3 years </w:t>
      </w:r>
      <w:r w:rsidRPr="00396F1D">
        <w:rPr>
          <w:color w:val="000000" w:themeColor="text1"/>
        </w:rPr>
        <w:t xml:space="preserve">since 2014-15 are Vic </w:t>
      </w:r>
      <w:r>
        <w:rPr>
          <w:color w:val="000000" w:themeColor="text1"/>
        </w:rPr>
        <w:t>by</w:t>
      </w:r>
      <w:r w:rsidRPr="00396F1D">
        <w:rPr>
          <w:color w:val="000000" w:themeColor="text1"/>
        </w:rPr>
        <w:t xml:space="preserve"> $49.69, WA with </w:t>
      </w:r>
      <w:r>
        <w:rPr>
          <w:color w:val="000000" w:themeColor="text1"/>
        </w:rPr>
        <w:t>by</w:t>
      </w:r>
      <w:r w:rsidRPr="00396F1D">
        <w:rPr>
          <w:color w:val="000000" w:themeColor="text1"/>
        </w:rPr>
        <w:t xml:space="preserve"> $804.35 and ACT </w:t>
      </w:r>
      <w:r>
        <w:rPr>
          <w:color w:val="000000" w:themeColor="text1"/>
        </w:rPr>
        <w:t>by</w:t>
      </w:r>
      <w:r w:rsidRPr="00396F1D">
        <w:rPr>
          <w:color w:val="000000" w:themeColor="text1"/>
        </w:rPr>
        <w:t xml:space="preserve"> $134.28. </w:t>
      </w:r>
    </w:p>
    <w:p w14:paraId="4EC9BFBC" w14:textId="3B81F2C0" w:rsidR="0045589E" w:rsidRPr="00143CD0" w:rsidRDefault="0045589E" w:rsidP="0045589E">
      <w:pPr>
        <w:rPr>
          <w:color w:val="000000" w:themeColor="text1"/>
        </w:rPr>
      </w:pPr>
      <w:r w:rsidRPr="00396F1D">
        <w:rPr>
          <w:color w:val="000000" w:themeColor="text1"/>
        </w:rPr>
        <w:t xml:space="preserve">Services are </w:t>
      </w:r>
      <w:r>
        <w:rPr>
          <w:color w:val="000000" w:themeColor="text1"/>
        </w:rPr>
        <w:t>rarely bulk billed.</w:t>
      </w:r>
      <w:r>
        <w:rPr>
          <w:color w:val="000000" w:themeColor="text1"/>
        </w:rPr>
        <w:br w:type="page"/>
      </w:r>
      <w:r w:rsidRPr="0045589E">
        <w:rPr>
          <w:b/>
          <w:sz w:val="20"/>
        </w:rPr>
        <w:lastRenderedPageBreak/>
        <w:t xml:space="preserve">Table </w:t>
      </w:r>
      <w:r w:rsidR="006A4D42">
        <w:rPr>
          <w:b/>
          <w:sz w:val="20"/>
        </w:rPr>
        <w:t>10</w:t>
      </w:r>
      <w:r w:rsidRPr="0045589E">
        <w:rPr>
          <w:b/>
          <w:sz w:val="20"/>
        </w:rPr>
        <w:t>: Statistics on fees charged for MBS item 37245 for 2014-15 to 2016-17 by date of service</w:t>
      </w:r>
    </w:p>
    <w:tbl>
      <w:tblPr>
        <w:tblpPr w:leftFromText="180" w:rightFromText="180" w:vertAnchor="text" w:horzAnchor="margin" w:tblpXSpec="center" w:tblpY="84"/>
        <w:tblW w:w="9888" w:type="dxa"/>
        <w:tblLook w:val="04A0" w:firstRow="1" w:lastRow="0" w:firstColumn="1" w:lastColumn="0" w:noHBand="0" w:noVBand="1"/>
        <w:tblCaption w:val="Table 10"/>
        <w:tblDescription w:val="Visual representation of statistics on fees charged for MBS item 37245 for 2014-15 to 2016-17 by date of service."/>
      </w:tblPr>
      <w:tblGrid>
        <w:gridCol w:w="747"/>
        <w:gridCol w:w="1487"/>
        <w:gridCol w:w="1093"/>
        <w:gridCol w:w="1093"/>
        <w:gridCol w:w="1093"/>
        <w:gridCol w:w="1093"/>
        <w:gridCol w:w="1093"/>
        <w:gridCol w:w="1093"/>
        <w:gridCol w:w="1096"/>
      </w:tblGrid>
      <w:tr w:rsidR="0045589E" w:rsidRPr="00964F50" w14:paraId="598B854B" w14:textId="77777777" w:rsidTr="008C6E08">
        <w:trPr>
          <w:trHeight w:val="192"/>
        </w:trPr>
        <w:tc>
          <w:tcPr>
            <w:tcW w:w="2234" w:type="dxa"/>
            <w:gridSpan w:val="2"/>
            <w:vMerge w:val="restart"/>
            <w:tcBorders>
              <w:top w:val="nil"/>
              <w:left w:val="nil"/>
              <w:bottom w:val="single" w:sz="4" w:space="0" w:color="000000"/>
              <w:right w:val="single" w:sz="12" w:space="0" w:color="auto"/>
            </w:tcBorders>
            <w:shd w:val="clear" w:color="auto" w:fill="auto"/>
            <w:noWrap/>
            <w:vAlign w:val="bottom"/>
            <w:hideMark/>
          </w:tcPr>
          <w:p w14:paraId="2CCD6B3C" w14:textId="77777777" w:rsidR="0045589E" w:rsidRPr="00964F50" w:rsidRDefault="0045589E" w:rsidP="0045589E">
            <w:pPr>
              <w:jc w:val="center"/>
              <w:rPr>
                <w:rFonts w:ascii="Arial" w:hAnsi="Arial" w:cs="Arial"/>
                <w:color w:val="000000"/>
                <w:sz w:val="22"/>
                <w:szCs w:val="22"/>
              </w:rPr>
            </w:pPr>
          </w:p>
        </w:tc>
        <w:tc>
          <w:tcPr>
            <w:tcW w:w="7654" w:type="dxa"/>
            <w:gridSpan w:val="7"/>
            <w:tcBorders>
              <w:top w:val="single" w:sz="12" w:space="0" w:color="auto"/>
              <w:left w:val="single" w:sz="12" w:space="0" w:color="auto"/>
              <w:bottom w:val="single" w:sz="4" w:space="0" w:color="auto"/>
              <w:right w:val="single" w:sz="12" w:space="0" w:color="auto"/>
            </w:tcBorders>
            <w:shd w:val="clear" w:color="auto" w:fill="8DB3E2" w:themeFill="text2" w:themeFillTint="66"/>
            <w:noWrap/>
            <w:vAlign w:val="bottom"/>
            <w:hideMark/>
          </w:tcPr>
          <w:p w14:paraId="5F97B1C4" w14:textId="77777777" w:rsidR="0045589E" w:rsidRPr="00964F50" w:rsidRDefault="0045589E" w:rsidP="0045589E">
            <w:pPr>
              <w:jc w:val="center"/>
              <w:rPr>
                <w:rFonts w:ascii="Arial" w:hAnsi="Arial" w:cs="Arial"/>
                <w:b/>
                <w:bCs/>
                <w:sz w:val="18"/>
                <w:szCs w:val="22"/>
              </w:rPr>
            </w:pPr>
            <w:r w:rsidRPr="00964F50">
              <w:rPr>
                <w:rFonts w:ascii="Arial" w:hAnsi="Arial" w:cs="Arial"/>
                <w:b/>
                <w:bCs/>
                <w:sz w:val="18"/>
                <w:szCs w:val="22"/>
              </w:rPr>
              <w:t>Provider State/Territory</w:t>
            </w:r>
          </w:p>
        </w:tc>
      </w:tr>
      <w:tr w:rsidR="0045589E" w:rsidRPr="00964F50" w14:paraId="1C992AAA" w14:textId="77777777" w:rsidTr="008C6E08">
        <w:trPr>
          <w:trHeight w:val="192"/>
        </w:trPr>
        <w:tc>
          <w:tcPr>
            <w:tcW w:w="2234" w:type="dxa"/>
            <w:gridSpan w:val="2"/>
            <w:vMerge/>
            <w:tcBorders>
              <w:top w:val="nil"/>
              <w:left w:val="nil"/>
              <w:bottom w:val="single" w:sz="12" w:space="0" w:color="auto"/>
              <w:right w:val="single" w:sz="12" w:space="0" w:color="auto"/>
            </w:tcBorders>
            <w:vAlign w:val="center"/>
            <w:hideMark/>
          </w:tcPr>
          <w:p w14:paraId="588566F6" w14:textId="77777777" w:rsidR="0045589E" w:rsidRPr="00964F50" w:rsidRDefault="0045589E" w:rsidP="0045589E">
            <w:pPr>
              <w:rPr>
                <w:rFonts w:ascii="Arial" w:hAnsi="Arial" w:cs="Arial"/>
                <w:color w:val="000000"/>
                <w:sz w:val="22"/>
                <w:szCs w:val="22"/>
              </w:rPr>
            </w:pPr>
          </w:p>
        </w:tc>
        <w:tc>
          <w:tcPr>
            <w:tcW w:w="1093" w:type="dxa"/>
            <w:tcBorders>
              <w:top w:val="nil"/>
              <w:left w:val="single" w:sz="12" w:space="0" w:color="auto"/>
              <w:bottom w:val="single" w:sz="12" w:space="0" w:color="auto"/>
              <w:right w:val="single" w:sz="4" w:space="0" w:color="auto"/>
            </w:tcBorders>
            <w:shd w:val="clear" w:color="auto" w:fill="8DB3E2" w:themeFill="text2" w:themeFillTint="66"/>
            <w:noWrap/>
            <w:vAlign w:val="bottom"/>
            <w:hideMark/>
          </w:tcPr>
          <w:p w14:paraId="10CBC79B" w14:textId="77777777" w:rsidR="0045589E" w:rsidRPr="00964F50" w:rsidRDefault="0045589E" w:rsidP="0045589E">
            <w:pPr>
              <w:jc w:val="center"/>
              <w:rPr>
                <w:rFonts w:ascii="Arial" w:hAnsi="Arial" w:cs="Arial"/>
                <w:b/>
                <w:bCs/>
                <w:sz w:val="18"/>
                <w:szCs w:val="22"/>
              </w:rPr>
            </w:pPr>
            <w:r w:rsidRPr="00964F50">
              <w:rPr>
                <w:rFonts w:ascii="Arial" w:hAnsi="Arial" w:cs="Arial"/>
                <w:b/>
                <w:bCs/>
                <w:sz w:val="18"/>
                <w:szCs w:val="22"/>
              </w:rPr>
              <w:t>NSW</w:t>
            </w:r>
          </w:p>
        </w:tc>
        <w:tc>
          <w:tcPr>
            <w:tcW w:w="1093" w:type="dxa"/>
            <w:tcBorders>
              <w:top w:val="nil"/>
              <w:left w:val="nil"/>
              <w:bottom w:val="single" w:sz="12" w:space="0" w:color="auto"/>
              <w:right w:val="single" w:sz="4" w:space="0" w:color="auto"/>
            </w:tcBorders>
            <w:shd w:val="clear" w:color="auto" w:fill="8DB3E2" w:themeFill="text2" w:themeFillTint="66"/>
            <w:noWrap/>
            <w:vAlign w:val="bottom"/>
            <w:hideMark/>
          </w:tcPr>
          <w:p w14:paraId="74B54FC9" w14:textId="77777777" w:rsidR="0045589E" w:rsidRPr="00964F50" w:rsidRDefault="0045589E" w:rsidP="0045589E">
            <w:pPr>
              <w:jc w:val="center"/>
              <w:rPr>
                <w:rFonts w:ascii="Arial" w:hAnsi="Arial" w:cs="Arial"/>
                <w:b/>
                <w:bCs/>
                <w:sz w:val="18"/>
                <w:szCs w:val="22"/>
              </w:rPr>
            </w:pPr>
            <w:r w:rsidRPr="00964F50">
              <w:rPr>
                <w:rFonts w:ascii="Arial" w:hAnsi="Arial" w:cs="Arial"/>
                <w:b/>
                <w:bCs/>
                <w:sz w:val="18"/>
                <w:szCs w:val="22"/>
              </w:rPr>
              <w:t>Vic</w:t>
            </w:r>
          </w:p>
        </w:tc>
        <w:tc>
          <w:tcPr>
            <w:tcW w:w="1093" w:type="dxa"/>
            <w:tcBorders>
              <w:top w:val="nil"/>
              <w:left w:val="nil"/>
              <w:bottom w:val="single" w:sz="12" w:space="0" w:color="auto"/>
              <w:right w:val="single" w:sz="4" w:space="0" w:color="auto"/>
            </w:tcBorders>
            <w:shd w:val="clear" w:color="auto" w:fill="8DB3E2" w:themeFill="text2" w:themeFillTint="66"/>
            <w:noWrap/>
            <w:vAlign w:val="bottom"/>
            <w:hideMark/>
          </w:tcPr>
          <w:p w14:paraId="6AC2C0FC" w14:textId="77777777" w:rsidR="0045589E" w:rsidRPr="00964F50" w:rsidRDefault="0045589E" w:rsidP="0045589E">
            <w:pPr>
              <w:jc w:val="center"/>
              <w:rPr>
                <w:rFonts w:ascii="Arial" w:hAnsi="Arial" w:cs="Arial"/>
                <w:b/>
                <w:bCs/>
                <w:sz w:val="18"/>
                <w:szCs w:val="22"/>
              </w:rPr>
            </w:pPr>
            <w:r w:rsidRPr="00964F50">
              <w:rPr>
                <w:rFonts w:ascii="Arial" w:hAnsi="Arial" w:cs="Arial"/>
                <w:b/>
                <w:bCs/>
                <w:sz w:val="18"/>
                <w:szCs w:val="22"/>
              </w:rPr>
              <w:t>Qld</w:t>
            </w:r>
          </w:p>
        </w:tc>
        <w:tc>
          <w:tcPr>
            <w:tcW w:w="1093" w:type="dxa"/>
            <w:tcBorders>
              <w:top w:val="nil"/>
              <w:left w:val="nil"/>
              <w:bottom w:val="single" w:sz="12" w:space="0" w:color="auto"/>
              <w:right w:val="single" w:sz="4" w:space="0" w:color="auto"/>
            </w:tcBorders>
            <w:shd w:val="clear" w:color="auto" w:fill="8DB3E2" w:themeFill="text2" w:themeFillTint="66"/>
            <w:noWrap/>
            <w:vAlign w:val="bottom"/>
            <w:hideMark/>
          </w:tcPr>
          <w:p w14:paraId="4C728433" w14:textId="77777777" w:rsidR="0045589E" w:rsidRPr="00964F50" w:rsidRDefault="0045589E" w:rsidP="0045589E">
            <w:pPr>
              <w:jc w:val="center"/>
              <w:rPr>
                <w:rFonts w:ascii="Arial" w:hAnsi="Arial" w:cs="Arial"/>
                <w:b/>
                <w:bCs/>
                <w:sz w:val="18"/>
                <w:szCs w:val="22"/>
              </w:rPr>
            </w:pPr>
            <w:r w:rsidRPr="00964F50">
              <w:rPr>
                <w:rFonts w:ascii="Arial" w:hAnsi="Arial" w:cs="Arial"/>
                <w:b/>
                <w:bCs/>
                <w:sz w:val="18"/>
                <w:szCs w:val="22"/>
              </w:rPr>
              <w:t>SA</w:t>
            </w:r>
          </w:p>
        </w:tc>
        <w:tc>
          <w:tcPr>
            <w:tcW w:w="1093" w:type="dxa"/>
            <w:tcBorders>
              <w:top w:val="nil"/>
              <w:left w:val="nil"/>
              <w:bottom w:val="single" w:sz="12" w:space="0" w:color="auto"/>
              <w:right w:val="single" w:sz="4" w:space="0" w:color="auto"/>
            </w:tcBorders>
            <w:shd w:val="clear" w:color="auto" w:fill="8DB3E2" w:themeFill="text2" w:themeFillTint="66"/>
            <w:noWrap/>
            <w:vAlign w:val="bottom"/>
            <w:hideMark/>
          </w:tcPr>
          <w:p w14:paraId="60466DA5" w14:textId="77777777" w:rsidR="0045589E" w:rsidRPr="00964F50" w:rsidRDefault="0045589E" w:rsidP="0045589E">
            <w:pPr>
              <w:jc w:val="center"/>
              <w:rPr>
                <w:rFonts w:ascii="Arial" w:hAnsi="Arial" w:cs="Arial"/>
                <w:b/>
                <w:bCs/>
                <w:sz w:val="18"/>
                <w:szCs w:val="22"/>
              </w:rPr>
            </w:pPr>
            <w:r w:rsidRPr="00964F50">
              <w:rPr>
                <w:rFonts w:ascii="Arial" w:hAnsi="Arial" w:cs="Arial"/>
                <w:b/>
                <w:bCs/>
                <w:sz w:val="18"/>
                <w:szCs w:val="22"/>
              </w:rPr>
              <w:t>WA</w:t>
            </w:r>
          </w:p>
        </w:tc>
        <w:tc>
          <w:tcPr>
            <w:tcW w:w="1093" w:type="dxa"/>
            <w:tcBorders>
              <w:top w:val="nil"/>
              <w:left w:val="nil"/>
              <w:bottom w:val="single" w:sz="12" w:space="0" w:color="auto"/>
              <w:right w:val="single" w:sz="4" w:space="0" w:color="auto"/>
            </w:tcBorders>
            <w:shd w:val="clear" w:color="auto" w:fill="8DB3E2" w:themeFill="text2" w:themeFillTint="66"/>
            <w:noWrap/>
            <w:vAlign w:val="bottom"/>
            <w:hideMark/>
          </w:tcPr>
          <w:p w14:paraId="08E939F9" w14:textId="77777777" w:rsidR="0045589E" w:rsidRPr="00964F50" w:rsidRDefault="0045589E" w:rsidP="0045589E">
            <w:pPr>
              <w:jc w:val="center"/>
              <w:rPr>
                <w:rFonts w:ascii="Arial" w:hAnsi="Arial" w:cs="Arial"/>
                <w:b/>
                <w:bCs/>
                <w:sz w:val="18"/>
                <w:szCs w:val="22"/>
              </w:rPr>
            </w:pPr>
            <w:r w:rsidRPr="00964F50">
              <w:rPr>
                <w:rFonts w:ascii="Arial" w:hAnsi="Arial" w:cs="Arial"/>
                <w:b/>
                <w:bCs/>
                <w:sz w:val="18"/>
                <w:szCs w:val="22"/>
              </w:rPr>
              <w:t>ACT</w:t>
            </w:r>
          </w:p>
        </w:tc>
        <w:tc>
          <w:tcPr>
            <w:tcW w:w="1093" w:type="dxa"/>
            <w:tcBorders>
              <w:top w:val="nil"/>
              <w:left w:val="nil"/>
              <w:bottom w:val="single" w:sz="12" w:space="0" w:color="auto"/>
              <w:right w:val="single" w:sz="12" w:space="0" w:color="auto"/>
            </w:tcBorders>
            <w:shd w:val="clear" w:color="auto" w:fill="8DB3E2" w:themeFill="text2" w:themeFillTint="66"/>
            <w:noWrap/>
            <w:vAlign w:val="bottom"/>
            <w:hideMark/>
          </w:tcPr>
          <w:p w14:paraId="7661AF90" w14:textId="77777777" w:rsidR="0045589E" w:rsidRPr="00964F50" w:rsidRDefault="0045589E" w:rsidP="0045589E">
            <w:pPr>
              <w:jc w:val="center"/>
              <w:rPr>
                <w:rFonts w:ascii="Arial" w:hAnsi="Arial" w:cs="Arial"/>
                <w:b/>
                <w:bCs/>
                <w:sz w:val="18"/>
                <w:szCs w:val="22"/>
              </w:rPr>
            </w:pPr>
            <w:r w:rsidRPr="00964F50">
              <w:rPr>
                <w:rFonts w:ascii="Arial" w:hAnsi="Arial" w:cs="Arial"/>
                <w:b/>
                <w:bCs/>
                <w:sz w:val="18"/>
                <w:szCs w:val="22"/>
              </w:rPr>
              <w:t>AUS</w:t>
            </w:r>
          </w:p>
        </w:tc>
      </w:tr>
      <w:tr w:rsidR="0045589E" w:rsidRPr="00964F50" w14:paraId="2F416EFD" w14:textId="77777777" w:rsidTr="008C6E08">
        <w:trPr>
          <w:trHeight w:val="320"/>
        </w:trPr>
        <w:tc>
          <w:tcPr>
            <w:tcW w:w="747" w:type="dxa"/>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14:paraId="3B067F45" w14:textId="77777777" w:rsidR="0045589E" w:rsidRPr="00964F50" w:rsidRDefault="0045589E" w:rsidP="0045589E">
            <w:pPr>
              <w:jc w:val="center"/>
              <w:rPr>
                <w:rFonts w:ascii="Arial" w:hAnsi="Arial" w:cs="Arial"/>
                <w:b/>
                <w:bCs/>
                <w:color w:val="000000"/>
                <w:sz w:val="18"/>
                <w:szCs w:val="18"/>
              </w:rPr>
            </w:pPr>
            <w:r w:rsidRPr="00964F50">
              <w:rPr>
                <w:rFonts w:ascii="Arial" w:hAnsi="Arial" w:cs="Arial"/>
                <w:b/>
                <w:bCs/>
                <w:color w:val="000000"/>
                <w:sz w:val="18"/>
                <w:szCs w:val="18"/>
              </w:rPr>
              <w:t>2014-15</w:t>
            </w:r>
          </w:p>
        </w:tc>
        <w:tc>
          <w:tcPr>
            <w:tcW w:w="1487"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34D46CC"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 xml:space="preserve">Average Fee </w:t>
            </w:r>
          </w:p>
        </w:tc>
        <w:tc>
          <w:tcPr>
            <w:tcW w:w="1093" w:type="dxa"/>
            <w:tcBorders>
              <w:top w:val="single" w:sz="12" w:space="0" w:color="auto"/>
              <w:left w:val="nil"/>
              <w:bottom w:val="single" w:sz="4" w:space="0" w:color="auto"/>
              <w:right w:val="single" w:sz="4" w:space="0" w:color="auto"/>
            </w:tcBorders>
            <w:shd w:val="clear" w:color="000000" w:fill="FFFFFF"/>
            <w:noWrap/>
            <w:vAlign w:val="center"/>
            <w:hideMark/>
          </w:tcPr>
          <w:p w14:paraId="46A1B39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$2,869.49</w:t>
            </w:r>
          </w:p>
        </w:tc>
        <w:tc>
          <w:tcPr>
            <w:tcW w:w="1093" w:type="dxa"/>
            <w:tcBorders>
              <w:top w:val="single" w:sz="12" w:space="0" w:color="auto"/>
              <w:left w:val="nil"/>
              <w:bottom w:val="single" w:sz="4" w:space="0" w:color="auto"/>
              <w:right w:val="single" w:sz="4" w:space="0" w:color="auto"/>
            </w:tcBorders>
            <w:shd w:val="clear" w:color="000000" w:fill="FFFFFF"/>
            <w:noWrap/>
            <w:vAlign w:val="center"/>
            <w:hideMark/>
          </w:tcPr>
          <w:p w14:paraId="4473532B"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$2,544.24</w:t>
            </w:r>
          </w:p>
        </w:tc>
        <w:tc>
          <w:tcPr>
            <w:tcW w:w="1093" w:type="dxa"/>
            <w:tcBorders>
              <w:top w:val="single" w:sz="12" w:space="0" w:color="auto"/>
              <w:left w:val="nil"/>
              <w:bottom w:val="single" w:sz="4" w:space="0" w:color="auto"/>
              <w:right w:val="single" w:sz="4" w:space="0" w:color="auto"/>
            </w:tcBorders>
            <w:shd w:val="clear" w:color="000000" w:fill="FFFFFF"/>
            <w:noWrap/>
            <w:vAlign w:val="center"/>
            <w:hideMark/>
          </w:tcPr>
          <w:p w14:paraId="174A62A7"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$0.00</w:t>
            </w:r>
          </w:p>
        </w:tc>
        <w:tc>
          <w:tcPr>
            <w:tcW w:w="1093" w:type="dxa"/>
            <w:tcBorders>
              <w:top w:val="single" w:sz="12" w:space="0" w:color="auto"/>
              <w:left w:val="nil"/>
              <w:bottom w:val="single" w:sz="4" w:space="0" w:color="auto"/>
              <w:right w:val="single" w:sz="4" w:space="0" w:color="auto"/>
            </w:tcBorders>
            <w:shd w:val="clear" w:color="000000" w:fill="FFFFFF"/>
            <w:noWrap/>
            <w:vAlign w:val="center"/>
            <w:hideMark/>
          </w:tcPr>
          <w:p w14:paraId="1BB765D4"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$1,897.80</w:t>
            </w:r>
          </w:p>
        </w:tc>
        <w:tc>
          <w:tcPr>
            <w:tcW w:w="1093" w:type="dxa"/>
            <w:tcBorders>
              <w:top w:val="single" w:sz="12" w:space="0" w:color="auto"/>
              <w:left w:val="nil"/>
              <w:bottom w:val="single" w:sz="4" w:space="0" w:color="auto"/>
              <w:right w:val="single" w:sz="4" w:space="0" w:color="auto"/>
            </w:tcBorders>
            <w:shd w:val="clear" w:color="000000" w:fill="FFFFFF"/>
            <w:noWrap/>
            <w:vAlign w:val="center"/>
            <w:hideMark/>
          </w:tcPr>
          <w:p w14:paraId="65CA4297"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$2,181.36</w:t>
            </w:r>
          </w:p>
        </w:tc>
        <w:tc>
          <w:tcPr>
            <w:tcW w:w="1093" w:type="dxa"/>
            <w:tcBorders>
              <w:top w:val="single" w:sz="12" w:space="0" w:color="auto"/>
              <w:left w:val="nil"/>
              <w:bottom w:val="single" w:sz="4" w:space="0" w:color="auto"/>
              <w:right w:val="single" w:sz="4" w:space="0" w:color="auto"/>
            </w:tcBorders>
            <w:shd w:val="clear" w:color="auto" w:fill="auto"/>
            <w:noWrap/>
            <w:vAlign w:val="center"/>
            <w:hideMark/>
          </w:tcPr>
          <w:p w14:paraId="1B698D20"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$2,909.37</w:t>
            </w:r>
          </w:p>
        </w:tc>
        <w:tc>
          <w:tcPr>
            <w:tcW w:w="1093" w:type="dxa"/>
            <w:tcBorders>
              <w:top w:val="single" w:sz="12" w:space="0" w:color="auto"/>
              <w:left w:val="nil"/>
              <w:bottom w:val="single" w:sz="4" w:space="0" w:color="auto"/>
              <w:right w:val="single" w:sz="12" w:space="0" w:color="auto"/>
            </w:tcBorders>
            <w:shd w:val="clear" w:color="000000" w:fill="FFFFFF"/>
            <w:noWrap/>
            <w:vAlign w:val="center"/>
            <w:hideMark/>
          </w:tcPr>
          <w:p w14:paraId="3B57B82D"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$2,567.35</w:t>
            </w:r>
          </w:p>
        </w:tc>
      </w:tr>
      <w:tr w:rsidR="0045589E" w:rsidRPr="00964F50" w14:paraId="1B66BB82" w14:textId="77777777" w:rsidTr="008C6E08">
        <w:trPr>
          <w:trHeight w:val="320"/>
        </w:trPr>
        <w:tc>
          <w:tcPr>
            <w:tcW w:w="747" w:type="dxa"/>
            <w:vMerge/>
            <w:tcBorders>
              <w:top w:val="nil"/>
              <w:left w:val="single" w:sz="12" w:space="0" w:color="auto"/>
              <w:bottom w:val="single" w:sz="4" w:space="0" w:color="000000"/>
              <w:right w:val="single" w:sz="12" w:space="0" w:color="auto"/>
            </w:tcBorders>
            <w:vAlign w:val="center"/>
            <w:hideMark/>
          </w:tcPr>
          <w:p w14:paraId="7C4BB52D"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hideMark/>
          </w:tcPr>
          <w:p w14:paraId="7F72744F"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Standard Deviation</w:t>
            </w:r>
          </w:p>
        </w:tc>
        <w:tc>
          <w:tcPr>
            <w:tcW w:w="1093" w:type="dxa"/>
            <w:tcBorders>
              <w:top w:val="nil"/>
              <w:left w:val="nil"/>
              <w:bottom w:val="single" w:sz="4" w:space="0" w:color="auto"/>
              <w:right w:val="single" w:sz="4" w:space="0" w:color="auto"/>
            </w:tcBorders>
            <w:shd w:val="clear" w:color="000000" w:fill="FFFFFF"/>
            <w:noWrap/>
            <w:vAlign w:val="center"/>
            <w:hideMark/>
          </w:tcPr>
          <w:p w14:paraId="64E4E95E"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$942.79</w:t>
            </w:r>
          </w:p>
        </w:tc>
        <w:tc>
          <w:tcPr>
            <w:tcW w:w="1093" w:type="dxa"/>
            <w:tcBorders>
              <w:top w:val="nil"/>
              <w:left w:val="nil"/>
              <w:bottom w:val="single" w:sz="4" w:space="0" w:color="auto"/>
              <w:right w:val="single" w:sz="4" w:space="0" w:color="auto"/>
            </w:tcBorders>
            <w:shd w:val="clear" w:color="000000" w:fill="FFFFFF"/>
            <w:noWrap/>
            <w:vAlign w:val="center"/>
            <w:hideMark/>
          </w:tcPr>
          <w:p w14:paraId="3CD99FED"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$550.41</w:t>
            </w:r>
          </w:p>
        </w:tc>
        <w:tc>
          <w:tcPr>
            <w:tcW w:w="1093" w:type="dxa"/>
            <w:tcBorders>
              <w:top w:val="nil"/>
              <w:left w:val="nil"/>
              <w:bottom w:val="single" w:sz="4" w:space="0" w:color="auto"/>
              <w:right w:val="single" w:sz="4" w:space="0" w:color="auto"/>
            </w:tcBorders>
            <w:shd w:val="clear" w:color="000000" w:fill="FFFFFF"/>
            <w:noWrap/>
            <w:vAlign w:val="center"/>
            <w:hideMark/>
          </w:tcPr>
          <w:p w14:paraId="03D92CB4"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$0.00</w:t>
            </w:r>
          </w:p>
        </w:tc>
        <w:tc>
          <w:tcPr>
            <w:tcW w:w="1093" w:type="dxa"/>
            <w:tcBorders>
              <w:top w:val="nil"/>
              <w:left w:val="nil"/>
              <w:bottom w:val="single" w:sz="4" w:space="0" w:color="auto"/>
              <w:right w:val="single" w:sz="4" w:space="0" w:color="auto"/>
            </w:tcBorders>
            <w:shd w:val="clear" w:color="000000" w:fill="FFFFFF"/>
            <w:noWrap/>
            <w:vAlign w:val="center"/>
            <w:hideMark/>
          </w:tcPr>
          <w:p w14:paraId="3D94B48E"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$249.57</w:t>
            </w:r>
          </w:p>
        </w:tc>
        <w:tc>
          <w:tcPr>
            <w:tcW w:w="1093" w:type="dxa"/>
            <w:tcBorders>
              <w:top w:val="nil"/>
              <w:left w:val="nil"/>
              <w:bottom w:val="single" w:sz="4" w:space="0" w:color="auto"/>
              <w:right w:val="single" w:sz="4" w:space="0" w:color="auto"/>
            </w:tcBorders>
            <w:shd w:val="clear" w:color="000000" w:fill="FFFFFF"/>
            <w:noWrap/>
            <w:vAlign w:val="center"/>
            <w:hideMark/>
          </w:tcPr>
          <w:p w14:paraId="0CDF8A2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$163.46</w:t>
            </w:r>
          </w:p>
        </w:tc>
        <w:tc>
          <w:tcPr>
            <w:tcW w:w="1093" w:type="dxa"/>
            <w:tcBorders>
              <w:top w:val="nil"/>
              <w:left w:val="nil"/>
              <w:bottom w:val="single" w:sz="4" w:space="0" w:color="auto"/>
              <w:right w:val="single" w:sz="4" w:space="0" w:color="auto"/>
            </w:tcBorders>
            <w:shd w:val="clear" w:color="auto" w:fill="auto"/>
            <w:noWrap/>
            <w:vAlign w:val="center"/>
            <w:hideMark/>
          </w:tcPr>
          <w:p w14:paraId="76C3901E"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$337.08</w:t>
            </w:r>
          </w:p>
        </w:tc>
        <w:tc>
          <w:tcPr>
            <w:tcW w:w="1093" w:type="dxa"/>
            <w:tcBorders>
              <w:top w:val="nil"/>
              <w:left w:val="nil"/>
              <w:bottom w:val="single" w:sz="4" w:space="0" w:color="auto"/>
              <w:right w:val="single" w:sz="12" w:space="0" w:color="auto"/>
            </w:tcBorders>
            <w:shd w:val="clear" w:color="000000" w:fill="FFFFFF"/>
            <w:noWrap/>
            <w:vAlign w:val="center"/>
            <w:hideMark/>
          </w:tcPr>
          <w:p w14:paraId="477CD791"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$821.92</w:t>
            </w:r>
          </w:p>
        </w:tc>
      </w:tr>
      <w:tr w:rsidR="0045589E" w:rsidRPr="00964F50" w14:paraId="074AEA63" w14:textId="77777777" w:rsidTr="008C6E08">
        <w:trPr>
          <w:trHeight w:val="320"/>
        </w:trPr>
        <w:tc>
          <w:tcPr>
            <w:tcW w:w="747" w:type="dxa"/>
            <w:vMerge/>
            <w:tcBorders>
              <w:top w:val="nil"/>
              <w:left w:val="single" w:sz="12" w:space="0" w:color="auto"/>
              <w:bottom w:val="single" w:sz="4" w:space="0" w:color="000000"/>
              <w:right w:val="single" w:sz="12" w:space="0" w:color="auto"/>
            </w:tcBorders>
            <w:vAlign w:val="center"/>
          </w:tcPr>
          <w:p w14:paraId="4F3417EF"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tcPr>
          <w:p w14:paraId="1C86FE06"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25th Percentile fee</w:t>
            </w:r>
          </w:p>
        </w:tc>
        <w:tc>
          <w:tcPr>
            <w:tcW w:w="1093" w:type="dxa"/>
            <w:tcBorders>
              <w:top w:val="nil"/>
              <w:left w:val="nil"/>
              <w:bottom w:val="single" w:sz="4" w:space="0" w:color="000000"/>
              <w:right w:val="single" w:sz="4" w:space="0" w:color="000000"/>
            </w:tcBorders>
            <w:shd w:val="clear" w:color="000000" w:fill="FFFFFF"/>
            <w:noWrap/>
            <w:vAlign w:val="center"/>
          </w:tcPr>
          <w:p w14:paraId="01CBE9A0"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w:t>
            </w:r>
            <w:r>
              <w:rPr>
                <w:rFonts w:ascii="Arial" w:hAnsi="Arial" w:cs="Arial"/>
                <w:color w:val="000000"/>
                <w:sz w:val="18"/>
                <w:szCs w:val="18"/>
              </w:rPr>
              <w:t>,</w:t>
            </w:r>
            <w:r w:rsidRPr="00964F50">
              <w:rPr>
                <w:rFonts w:ascii="Arial" w:hAnsi="Arial" w:cs="Arial"/>
                <w:color w:val="000000"/>
                <w:sz w:val="18"/>
                <w:szCs w:val="18"/>
              </w:rPr>
              <w:t>991.3</w:t>
            </w:r>
            <w:r>
              <w:rPr>
                <w:rFonts w:ascii="Arial" w:hAnsi="Arial" w:cs="Arial"/>
                <w:color w:val="000000"/>
                <w:sz w:val="18"/>
                <w:szCs w:val="18"/>
              </w:rPr>
              <w:t>0</w:t>
            </w:r>
          </w:p>
        </w:tc>
        <w:tc>
          <w:tcPr>
            <w:tcW w:w="1093" w:type="dxa"/>
            <w:tcBorders>
              <w:top w:val="nil"/>
              <w:left w:val="nil"/>
              <w:bottom w:val="single" w:sz="4" w:space="0" w:color="000000"/>
              <w:right w:val="single" w:sz="4" w:space="0" w:color="000000"/>
            </w:tcBorders>
            <w:shd w:val="clear" w:color="000000" w:fill="FFFFFF"/>
            <w:noWrap/>
            <w:vAlign w:val="center"/>
          </w:tcPr>
          <w:p w14:paraId="06CE5082"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w:t>
            </w:r>
            <w:r>
              <w:rPr>
                <w:rFonts w:ascii="Arial" w:hAnsi="Arial" w:cs="Arial"/>
                <w:color w:val="000000"/>
                <w:sz w:val="18"/>
                <w:szCs w:val="18"/>
              </w:rPr>
              <w:t>,</w:t>
            </w:r>
            <w:r w:rsidRPr="00964F50">
              <w:rPr>
                <w:rFonts w:ascii="Arial" w:hAnsi="Arial" w:cs="Arial"/>
                <w:color w:val="000000"/>
                <w:sz w:val="18"/>
                <w:szCs w:val="18"/>
              </w:rPr>
              <w:t>991</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tcPr>
          <w:p w14:paraId="33F3333E"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tcPr>
          <w:p w14:paraId="14019BD9"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w:t>
            </w:r>
            <w:r>
              <w:rPr>
                <w:rFonts w:ascii="Arial" w:hAnsi="Arial" w:cs="Arial"/>
                <w:color w:val="000000"/>
                <w:sz w:val="18"/>
                <w:szCs w:val="18"/>
              </w:rPr>
              <w:t>,</w:t>
            </w:r>
            <w:r w:rsidRPr="00964F50">
              <w:rPr>
                <w:rFonts w:ascii="Arial" w:hAnsi="Arial" w:cs="Arial"/>
                <w:color w:val="000000"/>
                <w:sz w:val="18"/>
                <w:szCs w:val="18"/>
              </w:rPr>
              <w:t>797.35</w:t>
            </w:r>
          </w:p>
        </w:tc>
        <w:tc>
          <w:tcPr>
            <w:tcW w:w="1093" w:type="dxa"/>
            <w:tcBorders>
              <w:top w:val="nil"/>
              <w:left w:val="nil"/>
              <w:bottom w:val="single" w:sz="4" w:space="0" w:color="000000"/>
              <w:right w:val="single" w:sz="4" w:space="0" w:color="000000"/>
            </w:tcBorders>
            <w:shd w:val="clear" w:color="000000" w:fill="FFFFFF"/>
            <w:noWrap/>
            <w:vAlign w:val="center"/>
          </w:tcPr>
          <w:p w14:paraId="1CC47F41"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w:t>
            </w:r>
            <w:r>
              <w:rPr>
                <w:rFonts w:ascii="Arial" w:hAnsi="Arial" w:cs="Arial"/>
                <w:color w:val="000000"/>
                <w:sz w:val="18"/>
                <w:szCs w:val="18"/>
              </w:rPr>
              <w:t>,</w:t>
            </w:r>
            <w:r w:rsidRPr="00964F50">
              <w:rPr>
                <w:rFonts w:ascii="Arial" w:hAnsi="Arial" w:cs="Arial"/>
                <w:color w:val="000000"/>
                <w:sz w:val="18"/>
                <w:szCs w:val="18"/>
              </w:rPr>
              <w:t>200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tcPr>
          <w:p w14:paraId="3952B14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w:t>
            </w:r>
            <w:r>
              <w:rPr>
                <w:rFonts w:ascii="Arial" w:hAnsi="Arial" w:cs="Arial"/>
                <w:color w:val="000000"/>
                <w:sz w:val="18"/>
                <w:szCs w:val="18"/>
              </w:rPr>
              <w:t>,</w:t>
            </w:r>
            <w:r w:rsidRPr="00964F50">
              <w:rPr>
                <w:rFonts w:ascii="Arial" w:hAnsi="Arial" w:cs="Arial"/>
                <w:color w:val="000000"/>
                <w:sz w:val="18"/>
                <w:szCs w:val="18"/>
              </w:rPr>
              <w:t>000</w:t>
            </w:r>
            <w:r>
              <w:rPr>
                <w:rFonts w:ascii="Arial" w:hAnsi="Arial" w:cs="Arial"/>
                <w:color w:val="000000"/>
                <w:sz w:val="18"/>
                <w:szCs w:val="18"/>
              </w:rPr>
              <w:t>.00</w:t>
            </w:r>
          </w:p>
        </w:tc>
        <w:tc>
          <w:tcPr>
            <w:tcW w:w="1093" w:type="dxa"/>
            <w:tcBorders>
              <w:top w:val="nil"/>
              <w:left w:val="nil"/>
              <w:bottom w:val="single" w:sz="4" w:space="0" w:color="000000"/>
              <w:right w:val="single" w:sz="12" w:space="0" w:color="auto"/>
            </w:tcBorders>
            <w:shd w:val="clear" w:color="000000" w:fill="FFFFFF"/>
            <w:noWrap/>
            <w:vAlign w:val="center"/>
          </w:tcPr>
          <w:p w14:paraId="3467A5A8"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w:t>
            </w:r>
            <w:r>
              <w:rPr>
                <w:rFonts w:ascii="Arial" w:hAnsi="Arial" w:cs="Arial"/>
                <w:color w:val="000000"/>
                <w:sz w:val="18"/>
                <w:szCs w:val="18"/>
              </w:rPr>
              <w:t>,</w:t>
            </w:r>
            <w:r w:rsidRPr="00964F50">
              <w:rPr>
                <w:rFonts w:ascii="Arial" w:hAnsi="Arial" w:cs="Arial"/>
                <w:color w:val="000000"/>
                <w:sz w:val="18"/>
                <w:szCs w:val="18"/>
              </w:rPr>
              <w:t>912</w:t>
            </w:r>
            <w:r>
              <w:rPr>
                <w:rFonts w:ascii="Arial" w:hAnsi="Arial" w:cs="Arial"/>
                <w:color w:val="000000"/>
                <w:sz w:val="18"/>
                <w:szCs w:val="18"/>
              </w:rPr>
              <w:t>.00</w:t>
            </w:r>
          </w:p>
        </w:tc>
      </w:tr>
      <w:tr w:rsidR="0045589E" w:rsidRPr="00964F50" w14:paraId="515F501A" w14:textId="77777777" w:rsidTr="008C6E08">
        <w:trPr>
          <w:trHeight w:val="320"/>
        </w:trPr>
        <w:tc>
          <w:tcPr>
            <w:tcW w:w="747" w:type="dxa"/>
            <w:vMerge/>
            <w:tcBorders>
              <w:top w:val="nil"/>
              <w:left w:val="single" w:sz="12" w:space="0" w:color="auto"/>
              <w:bottom w:val="single" w:sz="4" w:space="0" w:color="000000"/>
              <w:right w:val="single" w:sz="12" w:space="0" w:color="auto"/>
            </w:tcBorders>
            <w:vAlign w:val="center"/>
            <w:hideMark/>
          </w:tcPr>
          <w:p w14:paraId="600E8EF6"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hideMark/>
          </w:tcPr>
          <w:p w14:paraId="298F59A5"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Median</w:t>
            </w:r>
          </w:p>
        </w:tc>
        <w:tc>
          <w:tcPr>
            <w:tcW w:w="1093" w:type="dxa"/>
            <w:tcBorders>
              <w:top w:val="nil"/>
              <w:left w:val="nil"/>
              <w:bottom w:val="single" w:sz="4" w:space="0" w:color="000000"/>
              <w:right w:val="single" w:sz="4" w:space="0" w:color="000000"/>
            </w:tcBorders>
            <w:shd w:val="clear" w:color="000000" w:fill="FFFFFF"/>
            <w:noWrap/>
            <w:vAlign w:val="center"/>
            <w:hideMark/>
          </w:tcPr>
          <w:p w14:paraId="7B6EE674"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$2,698.55</w:t>
            </w:r>
          </w:p>
        </w:tc>
        <w:tc>
          <w:tcPr>
            <w:tcW w:w="1093" w:type="dxa"/>
            <w:tcBorders>
              <w:top w:val="nil"/>
              <w:left w:val="nil"/>
              <w:bottom w:val="single" w:sz="4" w:space="0" w:color="000000"/>
              <w:right w:val="single" w:sz="4" w:space="0" w:color="000000"/>
            </w:tcBorders>
            <w:shd w:val="clear" w:color="000000" w:fill="FFFFFF"/>
            <w:noWrap/>
            <w:vAlign w:val="center"/>
            <w:hideMark/>
          </w:tcPr>
          <w:p w14:paraId="688BF65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5C76275E"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n/a (4)</w:t>
            </w:r>
          </w:p>
        </w:tc>
        <w:tc>
          <w:tcPr>
            <w:tcW w:w="1093" w:type="dxa"/>
            <w:tcBorders>
              <w:top w:val="nil"/>
              <w:left w:val="nil"/>
              <w:bottom w:val="single" w:sz="4" w:space="0" w:color="000000"/>
              <w:right w:val="single" w:sz="4" w:space="0" w:color="000000"/>
            </w:tcBorders>
            <w:shd w:val="clear" w:color="000000" w:fill="FFFFFF"/>
            <w:noWrap/>
            <w:vAlign w:val="center"/>
            <w:hideMark/>
          </w:tcPr>
          <w:p w14:paraId="3BD13118"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$1,911.10</w:t>
            </w:r>
          </w:p>
        </w:tc>
        <w:tc>
          <w:tcPr>
            <w:tcW w:w="1093" w:type="dxa"/>
            <w:tcBorders>
              <w:top w:val="nil"/>
              <w:left w:val="nil"/>
              <w:bottom w:val="single" w:sz="4" w:space="0" w:color="000000"/>
              <w:right w:val="single" w:sz="4" w:space="0" w:color="000000"/>
            </w:tcBorders>
            <w:shd w:val="clear" w:color="000000" w:fill="FFFFFF"/>
            <w:noWrap/>
            <w:vAlign w:val="center"/>
            <w:hideMark/>
          </w:tcPr>
          <w:p w14:paraId="6355276E"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$2,200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54D68C43"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$3,000</w:t>
            </w:r>
            <w:r>
              <w:rPr>
                <w:rFonts w:ascii="Arial" w:hAnsi="Arial" w:cs="Arial"/>
                <w:color w:val="000000"/>
                <w:sz w:val="18"/>
                <w:szCs w:val="18"/>
              </w:rPr>
              <w:t>.00</w:t>
            </w:r>
          </w:p>
        </w:tc>
        <w:tc>
          <w:tcPr>
            <w:tcW w:w="1093" w:type="dxa"/>
            <w:tcBorders>
              <w:top w:val="nil"/>
              <w:left w:val="nil"/>
              <w:bottom w:val="single" w:sz="4" w:space="0" w:color="000000"/>
              <w:right w:val="single" w:sz="12" w:space="0" w:color="auto"/>
            </w:tcBorders>
            <w:shd w:val="clear" w:color="000000" w:fill="FFFFFF"/>
            <w:noWrap/>
            <w:vAlign w:val="center"/>
            <w:hideMark/>
          </w:tcPr>
          <w:p w14:paraId="45CFD65C"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$2,200</w:t>
            </w:r>
            <w:r>
              <w:rPr>
                <w:rFonts w:ascii="Arial" w:hAnsi="Arial" w:cs="Arial"/>
                <w:color w:val="000000"/>
                <w:sz w:val="18"/>
                <w:szCs w:val="18"/>
              </w:rPr>
              <w:t>.00</w:t>
            </w:r>
          </w:p>
        </w:tc>
      </w:tr>
      <w:tr w:rsidR="0045589E" w:rsidRPr="00964F50" w14:paraId="483493CD" w14:textId="77777777" w:rsidTr="008C6E08">
        <w:trPr>
          <w:trHeight w:val="320"/>
        </w:trPr>
        <w:tc>
          <w:tcPr>
            <w:tcW w:w="747" w:type="dxa"/>
            <w:vMerge/>
            <w:tcBorders>
              <w:top w:val="nil"/>
              <w:left w:val="single" w:sz="12" w:space="0" w:color="auto"/>
              <w:bottom w:val="single" w:sz="4" w:space="0" w:color="000000"/>
              <w:right w:val="single" w:sz="12" w:space="0" w:color="auto"/>
            </w:tcBorders>
            <w:vAlign w:val="center"/>
            <w:hideMark/>
          </w:tcPr>
          <w:p w14:paraId="5090D6A0"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nil"/>
              <w:right w:val="nil"/>
            </w:tcBorders>
            <w:shd w:val="clear" w:color="auto" w:fill="auto"/>
            <w:vAlign w:val="bottom"/>
            <w:hideMark/>
          </w:tcPr>
          <w:p w14:paraId="5F86A884"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95th Percentile fee*</w:t>
            </w:r>
          </w:p>
        </w:tc>
        <w:tc>
          <w:tcPr>
            <w:tcW w:w="1093" w:type="dxa"/>
            <w:tcBorders>
              <w:top w:val="nil"/>
              <w:left w:val="single" w:sz="4" w:space="0" w:color="000000"/>
              <w:bottom w:val="single" w:sz="4" w:space="0" w:color="000000"/>
              <w:right w:val="single" w:sz="4" w:space="0" w:color="000000"/>
            </w:tcBorders>
            <w:shd w:val="clear" w:color="000000" w:fill="FFFFFF"/>
            <w:noWrap/>
            <w:vAlign w:val="center"/>
            <w:hideMark/>
          </w:tcPr>
          <w:p w14:paraId="4BFBBB7A"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$4,600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135403E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19265A7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n/a (4)</w:t>
            </w:r>
          </w:p>
        </w:tc>
        <w:tc>
          <w:tcPr>
            <w:tcW w:w="1093" w:type="dxa"/>
            <w:tcBorders>
              <w:top w:val="nil"/>
              <w:left w:val="nil"/>
              <w:bottom w:val="single" w:sz="4" w:space="0" w:color="000000"/>
              <w:right w:val="single" w:sz="4" w:space="0" w:color="000000"/>
            </w:tcBorders>
            <w:shd w:val="clear" w:color="000000" w:fill="FFFFFF"/>
            <w:noWrap/>
            <w:vAlign w:val="center"/>
            <w:hideMark/>
          </w:tcPr>
          <w:p w14:paraId="6F69146A"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$2,297.35</w:t>
            </w:r>
          </w:p>
        </w:tc>
        <w:tc>
          <w:tcPr>
            <w:tcW w:w="1093" w:type="dxa"/>
            <w:tcBorders>
              <w:top w:val="nil"/>
              <w:left w:val="nil"/>
              <w:bottom w:val="single" w:sz="4" w:space="0" w:color="000000"/>
              <w:right w:val="single" w:sz="4" w:space="0" w:color="000000"/>
            </w:tcBorders>
            <w:shd w:val="clear" w:color="000000" w:fill="FFFFFF"/>
            <w:noWrap/>
            <w:vAlign w:val="center"/>
            <w:hideMark/>
          </w:tcPr>
          <w:p w14:paraId="2D412583"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$2,200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3748E7EF"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$3,065</w:t>
            </w:r>
            <w:r>
              <w:rPr>
                <w:rFonts w:ascii="Arial" w:hAnsi="Arial" w:cs="Arial"/>
                <w:color w:val="000000"/>
                <w:sz w:val="18"/>
                <w:szCs w:val="18"/>
              </w:rPr>
              <w:t>.00</w:t>
            </w:r>
          </w:p>
        </w:tc>
        <w:tc>
          <w:tcPr>
            <w:tcW w:w="1093" w:type="dxa"/>
            <w:tcBorders>
              <w:top w:val="nil"/>
              <w:left w:val="nil"/>
              <w:bottom w:val="single" w:sz="4" w:space="0" w:color="000000"/>
              <w:right w:val="single" w:sz="12" w:space="0" w:color="auto"/>
            </w:tcBorders>
            <w:shd w:val="clear" w:color="000000" w:fill="FFFFFF"/>
            <w:noWrap/>
            <w:vAlign w:val="center"/>
            <w:hideMark/>
          </w:tcPr>
          <w:p w14:paraId="02F69165"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$4,400</w:t>
            </w:r>
            <w:r>
              <w:rPr>
                <w:rFonts w:ascii="Arial" w:hAnsi="Arial" w:cs="Arial"/>
                <w:color w:val="000000"/>
                <w:sz w:val="18"/>
                <w:szCs w:val="18"/>
              </w:rPr>
              <w:t>.00</w:t>
            </w:r>
          </w:p>
        </w:tc>
      </w:tr>
      <w:tr w:rsidR="0045589E" w:rsidRPr="00964F50" w14:paraId="156C15AA" w14:textId="77777777" w:rsidTr="008C6E08">
        <w:trPr>
          <w:trHeight w:val="320"/>
        </w:trPr>
        <w:tc>
          <w:tcPr>
            <w:tcW w:w="747" w:type="dxa"/>
            <w:vMerge/>
            <w:tcBorders>
              <w:top w:val="nil"/>
              <w:left w:val="single" w:sz="12" w:space="0" w:color="auto"/>
              <w:bottom w:val="single" w:sz="12" w:space="0" w:color="auto"/>
              <w:right w:val="single" w:sz="12" w:space="0" w:color="auto"/>
            </w:tcBorders>
            <w:vAlign w:val="center"/>
            <w:hideMark/>
          </w:tcPr>
          <w:p w14:paraId="2416FD96" w14:textId="77777777" w:rsidR="0045589E" w:rsidRPr="00964F50" w:rsidRDefault="0045589E" w:rsidP="0045589E">
            <w:pPr>
              <w:rPr>
                <w:rFonts w:ascii="Arial" w:hAnsi="Arial" w:cs="Arial"/>
                <w:b/>
                <w:bCs/>
                <w:color w:val="000000"/>
                <w:sz w:val="18"/>
                <w:szCs w:val="18"/>
              </w:rPr>
            </w:pPr>
          </w:p>
        </w:tc>
        <w:tc>
          <w:tcPr>
            <w:tcW w:w="1487"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210B335E"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Bulk Billed rate</w:t>
            </w:r>
          </w:p>
        </w:tc>
        <w:tc>
          <w:tcPr>
            <w:tcW w:w="1093" w:type="dxa"/>
            <w:tcBorders>
              <w:top w:val="nil"/>
              <w:left w:val="nil"/>
              <w:bottom w:val="single" w:sz="12" w:space="0" w:color="auto"/>
              <w:right w:val="single" w:sz="4" w:space="0" w:color="000000"/>
            </w:tcBorders>
            <w:shd w:val="clear" w:color="000000" w:fill="FFFFFF"/>
            <w:noWrap/>
            <w:vAlign w:val="center"/>
            <w:hideMark/>
          </w:tcPr>
          <w:p w14:paraId="45BE68C0"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0.3%</w:t>
            </w:r>
          </w:p>
        </w:tc>
        <w:tc>
          <w:tcPr>
            <w:tcW w:w="1093" w:type="dxa"/>
            <w:tcBorders>
              <w:top w:val="nil"/>
              <w:left w:val="nil"/>
              <w:bottom w:val="single" w:sz="12" w:space="0" w:color="auto"/>
              <w:right w:val="single" w:sz="4" w:space="0" w:color="000000"/>
            </w:tcBorders>
            <w:shd w:val="clear" w:color="000000" w:fill="FFFFFF"/>
            <w:noWrap/>
            <w:vAlign w:val="center"/>
            <w:hideMark/>
          </w:tcPr>
          <w:p w14:paraId="34C57228"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15B92B4C"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7BBEB003"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5D736623"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2F224114"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12" w:space="0" w:color="auto"/>
            </w:tcBorders>
            <w:shd w:val="clear" w:color="000000" w:fill="FFFFFF"/>
            <w:noWrap/>
            <w:vAlign w:val="center"/>
            <w:hideMark/>
          </w:tcPr>
          <w:p w14:paraId="5027797A"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0.2%</w:t>
            </w:r>
          </w:p>
        </w:tc>
      </w:tr>
      <w:tr w:rsidR="0045589E" w:rsidRPr="00964F50" w14:paraId="6D0E5FAA" w14:textId="77777777" w:rsidTr="008C6E08">
        <w:trPr>
          <w:trHeight w:val="320"/>
        </w:trPr>
        <w:tc>
          <w:tcPr>
            <w:tcW w:w="747" w:type="dxa"/>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14:paraId="6E87D426" w14:textId="77777777" w:rsidR="0045589E" w:rsidRPr="00964F50" w:rsidRDefault="0045589E" w:rsidP="0045589E">
            <w:pPr>
              <w:jc w:val="center"/>
              <w:rPr>
                <w:rFonts w:ascii="Arial" w:hAnsi="Arial" w:cs="Arial"/>
                <w:b/>
                <w:bCs/>
                <w:color w:val="000000"/>
                <w:sz w:val="18"/>
                <w:szCs w:val="18"/>
              </w:rPr>
            </w:pPr>
            <w:r w:rsidRPr="00964F50">
              <w:rPr>
                <w:rFonts w:ascii="Arial" w:hAnsi="Arial" w:cs="Arial"/>
                <w:b/>
                <w:bCs/>
                <w:color w:val="000000"/>
                <w:sz w:val="18"/>
                <w:szCs w:val="18"/>
              </w:rPr>
              <w:t>2015-16</w:t>
            </w:r>
          </w:p>
        </w:tc>
        <w:tc>
          <w:tcPr>
            <w:tcW w:w="1487"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6BE2BB40"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 xml:space="preserve">Average Fee </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7436736B"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$2,910.80</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67F6C2BC"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$2,557.53</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009991AC"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$0.00</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1E763220"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$1,870.95</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376DC9C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$2,508.39</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09E26F3C"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$2,882.07</w:t>
            </w:r>
          </w:p>
        </w:tc>
        <w:tc>
          <w:tcPr>
            <w:tcW w:w="1093" w:type="dxa"/>
            <w:tcBorders>
              <w:top w:val="single" w:sz="12" w:space="0" w:color="auto"/>
              <w:left w:val="nil"/>
              <w:bottom w:val="single" w:sz="4" w:space="0" w:color="000000"/>
              <w:right w:val="single" w:sz="12" w:space="0" w:color="auto"/>
            </w:tcBorders>
            <w:shd w:val="clear" w:color="000000" w:fill="FFFFFF"/>
            <w:noWrap/>
            <w:vAlign w:val="center"/>
            <w:hideMark/>
          </w:tcPr>
          <w:p w14:paraId="4ED218CD"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$2,581.72</w:t>
            </w:r>
          </w:p>
        </w:tc>
      </w:tr>
      <w:tr w:rsidR="0045589E" w:rsidRPr="00964F50" w14:paraId="3410B233" w14:textId="77777777" w:rsidTr="008C6E08">
        <w:trPr>
          <w:trHeight w:val="320"/>
        </w:trPr>
        <w:tc>
          <w:tcPr>
            <w:tcW w:w="747" w:type="dxa"/>
            <w:vMerge/>
            <w:tcBorders>
              <w:top w:val="nil"/>
              <w:left w:val="single" w:sz="12" w:space="0" w:color="auto"/>
              <w:bottom w:val="single" w:sz="4" w:space="0" w:color="000000"/>
              <w:right w:val="single" w:sz="12" w:space="0" w:color="auto"/>
            </w:tcBorders>
            <w:vAlign w:val="center"/>
            <w:hideMark/>
          </w:tcPr>
          <w:p w14:paraId="5B78EBE0"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hideMark/>
          </w:tcPr>
          <w:p w14:paraId="48FDD89A"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Standard Deviation</w:t>
            </w:r>
          </w:p>
        </w:tc>
        <w:tc>
          <w:tcPr>
            <w:tcW w:w="1093" w:type="dxa"/>
            <w:tcBorders>
              <w:top w:val="nil"/>
              <w:left w:val="nil"/>
              <w:bottom w:val="single" w:sz="4" w:space="0" w:color="000000"/>
              <w:right w:val="single" w:sz="4" w:space="0" w:color="000000"/>
            </w:tcBorders>
            <w:shd w:val="clear" w:color="000000" w:fill="FFFFFF"/>
            <w:noWrap/>
            <w:vAlign w:val="center"/>
            <w:hideMark/>
          </w:tcPr>
          <w:p w14:paraId="4D6B58D2"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$927.44</w:t>
            </w:r>
          </w:p>
        </w:tc>
        <w:tc>
          <w:tcPr>
            <w:tcW w:w="1093" w:type="dxa"/>
            <w:tcBorders>
              <w:top w:val="nil"/>
              <w:left w:val="nil"/>
              <w:bottom w:val="single" w:sz="4" w:space="0" w:color="000000"/>
              <w:right w:val="single" w:sz="4" w:space="0" w:color="000000"/>
            </w:tcBorders>
            <w:shd w:val="clear" w:color="000000" w:fill="FFFFFF"/>
            <w:noWrap/>
            <w:vAlign w:val="center"/>
            <w:hideMark/>
          </w:tcPr>
          <w:p w14:paraId="2A3B5811"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$665.86</w:t>
            </w:r>
          </w:p>
        </w:tc>
        <w:tc>
          <w:tcPr>
            <w:tcW w:w="1093" w:type="dxa"/>
            <w:tcBorders>
              <w:top w:val="nil"/>
              <w:left w:val="nil"/>
              <w:bottom w:val="single" w:sz="4" w:space="0" w:color="000000"/>
              <w:right w:val="single" w:sz="4" w:space="0" w:color="000000"/>
            </w:tcBorders>
            <w:shd w:val="clear" w:color="000000" w:fill="FFFFFF"/>
            <w:noWrap/>
            <w:vAlign w:val="center"/>
            <w:hideMark/>
          </w:tcPr>
          <w:p w14:paraId="41AE4D9B"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$0.00</w:t>
            </w:r>
          </w:p>
        </w:tc>
        <w:tc>
          <w:tcPr>
            <w:tcW w:w="1093" w:type="dxa"/>
            <w:tcBorders>
              <w:top w:val="nil"/>
              <w:left w:val="nil"/>
              <w:bottom w:val="single" w:sz="4" w:space="0" w:color="000000"/>
              <w:right w:val="single" w:sz="4" w:space="0" w:color="000000"/>
            </w:tcBorders>
            <w:shd w:val="clear" w:color="000000" w:fill="FFFFFF"/>
            <w:noWrap/>
            <w:vAlign w:val="center"/>
            <w:hideMark/>
          </w:tcPr>
          <w:p w14:paraId="56E40D72"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$301.21</w:t>
            </w:r>
          </w:p>
        </w:tc>
        <w:tc>
          <w:tcPr>
            <w:tcW w:w="1093" w:type="dxa"/>
            <w:tcBorders>
              <w:top w:val="nil"/>
              <w:left w:val="nil"/>
              <w:bottom w:val="single" w:sz="4" w:space="0" w:color="000000"/>
              <w:right w:val="single" w:sz="4" w:space="0" w:color="000000"/>
            </w:tcBorders>
            <w:shd w:val="clear" w:color="000000" w:fill="FFFFFF"/>
            <w:noWrap/>
            <w:vAlign w:val="center"/>
            <w:hideMark/>
          </w:tcPr>
          <w:p w14:paraId="05E4BBF7"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$393.33</w:t>
            </w:r>
          </w:p>
        </w:tc>
        <w:tc>
          <w:tcPr>
            <w:tcW w:w="1093" w:type="dxa"/>
            <w:tcBorders>
              <w:top w:val="nil"/>
              <w:left w:val="nil"/>
              <w:bottom w:val="single" w:sz="4" w:space="0" w:color="000000"/>
              <w:right w:val="single" w:sz="4" w:space="0" w:color="000000"/>
            </w:tcBorders>
            <w:shd w:val="clear" w:color="000000" w:fill="FFFFFF"/>
            <w:noWrap/>
            <w:vAlign w:val="center"/>
            <w:hideMark/>
          </w:tcPr>
          <w:p w14:paraId="330B954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$483.46</w:t>
            </w:r>
          </w:p>
        </w:tc>
        <w:tc>
          <w:tcPr>
            <w:tcW w:w="1093" w:type="dxa"/>
            <w:tcBorders>
              <w:top w:val="nil"/>
              <w:left w:val="nil"/>
              <w:bottom w:val="single" w:sz="4" w:space="0" w:color="000000"/>
              <w:right w:val="single" w:sz="12" w:space="0" w:color="auto"/>
            </w:tcBorders>
            <w:shd w:val="clear" w:color="000000" w:fill="FFFFFF"/>
            <w:noWrap/>
            <w:vAlign w:val="center"/>
            <w:hideMark/>
          </w:tcPr>
          <w:p w14:paraId="5E6A6E27"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$831.81</w:t>
            </w:r>
          </w:p>
        </w:tc>
      </w:tr>
      <w:tr w:rsidR="0045589E" w:rsidRPr="00964F50" w14:paraId="4F8DDDF5" w14:textId="77777777" w:rsidTr="008C6E08">
        <w:trPr>
          <w:trHeight w:val="320"/>
        </w:trPr>
        <w:tc>
          <w:tcPr>
            <w:tcW w:w="747" w:type="dxa"/>
            <w:vMerge/>
            <w:tcBorders>
              <w:top w:val="nil"/>
              <w:left w:val="single" w:sz="12" w:space="0" w:color="auto"/>
              <w:bottom w:val="single" w:sz="4" w:space="0" w:color="000000"/>
              <w:right w:val="single" w:sz="12" w:space="0" w:color="auto"/>
            </w:tcBorders>
            <w:vAlign w:val="center"/>
          </w:tcPr>
          <w:p w14:paraId="7F9114CE"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tcPr>
          <w:p w14:paraId="7BD83192"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 xml:space="preserve">25th Percentile Fee </w:t>
            </w:r>
          </w:p>
        </w:tc>
        <w:tc>
          <w:tcPr>
            <w:tcW w:w="1093" w:type="dxa"/>
            <w:tcBorders>
              <w:top w:val="nil"/>
              <w:left w:val="nil"/>
              <w:bottom w:val="single" w:sz="4" w:space="0" w:color="000000"/>
              <w:right w:val="single" w:sz="4" w:space="0" w:color="000000"/>
            </w:tcBorders>
            <w:shd w:val="clear" w:color="000000" w:fill="FFFFFF"/>
            <w:noWrap/>
            <w:vAlign w:val="center"/>
          </w:tcPr>
          <w:p w14:paraId="2FF2AF4B"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w:t>
            </w:r>
            <w:r>
              <w:rPr>
                <w:rFonts w:ascii="Arial" w:hAnsi="Arial" w:cs="Arial"/>
                <w:color w:val="000000"/>
                <w:sz w:val="18"/>
                <w:szCs w:val="18"/>
              </w:rPr>
              <w:t>,</w:t>
            </w:r>
            <w:r w:rsidRPr="00964F50">
              <w:rPr>
                <w:rFonts w:ascii="Arial" w:hAnsi="Arial" w:cs="Arial"/>
                <w:color w:val="000000"/>
                <w:sz w:val="18"/>
                <w:szCs w:val="18"/>
              </w:rPr>
              <w:t>990.63</w:t>
            </w:r>
          </w:p>
        </w:tc>
        <w:tc>
          <w:tcPr>
            <w:tcW w:w="1093" w:type="dxa"/>
            <w:tcBorders>
              <w:top w:val="nil"/>
              <w:left w:val="nil"/>
              <w:bottom w:val="single" w:sz="4" w:space="0" w:color="000000"/>
              <w:right w:val="single" w:sz="4" w:space="0" w:color="000000"/>
            </w:tcBorders>
            <w:shd w:val="clear" w:color="000000" w:fill="FFFFFF"/>
            <w:noWrap/>
            <w:vAlign w:val="center"/>
          </w:tcPr>
          <w:p w14:paraId="0C3B9077"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w:t>
            </w:r>
            <w:r>
              <w:rPr>
                <w:rFonts w:ascii="Arial" w:hAnsi="Arial" w:cs="Arial"/>
                <w:color w:val="000000"/>
                <w:sz w:val="18"/>
                <w:szCs w:val="18"/>
              </w:rPr>
              <w:t>,</w:t>
            </w:r>
            <w:r w:rsidRPr="00964F50">
              <w:rPr>
                <w:rFonts w:ascii="Arial" w:hAnsi="Arial" w:cs="Arial"/>
                <w:color w:val="000000"/>
                <w:sz w:val="18"/>
                <w:szCs w:val="18"/>
              </w:rPr>
              <w:t>911.1</w:t>
            </w:r>
          </w:p>
        </w:tc>
        <w:tc>
          <w:tcPr>
            <w:tcW w:w="1093" w:type="dxa"/>
            <w:tcBorders>
              <w:top w:val="nil"/>
              <w:left w:val="nil"/>
              <w:bottom w:val="single" w:sz="4" w:space="0" w:color="000000"/>
              <w:right w:val="single" w:sz="4" w:space="0" w:color="000000"/>
            </w:tcBorders>
            <w:shd w:val="clear" w:color="000000" w:fill="FFFFFF"/>
            <w:noWrap/>
            <w:vAlign w:val="center"/>
          </w:tcPr>
          <w:p w14:paraId="6421CBE4"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tcPr>
          <w:p w14:paraId="7F97DF89"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w:t>
            </w:r>
            <w:r>
              <w:rPr>
                <w:rFonts w:ascii="Arial" w:hAnsi="Arial" w:cs="Arial"/>
                <w:color w:val="000000"/>
                <w:sz w:val="18"/>
                <w:szCs w:val="18"/>
              </w:rPr>
              <w:t>,</w:t>
            </w:r>
            <w:r w:rsidRPr="00964F50">
              <w:rPr>
                <w:rFonts w:ascii="Arial" w:hAnsi="Arial" w:cs="Arial"/>
                <w:color w:val="000000"/>
                <w:sz w:val="18"/>
                <w:szCs w:val="18"/>
              </w:rPr>
              <w:t>803.25</w:t>
            </w:r>
          </w:p>
        </w:tc>
        <w:tc>
          <w:tcPr>
            <w:tcW w:w="1093" w:type="dxa"/>
            <w:tcBorders>
              <w:top w:val="nil"/>
              <w:left w:val="nil"/>
              <w:bottom w:val="single" w:sz="4" w:space="0" w:color="000000"/>
              <w:right w:val="single" w:sz="4" w:space="0" w:color="000000"/>
            </w:tcBorders>
            <w:shd w:val="clear" w:color="000000" w:fill="FFFFFF"/>
            <w:noWrap/>
            <w:vAlign w:val="center"/>
          </w:tcPr>
          <w:p w14:paraId="006798B0"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w:t>
            </w:r>
            <w:r>
              <w:rPr>
                <w:rFonts w:ascii="Arial" w:hAnsi="Arial" w:cs="Arial"/>
                <w:color w:val="000000"/>
                <w:sz w:val="18"/>
                <w:szCs w:val="18"/>
              </w:rPr>
              <w:t>,</w:t>
            </w:r>
            <w:r w:rsidRPr="00964F50">
              <w:rPr>
                <w:rFonts w:ascii="Arial" w:hAnsi="Arial" w:cs="Arial"/>
                <w:color w:val="000000"/>
                <w:sz w:val="18"/>
                <w:szCs w:val="18"/>
              </w:rPr>
              <w:t>200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tcPr>
          <w:p w14:paraId="21594C77"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$2386.5</w:t>
            </w:r>
            <w:r>
              <w:rPr>
                <w:rFonts w:ascii="Arial" w:hAnsi="Arial" w:cs="Arial"/>
                <w:color w:val="000000"/>
                <w:sz w:val="18"/>
                <w:szCs w:val="18"/>
              </w:rPr>
              <w:t>0</w:t>
            </w:r>
          </w:p>
        </w:tc>
        <w:tc>
          <w:tcPr>
            <w:tcW w:w="1093" w:type="dxa"/>
            <w:tcBorders>
              <w:top w:val="nil"/>
              <w:left w:val="nil"/>
              <w:bottom w:val="single" w:sz="4" w:space="0" w:color="000000"/>
              <w:right w:val="single" w:sz="12" w:space="0" w:color="auto"/>
            </w:tcBorders>
            <w:shd w:val="clear" w:color="000000" w:fill="FFFFFF"/>
            <w:noWrap/>
            <w:vAlign w:val="center"/>
          </w:tcPr>
          <w:p w14:paraId="79D7315E"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$1911.1</w:t>
            </w:r>
          </w:p>
        </w:tc>
      </w:tr>
      <w:tr w:rsidR="0045589E" w:rsidRPr="00964F50" w14:paraId="18937CF1" w14:textId="77777777" w:rsidTr="008C6E08">
        <w:trPr>
          <w:trHeight w:val="320"/>
        </w:trPr>
        <w:tc>
          <w:tcPr>
            <w:tcW w:w="747" w:type="dxa"/>
            <w:vMerge/>
            <w:tcBorders>
              <w:top w:val="nil"/>
              <w:left w:val="single" w:sz="12" w:space="0" w:color="auto"/>
              <w:bottom w:val="single" w:sz="4" w:space="0" w:color="000000"/>
              <w:right w:val="single" w:sz="12" w:space="0" w:color="auto"/>
            </w:tcBorders>
            <w:vAlign w:val="center"/>
            <w:hideMark/>
          </w:tcPr>
          <w:p w14:paraId="1088CEC2"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hideMark/>
          </w:tcPr>
          <w:p w14:paraId="6B709847"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Median</w:t>
            </w:r>
          </w:p>
        </w:tc>
        <w:tc>
          <w:tcPr>
            <w:tcW w:w="1093" w:type="dxa"/>
            <w:tcBorders>
              <w:top w:val="nil"/>
              <w:left w:val="nil"/>
              <w:bottom w:val="single" w:sz="4" w:space="0" w:color="000000"/>
              <w:right w:val="single" w:sz="4" w:space="0" w:color="000000"/>
            </w:tcBorders>
            <w:shd w:val="clear" w:color="000000" w:fill="FFFFFF"/>
            <w:noWrap/>
            <w:vAlign w:val="center"/>
            <w:hideMark/>
          </w:tcPr>
          <w:p w14:paraId="598ED7A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$2,800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57F3DEE2"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41BA6D4D"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27FFFDB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$1,803.25</w:t>
            </w:r>
          </w:p>
        </w:tc>
        <w:tc>
          <w:tcPr>
            <w:tcW w:w="1093" w:type="dxa"/>
            <w:tcBorders>
              <w:top w:val="nil"/>
              <w:left w:val="nil"/>
              <w:bottom w:val="single" w:sz="4" w:space="0" w:color="000000"/>
              <w:right w:val="single" w:sz="4" w:space="0" w:color="000000"/>
            </w:tcBorders>
            <w:shd w:val="clear" w:color="000000" w:fill="FFFFFF"/>
            <w:noWrap/>
            <w:vAlign w:val="center"/>
            <w:hideMark/>
          </w:tcPr>
          <w:p w14:paraId="22B507AF"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$2,200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15F492E1"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$3,065</w:t>
            </w:r>
            <w:r>
              <w:rPr>
                <w:rFonts w:ascii="Arial" w:hAnsi="Arial" w:cs="Arial"/>
                <w:color w:val="000000"/>
                <w:sz w:val="18"/>
                <w:szCs w:val="18"/>
              </w:rPr>
              <w:t>.00</w:t>
            </w:r>
          </w:p>
        </w:tc>
        <w:tc>
          <w:tcPr>
            <w:tcW w:w="1093" w:type="dxa"/>
            <w:tcBorders>
              <w:top w:val="nil"/>
              <w:left w:val="nil"/>
              <w:bottom w:val="single" w:sz="4" w:space="0" w:color="000000"/>
              <w:right w:val="single" w:sz="12" w:space="0" w:color="auto"/>
            </w:tcBorders>
            <w:shd w:val="clear" w:color="000000" w:fill="FFFFFF"/>
            <w:noWrap/>
            <w:vAlign w:val="center"/>
            <w:hideMark/>
          </w:tcPr>
          <w:p w14:paraId="62B36E18"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$2,303.25</w:t>
            </w:r>
          </w:p>
        </w:tc>
      </w:tr>
      <w:tr w:rsidR="0045589E" w:rsidRPr="00964F50" w14:paraId="17F3E93D" w14:textId="77777777" w:rsidTr="008C6E08">
        <w:trPr>
          <w:trHeight w:val="320"/>
        </w:trPr>
        <w:tc>
          <w:tcPr>
            <w:tcW w:w="747" w:type="dxa"/>
            <w:vMerge/>
            <w:tcBorders>
              <w:top w:val="nil"/>
              <w:left w:val="single" w:sz="12" w:space="0" w:color="auto"/>
              <w:bottom w:val="single" w:sz="4" w:space="0" w:color="000000"/>
              <w:right w:val="single" w:sz="12" w:space="0" w:color="auto"/>
            </w:tcBorders>
            <w:vAlign w:val="center"/>
            <w:hideMark/>
          </w:tcPr>
          <w:p w14:paraId="6D2CE471"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hideMark/>
          </w:tcPr>
          <w:p w14:paraId="6E44BA69"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95th Percentile fee*</w:t>
            </w:r>
          </w:p>
        </w:tc>
        <w:tc>
          <w:tcPr>
            <w:tcW w:w="1093" w:type="dxa"/>
            <w:tcBorders>
              <w:top w:val="nil"/>
              <w:left w:val="nil"/>
              <w:bottom w:val="single" w:sz="4" w:space="0" w:color="000000"/>
              <w:right w:val="single" w:sz="4" w:space="0" w:color="000000"/>
            </w:tcBorders>
            <w:shd w:val="clear" w:color="000000" w:fill="FFFFFF"/>
            <w:noWrap/>
            <w:vAlign w:val="center"/>
            <w:hideMark/>
          </w:tcPr>
          <w:p w14:paraId="5DB0359E"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$4,400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4C05E8C2"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$3,617.75</w:t>
            </w:r>
          </w:p>
        </w:tc>
        <w:tc>
          <w:tcPr>
            <w:tcW w:w="1093" w:type="dxa"/>
            <w:tcBorders>
              <w:top w:val="nil"/>
              <w:left w:val="nil"/>
              <w:bottom w:val="single" w:sz="4" w:space="0" w:color="000000"/>
              <w:right w:val="single" w:sz="4" w:space="0" w:color="000000"/>
            </w:tcBorders>
            <w:shd w:val="clear" w:color="000000" w:fill="FFFFFF"/>
            <w:noWrap/>
            <w:vAlign w:val="center"/>
            <w:hideMark/>
          </w:tcPr>
          <w:p w14:paraId="19BF25B5"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55165251"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w:t>
            </w:r>
            <w:r>
              <w:rPr>
                <w:rFonts w:ascii="Arial" w:hAnsi="Arial" w:cs="Arial"/>
                <w:color w:val="000000"/>
                <w:sz w:val="18"/>
                <w:szCs w:val="18"/>
              </w:rPr>
              <w:t>23</w:t>
            </w:r>
            <w:r w:rsidRPr="00964F50">
              <w:rPr>
                <w:rFonts w:ascii="Arial" w:hAnsi="Arial" w:cs="Arial"/>
                <w:color w:val="000000"/>
                <w:sz w:val="18"/>
                <w:szCs w:val="18"/>
              </w:rPr>
              <w:t>03.25</w:t>
            </w:r>
          </w:p>
        </w:tc>
        <w:tc>
          <w:tcPr>
            <w:tcW w:w="1093" w:type="dxa"/>
            <w:tcBorders>
              <w:top w:val="nil"/>
              <w:left w:val="nil"/>
              <w:bottom w:val="single" w:sz="4" w:space="0" w:color="000000"/>
              <w:right w:val="single" w:sz="4" w:space="0" w:color="000000"/>
            </w:tcBorders>
            <w:shd w:val="clear" w:color="000000" w:fill="FFFFFF"/>
            <w:noWrap/>
            <w:vAlign w:val="center"/>
            <w:hideMark/>
          </w:tcPr>
          <w:p w14:paraId="5460C4CB"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$3,065</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1F6A71A5" w14:textId="77777777" w:rsidR="0045589E" w:rsidRPr="009A5A52" w:rsidRDefault="0045589E" w:rsidP="0045589E">
            <w:pPr>
              <w:jc w:val="right"/>
              <w:rPr>
                <w:rFonts w:ascii="Arial" w:hAnsi="Arial" w:cs="Arial"/>
                <w:b/>
                <w:color w:val="000000"/>
                <w:sz w:val="18"/>
                <w:szCs w:val="18"/>
              </w:rPr>
            </w:pPr>
            <w:r w:rsidRPr="00964F50">
              <w:rPr>
                <w:rFonts w:ascii="Arial" w:hAnsi="Arial" w:cs="Arial"/>
                <w:color w:val="000000"/>
                <w:sz w:val="18"/>
                <w:szCs w:val="18"/>
              </w:rPr>
              <w:t>$3,125</w:t>
            </w:r>
            <w:r>
              <w:rPr>
                <w:rFonts w:ascii="Arial" w:hAnsi="Arial" w:cs="Arial"/>
                <w:color w:val="000000"/>
                <w:sz w:val="18"/>
                <w:szCs w:val="18"/>
              </w:rPr>
              <w:t>.00</w:t>
            </w:r>
          </w:p>
        </w:tc>
        <w:tc>
          <w:tcPr>
            <w:tcW w:w="1093" w:type="dxa"/>
            <w:tcBorders>
              <w:top w:val="nil"/>
              <w:left w:val="nil"/>
              <w:bottom w:val="single" w:sz="4" w:space="0" w:color="000000"/>
              <w:right w:val="single" w:sz="12" w:space="0" w:color="auto"/>
            </w:tcBorders>
            <w:shd w:val="clear" w:color="000000" w:fill="FFFFFF"/>
            <w:noWrap/>
            <w:vAlign w:val="center"/>
            <w:hideMark/>
          </w:tcPr>
          <w:p w14:paraId="51968EDF"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$4,183.40</w:t>
            </w:r>
          </w:p>
        </w:tc>
      </w:tr>
      <w:tr w:rsidR="0045589E" w:rsidRPr="00964F50" w14:paraId="75256CB1" w14:textId="77777777" w:rsidTr="008C6E08">
        <w:trPr>
          <w:trHeight w:val="320"/>
        </w:trPr>
        <w:tc>
          <w:tcPr>
            <w:tcW w:w="747" w:type="dxa"/>
            <w:vMerge/>
            <w:tcBorders>
              <w:top w:val="nil"/>
              <w:left w:val="single" w:sz="12" w:space="0" w:color="auto"/>
              <w:bottom w:val="single" w:sz="12" w:space="0" w:color="auto"/>
              <w:right w:val="single" w:sz="12" w:space="0" w:color="auto"/>
            </w:tcBorders>
            <w:vAlign w:val="center"/>
            <w:hideMark/>
          </w:tcPr>
          <w:p w14:paraId="0347960A"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12" w:space="0" w:color="auto"/>
              <w:right w:val="single" w:sz="4" w:space="0" w:color="auto"/>
            </w:tcBorders>
            <w:shd w:val="clear" w:color="auto" w:fill="auto"/>
            <w:vAlign w:val="center"/>
            <w:hideMark/>
          </w:tcPr>
          <w:p w14:paraId="6C53BF0B"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Bulk Billed rate</w:t>
            </w:r>
          </w:p>
        </w:tc>
        <w:tc>
          <w:tcPr>
            <w:tcW w:w="1093" w:type="dxa"/>
            <w:tcBorders>
              <w:top w:val="nil"/>
              <w:left w:val="nil"/>
              <w:bottom w:val="single" w:sz="12" w:space="0" w:color="auto"/>
              <w:right w:val="single" w:sz="4" w:space="0" w:color="000000"/>
            </w:tcBorders>
            <w:shd w:val="clear" w:color="000000" w:fill="FFFFFF"/>
            <w:noWrap/>
            <w:vAlign w:val="center"/>
            <w:hideMark/>
          </w:tcPr>
          <w:p w14:paraId="63D4F8CA"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7C594E72"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0.8%</w:t>
            </w:r>
          </w:p>
        </w:tc>
        <w:tc>
          <w:tcPr>
            <w:tcW w:w="1093" w:type="dxa"/>
            <w:tcBorders>
              <w:top w:val="nil"/>
              <w:left w:val="nil"/>
              <w:bottom w:val="single" w:sz="12" w:space="0" w:color="auto"/>
              <w:right w:val="single" w:sz="4" w:space="0" w:color="000000"/>
            </w:tcBorders>
            <w:shd w:val="clear" w:color="000000" w:fill="FFFFFF"/>
            <w:noWrap/>
            <w:vAlign w:val="center"/>
            <w:hideMark/>
          </w:tcPr>
          <w:p w14:paraId="09236F4B"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2F7137BC"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2573F693"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6CC71F9F"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12" w:space="0" w:color="auto"/>
            </w:tcBorders>
            <w:shd w:val="clear" w:color="000000" w:fill="FFFFFF"/>
            <w:noWrap/>
            <w:vAlign w:val="center"/>
            <w:hideMark/>
          </w:tcPr>
          <w:p w14:paraId="2E14F5C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0.1%</w:t>
            </w:r>
          </w:p>
        </w:tc>
      </w:tr>
      <w:tr w:rsidR="0045589E" w:rsidRPr="00964F50" w14:paraId="68C1CEC6" w14:textId="77777777" w:rsidTr="008C6E08">
        <w:trPr>
          <w:trHeight w:val="320"/>
        </w:trPr>
        <w:tc>
          <w:tcPr>
            <w:tcW w:w="74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7C7B23F" w14:textId="77777777" w:rsidR="0045589E" w:rsidRPr="00964F50" w:rsidRDefault="0045589E" w:rsidP="0045589E">
            <w:pPr>
              <w:jc w:val="center"/>
              <w:rPr>
                <w:rFonts w:ascii="Arial" w:hAnsi="Arial" w:cs="Arial"/>
                <w:b/>
                <w:bCs/>
                <w:color w:val="000000"/>
                <w:sz w:val="18"/>
                <w:szCs w:val="18"/>
              </w:rPr>
            </w:pPr>
            <w:r w:rsidRPr="00964F50">
              <w:rPr>
                <w:rFonts w:ascii="Arial" w:hAnsi="Arial" w:cs="Arial"/>
                <w:b/>
                <w:bCs/>
                <w:color w:val="000000"/>
                <w:sz w:val="18"/>
                <w:szCs w:val="18"/>
              </w:rPr>
              <w:t>2016-17</w:t>
            </w:r>
          </w:p>
        </w:tc>
        <w:tc>
          <w:tcPr>
            <w:tcW w:w="1487"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30DDC9A"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 xml:space="preserve">Average Fee </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45D4BEE3"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$2,729.58</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0DABD420"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$2,594.13</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13F588F3"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$2,556.04</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4D938407"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$1,841.55</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2F3CF1C3"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$2,985.71</w:t>
            </w:r>
          </w:p>
        </w:tc>
        <w:tc>
          <w:tcPr>
            <w:tcW w:w="1093" w:type="dxa"/>
            <w:tcBorders>
              <w:top w:val="single" w:sz="12" w:space="0" w:color="auto"/>
              <w:left w:val="nil"/>
              <w:bottom w:val="single" w:sz="4" w:space="0" w:color="000000"/>
              <w:right w:val="single" w:sz="4" w:space="0" w:color="000000"/>
            </w:tcBorders>
            <w:shd w:val="clear" w:color="000000" w:fill="FFFFFF"/>
            <w:noWrap/>
            <w:vAlign w:val="center"/>
            <w:hideMark/>
          </w:tcPr>
          <w:p w14:paraId="50138AEC"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$3,043.65</w:t>
            </w:r>
          </w:p>
        </w:tc>
        <w:tc>
          <w:tcPr>
            <w:tcW w:w="1093" w:type="dxa"/>
            <w:tcBorders>
              <w:top w:val="single" w:sz="12" w:space="0" w:color="auto"/>
              <w:left w:val="nil"/>
              <w:bottom w:val="single" w:sz="4" w:space="0" w:color="000000"/>
              <w:right w:val="single" w:sz="12" w:space="0" w:color="auto"/>
            </w:tcBorders>
            <w:shd w:val="clear" w:color="000000" w:fill="FFFFFF"/>
            <w:noWrap/>
            <w:vAlign w:val="center"/>
            <w:hideMark/>
          </w:tcPr>
          <w:p w14:paraId="18C56BB5"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$2,560.14</w:t>
            </w:r>
          </w:p>
        </w:tc>
      </w:tr>
      <w:tr w:rsidR="0045589E" w:rsidRPr="00964F50" w14:paraId="07B6DD61" w14:textId="77777777" w:rsidTr="008C6E08">
        <w:trPr>
          <w:trHeight w:val="320"/>
        </w:trPr>
        <w:tc>
          <w:tcPr>
            <w:tcW w:w="747" w:type="dxa"/>
            <w:vMerge/>
            <w:tcBorders>
              <w:top w:val="nil"/>
              <w:left w:val="single" w:sz="12" w:space="0" w:color="auto"/>
              <w:bottom w:val="single" w:sz="4" w:space="0" w:color="auto"/>
              <w:right w:val="single" w:sz="12" w:space="0" w:color="auto"/>
            </w:tcBorders>
            <w:vAlign w:val="center"/>
            <w:hideMark/>
          </w:tcPr>
          <w:p w14:paraId="6E2681D4"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hideMark/>
          </w:tcPr>
          <w:p w14:paraId="564FA48A"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Standard deviation</w:t>
            </w:r>
          </w:p>
        </w:tc>
        <w:tc>
          <w:tcPr>
            <w:tcW w:w="1093" w:type="dxa"/>
            <w:tcBorders>
              <w:top w:val="nil"/>
              <w:left w:val="nil"/>
              <w:bottom w:val="single" w:sz="4" w:space="0" w:color="000000"/>
              <w:right w:val="single" w:sz="4" w:space="0" w:color="000000"/>
            </w:tcBorders>
            <w:shd w:val="clear" w:color="000000" w:fill="FFFFFF"/>
            <w:noWrap/>
            <w:vAlign w:val="center"/>
            <w:hideMark/>
          </w:tcPr>
          <w:p w14:paraId="48682C02"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$906.71</w:t>
            </w:r>
          </w:p>
        </w:tc>
        <w:tc>
          <w:tcPr>
            <w:tcW w:w="1093" w:type="dxa"/>
            <w:tcBorders>
              <w:top w:val="nil"/>
              <w:left w:val="nil"/>
              <w:bottom w:val="single" w:sz="4" w:space="0" w:color="000000"/>
              <w:right w:val="single" w:sz="4" w:space="0" w:color="000000"/>
            </w:tcBorders>
            <w:shd w:val="clear" w:color="000000" w:fill="FFFFFF"/>
            <w:noWrap/>
            <w:vAlign w:val="center"/>
            <w:hideMark/>
          </w:tcPr>
          <w:p w14:paraId="5F6D1574"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$801.03</w:t>
            </w:r>
          </w:p>
        </w:tc>
        <w:tc>
          <w:tcPr>
            <w:tcW w:w="1093" w:type="dxa"/>
            <w:tcBorders>
              <w:top w:val="nil"/>
              <w:left w:val="nil"/>
              <w:bottom w:val="single" w:sz="4" w:space="0" w:color="000000"/>
              <w:right w:val="single" w:sz="4" w:space="0" w:color="000000"/>
            </w:tcBorders>
            <w:shd w:val="clear" w:color="000000" w:fill="FFFFFF"/>
            <w:noWrap/>
            <w:vAlign w:val="center"/>
            <w:hideMark/>
          </w:tcPr>
          <w:p w14:paraId="76DCDCFA"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$434.95</w:t>
            </w:r>
          </w:p>
        </w:tc>
        <w:tc>
          <w:tcPr>
            <w:tcW w:w="1093" w:type="dxa"/>
            <w:tcBorders>
              <w:top w:val="nil"/>
              <w:left w:val="nil"/>
              <w:bottom w:val="single" w:sz="4" w:space="0" w:color="000000"/>
              <w:right w:val="single" w:sz="4" w:space="0" w:color="000000"/>
            </w:tcBorders>
            <w:shd w:val="clear" w:color="000000" w:fill="FFFFFF"/>
            <w:noWrap/>
            <w:vAlign w:val="center"/>
            <w:hideMark/>
          </w:tcPr>
          <w:p w14:paraId="12165ADC"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$381.37</w:t>
            </w:r>
          </w:p>
        </w:tc>
        <w:tc>
          <w:tcPr>
            <w:tcW w:w="1093" w:type="dxa"/>
            <w:tcBorders>
              <w:top w:val="nil"/>
              <w:left w:val="nil"/>
              <w:bottom w:val="single" w:sz="4" w:space="0" w:color="000000"/>
              <w:right w:val="single" w:sz="4" w:space="0" w:color="000000"/>
            </w:tcBorders>
            <w:shd w:val="clear" w:color="000000" w:fill="FFFFFF"/>
            <w:noWrap/>
            <w:vAlign w:val="center"/>
            <w:hideMark/>
          </w:tcPr>
          <w:p w14:paraId="7EA85CF2"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$287.84</w:t>
            </w:r>
          </w:p>
        </w:tc>
        <w:tc>
          <w:tcPr>
            <w:tcW w:w="1093" w:type="dxa"/>
            <w:tcBorders>
              <w:top w:val="nil"/>
              <w:left w:val="nil"/>
              <w:bottom w:val="single" w:sz="4" w:space="0" w:color="000000"/>
              <w:right w:val="single" w:sz="4" w:space="0" w:color="000000"/>
            </w:tcBorders>
            <w:shd w:val="clear" w:color="000000" w:fill="FFFFFF"/>
            <w:noWrap/>
            <w:vAlign w:val="center"/>
            <w:hideMark/>
          </w:tcPr>
          <w:p w14:paraId="1C02A481"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$412.06</w:t>
            </w:r>
          </w:p>
        </w:tc>
        <w:tc>
          <w:tcPr>
            <w:tcW w:w="1093" w:type="dxa"/>
            <w:tcBorders>
              <w:top w:val="nil"/>
              <w:left w:val="nil"/>
              <w:bottom w:val="single" w:sz="4" w:space="0" w:color="000000"/>
              <w:right w:val="single" w:sz="12" w:space="0" w:color="auto"/>
            </w:tcBorders>
            <w:shd w:val="clear" w:color="000000" w:fill="FFFFFF"/>
            <w:noWrap/>
            <w:vAlign w:val="center"/>
            <w:hideMark/>
          </w:tcPr>
          <w:p w14:paraId="2C6DB49E"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$816.59</w:t>
            </w:r>
          </w:p>
        </w:tc>
      </w:tr>
      <w:tr w:rsidR="0045589E" w:rsidRPr="00964F50" w14:paraId="16261BE1" w14:textId="77777777" w:rsidTr="008C6E08">
        <w:trPr>
          <w:trHeight w:val="320"/>
        </w:trPr>
        <w:tc>
          <w:tcPr>
            <w:tcW w:w="747" w:type="dxa"/>
            <w:vMerge/>
            <w:tcBorders>
              <w:top w:val="nil"/>
              <w:left w:val="single" w:sz="12" w:space="0" w:color="auto"/>
              <w:bottom w:val="single" w:sz="4" w:space="0" w:color="auto"/>
              <w:right w:val="single" w:sz="12" w:space="0" w:color="auto"/>
            </w:tcBorders>
            <w:vAlign w:val="center"/>
          </w:tcPr>
          <w:p w14:paraId="0D578CC3"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tcPr>
          <w:p w14:paraId="72BFC2FE"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25th Percentile Fee</w:t>
            </w:r>
          </w:p>
        </w:tc>
        <w:tc>
          <w:tcPr>
            <w:tcW w:w="1093" w:type="dxa"/>
            <w:tcBorders>
              <w:top w:val="nil"/>
              <w:left w:val="nil"/>
              <w:bottom w:val="single" w:sz="4" w:space="0" w:color="000000"/>
              <w:right w:val="single" w:sz="4" w:space="0" w:color="000000"/>
            </w:tcBorders>
            <w:shd w:val="clear" w:color="000000" w:fill="FFFFFF"/>
            <w:noWrap/>
            <w:vAlign w:val="center"/>
          </w:tcPr>
          <w:p w14:paraId="41A88648"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w:t>
            </w:r>
            <w:r>
              <w:rPr>
                <w:rFonts w:ascii="Arial" w:hAnsi="Arial" w:cs="Arial"/>
                <w:color w:val="000000"/>
                <w:sz w:val="18"/>
                <w:szCs w:val="18"/>
              </w:rPr>
              <w:t>,</w:t>
            </w:r>
            <w:r w:rsidRPr="00964F50">
              <w:rPr>
                <w:rFonts w:ascii="Arial" w:hAnsi="Arial" w:cs="Arial"/>
                <w:color w:val="000000"/>
                <w:sz w:val="18"/>
                <w:szCs w:val="18"/>
              </w:rPr>
              <w:t>934.55</w:t>
            </w:r>
          </w:p>
        </w:tc>
        <w:tc>
          <w:tcPr>
            <w:tcW w:w="1093" w:type="dxa"/>
            <w:tcBorders>
              <w:top w:val="nil"/>
              <w:left w:val="nil"/>
              <w:bottom w:val="single" w:sz="4" w:space="0" w:color="000000"/>
              <w:right w:val="single" w:sz="4" w:space="0" w:color="000000"/>
            </w:tcBorders>
            <w:shd w:val="clear" w:color="000000" w:fill="FFFFFF"/>
            <w:noWrap/>
            <w:vAlign w:val="center"/>
          </w:tcPr>
          <w:p w14:paraId="7934434E"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w:t>
            </w:r>
            <w:r>
              <w:rPr>
                <w:rFonts w:ascii="Arial" w:hAnsi="Arial" w:cs="Arial"/>
                <w:color w:val="000000"/>
                <w:sz w:val="18"/>
                <w:szCs w:val="18"/>
              </w:rPr>
              <w:t>,</w:t>
            </w:r>
            <w:r w:rsidRPr="00964F50">
              <w:rPr>
                <w:rFonts w:ascii="Arial" w:hAnsi="Arial" w:cs="Arial"/>
                <w:color w:val="000000"/>
                <w:sz w:val="18"/>
                <w:szCs w:val="18"/>
              </w:rPr>
              <w:t>911.1</w:t>
            </w:r>
            <w:r>
              <w:rPr>
                <w:rFonts w:ascii="Arial" w:hAnsi="Arial" w:cs="Arial"/>
                <w:color w:val="000000"/>
                <w:sz w:val="18"/>
                <w:szCs w:val="18"/>
              </w:rPr>
              <w:t>0</w:t>
            </w:r>
          </w:p>
        </w:tc>
        <w:tc>
          <w:tcPr>
            <w:tcW w:w="1093" w:type="dxa"/>
            <w:tcBorders>
              <w:top w:val="nil"/>
              <w:left w:val="nil"/>
              <w:bottom w:val="single" w:sz="4" w:space="0" w:color="000000"/>
              <w:right w:val="single" w:sz="4" w:space="0" w:color="000000"/>
            </w:tcBorders>
            <w:shd w:val="clear" w:color="000000" w:fill="FFFFFF"/>
            <w:noWrap/>
            <w:vAlign w:val="center"/>
          </w:tcPr>
          <w:p w14:paraId="65070EA8"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w:t>
            </w:r>
            <w:r>
              <w:rPr>
                <w:rFonts w:ascii="Arial" w:hAnsi="Arial" w:cs="Arial"/>
                <w:color w:val="000000"/>
                <w:sz w:val="18"/>
                <w:szCs w:val="18"/>
              </w:rPr>
              <w:t>,</w:t>
            </w:r>
            <w:r w:rsidRPr="00964F50">
              <w:rPr>
                <w:rFonts w:ascii="Arial" w:hAnsi="Arial" w:cs="Arial"/>
                <w:color w:val="000000"/>
                <w:sz w:val="18"/>
                <w:szCs w:val="18"/>
              </w:rPr>
              <w:t>049.25</w:t>
            </w:r>
          </w:p>
        </w:tc>
        <w:tc>
          <w:tcPr>
            <w:tcW w:w="1093" w:type="dxa"/>
            <w:tcBorders>
              <w:top w:val="nil"/>
              <w:left w:val="nil"/>
              <w:bottom w:val="single" w:sz="4" w:space="0" w:color="000000"/>
              <w:right w:val="single" w:sz="4" w:space="0" w:color="000000"/>
            </w:tcBorders>
            <w:shd w:val="clear" w:color="000000" w:fill="FFFFFF"/>
            <w:noWrap/>
            <w:vAlign w:val="center"/>
          </w:tcPr>
          <w:p w14:paraId="5ACA1E84"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w:t>
            </w:r>
            <w:r>
              <w:rPr>
                <w:rFonts w:ascii="Arial" w:hAnsi="Arial" w:cs="Arial"/>
                <w:color w:val="000000"/>
                <w:sz w:val="18"/>
                <w:szCs w:val="18"/>
              </w:rPr>
              <w:t>,</w:t>
            </w:r>
            <w:r w:rsidRPr="00964F50">
              <w:rPr>
                <w:rFonts w:ascii="Arial" w:hAnsi="Arial" w:cs="Arial"/>
                <w:color w:val="000000"/>
                <w:sz w:val="18"/>
                <w:szCs w:val="18"/>
              </w:rPr>
              <w:t>559.6</w:t>
            </w:r>
            <w:r>
              <w:rPr>
                <w:rFonts w:ascii="Arial" w:hAnsi="Arial" w:cs="Arial"/>
                <w:color w:val="000000"/>
                <w:sz w:val="18"/>
                <w:szCs w:val="18"/>
              </w:rPr>
              <w:t>0</w:t>
            </w:r>
          </w:p>
        </w:tc>
        <w:tc>
          <w:tcPr>
            <w:tcW w:w="1093" w:type="dxa"/>
            <w:tcBorders>
              <w:top w:val="nil"/>
              <w:left w:val="nil"/>
              <w:bottom w:val="single" w:sz="4" w:space="0" w:color="000000"/>
              <w:right w:val="single" w:sz="4" w:space="0" w:color="000000"/>
            </w:tcBorders>
            <w:shd w:val="clear" w:color="000000" w:fill="FFFFFF"/>
            <w:noWrap/>
            <w:vAlign w:val="center"/>
          </w:tcPr>
          <w:p w14:paraId="1701A5D7"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w:t>
            </w:r>
            <w:r>
              <w:rPr>
                <w:rFonts w:ascii="Arial" w:hAnsi="Arial" w:cs="Arial"/>
                <w:color w:val="000000"/>
                <w:sz w:val="18"/>
                <w:szCs w:val="18"/>
              </w:rPr>
              <w:t>,</w:t>
            </w:r>
            <w:r w:rsidRPr="00964F50">
              <w:rPr>
                <w:rFonts w:ascii="Arial" w:hAnsi="Arial" w:cs="Arial"/>
                <w:color w:val="000000"/>
                <w:sz w:val="18"/>
                <w:szCs w:val="18"/>
              </w:rPr>
              <w:t>065</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tcPr>
          <w:p w14:paraId="3543F48F"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w:t>
            </w:r>
            <w:r>
              <w:rPr>
                <w:rFonts w:ascii="Arial" w:hAnsi="Arial" w:cs="Arial"/>
                <w:color w:val="000000"/>
                <w:sz w:val="18"/>
                <w:szCs w:val="18"/>
              </w:rPr>
              <w:t>,</w:t>
            </w:r>
            <w:r w:rsidRPr="00964F50">
              <w:rPr>
                <w:rFonts w:ascii="Arial" w:hAnsi="Arial" w:cs="Arial"/>
                <w:color w:val="000000"/>
                <w:sz w:val="18"/>
                <w:szCs w:val="18"/>
              </w:rPr>
              <w:t>125</w:t>
            </w:r>
            <w:r>
              <w:rPr>
                <w:rFonts w:ascii="Arial" w:hAnsi="Arial" w:cs="Arial"/>
                <w:color w:val="000000"/>
                <w:sz w:val="18"/>
                <w:szCs w:val="18"/>
              </w:rPr>
              <w:t>.00</w:t>
            </w:r>
          </w:p>
        </w:tc>
        <w:tc>
          <w:tcPr>
            <w:tcW w:w="1093" w:type="dxa"/>
            <w:tcBorders>
              <w:top w:val="nil"/>
              <w:left w:val="nil"/>
              <w:bottom w:val="single" w:sz="4" w:space="0" w:color="000000"/>
              <w:right w:val="single" w:sz="12" w:space="0" w:color="auto"/>
            </w:tcBorders>
            <w:shd w:val="clear" w:color="000000" w:fill="FFFFFF"/>
            <w:noWrap/>
            <w:vAlign w:val="center"/>
          </w:tcPr>
          <w:p w14:paraId="0B09E86C"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$1918.45</w:t>
            </w:r>
          </w:p>
        </w:tc>
      </w:tr>
      <w:tr w:rsidR="0045589E" w:rsidRPr="00964F50" w14:paraId="512EBA45" w14:textId="77777777" w:rsidTr="008C6E08">
        <w:trPr>
          <w:trHeight w:val="320"/>
        </w:trPr>
        <w:tc>
          <w:tcPr>
            <w:tcW w:w="747" w:type="dxa"/>
            <w:vMerge/>
            <w:tcBorders>
              <w:top w:val="nil"/>
              <w:left w:val="single" w:sz="12" w:space="0" w:color="auto"/>
              <w:bottom w:val="single" w:sz="4" w:space="0" w:color="auto"/>
              <w:right w:val="single" w:sz="12" w:space="0" w:color="auto"/>
            </w:tcBorders>
            <w:vAlign w:val="center"/>
            <w:hideMark/>
          </w:tcPr>
          <w:p w14:paraId="4F083365"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hideMark/>
          </w:tcPr>
          <w:p w14:paraId="08A88D6D"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Median</w:t>
            </w:r>
          </w:p>
        </w:tc>
        <w:tc>
          <w:tcPr>
            <w:tcW w:w="1093" w:type="dxa"/>
            <w:tcBorders>
              <w:top w:val="nil"/>
              <w:left w:val="nil"/>
              <w:bottom w:val="single" w:sz="4" w:space="0" w:color="000000"/>
              <w:right w:val="single" w:sz="4" w:space="0" w:color="000000"/>
            </w:tcBorders>
            <w:shd w:val="clear" w:color="000000" w:fill="FFFFFF"/>
            <w:noWrap/>
            <w:vAlign w:val="center"/>
            <w:hideMark/>
          </w:tcPr>
          <w:p w14:paraId="45463902"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$2,406</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3205D439"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$3,000</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24AB680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$2,549.25</w:t>
            </w:r>
          </w:p>
        </w:tc>
        <w:tc>
          <w:tcPr>
            <w:tcW w:w="1093" w:type="dxa"/>
            <w:tcBorders>
              <w:top w:val="nil"/>
              <w:left w:val="nil"/>
              <w:bottom w:val="single" w:sz="4" w:space="0" w:color="000000"/>
              <w:right w:val="single" w:sz="4" w:space="0" w:color="000000"/>
            </w:tcBorders>
            <w:shd w:val="clear" w:color="000000" w:fill="FFFFFF"/>
            <w:noWrap/>
            <w:vAlign w:val="center"/>
            <w:hideMark/>
          </w:tcPr>
          <w:p w14:paraId="5EC2756F"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$1,803.25</w:t>
            </w:r>
          </w:p>
        </w:tc>
        <w:tc>
          <w:tcPr>
            <w:tcW w:w="1093" w:type="dxa"/>
            <w:tcBorders>
              <w:top w:val="nil"/>
              <w:left w:val="nil"/>
              <w:bottom w:val="single" w:sz="4" w:space="0" w:color="000000"/>
              <w:right w:val="single" w:sz="4" w:space="0" w:color="000000"/>
            </w:tcBorders>
            <w:shd w:val="clear" w:color="000000" w:fill="FFFFFF"/>
            <w:noWrap/>
            <w:vAlign w:val="center"/>
            <w:hideMark/>
          </w:tcPr>
          <w:p w14:paraId="6520198F"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$3,065</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1B8174EB"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$3,200</w:t>
            </w:r>
            <w:r>
              <w:rPr>
                <w:rFonts w:ascii="Arial" w:hAnsi="Arial" w:cs="Arial"/>
                <w:color w:val="000000"/>
                <w:sz w:val="18"/>
                <w:szCs w:val="18"/>
              </w:rPr>
              <w:t>.00</w:t>
            </w:r>
          </w:p>
        </w:tc>
        <w:tc>
          <w:tcPr>
            <w:tcW w:w="1093" w:type="dxa"/>
            <w:tcBorders>
              <w:top w:val="nil"/>
              <w:left w:val="nil"/>
              <w:bottom w:val="single" w:sz="4" w:space="0" w:color="000000"/>
              <w:right w:val="single" w:sz="12" w:space="0" w:color="auto"/>
            </w:tcBorders>
            <w:shd w:val="clear" w:color="000000" w:fill="FFFFFF"/>
            <w:noWrap/>
            <w:vAlign w:val="center"/>
            <w:hideMark/>
          </w:tcPr>
          <w:p w14:paraId="506F1969"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$2,406</w:t>
            </w:r>
            <w:r>
              <w:rPr>
                <w:rFonts w:ascii="Arial" w:hAnsi="Arial" w:cs="Arial"/>
                <w:color w:val="000000"/>
                <w:sz w:val="18"/>
                <w:szCs w:val="18"/>
              </w:rPr>
              <w:t>.00</w:t>
            </w:r>
          </w:p>
        </w:tc>
      </w:tr>
      <w:tr w:rsidR="0045589E" w:rsidRPr="00964F50" w14:paraId="5B9F8D73" w14:textId="77777777" w:rsidTr="008C6E08">
        <w:trPr>
          <w:trHeight w:val="320"/>
        </w:trPr>
        <w:tc>
          <w:tcPr>
            <w:tcW w:w="747" w:type="dxa"/>
            <w:vMerge/>
            <w:tcBorders>
              <w:top w:val="nil"/>
              <w:left w:val="single" w:sz="12" w:space="0" w:color="auto"/>
              <w:bottom w:val="single" w:sz="4" w:space="0" w:color="auto"/>
              <w:right w:val="single" w:sz="12" w:space="0" w:color="auto"/>
            </w:tcBorders>
            <w:vAlign w:val="center"/>
            <w:hideMark/>
          </w:tcPr>
          <w:p w14:paraId="08ACBCD7"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4" w:space="0" w:color="auto"/>
              <w:right w:val="single" w:sz="4" w:space="0" w:color="auto"/>
            </w:tcBorders>
            <w:shd w:val="clear" w:color="auto" w:fill="auto"/>
            <w:vAlign w:val="center"/>
            <w:hideMark/>
          </w:tcPr>
          <w:p w14:paraId="65D53A6D"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95th Percentile fee*</w:t>
            </w:r>
          </w:p>
        </w:tc>
        <w:tc>
          <w:tcPr>
            <w:tcW w:w="1093" w:type="dxa"/>
            <w:tcBorders>
              <w:top w:val="nil"/>
              <w:left w:val="nil"/>
              <w:bottom w:val="single" w:sz="4" w:space="0" w:color="000000"/>
              <w:right w:val="single" w:sz="4" w:space="0" w:color="000000"/>
            </w:tcBorders>
            <w:shd w:val="clear" w:color="000000" w:fill="FFFFFF"/>
            <w:noWrap/>
            <w:vAlign w:val="center"/>
            <w:hideMark/>
          </w:tcPr>
          <w:p w14:paraId="402F5BE3"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$4,380.05</w:t>
            </w:r>
          </w:p>
        </w:tc>
        <w:tc>
          <w:tcPr>
            <w:tcW w:w="1093" w:type="dxa"/>
            <w:tcBorders>
              <w:top w:val="nil"/>
              <w:left w:val="nil"/>
              <w:bottom w:val="single" w:sz="4" w:space="0" w:color="000000"/>
              <w:right w:val="single" w:sz="4" w:space="0" w:color="000000"/>
            </w:tcBorders>
            <w:shd w:val="clear" w:color="000000" w:fill="FFFFFF"/>
            <w:noWrap/>
            <w:vAlign w:val="center"/>
            <w:hideMark/>
          </w:tcPr>
          <w:p w14:paraId="73E4E9B4"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$3,617.75</w:t>
            </w:r>
          </w:p>
        </w:tc>
        <w:tc>
          <w:tcPr>
            <w:tcW w:w="1093" w:type="dxa"/>
            <w:tcBorders>
              <w:top w:val="nil"/>
              <w:left w:val="nil"/>
              <w:bottom w:val="single" w:sz="4" w:space="0" w:color="000000"/>
              <w:right w:val="single" w:sz="4" w:space="0" w:color="000000"/>
            </w:tcBorders>
            <w:shd w:val="clear" w:color="000000" w:fill="FFFFFF"/>
            <w:noWrap/>
            <w:vAlign w:val="center"/>
            <w:hideMark/>
          </w:tcPr>
          <w:p w14:paraId="2FE6A137"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$3,065</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3DC39A5D"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$2,411.10</w:t>
            </w:r>
          </w:p>
        </w:tc>
        <w:tc>
          <w:tcPr>
            <w:tcW w:w="1093" w:type="dxa"/>
            <w:tcBorders>
              <w:top w:val="nil"/>
              <w:left w:val="nil"/>
              <w:bottom w:val="single" w:sz="4" w:space="0" w:color="000000"/>
              <w:right w:val="single" w:sz="4" w:space="0" w:color="000000"/>
            </w:tcBorders>
            <w:shd w:val="clear" w:color="000000" w:fill="FFFFFF"/>
            <w:noWrap/>
            <w:vAlign w:val="center"/>
            <w:hideMark/>
          </w:tcPr>
          <w:p w14:paraId="1405C465"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$3,065</w:t>
            </w:r>
            <w:r>
              <w:rPr>
                <w:rFonts w:ascii="Arial" w:hAnsi="Arial" w:cs="Arial"/>
                <w:color w:val="000000"/>
                <w:sz w:val="18"/>
                <w:szCs w:val="18"/>
              </w:rPr>
              <w:t>.00</w:t>
            </w:r>
          </w:p>
        </w:tc>
        <w:tc>
          <w:tcPr>
            <w:tcW w:w="1093" w:type="dxa"/>
            <w:tcBorders>
              <w:top w:val="nil"/>
              <w:left w:val="nil"/>
              <w:bottom w:val="single" w:sz="4" w:space="0" w:color="000000"/>
              <w:right w:val="single" w:sz="4" w:space="0" w:color="000000"/>
            </w:tcBorders>
            <w:shd w:val="clear" w:color="000000" w:fill="FFFFFF"/>
            <w:noWrap/>
            <w:vAlign w:val="center"/>
            <w:hideMark/>
          </w:tcPr>
          <w:p w14:paraId="3C4C0BAB"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$3,281.25</w:t>
            </w:r>
          </w:p>
        </w:tc>
        <w:tc>
          <w:tcPr>
            <w:tcW w:w="1093" w:type="dxa"/>
            <w:tcBorders>
              <w:top w:val="nil"/>
              <w:left w:val="nil"/>
              <w:bottom w:val="single" w:sz="4" w:space="0" w:color="000000"/>
              <w:right w:val="single" w:sz="12" w:space="0" w:color="auto"/>
            </w:tcBorders>
            <w:shd w:val="clear" w:color="000000" w:fill="FFFFFF"/>
            <w:noWrap/>
            <w:vAlign w:val="center"/>
            <w:hideMark/>
          </w:tcPr>
          <w:p w14:paraId="4C6862B5"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$4,100</w:t>
            </w:r>
            <w:r>
              <w:rPr>
                <w:rFonts w:ascii="Arial" w:hAnsi="Arial" w:cs="Arial"/>
                <w:color w:val="000000"/>
                <w:sz w:val="18"/>
                <w:szCs w:val="18"/>
              </w:rPr>
              <w:t>.00</w:t>
            </w:r>
          </w:p>
        </w:tc>
      </w:tr>
      <w:tr w:rsidR="0045589E" w:rsidRPr="00964F50" w14:paraId="604120BC" w14:textId="77777777" w:rsidTr="008C6E08">
        <w:trPr>
          <w:trHeight w:val="320"/>
        </w:trPr>
        <w:tc>
          <w:tcPr>
            <w:tcW w:w="747" w:type="dxa"/>
            <w:vMerge/>
            <w:tcBorders>
              <w:top w:val="nil"/>
              <w:left w:val="single" w:sz="12" w:space="0" w:color="auto"/>
              <w:bottom w:val="single" w:sz="12" w:space="0" w:color="auto"/>
              <w:right w:val="single" w:sz="12" w:space="0" w:color="auto"/>
            </w:tcBorders>
            <w:vAlign w:val="center"/>
            <w:hideMark/>
          </w:tcPr>
          <w:p w14:paraId="13024A80" w14:textId="77777777" w:rsidR="0045589E" w:rsidRPr="00964F50" w:rsidRDefault="0045589E" w:rsidP="0045589E">
            <w:pPr>
              <w:rPr>
                <w:rFonts w:ascii="Arial" w:hAnsi="Arial" w:cs="Arial"/>
                <w:b/>
                <w:bCs/>
                <w:color w:val="000000"/>
                <w:sz w:val="18"/>
                <w:szCs w:val="18"/>
              </w:rPr>
            </w:pPr>
          </w:p>
        </w:tc>
        <w:tc>
          <w:tcPr>
            <w:tcW w:w="1487" w:type="dxa"/>
            <w:tcBorders>
              <w:top w:val="nil"/>
              <w:left w:val="single" w:sz="12" w:space="0" w:color="auto"/>
              <w:bottom w:val="single" w:sz="12" w:space="0" w:color="auto"/>
              <w:right w:val="single" w:sz="4" w:space="0" w:color="auto"/>
            </w:tcBorders>
            <w:shd w:val="clear" w:color="auto" w:fill="auto"/>
            <w:vAlign w:val="center"/>
            <w:hideMark/>
          </w:tcPr>
          <w:p w14:paraId="59F0BC2F" w14:textId="77777777" w:rsidR="0045589E" w:rsidRPr="00964F50" w:rsidRDefault="0045589E" w:rsidP="0045589E">
            <w:pPr>
              <w:rPr>
                <w:rFonts w:ascii="Arial" w:hAnsi="Arial" w:cs="Arial"/>
                <w:b/>
                <w:bCs/>
                <w:color w:val="000000"/>
                <w:sz w:val="18"/>
                <w:szCs w:val="18"/>
              </w:rPr>
            </w:pPr>
            <w:r w:rsidRPr="00964F50">
              <w:rPr>
                <w:rFonts w:ascii="Arial" w:hAnsi="Arial" w:cs="Arial"/>
                <w:b/>
                <w:bCs/>
                <w:color w:val="000000"/>
                <w:sz w:val="18"/>
                <w:szCs w:val="18"/>
              </w:rPr>
              <w:t>Bulk Billed rate</w:t>
            </w:r>
          </w:p>
        </w:tc>
        <w:tc>
          <w:tcPr>
            <w:tcW w:w="1093" w:type="dxa"/>
            <w:tcBorders>
              <w:top w:val="nil"/>
              <w:left w:val="nil"/>
              <w:bottom w:val="single" w:sz="12" w:space="0" w:color="auto"/>
              <w:right w:val="single" w:sz="4" w:space="0" w:color="000000"/>
            </w:tcBorders>
            <w:shd w:val="clear" w:color="000000" w:fill="FFFFFF"/>
            <w:noWrap/>
            <w:vAlign w:val="center"/>
            <w:hideMark/>
          </w:tcPr>
          <w:p w14:paraId="03702CF2"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0.3%</w:t>
            </w:r>
          </w:p>
        </w:tc>
        <w:tc>
          <w:tcPr>
            <w:tcW w:w="1093" w:type="dxa"/>
            <w:tcBorders>
              <w:top w:val="nil"/>
              <w:left w:val="nil"/>
              <w:bottom w:val="single" w:sz="12" w:space="0" w:color="auto"/>
              <w:right w:val="single" w:sz="4" w:space="0" w:color="000000"/>
            </w:tcBorders>
            <w:shd w:val="clear" w:color="000000" w:fill="FFFFFF"/>
            <w:noWrap/>
            <w:vAlign w:val="center"/>
            <w:hideMark/>
          </w:tcPr>
          <w:p w14:paraId="0178F98A"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1909CA66"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27A6656D"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358DD8AF"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4" w:space="0" w:color="000000"/>
            </w:tcBorders>
            <w:shd w:val="clear" w:color="000000" w:fill="FFFFFF"/>
            <w:noWrap/>
            <w:vAlign w:val="center"/>
            <w:hideMark/>
          </w:tcPr>
          <w:p w14:paraId="1DBE77BF"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0.0%</w:t>
            </w:r>
          </w:p>
        </w:tc>
        <w:tc>
          <w:tcPr>
            <w:tcW w:w="1093" w:type="dxa"/>
            <w:tcBorders>
              <w:top w:val="nil"/>
              <w:left w:val="nil"/>
              <w:bottom w:val="single" w:sz="12" w:space="0" w:color="auto"/>
              <w:right w:val="single" w:sz="12" w:space="0" w:color="auto"/>
            </w:tcBorders>
            <w:shd w:val="clear" w:color="000000" w:fill="FFFFFF"/>
            <w:noWrap/>
            <w:vAlign w:val="center"/>
            <w:hideMark/>
          </w:tcPr>
          <w:p w14:paraId="2F04A52B" w14:textId="77777777" w:rsidR="0045589E" w:rsidRPr="00964F50" w:rsidRDefault="0045589E" w:rsidP="0045589E">
            <w:pPr>
              <w:jc w:val="right"/>
              <w:rPr>
                <w:rFonts w:ascii="Arial" w:hAnsi="Arial" w:cs="Arial"/>
                <w:color w:val="000000"/>
                <w:sz w:val="18"/>
                <w:szCs w:val="18"/>
              </w:rPr>
            </w:pPr>
            <w:r w:rsidRPr="00964F50">
              <w:rPr>
                <w:rFonts w:ascii="Arial" w:hAnsi="Arial" w:cs="Arial"/>
                <w:color w:val="000000"/>
                <w:sz w:val="18"/>
                <w:szCs w:val="18"/>
              </w:rPr>
              <w:t>0.1%</w:t>
            </w:r>
          </w:p>
        </w:tc>
      </w:tr>
    </w:tbl>
    <w:p w14:paraId="3D91BC64" w14:textId="11F23841" w:rsidR="0045589E" w:rsidRPr="00B75127" w:rsidRDefault="0045589E" w:rsidP="00B75127">
      <w:pPr>
        <w:rPr>
          <w:sz w:val="18"/>
          <w:szCs w:val="18"/>
        </w:rPr>
      </w:pPr>
      <w:r w:rsidRPr="00B75127">
        <w:rPr>
          <w:sz w:val="18"/>
          <w:szCs w:val="18"/>
        </w:rPr>
        <w:t xml:space="preserve">* The 95th percentile fee charged represents that 95% of the time the fee is below this amount but in 5% of cases, </w:t>
      </w:r>
      <w:r w:rsidR="008C6E08" w:rsidRPr="00B75127">
        <w:rPr>
          <w:sz w:val="18"/>
          <w:szCs w:val="18"/>
        </w:rPr>
        <w:t>t</w:t>
      </w:r>
      <w:r w:rsidRPr="00B75127">
        <w:rPr>
          <w:sz w:val="18"/>
          <w:szCs w:val="18"/>
        </w:rPr>
        <w:t xml:space="preserve">he fee is higher than this.  </w:t>
      </w:r>
    </w:p>
    <w:p w14:paraId="1AF517FB" w14:textId="77777777" w:rsidR="0045589E" w:rsidRPr="008C6E08" w:rsidRDefault="0045589E" w:rsidP="008C6E08">
      <w:pPr>
        <w:rPr>
          <w:sz w:val="18"/>
        </w:rPr>
      </w:pPr>
      <w:r w:rsidRPr="008C6E08">
        <w:rPr>
          <w:sz w:val="18"/>
        </w:rPr>
        <w:t>(4) Descriptive statistics for Fees Charged are only calculated when there are sufficient services for a valid result</w:t>
      </w:r>
    </w:p>
    <w:p w14:paraId="47A5AEE2" w14:textId="77777777" w:rsidR="0045589E" w:rsidRPr="008C6E08" w:rsidRDefault="0045589E" w:rsidP="008C6E08">
      <w:pPr>
        <w:rPr>
          <w:color w:val="000000" w:themeColor="text1"/>
          <w:sz w:val="18"/>
        </w:rPr>
      </w:pPr>
      <w:r w:rsidRPr="008C6E08">
        <w:rPr>
          <w:color w:val="000000" w:themeColor="text1"/>
          <w:sz w:val="18"/>
        </w:rPr>
        <w:t>NP = not printed</w:t>
      </w:r>
    </w:p>
    <w:p w14:paraId="4C8EE2DD" w14:textId="034A913C" w:rsidR="0045589E" w:rsidRPr="00B75127" w:rsidRDefault="0045589E" w:rsidP="00B75127">
      <w:pPr>
        <w:spacing w:after="120"/>
        <w:rPr>
          <w:i/>
          <w:sz w:val="18"/>
          <w:szCs w:val="18"/>
        </w:rPr>
      </w:pPr>
      <w:r w:rsidRPr="00B75127">
        <w:rPr>
          <w:i/>
          <w:sz w:val="18"/>
          <w:szCs w:val="18"/>
        </w:rPr>
        <w:t>Source: Department of Health, File: Q20994_1149 Item 37245 utilisation 07NOV17.xls</w:t>
      </w:r>
    </w:p>
    <w:p w14:paraId="20A2169F" w14:textId="77777777" w:rsidR="0045589E" w:rsidRPr="00396F1D" w:rsidRDefault="0045589E" w:rsidP="0045589E">
      <w:pPr>
        <w:rPr>
          <w:color w:val="000000" w:themeColor="text1"/>
        </w:rPr>
      </w:pPr>
      <w:r w:rsidRPr="00964F50">
        <w:rPr>
          <w:noProof/>
          <w:shd w:val="clear" w:color="auto" w:fill="8DB3E2" w:themeFill="text2" w:themeFillTint="66"/>
        </w:rPr>
        <w:drawing>
          <wp:inline distT="0" distB="0" distL="0" distR="0" wp14:anchorId="5BA274F6" wp14:editId="2B78095E">
            <wp:extent cx="4912242" cy="2753833"/>
            <wp:effectExtent l="0" t="0" r="22225" b="27940"/>
            <wp:docPr id="8" name="Chart 8" descr="Average fee charged and range between 25th percentile and 95th percentile fee charged by state for MBS item 37245 between 2014-15 and 2016-17.&#10;This chart shows there is a large discrepancy between 25th and 95th percentile charged for NSW, VIC, and QLD, though all states and territories have large spread of fees charged. " title="Average fee charged and range between 25th percentile and 95th percent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4A9F8B" w14:textId="47A86158" w:rsidR="0045589E" w:rsidRPr="008C6E08" w:rsidRDefault="0062146B" w:rsidP="0045589E">
      <w:pPr>
        <w:rPr>
          <w:b/>
          <w:sz w:val="20"/>
        </w:rPr>
      </w:pPr>
      <w:r>
        <w:rPr>
          <w:b/>
          <w:sz w:val="20"/>
        </w:rPr>
        <w:t>Figure 3</w:t>
      </w:r>
      <w:r w:rsidR="0045589E" w:rsidRPr="008C6E08">
        <w:rPr>
          <w:b/>
          <w:sz w:val="20"/>
        </w:rPr>
        <w:t>: Average fee charged and range between 25</w:t>
      </w:r>
      <w:r w:rsidR="0045589E" w:rsidRPr="008C6E08">
        <w:rPr>
          <w:b/>
          <w:sz w:val="20"/>
          <w:vertAlign w:val="superscript"/>
        </w:rPr>
        <w:t>th</w:t>
      </w:r>
      <w:r w:rsidR="0045589E" w:rsidRPr="008C6E08">
        <w:rPr>
          <w:b/>
          <w:sz w:val="20"/>
        </w:rPr>
        <w:t xml:space="preserve"> percentile and 95</w:t>
      </w:r>
      <w:r w:rsidR="0045589E" w:rsidRPr="008C6E08">
        <w:rPr>
          <w:b/>
          <w:sz w:val="20"/>
          <w:vertAlign w:val="superscript"/>
        </w:rPr>
        <w:t>th</w:t>
      </w:r>
      <w:r w:rsidR="0045589E" w:rsidRPr="008C6E08">
        <w:rPr>
          <w:b/>
          <w:sz w:val="20"/>
        </w:rPr>
        <w:t xml:space="preserve"> percentile fee charged by state for MBS item 37245 between 2014-15 and 2016-17</w:t>
      </w:r>
    </w:p>
    <w:p w14:paraId="1AD73971" w14:textId="77777777" w:rsidR="0045589E" w:rsidRPr="00B75127" w:rsidRDefault="0045589E" w:rsidP="00B75127">
      <w:pPr>
        <w:rPr>
          <w:i/>
          <w:sz w:val="18"/>
          <w:szCs w:val="18"/>
        </w:rPr>
      </w:pPr>
      <w:r w:rsidRPr="00B75127">
        <w:rPr>
          <w:i/>
          <w:sz w:val="18"/>
          <w:szCs w:val="18"/>
        </w:rPr>
        <w:t>Source: Department of Health, File: Q20994_1149 Item 37245 utilisation 07NOV17.xls</w:t>
      </w:r>
    </w:p>
    <w:p w14:paraId="4DC36264" w14:textId="77777777" w:rsidR="0045589E" w:rsidRPr="008C6E08" w:rsidRDefault="0045589E" w:rsidP="0045589E">
      <w:pPr>
        <w:rPr>
          <w:sz w:val="22"/>
        </w:rPr>
        <w:sectPr w:rsidR="0045589E" w:rsidRPr="008C6E08" w:rsidSect="00143CD0">
          <w:footerReference w:type="default" r:id="rId20"/>
          <w:pgSz w:w="11906" w:h="16838"/>
          <w:pgMar w:top="1440" w:right="1416" w:bottom="709" w:left="1418" w:header="708" w:footer="545" w:gutter="0"/>
          <w:cols w:space="708"/>
          <w:docGrid w:linePitch="360"/>
        </w:sectPr>
      </w:pPr>
    </w:p>
    <w:p w14:paraId="7BB63DAF" w14:textId="62A4864B" w:rsidR="00BC1364" w:rsidRPr="00D90A38" w:rsidRDefault="00A91AFD" w:rsidP="004617ED">
      <w:pPr>
        <w:pStyle w:val="Heading1"/>
        <w:numPr>
          <w:ilvl w:val="0"/>
          <w:numId w:val="23"/>
        </w:numPr>
        <w:tabs>
          <w:tab w:val="left" w:pos="720"/>
          <w:tab w:val="left" w:pos="1140"/>
        </w:tabs>
        <w:spacing w:before="360"/>
        <w:ind w:hanging="720"/>
      </w:pPr>
      <w:r>
        <w:lastRenderedPageBreak/>
        <w:t>Background</w:t>
      </w:r>
    </w:p>
    <w:p w14:paraId="61B6D1A8" w14:textId="14A931AF" w:rsidR="00842B56" w:rsidRPr="00396F1D" w:rsidRDefault="00A73760" w:rsidP="003C4A69">
      <w:pPr>
        <w:spacing w:after="240"/>
        <w:rPr>
          <w:color w:val="000000"/>
        </w:rPr>
      </w:pPr>
      <w:r w:rsidRPr="00A73760">
        <w:rPr>
          <w:spacing w:val="-3"/>
          <w:szCs w:val="24"/>
        </w:rPr>
        <w:t xml:space="preserve">In October 2010, the Department of Health and Ageing </w:t>
      </w:r>
      <w:r w:rsidR="00842B56" w:rsidRPr="00396F1D">
        <w:rPr>
          <w:color w:val="000000"/>
        </w:rPr>
        <w:t xml:space="preserve">In May 2012, the Department of Health and Ageing received an application from MD Solutions Pty Ltd requesting Medical Benefits Schedule (MBS) listing of </w:t>
      </w:r>
      <w:proofErr w:type="spellStart"/>
      <w:r w:rsidR="00842B56" w:rsidRPr="00396F1D">
        <w:rPr>
          <w:color w:val="000000"/>
        </w:rPr>
        <w:t>holmium:YAG</w:t>
      </w:r>
      <w:proofErr w:type="spellEnd"/>
      <w:r w:rsidR="00842B56" w:rsidRPr="00396F1D">
        <w:rPr>
          <w:color w:val="000000"/>
        </w:rPr>
        <w:t xml:space="preserve"> laser enucleation of the prostate (HoLEP) with or without tissue morcellation for the treatment of benign prostatic hyperplasia (BPH). HoLEP was a relatively new surgical treatment option for men with BPH in whom surgery is indicated. Light from </w:t>
      </w:r>
      <w:proofErr w:type="spellStart"/>
      <w:r w:rsidR="00842B56" w:rsidRPr="00396F1D">
        <w:rPr>
          <w:color w:val="000000"/>
        </w:rPr>
        <w:t>holmium</w:t>
      </w:r>
      <w:proofErr w:type="gramStart"/>
      <w:r w:rsidR="00842B56" w:rsidRPr="00396F1D">
        <w:rPr>
          <w:color w:val="000000"/>
        </w:rPr>
        <w:t>:YAG</w:t>
      </w:r>
      <w:proofErr w:type="spellEnd"/>
      <w:proofErr w:type="gramEnd"/>
      <w:r w:rsidR="00842B56" w:rsidRPr="00396F1D">
        <w:rPr>
          <w:color w:val="000000"/>
        </w:rPr>
        <w:t xml:space="preserve"> lasers – which contain a crystal of yttrium, aluminium and garnet (YAG), doped with holmium – has a defined wavelength which can be used to produce unique effects on targeted tissue. In this instance, these lasers serve as a precise cutting instrument for the dissection of prostatic lobes into a number of sections. Dissected lobes are then pushed into the bladder, where they can be cut into smaller pieces a</w:t>
      </w:r>
      <w:r w:rsidR="003C4A69">
        <w:rPr>
          <w:color w:val="000000"/>
        </w:rPr>
        <w:t xml:space="preserve">nd removed–using a </w:t>
      </w:r>
      <w:proofErr w:type="spellStart"/>
      <w:r w:rsidR="003C4A69">
        <w:rPr>
          <w:color w:val="000000"/>
        </w:rPr>
        <w:t>morcellator</w:t>
      </w:r>
      <w:proofErr w:type="spellEnd"/>
      <w:r w:rsidR="003C4A69">
        <w:rPr>
          <w:color w:val="000000"/>
        </w:rPr>
        <w:t>.</w:t>
      </w:r>
    </w:p>
    <w:p w14:paraId="3F740442" w14:textId="3E6D07A5" w:rsidR="00842B56" w:rsidRPr="00396F1D" w:rsidRDefault="00842B56" w:rsidP="003C4A69">
      <w:pPr>
        <w:spacing w:after="240"/>
        <w:rPr>
          <w:color w:val="000000"/>
        </w:rPr>
      </w:pPr>
      <w:r w:rsidRPr="00396F1D">
        <w:rPr>
          <w:color w:val="000000"/>
        </w:rPr>
        <w:t>MSAC’s role was to assess the safety, effectiveness and cost-effectiveness of HoLEP for men with BHP. MSAC would also consider the wording of the MBS item descriptor, the MBS fee and the financial implications of publicly f</w:t>
      </w:r>
      <w:r w:rsidR="003C4A69">
        <w:rPr>
          <w:color w:val="000000"/>
        </w:rPr>
        <w:t xml:space="preserve">unding the surgical procedure. </w:t>
      </w:r>
    </w:p>
    <w:p w14:paraId="60D42D65" w14:textId="77777777" w:rsidR="00842B56" w:rsidRPr="00396F1D" w:rsidRDefault="00842B56" w:rsidP="003C4A69">
      <w:pPr>
        <w:rPr>
          <w:color w:val="000000"/>
        </w:rPr>
      </w:pPr>
      <w:r w:rsidRPr="00396F1D">
        <w:rPr>
          <w:color w:val="000000"/>
        </w:rPr>
        <w:t xml:space="preserve">On 29-30 November 2012, MSAC supported the listing of a new MBS item of </w:t>
      </w:r>
      <w:proofErr w:type="spellStart"/>
      <w:r w:rsidRPr="00396F1D">
        <w:rPr>
          <w:color w:val="000000"/>
        </w:rPr>
        <w:t>holmium</w:t>
      </w:r>
      <w:proofErr w:type="gramStart"/>
      <w:r w:rsidRPr="00396F1D">
        <w:rPr>
          <w:color w:val="000000"/>
        </w:rPr>
        <w:t>:YAG</w:t>
      </w:r>
      <w:proofErr w:type="spellEnd"/>
      <w:proofErr w:type="gramEnd"/>
      <w:r w:rsidRPr="00396F1D">
        <w:rPr>
          <w:color w:val="000000"/>
        </w:rPr>
        <w:t xml:space="preserve"> laser enucleation of the prostate (HoLEP) with or without tissue morcellation for the treatment of benign prostatic hyperplasia (BPH) (item 37245). </w:t>
      </w:r>
    </w:p>
    <w:p w14:paraId="19EA00B9" w14:textId="77777777" w:rsidR="00842B56" w:rsidRDefault="00842B56" w:rsidP="003C4A69">
      <w:pPr>
        <w:spacing w:before="240"/>
        <w:rPr>
          <w:color w:val="000000"/>
        </w:rPr>
      </w:pPr>
      <w:r w:rsidRPr="00396F1D">
        <w:rPr>
          <w:color w:val="000000"/>
        </w:rPr>
        <w:t xml:space="preserve">The 2012 MSAC Public Summary document noted that MSAC agreed with the applicants request to leave the descriptor as using </w:t>
      </w:r>
      <w:proofErr w:type="spellStart"/>
      <w:r w:rsidRPr="00396F1D">
        <w:rPr>
          <w:color w:val="000000"/>
        </w:rPr>
        <w:t>holmium:YAG</w:t>
      </w:r>
      <w:proofErr w:type="spellEnd"/>
      <w:r w:rsidRPr="00396F1D">
        <w:rPr>
          <w:color w:val="000000"/>
        </w:rPr>
        <w:t xml:space="preserve"> but did not agree with the need for it to specify laser equipment with power greater than or equal to 100 watts. MSAC noted the applicant requested a 20% premium for training. However, MSAC agreed this is not applicable for funding under Medicare policy and therefore was to be removed from the final proposed fees.</w:t>
      </w:r>
    </w:p>
    <w:p w14:paraId="766FAB28" w14:textId="412A6E8E" w:rsidR="00DE60F6" w:rsidRDefault="00E60FC1" w:rsidP="00842B56">
      <w:pPr>
        <w:spacing w:before="240"/>
      </w:pPr>
      <w:r>
        <w:t>Item descriptor</w:t>
      </w:r>
    </w:p>
    <w:tbl>
      <w:tblPr>
        <w:tblStyle w:val="TableGrid"/>
        <w:tblW w:w="0" w:type="auto"/>
        <w:tblLook w:val="0000" w:firstRow="0" w:lastRow="0" w:firstColumn="0" w:lastColumn="0" w:noHBand="0" w:noVBand="0"/>
        <w:tblDescription w:val="This table contains the item descriptor for MBS item 18377. The table is split into two columns: 1) item number, 2) item descriptor text and fee information."/>
      </w:tblPr>
      <w:tblGrid>
        <w:gridCol w:w="816"/>
        <w:gridCol w:w="8426"/>
      </w:tblGrid>
      <w:tr w:rsidR="00DE60F6" w:rsidRPr="00806D78" w14:paraId="747D0C3F" w14:textId="77777777" w:rsidTr="00B75127">
        <w:trPr>
          <w:tblHeader/>
        </w:trPr>
        <w:tc>
          <w:tcPr>
            <w:tcW w:w="0" w:type="auto"/>
          </w:tcPr>
          <w:p w14:paraId="05FF5327" w14:textId="715DE7B4" w:rsidR="00DE60F6" w:rsidRDefault="00842B56" w:rsidP="00842B56">
            <w:pPr>
              <w:jc w:val="center"/>
            </w:pPr>
            <w:r>
              <w:t>37245</w:t>
            </w:r>
          </w:p>
        </w:tc>
        <w:tc>
          <w:tcPr>
            <w:tcW w:w="0" w:type="auto"/>
          </w:tcPr>
          <w:p w14:paraId="564D7DFA" w14:textId="2396DC59" w:rsidR="00A73760" w:rsidRPr="003C4A69" w:rsidRDefault="00842B56" w:rsidP="003C4A69">
            <w:pPr>
              <w:spacing w:after="240"/>
              <w:rPr>
                <w:shd w:val="clear" w:color="auto" w:fill="FBFBFB"/>
              </w:rPr>
            </w:pPr>
            <w:r w:rsidRPr="00764B41">
              <w:rPr>
                <w:shd w:val="clear" w:color="auto" w:fill="FBFBFB"/>
              </w:rPr>
              <w:t xml:space="preserve">Prostate, endoscopic enucleation of, using high powered </w:t>
            </w:r>
            <w:proofErr w:type="spellStart"/>
            <w:r w:rsidRPr="00764B41">
              <w:rPr>
                <w:shd w:val="clear" w:color="auto" w:fill="FBFBFB"/>
              </w:rPr>
              <w:t>Holmium:YAG</w:t>
            </w:r>
            <w:proofErr w:type="spellEnd"/>
            <w:r w:rsidRPr="00764B41">
              <w:rPr>
                <w:shd w:val="clear" w:color="auto" w:fill="FBFBFB"/>
              </w:rPr>
              <w:t xml:space="preserve"> laser and an end-firing, non-contact fibre, with or without tissue morcellation, cystoscopy or </w:t>
            </w:r>
            <w:proofErr w:type="spellStart"/>
            <w:r w:rsidRPr="00764B41">
              <w:rPr>
                <w:shd w:val="clear" w:color="auto" w:fill="FBFBFB"/>
              </w:rPr>
              <w:t>urethroscopy</w:t>
            </w:r>
            <w:proofErr w:type="spellEnd"/>
            <w:r w:rsidRPr="00764B41">
              <w:rPr>
                <w:shd w:val="clear" w:color="auto" w:fill="FBFBFB"/>
              </w:rPr>
              <w:t xml:space="preserve">, for the treatment of benign prostatic hyperplasia, and other than a service associated with a service to which item 36854, 37201, 37202, 37203, 37206, 37207, 37208, </w:t>
            </w:r>
            <w:r w:rsidR="003C4A69">
              <w:rPr>
                <w:shd w:val="clear" w:color="auto" w:fill="FBFBFB"/>
              </w:rPr>
              <w:t>37303, 37321, or 37324 applies.</w:t>
            </w:r>
          </w:p>
          <w:p w14:paraId="2FE334C4" w14:textId="756A3DC8" w:rsidR="00A73760" w:rsidRPr="00A73760" w:rsidRDefault="003C4A69" w:rsidP="003C4A69">
            <w:pPr>
              <w:autoSpaceDE w:val="0"/>
              <w:autoSpaceDN w:val="0"/>
              <w:adjustRightInd w:val="0"/>
              <w:spacing w:after="240"/>
              <w:jc w:val="both"/>
              <w:rPr>
                <w:szCs w:val="18"/>
              </w:rPr>
            </w:pPr>
            <w:r>
              <w:rPr>
                <w:szCs w:val="18"/>
              </w:rPr>
              <w:t>Multiple Services Rule</w:t>
            </w:r>
          </w:p>
          <w:p w14:paraId="5E419C15" w14:textId="372EBF1A" w:rsidR="00A73760" w:rsidRPr="00A73760" w:rsidRDefault="003C4A69" w:rsidP="003C4A69">
            <w:pPr>
              <w:autoSpaceDE w:val="0"/>
              <w:autoSpaceDN w:val="0"/>
              <w:adjustRightInd w:val="0"/>
              <w:spacing w:after="240"/>
              <w:jc w:val="both"/>
              <w:rPr>
                <w:szCs w:val="18"/>
              </w:rPr>
            </w:pPr>
            <w:r>
              <w:rPr>
                <w:szCs w:val="18"/>
              </w:rPr>
              <w:t>(</w:t>
            </w:r>
            <w:proofErr w:type="spellStart"/>
            <w:r>
              <w:rPr>
                <w:szCs w:val="18"/>
              </w:rPr>
              <w:t>Anaes</w:t>
            </w:r>
            <w:proofErr w:type="spellEnd"/>
            <w:r>
              <w:rPr>
                <w:szCs w:val="18"/>
              </w:rPr>
              <w:t>.</w:t>
            </w:r>
          </w:p>
          <w:p w14:paraId="1FFAD2FE" w14:textId="176622BD" w:rsidR="00DE60F6" w:rsidRPr="003C4A69" w:rsidRDefault="00A73760" w:rsidP="003C4A69">
            <w:pPr>
              <w:autoSpaceDE w:val="0"/>
              <w:autoSpaceDN w:val="0"/>
              <w:adjustRightInd w:val="0"/>
              <w:jc w:val="both"/>
              <w:rPr>
                <w:szCs w:val="18"/>
              </w:rPr>
            </w:pPr>
            <w:r w:rsidRPr="00A73760">
              <w:rPr>
                <w:b/>
                <w:szCs w:val="18"/>
              </w:rPr>
              <w:t>Fee:</w:t>
            </w:r>
            <w:r w:rsidRPr="00A73760">
              <w:rPr>
                <w:szCs w:val="18"/>
              </w:rPr>
              <w:t xml:space="preserve"> </w:t>
            </w:r>
            <w:r w:rsidR="00842B56" w:rsidRPr="00396F1D">
              <w:rPr>
                <w:color w:val="222222"/>
                <w:shd w:val="clear" w:color="auto" w:fill="FBFBFB"/>
              </w:rPr>
              <w:t xml:space="preserve">$1,262.15 </w:t>
            </w:r>
            <w:r w:rsidRPr="00A73760">
              <w:rPr>
                <w:szCs w:val="18"/>
              </w:rPr>
              <w:t xml:space="preserve"> </w:t>
            </w:r>
            <w:r w:rsidRPr="00A73760">
              <w:rPr>
                <w:b/>
                <w:szCs w:val="18"/>
              </w:rPr>
              <w:t>Benefit:</w:t>
            </w:r>
            <w:r w:rsidRPr="00A73760">
              <w:rPr>
                <w:szCs w:val="18"/>
              </w:rPr>
              <w:t xml:space="preserve"> 75% = </w:t>
            </w:r>
            <w:r w:rsidR="00842B56" w:rsidRPr="00396F1D">
              <w:rPr>
                <w:color w:val="222222"/>
                <w:shd w:val="clear" w:color="auto" w:fill="FBFBFB"/>
              </w:rPr>
              <w:t>$946.64</w:t>
            </w:r>
          </w:p>
        </w:tc>
      </w:tr>
    </w:tbl>
    <w:p w14:paraId="7CF8E0FA" w14:textId="43613165" w:rsidR="00BC1364" w:rsidRDefault="000746BA" w:rsidP="004617ED">
      <w:pPr>
        <w:pStyle w:val="Heading1"/>
        <w:numPr>
          <w:ilvl w:val="0"/>
          <w:numId w:val="23"/>
        </w:numPr>
        <w:tabs>
          <w:tab w:val="left" w:pos="720"/>
          <w:tab w:val="left" w:pos="1140"/>
        </w:tabs>
        <w:spacing w:before="360"/>
        <w:ind w:hanging="720"/>
      </w:pPr>
      <w:r>
        <w:t xml:space="preserve">Applicant’s comments on </w:t>
      </w:r>
      <w:r w:rsidR="004A205B">
        <w:t xml:space="preserve">MSAC’s </w:t>
      </w:r>
      <w:r>
        <w:t>public summary document</w:t>
      </w:r>
    </w:p>
    <w:p w14:paraId="204BB439" w14:textId="266CED4B" w:rsidR="00775EF8" w:rsidRPr="00775EF8" w:rsidRDefault="00A63661" w:rsidP="00775EF8">
      <w:r>
        <w:t>The applicant had no comment</w:t>
      </w:r>
    </w:p>
    <w:p w14:paraId="06F15D02" w14:textId="77777777" w:rsidR="00BC1364" w:rsidRDefault="00271F18" w:rsidP="004617ED">
      <w:pPr>
        <w:pStyle w:val="Heading1"/>
        <w:numPr>
          <w:ilvl w:val="0"/>
          <w:numId w:val="23"/>
        </w:numPr>
        <w:tabs>
          <w:tab w:val="left" w:pos="720"/>
          <w:tab w:val="left" w:pos="1140"/>
        </w:tabs>
        <w:spacing w:before="360"/>
        <w:ind w:hanging="720"/>
      </w:pPr>
      <w:r>
        <w:t>Further information on MSAC</w:t>
      </w:r>
    </w:p>
    <w:p w14:paraId="64D3433E" w14:textId="700BAE2F"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21" w:history="1">
        <w:r w:rsidR="00BC1364" w:rsidRPr="007B3BA8">
          <w:rPr>
            <w:rStyle w:val="Hyperlink"/>
            <w:szCs w:val="24"/>
          </w:rPr>
          <w:t>www.msac.gov.au</w:t>
        </w:r>
      </w:hyperlink>
      <w:r w:rsidR="005D3322">
        <w:rPr>
          <w:szCs w:val="24"/>
        </w:rPr>
        <w:t>.</w:t>
      </w:r>
    </w:p>
    <w:sectPr w:rsidR="00BC1364" w:rsidRPr="00DD2858" w:rsidSect="00271F18">
      <w:headerReference w:type="default" r:id="rId22"/>
      <w:footerReference w:type="default" r:id="rId2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5491" w15:done="0"/>
  <w15:commentEx w15:paraId="3F5903D6" w15:done="0"/>
  <w15:commentEx w15:paraId="54F4F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B5151" w14:textId="77777777" w:rsidR="00143CD0" w:rsidRDefault="00143CD0" w:rsidP="00065623">
      <w:r>
        <w:separator/>
      </w:r>
    </w:p>
  </w:endnote>
  <w:endnote w:type="continuationSeparator" w:id="0">
    <w:p w14:paraId="2811E6D5" w14:textId="77777777" w:rsidR="00143CD0" w:rsidRDefault="00143CD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161700"/>
      <w:docPartObj>
        <w:docPartGallery w:val="Page Numbers (Bottom of Page)"/>
        <w:docPartUnique/>
      </w:docPartObj>
    </w:sdtPr>
    <w:sdtEndPr>
      <w:rPr>
        <w:noProof/>
      </w:rPr>
    </w:sdtEndPr>
    <w:sdtContent>
      <w:p w14:paraId="2DB6FC60" w14:textId="77777777" w:rsidR="00143CD0" w:rsidRDefault="00143CD0">
        <w:pPr>
          <w:pStyle w:val="Footer"/>
          <w:jc w:val="right"/>
        </w:pPr>
        <w:r>
          <w:fldChar w:fldCharType="begin"/>
        </w:r>
        <w:r>
          <w:instrText xml:space="preserve"> PAGE   \* MERGEFORMAT </w:instrText>
        </w:r>
        <w:r>
          <w:fldChar w:fldCharType="separate"/>
        </w:r>
        <w:r w:rsidR="0089799A">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78C3EDD" w14:textId="77777777" w:rsidR="00143CD0" w:rsidRDefault="00143CD0" w:rsidP="00716342">
        <w:pPr>
          <w:pStyle w:val="Footer"/>
          <w:spacing w:after="240"/>
          <w:jc w:val="right"/>
        </w:pPr>
        <w:r>
          <w:fldChar w:fldCharType="begin"/>
        </w:r>
        <w:r>
          <w:instrText xml:space="preserve"> PAGE   \* MERGEFORMAT </w:instrText>
        </w:r>
        <w:r>
          <w:fldChar w:fldCharType="separate"/>
        </w:r>
        <w:r w:rsidR="00A23D4D">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99190" w14:textId="77777777" w:rsidR="00143CD0" w:rsidRDefault="00143CD0" w:rsidP="00065623">
      <w:r>
        <w:separator/>
      </w:r>
    </w:p>
  </w:footnote>
  <w:footnote w:type="continuationSeparator" w:id="0">
    <w:p w14:paraId="27382C39" w14:textId="77777777" w:rsidR="00143CD0" w:rsidRDefault="00143CD0"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59C35" w14:textId="57E96CA9" w:rsidR="00143CD0" w:rsidRDefault="00143CD0">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77B70"/>
    <w:multiLevelType w:val="hybridMultilevel"/>
    <w:tmpl w:val="A2CC10FA"/>
    <w:lvl w:ilvl="0" w:tplc="521C50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B80600"/>
    <w:multiLevelType w:val="hybridMultilevel"/>
    <w:tmpl w:val="9708A1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787896"/>
    <w:multiLevelType w:val="multilevel"/>
    <w:tmpl w:val="567ADE74"/>
    <w:numStyleLink w:val="TableListBullets"/>
  </w:abstractNum>
  <w:abstractNum w:abstractNumId="2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2"/>
  </w:num>
  <w:num w:numId="4">
    <w:abstractNumId w:val="28"/>
  </w:num>
  <w:num w:numId="5">
    <w:abstractNumId w:val="14"/>
  </w:num>
  <w:num w:numId="6">
    <w:abstractNumId w:val="26"/>
  </w:num>
  <w:num w:numId="7">
    <w:abstractNumId w:val="31"/>
  </w:num>
  <w:num w:numId="8">
    <w:abstractNumId w:val="21"/>
  </w:num>
  <w:num w:numId="9">
    <w:abstractNumId w:val="42"/>
  </w:num>
  <w:num w:numId="10">
    <w:abstractNumId w:val="1"/>
  </w:num>
  <w:num w:numId="11">
    <w:abstractNumId w:val="30"/>
  </w:num>
  <w:num w:numId="12">
    <w:abstractNumId w:val="32"/>
  </w:num>
  <w:num w:numId="13">
    <w:abstractNumId w:val="7"/>
  </w:num>
  <w:num w:numId="14">
    <w:abstractNumId w:val="37"/>
  </w:num>
  <w:num w:numId="15">
    <w:abstractNumId w:val="29"/>
  </w:num>
  <w:num w:numId="16">
    <w:abstractNumId w:val="33"/>
  </w:num>
  <w:num w:numId="17">
    <w:abstractNumId w:val="22"/>
  </w:num>
  <w:num w:numId="18">
    <w:abstractNumId w:val="23"/>
  </w:num>
  <w:num w:numId="19">
    <w:abstractNumId w:val="35"/>
  </w:num>
  <w:num w:numId="20">
    <w:abstractNumId w:val="34"/>
  </w:num>
  <w:num w:numId="21">
    <w:abstractNumId w:val="4"/>
  </w:num>
  <w:num w:numId="22">
    <w:abstractNumId w:val="13"/>
  </w:num>
  <w:num w:numId="23">
    <w:abstractNumId w:val="3"/>
  </w:num>
  <w:num w:numId="24">
    <w:abstractNumId w:val="12"/>
  </w:num>
  <w:num w:numId="25">
    <w:abstractNumId w:val="9"/>
  </w:num>
  <w:num w:numId="26">
    <w:abstractNumId w:val="0"/>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7"/>
  </w:num>
  <w:num w:numId="31">
    <w:abstractNumId w:val="25"/>
  </w:num>
  <w:num w:numId="32">
    <w:abstractNumId w:val="27"/>
  </w:num>
  <w:num w:numId="33">
    <w:abstractNumId w:val="39"/>
  </w:num>
  <w:num w:numId="34">
    <w:abstractNumId w:val="5"/>
  </w:num>
  <w:num w:numId="35">
    <w:abstractNumId w:val="18"/>
  </w:num>
  <w:num w:numId="36">
    <w:abstractNumId w:val="19"/>
  </w:num>
  <w:num w:numId="37">
    <w:abstractNumId w:val="36"/>
  </w:num>
  <w:num w:numId="38">
    <w:abstractNumId w:val="40"/>
  </w:num>
  <w:num w:numId="39">
    <w:abstractNumId w:val="15"/>
  </w:num>
  <w:num w:numId="40">
    <w:abstractNumId w:val="10"/>
  </w:num>
  <w:num w:numId="41">
    <w:abstractNumId w:val="20"/>
  </w:num>
  <w:num w:numId="42">
    <w:abstractNumId w:val="8"/>
  </w:num>
  <w:num w:numId="43">
    <w:abstractNumId w:val="16"/>
  </w:num>
  <w:num w:numId="4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6E58"/>
    <w:rsid w:val="00036C20"/>
    <w:rsid w:val="0003739B"/>
    <w:rsid w:val="00042F11"/>
    <w:rsid w:val="000452C7"/>
    <w:rsid w:val="00047606"/>
    <w:rsid w:val="00065623"/>
    <w:rsid w:val="000746BA"/>
    <w:rsid w:val="000756B9"/>
    <w:rsid w:val="000871B7"/>
    <w:rsid w:val="000922FA"/>
    <w:rsid w:val="00096B67"/>
    <w:rsid w:val="00096DAF"/>
    <w:rsid w:val="000A11F9"/>
    <w:rsid w:val="000A51E4"/>
    <w:rsid w:val="000A5B70"/>
    <w:rsid w:val="000B6956"/>
    <w:rsid w:val="000C2F47"/>
    <w:rsid w:val="000C4BBA"/>
    <w:rsid w:val="000C6B40"/>
    <w:rsid w:val="000D1443"/>
    <w:rsid w:val="000D6C00"/>
    <w:rsid w:val="000E155F"/>
    <w:rsid w:val="000E3B33"/>
    <w:rsid w:val="000E48CF"/>
    <w:rsid w:val="000E4E04"/>
    <w:rsid w:val="000F14B4"/>
    <w:rsid w:val="000F391E"/>
    <w:rsid w:val="000F600C"/>
    <w:rsid w:val="000F75DF"/>
    <w:rsid w:val="00115C4F"/>
    <w:rsid w:val="001328FA"/>
    <w:rsid w:val="00143CD0"/>
    <w:rsid w:val="00147AAF"/>
    <w:rsid w:val="00150894"/>
    <w:rsid w:val="001552C0"/>
    <w:rsid w:val="001638D7"/>
    <w:rsid w:val="001640B1"/>
    <w:rsid w:val="00182148"/>
    <w:rsid w:val="0018435E"/>
    <w:rsid w:val="00190792"/>
    <w:rsid w:val="0019118C"/>
    <w:rsid w:val="00193898"/>
    <w:rsid w:val="001A0012"/>
    <w:rsid w:val="001C1BE6"/>
    <w:rsid w:val="002041A1"/>
    <w:rsid w:val="002054F0"/>
    <w:rsid w:val="00210420"/>
    <w:rsid w:val="00223F16"/>
    <w:rsid w:val="00230D6B"/>
    <w:rsid w:val="00232068"/>
    <w:rsid w:val="002330F2"/>
    <w:rsid w:val="00243D9E"/>
    <w:rsid w:val="00253B66"/>
    <w:rsid w:val="00261DF1"/>
    <w:rsid w:val="00271F18"/>
    <w:rsid w:val="00282779"/>
    <w:rsid w:val="0028334D"/>
    <w:rsid w:val="002941C2"/>
    <w:rsid w:val="002B7FFA"/>
    <w:rsid w:val="002C2135"/>
    <w:rsid w:val="002C2BCF"/>
    <w:rsid w:val="002D73A2"/>
    <w:rsid w:val="002E4AF9"/>
    <w:rsid w:val="002F279D"/>
    <w:rsid w:val="002F43B8"/>
    <w:rsid w:val="003206F3"/>
    <w:rsid w:val="00320D06"/>
    <w:rsid w:val="00336856"/>
    <w:rsid w:val="00345167"/>
    <w:rsid w:val="0034554D"/>
    <w:rsid w:val="00352224"/>
    <w:rsid w:val="003671E6"/>
    <w:rsid w:val="00376575"/>
    <w:rsid w:val="00384272"/>
    <w:rsid w:val="00386D67"/>
    <w:rsid w:val="003945B8"/>
    <w:rsid w:val="003C4A69"/>
    <w:rsid w:val="003D7F29"/>
    <w:rsid w:val="003F36DA"/>
    <w:rsid w:val="003F5DD6"/>
    <w:rsid w:val="00402FA7"/>
    <w:rsid w:val="00405A6B"/>
    <w:rsid w:val="00407B1F"/>
    <w:rsid w:val="00414C57"/>
    <w:rsid w:val="0041758C"/>
    <w:rsid w:val="00420DE9"/>
    <w:rsid w:val="004372A7"/>
    <w:rsid w:val="00442254"/>
    <w:rsid w:val="004539DE"/>
    <w:rsid w:val="0045582A"/>
    <w:rsid w:val="0045589E"/>
    <w:rsid w:val="00455E04"/>
    <w:rsid w:val="004617ED"/>
    <w:rsid w:val="00464960"/>
    <w:rsid w:val="004656CE"/>
    <w:rsid w:val="00471DF6"/>
    <w:rsid w:val="0048056B"/>
    <w:rsid w:val="004A205B"/>
    <w:rsid w:val="004A2CF1"/>
    <w:rsid w:val="004B2B03"/>
    <w:rsid w:val="004B41AD"/>
    <w:rsid w:val="004B78F0"/>
    <w:rsid w:val="004C3035"/>
    <w:rsid w:val="004C307F"/>
    <w:rsid w:val="004E015F"/>
    <w:rsid w:val="004E0D06"/>
    <w:rsid w:val="004E4BA8"/>
    <w:rsid w:val="004F340F"/>
    <w:rsid w:val="004F7B7C"/>
    <w:rsid w:val="0052243D"/>
    <w:rsid w:val="00531C81"/>
    <w:rsid w:val="00532435"/>
    <w:rsid w:val="0053288F"/>
    <w:rsid w:val="00532F68"/>
    <w:rsid w:val="00535E34"/>
    <w:rsid w:val="00550354"/>
    <w:rsid w:val="00552BBA"/>
    <w:rsid w:val="00564662"/>
    <w:rsid w:val="00571236"/>
    <w:rsid w:val="005840D3"/>
    <w:rsid w:val="0058426A"/>
    <w:rsid w:val="005953A1"/>
    <w:rsid w:val="005A012A"/>
    <w:rsid w:val="005A5929"/>
    <w:rsid w:val="005B43F1"/>
    <w:rsid w:val="005B52E3"/>
    <w:rsid w:val="005D0332"/>
    <w:rsid w:val="005D0D8C"/>
    <w:rsid w:val="005D3322"/>
    <w:rsid w:val="005D3670"/>
    <w:rsid w:val="005E3F81"/>
    <w:rsid w:val="005F0BD4"/>
    <w:rsid w:val="005F557C"/>
    <w:rsid w:val="00613AC3"/>
    <w:rsid w:val="00616256"/>
    <w:rsid w:val="0062146B"/>
    <w:rsid w:val="006263B1"/>
    <w:rsid w:val="00646E24"/>
    <w:rsid w:val="0066089A"/>
    <w:rsid w:val="006776AE"/>
    <w:rsid w:val="006971DF"/>
    <w:rsid w:val="006A0D97"/>
    <w:rsid w:val="006A4D42"/>
    <w:rsid w:val="006B1F86"/>
    <w:rsid w:val="006C0A91"/>
    <w:rsid w:val="006E4A48"/>
    <w:rsid w:val="007054BB"/>
    <w:rsid w:val="0070665C"/>
    <w:rsid w:val="00707064"/>
    <w:rsid w:val="00716342"/>
    <w:rsid w:val="00730683"/>
    <w:rsid w:val="00732856"/>
    <w:rsid w:val="0075261F"/>
    <w:rsid w:val="00753306"/>
    <w:rsid w:val="007533C3"/>
    <w:rsid w:val="0075468E"/>
    <w:rsid w:val="007656A8"/>
    <w:rsid w:val="00765E44"/>
    <w:rsid w:val="007665D8"/>
    <w:rsid w:val="00766E36"/>
    <w:rsid w:val="007722BF"/>
    <w:rsid w:val="00775EF8"/>
    <w:rsid w:val="007765F4"/>
    <w:rsid w:val="00776633"/>
    <w:rsid w:val="00784D53"/>
    <w:rsid w:val="00797797"/>
    <w:rsid w:val="007A215B"/>
    <w:rsid w:val="007A63C9"/>
    <w:rsid w:val="007B32D1"/>
    <w:rsid w:val="007B3BA8"/>
    <w:rsid w:val="007B7095"/>
    <w:rsid w:val="007D24E1"/>
    <w:rsid w:val="007F35C8"/>
    <w:rsid w:val="007F4CE9"/>
    <w:rsid w:val="007F4E20"/>
    <w:rsid w:val="007F66B0"/>
    <w:rsid w:val="008156EC"/>
    <w:rsid w:val="00822C7E"/>
    <w:rsid w:val="00825661"/>
    <w:rsid w:val="00832590"/>
    <w:rsid w:val="00833EA2"/>
    <w:rsid w:val="00842B56"/>
    <w:rsid w:val="008430A7"/>
    <w:rsid w:val="00847060"/>
    <w:rsid w:val="00856A33"/>
    <w:rsid w:val="00860499"/>
    <w:rsid w:val="008620D3"/>
    <w:rsid w:val="00863878"/>
    <w:rsid w:val="00875B33"/>
    <w:rsid w:val="00892620"/>
    <w:rsid w:val="0089799A"/>
    <w:rsid w:val="008B104E"/>
    <w:rsid w:val="008C6E08"/>
    <w:rsid w:val="008C7D37"/>
    <w:rsid w:val="008D5885"/>
    <w:rsid w:val="008E027D"/>
    <w:rsid w:val="008E4152"/>
    <w:rsid w:val="009149D0"/>
    <w:rsid w:val="00916EBC"/>
    <w:rsid w:val="00923FA2"/>
    <w:rsid w:val="009461B5"/>
    <w:rsid w:val="00947EB9"/>
    <w:rsid w:val="0096060D"/>
    <w:rsid w:val="0096455F"/>
    <w:rsid w:val="00974A50"/>
    <w:rsid w:val="0097585A"/>
    <w:rsid w:val="009924B0"/>
    <w:rsid w:val="009942C9"/>
    <w:rsid w:val="009A2368"/>
    <w:rsid w:val="009B35C4"/>
    <w:rsid w:val="009B433F"/>
    <w:rsid w:val="009B650A"/>
    <w:rsid w:val="009C630A"/>
    <w:rsid w:val="009D08F8"/>
    <w:rsid w:val="009D5A48"/>
    <w:rsid w:val="009E0D98"/>
    <w:rsid w:val="009F4192"/>
    <w:rsid w:val="00A00A1E"/>
    <w:rsid w:val="00A068A1"/>
    <w:rsid w:val="00A1207D"/>
    <w:rsid w:val="00A12FD8"/>
    <w:rsid w:val="00A23D4D"/>
    <w:rsid w:val="00A346FC"/>
    <w:rsid w:val="00A44FBD"/>
    <w:rsid w:val="00A63661"/>
    <w:rsid w:val="00A73760"/>
    <w:rsid w:val="00A74D4C"/>
    <w:rsid w:val="00A76468"/>
    <w:rsid w:val="00A84F93"/>
    <w:rsid w:val="00A907A0"/>
    <w:rsid w:val="00A91AFD"/>
    <w:rsid w:val="00AB1AC5"/>
    <w:rsid w:val="00AB3BFC"/>
    <w:rsid w:val="00AB47DE"/>
    <w:rsid w:val="00AC4F2E"/>
    <w:rsid w:val="00AC58CB"/>
    <w:rsid w:val="00AC657D"/>
    <w:rsid w:val="00AD0C37"/>
    <w:rsid w:val="00AD385F"/>
    <w:rsid w:val="00AE6E2A"/>
    <w:rsid w:val="00B11472"/>
    <w:rsid w:val="00B16BD9"/>
    <w:rsid w:val="00B31E9C"/>
    <w:rsid w:val="00B35595"/>
    <w:rsid w:val="00B51C6D"/>
    <w:rsid w:val="00B55B8A"/>
    <w:rsid w:val="00B75127"/>
    <w:rsid w:val="00B86D64"/>
    <w:rsid w:val="00B9099B"/>
    <w:rsid w:val="00B915E6"/>
    <w:rsid w:val="00B91882"/>
    <w:rsid w:val="00BA4AC5"/>
    <w:rsid w:val="00BB19D5"/>
    <w:rsid w:val="00BC1364"/>
    <w:rsid w:val="00BC7DE9"/>
    <w:rsid w:val="00BD1F63"/>
    <w:rsid w:val="00BD5323"/>
    <w:rsid w:val="00BF479B"/>
    <w:rsid w:val="00C00794"/>
    <w:rsid w:val="00C022A5"/>
    <w:rsid w:val="00C02577"/>
    <w:rsid w:val="00C03C9A"/>
    <w:rsid w:val="00C12F71"/>
    <w:rsid w:val="00C204FB"/>
    <w:rsid w:val="00C20BEE"/>
    <w:rsid w:val="00C2158D"/>
    <w:rsid w:val="00C231EE"/>
    <w:rsid w:val="00C238C8"/>
    <w:rsid w:val="00C54369"/>
    <w:rsid w:val="00C65C25"/>
    <w:rsid w:val="00C66FD5"/>
    <w:rsid w:val="00C67DD2"/>
    <w:rsid w:val="00C725CB"/>
    <w:rsid w:val="00C76F5C"/>
    <w:rsid w:val="00C90F65"/>
    <w:rsid w:val="00C96BAD"/>
    <w:rsid w:val="00CA277C"/>
    <w:rsid w:val="00CA6944"/>
    <w:rsid w:val="00CB0F8E"/>
    <w:rsid w:val="00CB7E7D"/>
    <w:rsid w:val="00CC2911"/>
    <w:rsid w:val="00CF0C6D"/>
    <w:rsid w:val="00CF7307"/>
    <w:rsid w:val="00CF7C68"/>
    <w:rsid w:val="00D01A07"/>
    <w:rsid w:val="00D07239"/>
    <w:rsid w:val="00D124FA"/>
    <w:rsid w:val="00D14EAB"/>
    <w:rsid w:val="00D154DA"/>
    <w:rsid w:val="00D26292"/>
    <w:rsid w:val="00D340DE"/>
    <w:rsid w:val="00D36E7B"/>
    <w:rsid w:val="00D55723"/>
    <w:rsid w:val="00D62FAD"/>
    <w:rsid w:val="00D70450"/>
    <w:rsid w:val="00D734F2"/>
    <w:rsid w:val="00D83BFD"/>
    <w:rsid w:val="00D90A38"/>
    <w:rsid w:val="00DA0515"/>
    <w:rsid w:val="00DA171E"/>
    <w:rsid w:val="00DA56AA"/>
    <w:rsid w:val="00DB1FC4"/>
    <w:rsid w:val="00DB43C2"/>
    <w:rsid w:val="00DB5833"/>
    <w:rsid w:val="00DB66AD"/>
    <w:rsid w:val="00DD2858"/>
    <w:rsid w:val="00DE60F6"/>
    <w:rsid w:val="00E03E33"/>
    <w:rsid w:val="00E23A30"/>
    <w:rsid w:val="00E3642A"/>
    <w:rsid w:val="00E40BC5"/>
    <w:rsid w:val="00E415C4"/>
    <w:rsid w:val="00E50016"/>
    <w:rsid w:val="00E50EAA"/>
    <w:rsid w:val="00E523B1"/>
    <w:rsid w:val="00E60FC1"/>
    <w:rsid w:val="00E61026"/>
    <w:rsid w:val="00E656D6"/>
    <w:rsid w:val="00E977EE"/>
    <w:rsid w:val="00EA67A2"/>
    <w:rsid w:val="00EA6A42"/>
    <w:rsid w:val="00EB1D77"/>
    <w:rsid w:val="00EB6B6F"/>
    <w:rsid w:val="00EC2B3C"/>
    <w:rsid w:val="00EC4F98"/>
    <w:rsid w:val="00ED3D0C"/>
    <w:rsid w:val="00ED5185"/>
    <w:rsid w:val="00ED556D"/>
    <w:rsid w:val="00EF4DEE"/>
    <w:rsid w:val="00EF60DD"/>
    <w:rsid w:val="00F03659"/>
    <w:rsid w:val="00F06FF9"/>
    <w:rsid w:val="00F12F02"/>
    <w:rsid w:val="00F21117"/>
    <w:rsid w:val="00F3088E"/>
    <w:rsid w:val="00F32E0D"/>
    <w:rsid w:val="00F34883"/>
    <w:rsid w:val="00F35134"/>
    <w:rsid w:val="00F375CA"/>
    <w:rsid w:val="00F40DA6"/>
    <w:rsid w:val="00F41812"/>
    <w:rsid w:val="00F479DE"/>
    <w:rsid w:val="00F523B5"/>
    <w:rsid w:val="00F73333"/>
    <w:rsid w:val="00F85270"/>
    <w:rsid w:val="00F92897"/>
    <w:rsid w:val="00F93545"/>
    <w:rsid w:val="00F95332"/>
    <w:rsid w:val="00F95D8F"/>
    <w:rsid w:val="00FA5AC7"/>
    <w:rsid w:val="00FB1F0A"/>
    <w:rsid w:val="00FB350A"/>
    <w:rsid w:val="00FC5E86"/>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5">
    <w:name w:val="heading 5"/>
    <w:basedOn w:val="Normal"/>
    <w:next w:val="Normal"/>
    <w:link w:val="Heading5Char"/>
    <w:semiHidden/>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semiHidden/>
    <w:rsid w:val="000E155F"/>
    <w:rPr>
      <w:rFonts w:asciiTheme="majorHAnsi" w:eastAsiaTheme="majorEastAsia" w:hAnsiTheme="majorHAnsi" w:cstheme="majorBidi"/>
      <w:color w:val="243F60" w:themeColor="accent1" w:themeShade="7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5">
    <w:name w:val="heading 5"/>
    <w:basedOn w:val="Normal"/>
    <w:next w:val="Normal"/>
    <w:link w:val="Heading5Char"/>
    <w:semiHidden/>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semiHidden/>
    <w:rsid w:val="000E155F"/>
    <w:rPr>
      <w:rFonts w:asciiTheme="majorHAnsi" w:eastAsiaTheme="majorEastAsia" w:hAnsiTheme="majorHAnsi" w:cstheme="majorBidi"/>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hyperlink" Target="file:///D:\Users\mccraj\AppData\Local\Microsoft\Windows\Temporary%20Internet%20Files\Content.Outlook\7M4OPGPH\www.msac.gov.au"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chart" Target="charts/chart2.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userenv\Users\User_11\reimeg\Desktop\PvA%201149\Table%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c:f>
              <c:strCache>
                <c:ptCount val="1"/>
                <c:pt idx="0">
                  <c:v>Predicted 37245</c:v>
                </c:pt>
              </c:strCache>
            </c:strRef>
          </c:tx>
          <c:spPr>
            <a:ln>
              <a:solidFill>
                <a:schemeClr val="tx2">
                  <a:lumMod val="60000"/>
                  <a:lumOff val="40000"/>
                </a:schemeClr>
              </a:solidFill>
            </a:ln>
          </c:spPr>
          <c:marker>
            <c:symbol val="none"/>
          </c:marker>
          <c:cat>
            <c:strRef>
              <c:f>Sheet1!$B$1:$F$1</c:f>
              <c:strCache>
                <c:ptCount val="5"/>
                <c:pt idx="0">
                  <c:v>2012-13°</c:v>
                </c:pt>
                <c:pt idx="1">
                  <c:v>2013-14</c:v>
                </c:pt>
                <c:pt idx="2">
                  <c:v>2014-15</c:v>
                </c:pt>
                <c:pt idx="3">
                  <c:v>2015-16</c:v>
                </c:pt>
                <c:pt idx="4">
                  <c:v>2016-17</c:v>
                </c:pt>
              </c:strCache>
            </c:strRef>
          </c:cat>
          <c:val>
            <c:numRef>
              <c:f>Sheet1!$B$2:$F$2</c:f>
              <c:numCache>
                <c:formatCode>General</c:formatCode>
                <c:ptCount val="5"/>
                <c:pt idx="0">
                  <c:v>133</c:v>
                </c:pt>
                <c:pt idx="1">
                  <c:v>383</c:v>
                </c:pt>
                <c:pt idx="2">
                  <c:v>633</c:v>
                </c:pt>
                <c:pt idx="3">
                  <c:v>1008</c:v>
                </c:pt>
                <c:pt idx="4">
                  <c:v>1258</c:v>
                </c:pt>
              </c:numCache>
            </c:numRef>
          </c:val>
          <c:smooth val="0"/>
        </c:ser>
        <c:ser>
          <c:idx val="1"/>
          <c:order val="1"/>
          <c:tx>
            <c:strRef>
              <c:f>Sheet1!$A$3</c:f>
              <c:strCache>
                <c:ptCount val="1"/>
                <c:pt idx="0">
                  <c:v>Actual 37245</c:v>
                </c:pt>
              </c:strCache>
            </c:strRef>
          </c:tx>
          <c:spPr>
            <a:ln>
              <a:solidFill>
                <a:schemeClr val="accent3"/>
              </a:solidFill>
            </a:ln>
          </c:spPr>
          <c:marker>
            <c:symbol val="none"/>
          </c:marker>
          <c:cat>
            <c:strRef>
              <c:f>Sheet1!$B$1:$F$1</c:f>
              <c:strCache>
                <c:ptCount val="5"/>
                <c:pt idx="0">
                  <c:v>2012-13°</c:v>
                </c:pt>
                <c:pt idx="1">
                  <c:v>2013-14</c:v>
                </c:pt>
                <c:pt idx="2">
                  <c:v>2014-15</c:v>
                </c:pt>
                <c:pt idx="3">
                  <c:v>2015-16</c:v>
                </c:pt>
                <c:pt idx="4">
                  <c:v>2016-17</c:v>
                </c:pt>
              </c:strCache>
            </c:strRef>
          </c:cat>
          <c:val>
            <c:numRef>
              <c:f>Sheet1!$B$3:$F$3</c:f>
              <c:numCache>
                <c:formatCode>General</c:formatCode>
                <c:ptCount val="5"/>
                <c:pt idx="0">
                  <c:v>110</c:v>
                </c:pt>
                <c:pt idx="1">
                  <c:v>550</c:v>
                </c:pt>
                <c:pt idx="2">
                  <c:v>662</c:v>
                </c:pt>
                <c:pt idx="3">
                  <c:v>725</c:v>
                </c:pt>
                <c:pt idx="4">
                  <c:v>855</c:v>
                </c:pt>
              </c:numCache>
            </c:numRef>
          </c:val>
          <c:smooth val="0"/>
        </c:ser>
        <c:dLbls>
          <c:showLegendKey val="0"/>
          <c:showVal val="0"/>
          <c:showCatName val="0"/>
          <c:showSerName val="0"/>
          <c:showPercent val="0"/>
          <c:showBubbleSize val="0"/>
        </c:dLbls>
        <c:marker val="1"/>
        <c:smooth val="0"/>
        <c:axId val="228772480"/>
        <c:axId val="228778368"/>
      </c:lineChart>
      <c:catAx>
        <c:axId val="228772480"/>
        <c:scaling>
          <c:orientation val="minMax"/>
        </c:scaling>
        <c:delete val="0"/>
        <c:axPos val="b"/>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228778368"/>
        <c:crosses val="autoZero"/>
        <c:auto val="1"/>
        <c:lblAlgn val="ctr"/>
        <c:lblOffset val="100"/>
        <c:noMultiLvlLbl val="0"/>
      </c:catAx>
      <c:valAx>
        <c:axId val="228778368"/>
        <c:scaling>
          <c:orientation val="minMax"/>
        </c:scaling>
        <c:delete val="0"/>
        <c:axPos val="l"/>
        <c:majorGridlines/>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228772480"/>
        <c:crosses val="autoZero"/>
        <c:crossBetween val="between"/>
      </c:valAx>
    </c:plotArea>
    <c:legend>
      <c:legendPos val="r"/>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Sheet2!$S$10:$T$10</c:f>
              <c:strCache>
                <c:ptCount val="1"/>
                <c:pt idx="0">
                  <c:v>2014-15</c:v>
                </c:pt>
              </c:strCache>
            </c:strRef>
          </c:tx>
          <c:spPr>
            <a:solidFill>
              <a:schemeClr val="tx2">
                <a:lumMod val="40000"/>
                <a:lumOff val="60000"/>
              </a:schemeClr>
            </a:solidFill>
          </c:spPr>
          <c:invertIfNegative val="0"/>
          <c:errBars>
            <c:errBarType val="both"/>
            <c:errValType val="cust"/>
            <c:noEndCap val="0"/>
            <c:plus>
              <c:numRef>
                <c:f>Sheet2!$C$23:$H$23</c:f>
                <c:numCache>
                  <c:formatCode>General</c:formatCode>
                  <c:ptCount val="6"/>
                  <c:pt idx="0">
                    <c:v>1730.50936</c:v>
                  </c:pt>
                  <c:pt idx="1">
                    <c:v>455.76081999999997</c:v>
                  </c:pt>
                  <c:pt idx="2">
                    <c:v>0</c:v>
                  </c:pt>
                  <c:pt idx="3">
                    <c:v>399.54701999999997</c:v>
                  </c:pt>
                  <c:pt idx="4">
                    <c:v>18.64411999999993</c:v>
                  </c:pt>
                  <c:pt idx="5">
                    <c:v>155.62856999999985</c:v>
                  </c:pt>
                </c:numCache>
              </c:numRef>
            </c:plus>
            <c:minus>
              <c:numRef>
                <c:f>Sheet2!$C$24:$H$24</c:f>
                <c:numCache>
                  <c:formatCode>General</c:formatCode>
                  <c:ptCount val="6"/>
                  <c:pt idx="0">
                    <c:v>878.19064000000003</c:v>
                  </c:pt>
                  <c:pt idx="1">
                    <c:v>553.23918000000003</c:v>
                  </c:pt>
                  <c:pt idx="2">
                    <c:v>0</c:v>
                  </c:pt>
                  <c:pt idx="3">
                    <c:v>100.45298000000003</c:v>
                  </c:pt>
                  <c:pt idx="4">
                    <c:v>-18.64411999999993</c:v>
                  </c:pt>
                  <c:pt idx="5">
                    <c:v>-90.628569999999854</c:v>
                  </c:pt>
                </c:numCache>
              </c:numRef>
            </c:minus>
          </c:errBars>
          <c:cat>
            <c:strRef>
              <c:f>Sheet2!$U$9:$Z$9</c:f>
              <c:strCache>
                <c:ptCount val="6"/>
                <c:pt idx="0">
                  <c:v>NSW</c:v>
                </c:pt>
                <c:pt idx="1">
                  <c:v>VIC</c:v>
                </c:pt>
                <c:pt idx="2">
                  <c:v>QLD</c:v>
                </c:pt>
                <c:pt idx="3">
                  <c:v>SA</c:v>
                </c:pt>
                <c:pt idx="4">
                  <c:v>WA</c:v>
                </c:pt>
                <c:pt idx="5">
                  <c:v>ACT</c:v>
                </c:pt>
              </c:strCache>
            </c:strRef>
          </c:cat>
          <c:val>
            <c:numRef>
              <c:f>Sheet2!$U$10:$Z$10</c:f>
              <c:numCache>
                <c:formatCode>"$"#,##0.00_);[Red]\("$"#,##0.00\)</c:formatCode>
                <c:ptCount val="6"/>
                <c:pt idx="0">
                  <c:v>2869.49</c:v>
                </c:pt>
                <c:pt idx="1">
                  <c:v>2544.2399999999998</c:v>
                </c:pt>
                <c:pt idx="2">
                  <c:v>0</c:v>
                </c:pt>
                <c:pt idx="3">
                  <c:v>1897.8</c:v>
                </c:pt>
                <c:pt idx="4">
                  <c:v>2181.36</c:v>
                </c:pt>
                <c:pt idx="5">
                  <c:v>2909.37</c:v>
                </c:pt>
              </c:numCache>
            </c:numRef>
          </c:val>
        </c:ser>
        <c:ser>
          <c:idx val="1"/>
          <c:order val="1"/>
          <c:tx>
            <c:strRef>
              <c:f>Sheet2!$S$11:$T$11</c:f>
              <c:strCache>
                <c:ptCount val="1"/>
                <c:pt idx="0">
                  <c:v>2015-16</c:v>
                </c:pt>
              </c:strCache>
            </c:strRef>
          </c:tx>
          <c:spPr>
            <a:solidFill>
              <a:schemeClr val="accent4">
                <a:lumMod val="60000"/>
                <a:lumOff val="40000"/>
              </a:schemeClr>
            </a:solidFill>
          </c:spPr>
          <c:invertIfNegative val="0"/>
          <c:errBars>
            <c:errBarType val="both"/>
            <c:errValType val="cust"/>
            <c:noEndCap val="0"/>
            <c:plus>
              <c:numRef>
                <c:f>Sheet2!$C$25:$H$25</c:f>
                <c:numCache>
                  <c:formatCode>General</c:formatCode>
                  <c:ptCount val="6"/>
                  <c:pt idx="0">
                    <c:v>1489.20201</c:v>
                  </c:pt>
                  <c:pt idx="1">
                    <c:v>1060.22381</c:v>
                  </c:pt>
                  <c:pt idx="2">
                    <c:v>0</c:v>
                  </c:pt>
                  <c:pt idx="3">
                    <c:v>432.30331000000001</c:v>
                  </c:pt>
                  <c:pt idx="4">
                    <c:v>556.61326999999983</c:v>
                  </c:pt>
                  <c:pt idx="5">
                    <c:v>242.93366999999989</c:v>
                  </c:pt>
                </c:numCache>
              </c:numRef>
            </c:plus>
            <c:minus>
              <c:numRef>
                <c:f>Sheet2!$C$26:$H$26</c:f>
                <c:numCache>
                  <c:formatCode>General</c:formatCode>
                  <c:ptCount val="6"/>
                  <c:pt idx="0">
                    <c:v>920.16798999999992</c:v>
                  </c:pt>
                  <c:pt idx="1">
                    <c:v>646.42619000000013</c:v>
                  </c:pt>
                  <c:pt idx="2">
                    <c:v>0</c:v>
                  </c:pt>
                  <c:pt idx="3">
                    <c:v>67.69668999999999</c:v>
                  </c:pt>
                  <c:pt idx="4">
                    <c:v>308.38673000000017</c:v>
                  </c:pt>
                  <c:pt idx="5">
                    <c:v>495.56633000000011</c:v>
                  </c:pt>
                </c:numCache>
              </c:numRef>
            </c:minus>
          </c:errBars>
          <c:cat>
            <c:strRef>
              <c:f>Sheet2!$U$9:$Z$9</c:f>
              <c:strCache>
                <c:ptCount val="6"/>
                <c:pt idx="0">
                  <c:v>NSW</c:v>
                </c:pt>
                <c:pt idx="1">
                  <c:v>VIC</c:v>
                </c:pt>
                <c:pt idx="2">
                  <c:v>QLD</c:v>
                </c:pt>
                <c:pt idx="3">
                  <c:v>SA</c:v>
                </c:pt>
                <c:pt idx="4">
                  <c:v>WA</c:v>
                </c:pt>
                <c:pt idx="5">
                  <c:v>ACT</c:v>
                </c:pt>
              </c:strCache>
            </c:strRef>
          </c:cat>
          <c:val>
            <c:numRef>
              <c:f>Sheet2!$U$11:$Z$11</c:f>
              <c:numCache>
                <c:formatCode>"$"#,##0.00</c:formatCode>
                <c:ptCount val="6"/>
                <c:pt idx="0">
                  <c:v>2910.79799</c:v>
                </c:pt>
                <c:pt idx="1">
                  <c:v>2557.52619</c:v>
                </c:pt>
                <c:pt idx="2">
                  <c:v>0</c:v>
                </c:pt>
                <c:pt idx="3">
                  <c:v>1870.94669</c:v>
                </c:pt>
                <c:pt idx="4">
                  <c:v>2508.3867300000002</c:v>
                </c:pt>
                <c:pt idx="5">
                  <c:v>2882.0663300000001</c:v>
                </c:pt>
              </c:numCache>
            </c:numRef>
          </c:val>
        </c:ser>
        <c:ser>
          <c:idx val="2"/>
          <c:order val="2"/>
          <c:tx>
            <c:strRef>
              <c:f>Sheet2!$S$12:$T$12</c:f>
              <c:strCache>
                <c:ptCount val="1"/>
                <c:pt idx="0">
                  <c:v>2016-17</c:v>
                </c:pt>
              </c:strCache>
            </c:strRef>
          </c:tx>
          <c:spPr>
            <a:solidFill>
              <a:schemeClr val="accent3">
                <a:lumMod val="60000"/>
                <a:lumOff val="40000"/>
              </a:schemeClr>
            </a:solidFill>
          </c:spPr>
          <c:invertIfNegative val="0"/>
          <c:errBars>
            <c:errBarType val="both"/>
            <c:errValType val="cust"/>
            <c:noEndCap val="0"/>
            <c:plus>
              <c:numRef>
                <c:f>Sheet2!$C$27:$H$27</c:f>
                <c:numCache>
                  <c:formatCode>General</c:formatCode>
                  <c:ptCount val="6"/>
                  <c:pt idx="0">
                    <c:v>1650.4652800000003</c:v>
                  </c:pt>
                  <c:pt idx="1">
                    <c:v>1023.6160799999998</c:v>
                  </c:pt>
                  <c:pt idx="2">
                    <c:v>508.95510999999988</c:v>
                  </c:pt>
                  <c:pt idx="3">
                    <c:v>569.55290999999988</c:v>
                  </c:pt>
                  <c:pt idx="4">
                    <c:v>79.28585000000021</c:v>
                  </c:pt>
                  <c:pt idx="5">
                    <c:v>237.60429000000022</c:v>
                  </c:pt>
                </c:numCache>
              </c:numRef>
            </c:plus>
            <c:minus>
              <c:numRef>
                <c:f>Sheet2!$C$28:$H$28</c:f>
                <c:numCache>
                  <c:formatCode>General</c:formatCode>
                  <c:ptCount val="6"/>
                  <c:pt idx="0">
                    <c:v>795.03471999999988</c:v>
                  </c:pt>
                  <c:pt idx="1">
                    <c:v>683.03392000000031</c:v>
                  </c:pt>
                  <c:pt idx="2">
                    <c:v>506.79489000000012</c:v>
                  </c:pt>
                  <c:pt idx="3">
                    <c:v>281.94709000000012</c:v>
                  </c:pt>
                  <c:pt idx="4">
                    <c:v>-79.28585000000021</c:v>
                  </c:pt>
                  <c:pt idx="5">
                    <c:v>-81.354290000000219</c:v>
                  </c:pt>
                </c:numCache>
              </c:numRef>
            </c:minus>
          </c:errBars>
          <c:cat>
            <c:strRef>
              <c:f>Sheet2!$U$9:$Z$9</c:f>
              <c:strCache>
                <c:ptCount val="6"/>
                <c:pt idx="0">
                  <c:v>NSW</c:v>
                </c:pt>
                <c:pt idx="1">
                  <c:v>VIC</c:v>
                </c:pt>
                <c:pt idx="2">
                  <c:v>QLD</c:v>
                </c:pt>
                <c:pt idx="3">
                  <c:v>SA</c:v>
                </c:pt>
                <c:pt idx="4">
                  <c:v>WA</c:v>
                </c:pt>
                <c:pt idx="5">
                  <c:v>ACT</c:v>
                </c:pt>
              </c:strCache>
            </c:strRef>
          </c:cat>
          <c:val>
            <c:numRef>
              <c:f>Sheet2!$U$12:$Z$12</c:f>
              <c:numCache>
                <c:formatCode>"$"#,##0.00</c:formatCode>
                <c:ptCount val="6"/>
                <c:pt idx="0">
                  <c:v>2729.5847199999998</c:v>
                </c:pt>
                <c:pt idx="1">
                  <c:v>2594.1339200000002</c:v>
                </c:pt>
                <c:pt idx="2">
                  <c:v>2556.0448900000001</c:v>
                </c:pt>
                <c:pt idx="3">
                  <c:v>1841.54709</c:v>
                </c:pt>
                <c:pt idx="4">
                  <c:v>2985.7141499999998</c:v>
                </c:pt>
                <c:pt idx="5">
                  <c:v>3043.6457099999998</c:v>
                </c:pt>
              </c:numCache>
            </c:numRef>
          </c:val>
        </c:ser>
        <c:dLbls>
          <c:showLegendKey val="0"/>
          <c:showVal val="0"/>
          <c:showCatName val="0"/>
          <c:showSerName val="0"/>
          <c:showPercent val="0"/>
          <c:showBubbleSize val="0"/>
        </c:dLbls>
        <c:gapWidth val="150"/>
        <c:axId val="137232768"/>
        <c:axId val="137234304"/>
      </c:barChart>
      <c:catAx>
        <c:axId val="137232768"/>
        <c:scaling>
          <c:orientation val="minMax"/>
        </c:scaling>
        <c:delete val="0"/>
        <c:axPos val="b"/>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37234304"/>
        <c:crosses val="autoZero"/>
        <c:auto val="1"/>
        <c:lblAlgn val="ctr"/>
        <c:lblOffset val="100"/>
        <c:noMultiLvlLbl val="0"/>
      </c:catAx>
      <c:valAx>
        <c:axId val="137234304"/>
        <c:scaling>
          <c:orientation val="minMax"/>
        </c:scaling>
        <c:delete val="0"/>
        <c:axPos val="l"/>
        <c:majorGridlines/>
        <c:numFmt formatCode="&quot;$&quot;#,##0.00_);[Red]\(&quot;$&quot;#,##0.00\)"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37232768"/>
        <c:crosses val="autoZero"/>
        <c:crossBetween val="between"/>
      </c:valAx>
    </c:plotArea>
    <c:legend>
      <c:legendPos val="r"/>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968FB-91A4-4F78-8F12-B4B9FE34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3368</Words>
  <Characters>17798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 PSD 1149</dc:title>
  <dc:creator/>
  <cp:lastModifiedBy/>
  <cp:revision>1</cp:revision>
  <dcterms:created xsi:type="dcterms:W3CDTF">2018-08-23T01:46:00Z</dcterms:created>
  <dcterms:modified xsi:type="dcterms:W3CDTF">2018-09-25T22:33:00Z</dcterms:modified>
</cp:coreProperties>
</file>