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E4F9" w14:textId="77777777" w:rsidR="00BA1016" w:rsidRDefault="00BA1016" w:rsidP="00BA1016">
      <w:pPr>
        <w:pStyle w:val="BodyText"/>
        <w:jc w:val="center"/>
        <w:rPr>
          <w:rFonts w:ascii="Times New Roman" w:hAnsi="Times New Roman"/>
          <w:b/>
          <w:sz w:val="28"/>
          <w:szCs w:val="28"/>
        </w:rPr>
      </w:pPr>
      <w:r>
        <w:rPr>
          <w:rFonts w:ascii="Arial" w:hAnsi="Arial" w:cs="Arial"/>
          <w:b/>
          <w:noProof/>
          <w:color w:val="000080"/>
          <w:sz w:val="28"/>
          <w:szCs w:val="28"/>
        </w:rPr>
        <w:drawing>
          <wp:inline distT="0" distB="0" distL="0" distR="0" wp14:anchorId="426A920B" wp14:editId="0D7185CB">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6CF11B" w14:textId="4BFC2DCD" w:rsidR="00BA1016" w:rsidRPr="00F941BE" w:rsidRDefault="00BA1016" w:rsidP="00BA1016">
      <w:pPr>
        <w:pStyle w:val="BodyText"/>
        <w:tabs>
          <w:tab w:val="left" w:pos="3686"/>
        </w:tabs>
        <w:spacing w:before="360" w:after="360"/>
        <w:jc w:val="center"/>
        <w:rPr>
          <w:rFonts w:ascii="Arial" w:hAnsi="Arial" w:cs="Arial"/>
          <w:b/>
          <w:sz w:val="26"/>
          <w:szCs w:val="26"/>
        </w:rPr>
      </w:pPr>
      <w:r w:rsidRPr="00F941BE">
        <w:rPr>
          <w:rFonts w:ascii="Arial" w:hAnsi="Arial" w:cs="Arial"/>
          <w:b/>
          <w:sz w:val="26"/>
          <w:szCs w:val="26"/>
        </w:rPr>
        <w:t>MSAC 8</w:t>
      </w:r>
      <w:r>
        <w:rPr>
          <w:rFonts w:ascii="Arial" w:hAnsi="Arial" w:cs="Arial"/>
          <w:b/>
          <w:sz w:val="26"/>
          <w:szCs w:val="26"/>
        </w:rPr>
        <w:t>3</w:t>
      </w:r>
      <w:r w:rsidRPr="00BA1016">
        <w:rPr>
          <w:rFonts w:ascii="Arial" w:hAnsi="Arial" w:cs="Arial"/>
          <w:b/>
          <w:sz w:val="26"/>
          <w:szCs w:val="26"/>
          <w:vertAlign w:val="superscript"/>
        </w:rPr>
        <w:t>rd</w:t>
      </w:r>
      <w:r>
        <w:rPr>
          <w:rFonts w:ascii="Arial" w:hAnsi="Arial" w:cs="Arial"/>
          <w:b/>
          <w:sz w:val="26"/>
          <w:szCs w:val="26"/>
        </w:rPr>
        <w:t xml:space="preserve"> </w:t>
      </w:r>
      <w:r w:rsidRPr="00F941BE">
        <w:rPr>
          <w:rFonts w:ascii="Arial" w:hAnsi="Arial" w:cs="Arial"/>
          <w:b/>
          <w:sz w:val="26"/>
          <w:szCs w:val="26"/>
        </w:rPr>
        <w:t xml:space="preserve">Meeting, </w:t>
      </w:r>
      <w:r>
        <w:rPr>
          <w:rFonts w:ascii="Arial" w:hAnsi="Arial" w:cs="Arial"/>
          <w:b/>
          <w:sz w:val="26"/>
          <w:szCs w:val="26"/>
        </w:rPr>
        <w:t>25-26 November</w:t>
      </w:r>
      <w:r w:rsidRPr="00F941BE">
        <w:rPr>
          <w:rFonts w:ascii="Arial" w:hAnsi="Arial" w:cs="Arial"/>
          <w:b/>
          <w:sz w:val="26"/>
          <w:szCs w:val="26"/>
        </w:rPr>
        <w:t xml:space="preserve"> 2021</w:t>
      </w:r>
    </w:p>
    <w:p w14:paraId="663969D5" w14:textId="2C6A0FC9" w:rsidR="00972B87" w:rsidRDefault="00972B87" w:rsidP="0033190E">
      <w:pPr>
        <w:pStyle w:val="Heading1"/>
      </w:pPr>
      <w:r w:rsidRPr="00972B87">
        <w:t xml:space="preserve">Application No. </w:t>
      </w:r>
      <w:r w:rsidR="00CD1766">
        <w:t>1562</w:t>
      </w:r>
      <w:r w:rsidRPr="00972B87">
        <w:t xml:space="preserve"> – </w:t>
      </w:r>
      <w:r w:rsidR="0033190E">
        <w:t xml:space="preserve">Streamlining of MSAC assessment of positron emission tomography (PET) </w:t>
      </w:r>
      <w:r w:rsidR="00180665">
        <w:t>P</w:t>
      </w:r>
      <w:r w:rsidR="0033190E">
        <w:t>roject</w:t>
      </w:r>
    </w:p>
    <w:p w14:paraId="01D43015" w14:textId="77777777" w:rsidR="00FC1FD4" w:rsidRPr="00972B87" w:rsidRDefault="00FC1FD4" w:rsidP="00FC1FD4">
      <w:pPr>
        <w:pStyle w:val="Heading2"/>
      </w:pPr>
      <w:r w:rsidRPr="00972B87">
        <w:t>MSAC’s advice to the Minister</w:t>
      </w:r>
    </w:p>
    <w:p w14:paraId="0D6EA945" w14:textId="3612FF0B" w:rsidR="00FC1FD4" w:rsidRDefault="00FC1FD4" w:rsidP="00FC1FD4">
      <w:pPr>
        <w:rPr>
          <w:szCs w:val="24"/>
        </w:rPr>
      </w:pPr>
      <w:r>
        <w:rPr>
          <w:szCs w:val="24"/>
        </w:rPr>
        <w:t xml:space="preserve">MSAC supported the creation of a new Medicare Benefits Schedule (MBS) item for initial staging by fluorodeoxyglucose positron emission tomography (FDG-PET) of rare </w:t>
      </w:r>
      <w:r w:rsidR="00D73112">
        <w:rPr>
          <w:szCs w:val="24"/>
        </w:rPr>
        <w:t>or</w:t>
      </w:r>
      <w:r>
        <w:rPr>
          <w:szCs w:val="24"/>
        </w:rPr>
        <w:t xml:space="preserve"> uncommon cancer types meeting certain qualification criteria. MSAC accepted that the</w:t>
      </w:r>
      <w:r w:rsidR="00064FDC">
        <w:rPr>
          <w:szCs w:val="24"/>
        </w:rPr>
        <w:t>se</w:t>
      </w:r>
      <w:r>
        <w:rPr>
          <w:szCs w:val="24"/>
        </w:rPr>
        <w:t xml:space="preserve"> qualification criteria had been validated through the development of a generic economic model and had identified cancer types </w:t>
      </w:r>
      <w:r>
        <w:rPr>
          <w:color w:val="222222"/>
          <w:szCs w:val="24"/>
        </w:rPr>
        <w:t>likely to result in a significant change in management for those patients with a resulting change in staging</w:t>
      </w:r>
      <w:r>
        <w:rPr>
          <w:szCs w:val="24"/>
        </w:rPr>
        <w:t>. MSAC also acknowledged the budget impact of limiting the MBS item to the eligible cancer types.</w:t>
      </w:r>
    </w:p>
    <w:p w14:paraId="1783B77F" w14:textId="77777777" w:rsidR="00FC1FD4" w:rsidRPr="006C7A6C" w:rsidRDefault="00FC1FD4" w:rsidP="006C7A6C">
      <w:pPr>
        <w:pStyle w:val="BoxText"/>
        <w:rPr>
          <w:b/>
          <w:bCs/>
        </w:rPr>
      </w:pPr>
      <w:r w:rsidRPr="006C7A6C">
        <w:rPr>
          <w:b/>
          <w:bCs/>
        </w:rPr>
        <w:t>Consumer summary</w:t>
      </w:r>
    </w:p>
    <w:p w14:paraId="3E786630" w14:textId="11CF1FD7" w:rsidR="007374C6" w:rsidRDefault="007374C6" w:rsidP="006C7A6C">
      <w:pPr>
        <w:pStyle w:val="BoxText"/>
        <w:rPr>
          <w:rStyle w:val="normaltextrun"/>
          <w:rFonts w:ascii="Tms Rmn" w:hAnsi="Tms Rmn"/>
          <w:shd w:val="clear" w:color="auto" w:fill="FFFFFF"/>
          <w:lang w:val="en-US"/>
        </w:rPr>
      </w:pPr>
      <w:r w:rsidRPr="00A52432">
        <w:rPr>
          <w:rStyle w:val="normaltextrun"/>
          <w:rFonts w:ascii="Tms Rmn" w:hAnsi="Tms Rmn"/>
          <w:shd w:val="clear" w:color="auto" w:fill="FFFFFF"/>
          <w:lang w:val="en-US"/>
        </w:rPr>
        <w:t xml:space="preserve">The </w:t>
      </w:r>
      <w:r>
        <w:rPr>
          <w:rStyle w:val="normaltextrun"/>
          <w:shd w:val="clear" w:color="auto" w:fill="FFFFFF"/>
        </w:rPr>
        <w:t>p</w:t>
      </w:r>
      <w:r w:rsidRPr="00737115">
        <w:rPr>
          <w:rStyle w:val="normaltextrun"/>
          <w:shd w:val="clear" w:color="auto" w:fill="FFFFFF"/>
        </w:rPr>
        <w:t>ositron emission tomography</w:t>
      </w:r>
      <w:r>
        <w:rPr>
          <w:rStyle w:val="normaltextrun"/>
          <w:shd w:val="clear" w:color="auto" w:fill="FFFFFF"/>
        </w:rPr>
        <w:t xml:space="preserve"> (</w:t>
      </w:r>
      <w:r w:rsidRPr="00A52432">
        <w:rPr>
          <w:rStyle w:val="normaltextrun"/>
          <w:rFonts w:ascii="Tms Rmn" w:hAnsi="Tms Rmn"/>
          <w:shd w:val="clear" w:color="auto" w:fill="FFFFFF"/>
          <w:lang w:val="en-US"/>
        </w:rPr>
        <w:t>PET</w:t>
      </w:r>
      <w:r>
        <w:rPr>
          <w:rStyle w:val="normaltextrun"/>
          <w:rFonts w:ascii="Tms Rmn" w:hAnsi="Tms Rmn"/>
          <w:shd w:val="clear" w:color="auto" w:fill="FFFFFF"/>
          <w:lang w:val="en-US"/>
        </w:rPr>
        <w:t>)</w:t>
      </w:r>
      <w:r w:rsidRPr="00A52432">
        <w:rPr>
          <w:rStyle w:val="normaltextrun"/>
          <w:rFonts w:ascii="Tms Rmn" w:hAnsi="Tms Rmn"/>
          <w:shd w:val="clear" w:color="auto" w:fill="FFFFFF"/>
          <w:lang w:val="en-US"/>
        </w:rPr>
        <w:t xml:space="preserve"> </w:t>
      </w:r>
      <w:r w:rsidR="00180665" w:rsidRPr="00A52432">
        <w:rPr>
          <w:rStyle w:val="normaltextrun"/>
          <w:rFonts w:ascii="Tms Rmn" w:hAnsi="Tms Rmn"/>
          <w:shd w:val="clear" w:color="auto" w:fill="FFFFFF"/>
          <w:lang w:val="en-US"/>
        </w:rPr>
        <w:t>P</w:t>
      </w:r>
      <w:r w:rsidRPr="00A52432">
        <w:rPr>
          <w:rStyle w:val="normaltextrun"/>
          <w:rFonts w:ascii="Tms Rmn" w:hAnsi="Tms Rmn"/>
          <w:shd w:val="clear" w:color="auto" w:fill="FFFFFF"/>
          <w:lang w:val="en-US"/>
        </w:rPr>
        <w:t>roject was started because of the limited evidence</w:t>
      </w:r>
      <w:r w:rsidR="00C16186">
        <w:rPr>
          <w:rStyle w:val="normaltextrun"/>
          <w:rFonts w:ascii="Tms Rmn" w:hAnsi="Tms Rmn"/>
          <w:shd w:val="clear" w:color="auto" w:fill="FFFFFF"/>
          <w:lang w:val="en-US"/>
        </w:rPr>
        <w:t xml:space="preserve"> available</w:t>
      </w:r>
      <w:r w:rsidRPr="00A52432">
        <w:rPr>
          <w:rStyle w:val="normaltextrun"/>
          <w:rFonts w:ascii="Tms Rmn" w:hAnsi="Tms Rmn"/>
          <w:shd w:val="clear" w:color="auto" w:fill="FFFFFF"/>
          <w:lang w:val="en-US"/>
        </w:rPr>
        <w:t xml:space="preserve"> to conduct conventional health technology assessments to evaluate FDG PET/CT across all cancer types and </w:t>
      </w:r>
      <w:r w:rsidR="00C16186">
        <w:rPr>
          <w:rStyle w:val="normaltextrun"/>
          <w:rFonts w:ascii="Tms Rmn" w:hAnsi="Tms Rmn"/>
          <w:shd w:val="clear" w:color="auto" w:fill="FFFFFF"/>
          <w:lang w:val="en-US"/>
        </w:rPr>
        <w:t xml:space="preserve">for </w:t>
      </w:r>
      <w:r w:rsidRPr="00A52432">
        <w:rPr>
          <w:rStyle w:val="normaltextrun"/>
          <w:rFonts w:ascii="Tms Rmn" w:hAnsi="Tms Rmn"/>
          <w:shd w:val="clear" w:color="auto" w:fill="FFFFFF"/>
          <w:lang w:val="en-US"/>
        </w:rPr>
        <w:t>all purposes</w:t>
      </w:r>
      <w:r w:rsidR="00C16186">
        <w:rPr>
          <w:rStyle w:val="normaltextrun"/>
          <w:rFonts w:ascii="Tms Rmn" w:hAnsi="Tms Rmn"/>
          <w:shd w:val="clear" w:color="auto" w:fill="FFFFFF"/>
          <w:lang w:val="en-US"/>
        </w:rPr>
        <w:t xml:space="preserve"> (such as </w:t>
      </w:r>
      <w:r w:rsidR="009B61E5">
        <w:rPr>
          <w:rStyle w:val="normaltextrun"/>
          <w:rFonts w:ascii="Tms Rmn" w:hAnsi="Tms Rmn"/>
          <w:shd w:val="clear" w:color="auto" w:fill="FFFFFF"/>
          <w:lang w:val="en-US"/>
        </w:rPr>
        <w:t xml:space="preserve">staging, which means </w:t>
      </w:r>
      <w:r w:rsidR="00C16186">
        <w:rPr>
          <w:rStyle w:val="normaltextrun"/>
          <w:rFonts w:ascii="Tms Rmn" w:hAnsi="Tms Rmn"/>
          <w:shd w:val="clear" w:color="auto" w:fill="FFFFFF"/>
          <w:lang w:val="en-US"/>
        </w:rPr>
        <w:t>working out how large a tumour is and how far it has spread)</w:t>
      </w:r>
      <w:r w:rsidRPr="00A52432">
        <w:rPr>
          <w:rStyle w:val="normaltextrun"/>
          <w:rFonts w:ascii="Tms Rmn" w:hAnsi="Tms Rmn"/>
          <w:shd w:val="clear" w:color="auto" w:fill="FFFFFF"/>
          <w:lang w:val="en-US"/>
        </w:rPr>
        <w:t xml:space="preserve">. </w:t>
      </w:r>
      <w:r>
        <w:rPr>
          <w:rStyle w:val="normaltextrun"/>
          <w:rFonts w:ascii="Tms Rmn" w:hAnsi="Tms Rmn"/>
          <w:shd w:val="clear" w:color="auto" w:fill="FFFFFF"/>
          <w:lang w:val="en-US"/>
        </w:rPr>
        <w:t xml:space="preserve">There are approximately 200 rare </w:t>
      </w:r>
      <w:r w:rsidR="00D73112">
        <w:rPr>
          <w:rStyle w:val="normaltextrun"/>
          <w:rFonts w:ascii="Tms Rmn" w:hAnsi="Tms Rmn"/>
          <w:shd w:val="clear" w:color="auto" w:fill="FFFFFF"/>
          <w:lang w:val="en-US"/>
        </w:rPr>
        <w:t>or</w:t>
      </w:r>
      <w:r>
        <w:rPr>
          <w:rStyle w:val="normaltextrun"/>
          <w:rFonts w:ascii="Tms Rmn" w:hAnsi="Tms Rmn"/>
          <w:shd w:val="clear" w:color="auto" w:fill="FFFFFF"/>
          <w:lang w:val="en-US"/>
        </w:rPr>
        <w:t xml:space="preserve"> uncommon cancer types, which </w:t>
      </w:r>
      <w:r w:rsidR="001135B7">
        <w:rPr>
          <w:rStyle w:val="normaltextrun"/>
          <w:rFonts w:ascii="Tms Rmn" w:hAnsi="Tms Rmn"/>
          <w:shd w:val="clear" w:color="auto" w:fill="FFFFFF"/>
          <w:lang w:val="en-US"/>
        </w:rPr>
        <w:t xml:space="preserve">together </w:t>
      </w:r>
      <w:r>
        <w:rPr>
          <w:rStyle w:val="normaltextrun"/>
          <w:rFonts w:ascii="Tms Rmn" w:hAnsi="Tms Rmn"/>
          <w:shd w:val="clear" w:color="auto" w:fill="FFFFFF"/>
          <w:lang w:val="en-US"/>
        </w:rPr>
        <w:t>comprise 30% of all diagnosed cancers.</w:t>
      </w:r>
      <w:r w:rsidR="00C16186">
        <w:rPr>
          <w:rStyle w:val="normaltextrun"/>
          <w:rFonts w:ascii="Tms Rmn" w:hAnsi="Tms Rmn"/>
          <w:shd w:val="clear" w:color="auto" w:fill="FFFFFF"/>
          <w:lang w:val="en-US"/>
        </w:rPr>
        <w:t xml:space="preserve"> However, when only a small number of people have a </w:t>
      </w:r>
      <w:r w:rsidR="009B61E5">
        <w:rPr>
          <w:rStyle w:val="normaltextrun"/>
          <w:rFonts w:ascii="Tms Rmn" w:hAnsi="Tms Rmn"/>
          <w:shd w:val="clear" w:color="auto" w:fill="FFFFFF"/>
          <w:lang w:val="en-US"/>
        </w:rPr>
        <w:t>specific type of</w:t>
      </w:r>
      <w:r w:rsidR="00C16186">
        <w:rPr>
          <w:rStyle w:val="normaltextrun"/>
          <w:rFonts w:ascii="Tms Rmn" w:hAnsi="Tms Rmn"/>
          <w:shd w:val="clear" w:color="auto" w:fill="FFFFFF"/>
          <w:lang w:val="en-US"/>
        </w:rPr>
        <w:t xml:space="preserve"> cancer, it is difficult to get enough evidence to make decisions about safety, clinical effectiveness, cost-effectiveness and financial impacts.</w:t>
      </w:r>
    </w:p>
    <w:p w14:paraId="774CF691" w14:textId="3FE1C083" w:rsidR="00CC155F" w:rsidRDefault="00737115" w:rsidP="006C7A6C">
      <w:pPr>
        <w:pStyle w:val="BoxText"/>
        <w:rPr>
          <w:rStyle w:val="normaltextrun"/>
          <w:shd w:val="clear" w:color="auto" w:fill="FFFFFF"/>
        </w:rPr>
      </w:pPr>
      <w:r>
        <w:rPr>
          <w:rStyle w:val="normaltextrun"/>
          <w:shd w:val="clear" w:color="auto" w:fill="FFFFFF"/>
        </w:rPr>
        <w:t>PET</w:t>
      </w:r>
      <w:r w:rsidRPr="00737115">
        <w:rPr>
          <w:rStyle w:val="normaltextrun"/>
          <w:shd w:val="clear" w:color="auto" w:fill="FFFFFF"/>
        </w:rPr>
        <w:t xml:space="preserve"> is </w:t>
      </w:r>
      <w:r>
        <w:rPr>
          <w:rStyle w:val="normaltextrun"/>
          <w:shd w:val="clear" w:color="auto" w:fill="FFFFFF"/>
        </w:rPr>
        <w:t>a type of</w:t>
      </w:r>
      <w:r w:rsidRPr="00737115">
        <w:rPr>
          <w:rStyle w:val="normaltextrun"/>
          <w:shd w:val="clear" w:color="auto" w:fill="FFFFFF"/>
        </w:rPr>
        <w:t xml:space="preserve"> </w:t>
      </w:r>
      <w:r>
        <w:rPr>
          <w:rStyle w:val="normaltextrun"/>
          <w:shd w:val="clear" w:color="auto" w:fill="FFFFFF"/>
        </w:rPr>
        <w:t xml:space="preserve">imaging </w:t>
      </w:r>
      <w:r w:rsidRPr="00737115">
        <w:rPr>
          <w:rStyle w:val="normaltextrun"/>
          <w:shd w:val="clear" w:color="auto" w:fill="FFFFFF"/>
        </w:rPr>
        <w:t>test</w:t>
      </w:r>
      <w:r>
        <w:rPr>
          <w:rStyle w:val="normaltextrun"/>
          <w:shd w:val="clear" w:color="auto" w:fill="FFFFFF"/>
        </w:rPr>
        <w:t>, which means it is</w:t>
      </w:r>
      <w:r w:rsidRPr="00737115">
        <w:rPr>
          <w:rStyle w:val="normaltextrun"/>
          <w:shd w:val="clear" w:color="auto" w:fill="FFFFFF"/>
        </w:rPr>
        <w:t xml:space="preserve"> </w:t>
      </w:r>
      <w:r>
        <w:rPr>
          <w:rStyle w:val="normaltextrun"/>
          <w:shd w:val="clear" w:color="auto" w:fill="FFFFFF"/>
        </w:rPr>
        <w:t xml:space="preserve">used to look inside the body to diagnose </w:t>
      </w:r>
      <w:r w:rsidR="008357E7">
        <w:rPr>
          <w:rStyle w:val="normaltextrun"/>
          <w:shd w:val="clear" w:color="auto" w:fill="FFFFFF"/>
        </w:rPr>
        <w:t xml:space="preserve">and assess </w:t>
      </w:r>
      <w:r>
        <w:rPr>
          <w:rStyle w:val="normaltextrun"/>
          <w:shd w:val="clear" w:color="auto" w:fill="FFFFFF"/>
        </w:rPr>
        <w:t xml:space="preserve">diseases such as cancer. </w:t>
      </w:r>
      <w:r w:rsidR="0095777B">
        <w:rPr>
          <w:rStyle w:val="normaltextrun"/>
          <w:shd w:val="clear" w:color="auto" w:fill="FFFFFF"/>
        </w:rPr>
        <w:t>A</w:t>
      </w:r>
      <w:r w:rsidRPr="00737115">
        <w:rPr>
          <w:rStyle w:val="normaltextrun"/>
          <w:shd w:val="clear" w:color="auto" w:fill="FFFFFF"/>
        </w:rPr>
        <w:t xml:space="preserve"> radioactive substance commonly used in PET scanning is FDG</w:t>
      </w:r>
      <w:r>
        <w:rPr>
          <w:rStyle w:val="normaltextrun"/>
          <w:shd w:val="clear" w:color="auto" w:fill="FFFFFF"/>
        </w:rPr>
        <w:t xml:space="preserve"> (</w:t>
      </w:r>
      <w:r w:rsidRPr="00737115">
        <w:rPr>
          <w:rStyle w:val="normaltextrun"/>
          <w:shd w:val="clear" w:color="auto" w:fill="FFFFFF"/>
        </w:rPr>
        <w:t>fluorodeoxyglucose</w:t>
      </w:r>
      <w:r>
        <w:rPr>
          <w:rStyle w:val="normaltextrun"/>
          <w:shd w:val="clear" w:color="auto" w:fill="FFFFFF"/>
        </w:rPr>
        <w:t>)</w:t>
      </w:r>
      <w:r w:rsidR="002D1C36">
        <w:rPr>
          <w:rStyle w:val="normaltextrun"/>
          <w:shd w:val="clear" w:color="auto" w:fill="FFFFFF"/>
        </w:rPr>
        <w:t xml:space="preserve">. </w:t>
      </w:r>
      <w:r w:rsidR="002D1C36" w:rsidRPr="009A7A4C">
        <w:rPr>
          <w:rStyle w:val="normaltextrun"/>
          <w:shd w:val="clear" w:color="auto" w:fill="FFFFFF"/>
        </w:rPr>
        <w:t xml:space="preserve">After </w:t>
      </w:r>
      <w:r w:rsidR="002D1C36">
        <w:rPr>
          <w:rStyle w:val="normaltextrun"/>
          <w:shd w:val="clear" w:color="auto" w:fill="FFFFFF"/>
        </w:rPr>
        <w:t xml:space="preserve">radioactive </w:t>
      </w:r>
      <w:r w:rsidR="002D1C36" w:rsidRPr="009A7A4C">
        <w:rPr>
          <w:rStyle w:val="normaltextrun"/>
          <w:shd w:val="clear" w:color="auto" w:fill="FFFFFF"/>
        </w:rPr>
        <w:t>FDG is injected into</w:t>
      </w:r>
      <w:r w:rsidR="002D1C36">
        <w:rPr>
          <w:rStyle w:val="normaltextrun"/>
          <w:shd w:val="clear" w:color="auto" w:fill="FFFFFF"/>
        </w:rPr>
        <w:t xml:space="preserve"> the bloodstream of</w:t>
      </w:r>
      <w:r w:rsidR="002D1C36" w:rsidRPr="009A7A4C">
        <w:rPr>
          <w:rStyle w:val="normaltextrun"/>
          <w:shd w:val="clear" w:color="auto" w:fill="FFFFFF"/>
        </w:rPr>
        <w:t xml:space="preserve"> a patient, a PET scanner can form two-dimensional or three-dimensional images of the distribution of FDG within the body.</w:t>
      </w:r>
      <w:r w:rsidRPr="00737115">
        <w:rPr>
          <w:rStyle w:val="normaltextrun"/>
          <w:shd w:val="clear" w:color="auto" w:fill="FFFFFF"/>
        </w:rPr>
        <w:t xml:space="preserve"> </w:t>
      </w:r>
      <w:r w:rsidR="00CC155F">
        <w:rPr>
          <w:rStyle w:val="normaltextrun"/>
          <w:shd w:val="clear" w:color="auto" w:fill="FFFFFF"/>
        </w:rPr>
        <w:t>A</w:t>
      </w:r>
      <w:r w:rsidR="00BB3E2F">
        <w:rPr>
          <w:rStyle w:val="normaltextrun"/>
          <w:shd w:val="clear" w:color="auto" w:fill="FFFFFF"/>
        </w:rPr>
        <w:t>n</w:t>
      </w:r>
      <w:r w:rsidR="00CC155F">
        <w:rPr>
          <w:rStyle w:val="normaltextrun"/>
          <w:shd w:val="clear" w:color="auto" w:fill="FFFFFF"/>
        </w:rPr>
        <w:t xml:space="preserve"> </w:t>
      </w:r>
      <w:r w:rsidR="00CC155F" w:rsidRPr="00CC155F">
        <w:rPr>
          <w:rStyle w:val="normaltextrun"/>
          <w:shd w:val="clear" w:color="auto" w:fill="FFFFFF"/>
        </w:rPr>
        <w:t>FDG</w:t>
      </w:r>
      <w:r w:rsidR="00CC155F">
        <w:rPr>
          <w:rStyle w:val="normaltextrun"/>
          <w:shd w:val="clear" w:color="auto" w:fill="FFFFFF"/>
        </w:rPr>
        <w:t>-</w:t>
      </w:r>
      <w:r w:rsidR="00CC155F" w:rsidRPr="00CC155F">
        <w:rPr>
          <w:rStyle w:val="normaltextrun"/>
          <w:shd w:val="clear" w:color="auto" w:fill="FFFFFF"/>
        </w:rPr>
        <w:t xml:space="preserve">PET scan is often used with </w:t>
      </w:r>
      <w:r w:rsidR="00BB3E2F">
        <w:rPr>
          <w:rStyle w:val="normaltextrun"/>
          <w:shd w:val="clear" w:color="auto" w:fill="FFFFFF"/>
        </w:rPr>
        <w:t>computed tomography (</w:t>
      </w:r>
      <w:r w:rsidR="00CC155F" w:rsidRPr="00CC155F">
        <w:rPr>
          <w:rStyle w:val="normaltextrun"/>
          <w:shd w:val="clear" w:color="auto" w:fill="FFFFFF"/>
        </w:rPr>
        <w:t>CT</w:t>
      </w:r>
      <w:r w:rsidR="00BB3E2F">
        <w:rPr>
          <w:rStyle w:val="normaltextrun"/>
          <w:shd w:val="clear" w:color="auto" w:fill="FFFFFF"/>
        </w:rPr>
        <w:t>)</w:t>
      </w:r>
      <w:r w:rsidR="00CC155F" w:rsidRPr="00CC155F">
        <w:rPr>
          <w:rStyle w:val="normaltextrun"/>
          <w:shd w:val="clear" w:color="auto" w:fill="FFFFFF"/>
        </w:rPr>
        <w:t xml:space="preserve"> </w:t>
      </w:r>
      <w:r w:rsidR="00CC155F">
        <w:rPr>
          <w:rStyle w:val="normaltextrun"/>
          <w:shd w:val="clear" w:color="auto" w:fill="FFFFFF"/>
        </w:rPr>
        <w:t>to</w:t>
      </w:r>
      <w:r w:rsidR="00CC155F" w:rsidRPr="00CC155F">
        <w:rPr>
          <w:rStyle w:val="normaltextrun"/>
          <w:shd w:val="clear" w:color="auto" w:fill="FFFFFF"/>
        </w:rPr>
        <w:t xml:space="preserve"> help radiologists </w:t>
      </w:r>
      <w:r w:rsidR="00BB3E2F">
        <w:rPr>
          <w:rStyle w:val="normaltextrun"/>
          <w:shd w:val="clear" w:color="auto" w:fill="FFFFFF"/>
        </w:rPr>
        <w:t>tell the difference</w:t>
      </w:r>
      <w:r w:rsidR="00CC155F" w:rsidRPr="00CC155F">
        <w:rPr>
          <w:rStyle w:val="normaltextrun"/>
          <w:shd w:val="clear" w:color="auto" w:fill="FFFFFF"/>
        </w:rPr>
        <w:t xml:space="preserve"> between healthy tissue and diseased tissue</w:t>
      </w:r>
      <w:r w:rsidR="00BB3E2F">
        <w:rPr>
          <w:rStyle w:val="normaltextrun"/>
          <w:shd w:val="clear" w:color="auto" w:fill="FFFFFF"/>
        </w:rPr>
        <w:t>. This way,</w:t>
      </w:r>
      <w:r w:rsidR="00CC155F" w:rsidRPr="00CC155F">
        <w:rPr>
          <w:rStyle w:val="normaltextrun"/>
          <w:shd w:val="clear" w:color="auto" w:fill="FFFFFF"/>
        </w:rPr>
        <w:t xml:space="preserve"> cancer can be accurately diagnosed, correctly staged and appropriately treated.</w:t>
      </w:r>
    </w:p>
    <w:p w14:paraId="4CF60A11" w14:textId="4E1232A6" w:rsidR="008603FE" w:rsidRDefault="00A52432" w:rsidP="006C7A6C">
      <w:pPr>
        <w:pStyle w:val="BoxText"/>
        <w:rPr>
          <w:rStyle w:val="normaltextrun"/>
          <w:shd w:val="clear" w:color="auto" w:fill="FFFFFF"/>
        </w:rPr>
      </w:pPr>
      <w:r>
        <w:rPr>
          <w:rStyle w:val="normaltextrun"/>
          <w:rFonts w:ascii="Tms Rmn" w:hAnsi="Tms Rmn"/>
          <w:shd w:val="clear" w:color="auto" w:fill="FFFFFF"/>
          <w:lang w:val="en-US"/>
        </w:rPr>
        <w:t xml:space="preserve">The first phase of this </w:t>
      </w:r>
      <w:r w:rsidR="00180665">
        <w:rPr>
          <w:rStyle w:val="normaltextrun"/>
          <w:rFonts w:ascii="Tms Rmn" w:hAnsi="Tms Rmn"/>
          <w:shd w:val="clear" w:color="auto" w:fill="FFFFFF"/>
          <w:lang w:val="en-US"/>
        </w:rPr>
        <w:t>P</w:t>
      </w:r>
      <w:r>
        <w:rPr>
          <w:rStyle w:val="normaltextrun"/>
          <w:rFonts w:ascii="Tms Rmn" w:hAnsi="Tms Rmn"/>
          <w:shd w:val="clear" w:color="auto" w:fill="FFFFFF"/>
          <w:lang w:val="en-US"/>
        </w:rPr>
        <w:t xml:space="preserve">roject was </w:t>
      </w:r>
      <w:r w:rsidR="00446C95">
        <w:rPr>
          <w:rStyle w:val="normaltextrun"/>
          <w:rFonts w:ascii="Tms Rmn" w:hAnsi="Tms Rmn"/>
          <w:shd w:val="clear" w:color="auto" w:fill="FFFFFF"/>
          <w:lang w:val="en-US"/>
        </w:rPr>
        <w:t xml:space="preserve">to look at </w:t>
      </w:r>
      <w:r>
        <w:rPr>
          <w:rStyle w:val="normaltextrun"/>
          <w:rFonts w:ascii="Tms Rmn" w:hAnsi="Tms Rmn"/>
          <w:shd w:val="clear" w:color="auto" w:fill="FFFFFF"/>
          <w:lang w:val="en-US"/>
        </w:rPr>
        <w:t xml:space="preserve">FDG PET/CT for initial staging of rare </w:t>
      </w:r>
      <w:r w:rsidR="00D73112">
        <w:rPr>
          <w:rStyle w:val="normaltextrun"/>
          <w:rFonts w:ascii="Tms Rmn" w:hAnsi="Tms Rmn"/>
          <w:shd w:val="clear" w:color="auto" w:fill="FFFFFF"/>
          <w:lang w:val="en-US"/>
        </w:rPr>
        <w:t>or</w:t>
      </w:r>
      <w:r>
        <w:rPr>
          <w:rStyle w:val="normaltextrun"/>
          <w:rFonts w:ascii="Tms Rmn" w:hAnsi="Tms Rmn"/>
          <w:shd w:val="clear" w:color="auto" w:fill="FFFFFF"/>
          <w:lang w:val="en-US"/>
        </w:rPr>
        <w:t xml:space="preserve"> uncommon cancer types. </w:t>
      </w:r>
      <w:r w:rsidR="008603FE">
        <w:rPr>
          <w:rStyle w:val="normaltextrun"/>
          <w:rFonts w:ascii="Tms Rmn" w:hAnsi="Tms Rmn"/>
          <w:shd w:val="clear" w:color="auto" w:fill="FFFFFF"/>
          <w:lang w:val="en-US"/>
        </w:rPr>
        <w:t xml:space="preserve">The </w:t>
      </w:r>
      <w:r w:rsidR="008603FE">
        <w:rPr>
          <w:rStyle w:val="normaltextrun"/>
          <w:shd w:val="clear" w:color="auto" w:fill="FFFFFF"/>
        </w:rPr>
        <w:t xml:space="preserve">PET Working Group of </w:t>
      </w:r>
      <w:r w:rsidR="008603FE" w:rsidRPr="008603FE">
        <w:rPr>
          <w:rStyle w:val="normaltextrun"/>
          <w:shd w:val="clear" w:color="auto" w:fill="FFFFFF"/>
        </w:rPr>
        <w:t>MSAC</w:t>
      </w:r>
      <w:r w:rsidR="008603FE">
        <w:rPr>
          <w:rStyle w:val="normaltextrun"/>
          <w:shd w:val="clear" w:color="auto" w:fill="FFFFFF"/>
        </w:rPr>
        <w:t xml:space="preserve"> </w:t>
      </w:r>
      <w:r w:rsidR="008357E7">
        <w:rPr>
          <w:rStyle w:val="normaltextrun"/>
          <w:shd w:val="clear" w:color="auto" w:fill="FFFFFF"/>
        </w:rPr>
        <w:t xml:space="preserve">helped to </w:t>
      </w:r>
      <w:r w:rsidR="008603FE">
        <w:rPr>
          <w:rStyle w:val="normaltextrun"/>
          <w:shd w:val="clear" w:color="auto" w:fill="FFFFFF"/>
        </w:rPr>
        <w:t xml:space="preserve">develop a generic economic model </w:t>
      </w:r>
      <w:r w:rsidR="00446C95">
        <w:rPr>
          <w:rStyle w:val="normaltextrun"/>
          <w:shd w:val="clear" w:color="auto" w:fill="FFFFFF"/>
        </w:rPr>
        <w:t xml:space="preserve">(GEM) </w:t>
      </w:r>
      <w:r w:rsidR="008603FE">
        <w:rPr>
          <w:rStyle w:val="normaltextrun"/>
          <w:shd w:val="clear" w:color="auto" w:fill="FFFFFF"/>
        </w:rPr>
        <w:t xml:space="preserve">to identify </w:t>
      </w:r>
      <w:r w:rsidR="008357E7">
        <w:rPr>
          <w:rStyle w:val="normaltextrun"/>
          <w:shd w:val="clear" w:color="auto" w:fill="FFFFFF"/>
        </w:rPr>
        <w:t xml:space="preserve">those </w:t>
      </w:r>
      <w:r w:rsidR="008603FE">
        <w:rPr>
          <w:rStyle w:val="normaltextrun"/>
          <w:shd w:val="clear" w:color="auto" w:fill="FFFFFF"/>
        </w:rPr>
        <w:t xml:space="preserve">cancer types likely to </w:t>
      </w:r>
      <w:r w:rsidR="008603FE" w:rsidRPr="0063195F">
        <w:rPr>
          <w:rStyle w:val="normaltextrun"/>
          <w:shd w:val="clear" w:color="auto" w:fill="FFFFFF"/>
        </w:rPr>
        <w:t>result in a significant change in management</w:t>
      </w:r>
      <w:r w:rsidR="009B61E5">
        <w:rPr>
          <w:rStyle w:val="normaltextrun"/>
          <w:shd w:val="clear" w:color="auto" w:fill="FFFFFF"/>
        </w:rPr>
        <w:t xml:space="preserve"> as a result of being </w:t>
      </w:r>
      <w:r w:rsidR="008357E7">
        <w:rPr>
          <w:rStyle w:val="normaltextrun"/>
          <w:shd w:val="clear" w:color="auto" w:fill="FFFFFF"/>
        </w:rPr>
        <w:t xml:space="preserve">more accurately staged </w:t>
      </w:r>
      <w:r w:rsidR="009B61E5">
        <w:rPr>
          <w:rStyle w:val="normaltextrun"/>
          <w:shd w:val="clear" w:color="auto" w:fill="FFFFFF"/>
        </w:rPr>
        <w:t>using FDG</w:t>
      </w:r>
      <w:r w:rsidR="00634D16">
        <w:rPr>
          <w:rStyle w:val="normaltextrun"/>
          <w:shd w:val="clear" w:color="auto" w:fill="FFFFFF"/>
        </w:rPr>
        <w:t xml:space="preserve"> </w:t>
      </w:r>
      <w:r w:rsidR="009B61E5">
        <w:rPr>
          <w:rStyle w:val="normaltextrun"/>
          <w:shd w:val="clear" w:color="auto" w:fill="FFFFFF"/>
        </w:rPr>
        <w:t>PET</w:t>
      </w:r>
      <w:r w:rsidR="00634D16">
        <w:rPr>
          <w:rStyle w:val="normaltextrun"/>
          <w:shd w:val="clear" w:color="auto" w:fill="FFFFFF"/>
        </w:rPr>
        <w:t>/CT</w:t>
      </w:r>
      <w:r w:rsidR="008603FE" w:rsidRPr="0063195F">
        <w:rPr>
          <w:rStyle w:val="normaltextrun"/>
          <w:shd w:val="clear" w:color="auto" w:fill="FFFFFF"/>
        </w:rPr>
        <w:t>.</w:t>
      </w:r>
    </w:p>
    <w:p w14:paraId="442D69A8" w14:textId="0676DD9A" w:rsidR="008603FE" w:rsidRDefault="00446C95" w:rsidP="006C7A6C">
      <w:pPr>
        <w:pStyle w:val="BoxText"/>
        <w:rPr>
          <w:rStyle w:val="normaltextrun"/>
          <w:shd w:val="clear" w:color="auto" w:fill="FFFFFF"/>
        </w:rPr>
      </w:pPr>
      <w:r w:rsidRPr="00446C95">
        <w:rPr>
          <w:rStyle w:val="normaltextrun"/>
          <w:shd w:val="clear" w:color="auto" w:fill="FFFFFF"/>
        </w:rPr>
        <w:t xml:space="preserve">The </w:t>
      </w:r>
      <w:r w:rsidR="00B55BE9">
        <w:rPr>
          <w:rStyle w:val="normaltextrun"/>
          <w:shd w:val="clear" w:color="auto" w:fill="FFFFFF"/>
        </w:rPr>
        <w:t xml:space="preserve">PET </w:t>
      </w:r>
      <w:r w:rsidRPr="00446C95">
        <w:rPr>
          <w:rStyle w:val="normaltextrun"/>
          <w:shd w:val="clear" w:color="auto" w:fill="FFFFFF"/>
        </w:rPr>
        <w:t xml:space="preserve">Working Group advised that it may be possible to extend the “triage criteria” </w:t>
      </w:r>
      <w:r>
        <w:rPr>
          <w:rStyle w:val="normaltextrun"/>
          <w:shd w:val="clear" w:color="auto" w:fill="FFFFFF"/>
        </w:rPr>
        <w:t>that</w:t>
      </w:r>
      <w:r w:rsidRPr="00446C95">
        <w:rPr>
          <w:rStyle w:val="normaltextrun"/>
          <w:shd w:val="clear" w:color="auto" w:fill="FFFFFF"/>
        </w:rPr>
        <w:t xml:space="preserve"> were developed to select cancer types </w:t>
      </w:r>
      <w:r w:rsidR="007374C6">
        <w:rPr>
          <w:rStyle w:val="normaltextrun"/>
          <w:shd w:val="clear" w:color="auto" w:fill="FFFFFF"/>
        </w:rPr>
        <w:t>to be assessed using the</w:t>
      </w:r>
      <w:r w:rsidRPr="00446C95">
        <w:rPr>
          <w:rStyle w:val="normaltextrun"/>
          <w:shd w:val="clear" w:color="auto" w:fill="FFFFFF"/>
        </w:rPr>
        <w:t xml:space="preserve"> GEM. Other rare </w:t>
      </w:r>
      <w:r w:rsidR="00D73112">
        <w:rPr>
          <w:rStyle w:val="normaltextrun"/>
          <w:shd w:val="clear" w:color="auto" w:fill="FFFFFF"/>
        </w:rPr>
        <w:t>or</w:t>
      </w:r>
      <w:r w:rsidRPr="00446C95">
        <w:rPr>
          <w:rStyle w:val="normaltextrun"/>
          <w:shd w:val="clear" w:color="auto" w:fill="FFFFFF"/>
        </w:rPr>
        <w:t xml:space="preserve"> uncommon cancer types w</w:t>
      </w:r>
      <w:r w:rsidR="008357E7">
        <w:rPr>
          <w:rStyle w:val="normaltextrun"/>
          <w:shd w:val="clear" w:color="auto" w:fill="FFFFFF"/>
        </w:rPr>
        <w:t>ere</w:t>
      </w:r>
      <w:r w:rsidRPr="00446C95">
        <w:rPr>
          <w:rStyle w:val="normaltextrun"/>
          <w:shd w:val="clear" w:color="auto" w:fill="FFFFFF"/>
        </w:rPr>
        <w:t xml:space="preserve"> then selected to assess these extended criteria with reference to the GEM. </w:t>
      </w:r>
      <w:r>
        <w:rPr>
          <w:rStyle w:val="normaltextrun"/>
          <w:shd w:val="clear" w:color="auto" w:fill="FFFFFF"/>
        </w:rPr>
        <w:t>This</w:t>
      </w:r>
      <w:r w:rsidR="008603FE" w:rsidRPr="008603FE">
        <w:rPr>
          <w:rStyle w:val="normaltextrun"/>
          <w:shd w:val="clear" w:color="auto" w:fill="FFFFFF"/>
        </w:rPr>
        <w:t xml:space="preserve"> enhanced set of criteria then bec</w:t>
      </w:r>
      <w:r w:rsidR="001135B7">
        <w:rPr>
          <w:rStyle w:val="normaltextrun"/>
          <w:shd w:val="clear" w:color="auto" w:fill="FFFFFF"/>
        </w:rPr>
        <w:t>a</w:t>
      </w:r>
      <w:r w:rsidR="008603FE" w:rsidRPr="008603FE">
        <w:rPr>
          <w:rStyle w:val="normaltextrun"/>
          <w:shd w:val="clear" w:color="auto" w:fill="FFFFFF"/>
        </w:rPr>
        <w:t xml:space="preserve">me </w:t>
      </w:r>
      <w:r w:rsidR="008357E7">
        <w:rPr>
          <w:rStyle w:val="normaltextrun"/>
          <w:shd w:val="clear" w:color="auto" w:fill="FFFFFF"/>
        </w:rPr>
        <w:t xml:space="preserve">the proposed </w:t>
      </w:r>
      <w:r w:rsidR="008603FE" w:rsidRPr="008603FE">
        <w:rPr>
          <w:rStyle w:val="normaltextrun"/>
          <w:shd w:val="clear" w:color="auto" w:fill="FFFFFF"/>
        </w:rPr>
        <w:t xml:space="preserve">qualification criteria to </w:t>
      </w:r>
      <w:r w:rsidR="008603FE" w:rsidRPr="008603FE">
        <w:rPr>
          <w:rStyle w:val="normaltextrun"/>
          <w:shd w:val="clear" w:color="auto" w:fill="FFFFFF"/>
        </w:rPr>
        <w:lastRenderedPageBreak/>
        <w:t xml:space="preserve">identify those rare </w:t>
      </w:r>
      <w:r w:rsidR="00D73112">
        <w:rPr>
          <w:rStyle w:val="normaltextrun"/>
          <w:shd w:val="clear" w:color="auto" w:fill="FFFFFF"/>
        </w:rPr>
        <w:t>or</w:t>
      </w:r>
      <w:r w:rsidR="008603FE" w:rsidRPr="008603FE">
        <w:rPr>
          <w:rStyle w:val="normaltextrun"/>
          <w:shd w:val="clear" w:color="auto" w:fill="FFFFFF"/>
        </w:rPr>
        <w:t xml:space="preserve"> uncommon cancer types for which MSAC could support funding for FDG</w:t>
      </w:r>
      <w:r w:rsidR="00634D16">
        <w:rPr>
          <w:rStyle w:val="normaltextrun"/>
          <w:shd w:val="clear" w:color="auto" w:fill="FFFFFF"/>
        </w:rPr>
        <w:t xml:space="preserve"> </w:t>
      </w:r>
      <w:r w:rsidR="008603FE" w:rsidRPr="008603FE">
        <w:rPr>
          <w:rStyle w:val="normaltextrun"/>
          <w:shd w:val="clear" w:color="auto" w:fill="FFFFFF"/>
        </w:rPr>
        <w:t>PET/CT for initial staging.</w:t>
      </w:r>
    </w:p>
    <w:p w14:paraId="15F053C4" w14:textId="7E202AA6" w:rsidR="00E60CCC" w:rsidRDefault="00E60CCC" w:rsidP="006C7A6C">
      <w:pPr>
        <w:pStyle w:val="BoxText"/>
        <w:rPr>
          <w:rStyle w:val="normaltextrun"/>
          <w:shd w:val="clear" w:color="auto" w:fill="FFFFFF"/>
        </w:rPr>
      </w:pPr>
      <w:r>
        <w:rPr>
          <w:rStyle w:val="normaltextrun"/>
          <w:shd w:val="clear" w:color="auto" w:fill="FFFFFF"/>
        </w:rPr>
        <w:t xml:space="preserve">The </w:t>
      </w:r>
      <w:r w:rsidR="00B55BE9">
        <w:rPr>
          <w:rStyle w:val="normaltextrun"/>
          <w:shd w:val="clear" w:color="auto" w:fill="FFFFFF"/>
        </w:rPr>
        <w:t xml:space="preserve">PET </w:t>
      </w:r>
      <w:r>
        <w:rPr>
          <w:rStyle w:val="normaltextrun"/>
          <w:shd w:val="clear" w:color="auto" w:fill="FFFFFF"/>
        </w:rPr>
        <w:t xml:space="preserve">Working Group </w:t>
      </w:r>
      <w:r w:rsidRPr="00E60CCC">
        <w:rPr>
          <w:rStyle w:val="normaltextrun"/>
          <w:shd w:val="clear" w:color="auto" w:fill="FFFFFF"/>
        </w:rPr>
        <w:t>applied the proposed qualification criteria to</w:t>
      </w:r>
      <w:r w:rsidR="00655C9F">
        <w:rPr>
          <w:rStyle w:val="normaltextrun"/>
          <w:shd w:val="clear" w:color="auto" w:fill="FFFFFF"/>
        </w:rPr>
        <w:t xml:space="preserve"> the </w:t>
      </w:r>
      <w:r w:rsidR="00B35FF2">
        <w:rPr>
          <w:rStyle w:val="normaltextrun"/>
          <w:shd w:val="clear" w:color="auto" w:fill="FFFFFF"/>
        </w:rPr>
        <w:t xml:space="preserve">Australian </w:t>
      </w:r>
      <w:r w:rsidR="00655C9F">
        <w:rPr>
          <w:rStyle w:val="normaltextrun"/>
          <w:shd w:val="clear" w:color="auto" w:fill="FFFFFF"/>
        </w:rPr>
        <w:t>Institute of Health and Welfare list of</w:t>
      </w:r>
      <w:r w:rsidRPr="00E60CCC">
        <w:rPr>
          <w:rStyle w:val="normaltextrun"/>
          <w:shd w:val="clear" w:color="auto" w:fill="FFFFFF"/>
        </w:rPr>
        <w:t xml:space="preserve"> rare </w:t>
      </w:r>
      <w:r w:rsidR="00D73112">
        <w:rPr>
          <w:rStyle w:val="normaltextrun"/>
          <w:shd w:val="clear" w:color="auto" w:fill="FFFFFF"/>
        </w:rPr>
        <w:t>or</w:t>
      </w:r>
      <w:r w:rsidRPr="00E60CCC">
        <w:rPr>
          <w:rStyle w:val="normaltextrun"/>
          <w:shd w:val="clear" w:color="auto" w:fill="FFFFFF"/>
        </w:rPr>
        <w:t xml:space="preserve"> uncommon cancer</w:t>
      </w:r>
      <w:r w:rsidR="008357E7">
        <w:rPr>
          <w:rStyle w:val="normaltextrun"/>
          <w:shd w:val="clear" w:color="auto" w:fill="FFFFFF"/>
        </w:rPr>
        <w:t xml:space="preserve"> type</w:t>
      </w:r>
      <w:r w:rsidRPr="00E60CCC">
        <w:rPr>
          <w:rStyle w:val="normaltextrun"/>
          <w:shd w:val="clear" w:color="auto" w:fill="FFFFFF"/>
        </w:rPr>
        <w:t>s</w:t>
      </w:r>
      <w:r w:rsidR="00655C9F">
        <w:rPr>
          <w:rStyle w:val="normaltextrun"/>
          <w:shd w:val="clear" w:color="auto" w:fill="FFFFFF"/>
        </w:rPr>
        <w:t xml:space="preserve"> </w:t>
      </w:r>
      <w:r>
        <w:rPr>
          <w:rStyle w:val="normaltextrun"/>
          <w:shd w:val="clear" w:color="auto" w:fill="FFFFFF"/>
        </w:rPr>
        <w:t xml:space="preserve">and </w:t>
      </w:r>
      <w:r w:rsidRPr="00E60CCC">
        <w:rPr>
          <w:rStyle w:val="normaltextrun"/>
          <w:shd w:val="clear" w:color="auto" w:fill="FFFFFF"/>
        </w:rPr>
        <w:t>identified 23 cancer</w:t>
      </w:r>
      <w:r w:rsidR="008357E7">
        <w:rPr>
          <w:rStyle w:val="normaltextrun"/>
          <w:shd w:val="clear" w:color="auto" w:fill="FFFFFF"/>
        </w:rPr>
        <w:t xml:space="preserve"> type</w:t>
      </w:r>
      <w:r w:rsidRPr="00E60CCC">
        <w:rPr>
          <w:rStyle w:val="normaltextrun"/>
          <w:shd w:val="clear" w:color="auto" w:fill="FFFFFF"/>
        </w:rPr>
        <w:t>s in which FDG</w:t>
      </w:r>
      <w:r w:rsidR="00634D16">
        <w:rPr>
          <w:rStyle w:val="normaltextrun"/>
          <w:shd w:val="clear" w:color="auto" w:fill="FFFFFF"/>
        </w:rPr>
        <w:t xml:space="preserve"> </w:t>
      </w:r>
      <w:r w:rsidRPr="00E60CCC">
        <w:rPr>
          <w:rStyle w:val="normaltextrun"/>
          <w:shd w:val="clear" w:color="auto" w:fill="FFFFFF"/>
        </w:rPr>
        <w:t>PET</w:t>
      </w:r>
      <w:r w:rsidR="00634D16">
        <w:rPr>
          <w:rStyle w:val="normaltextrun"/>
          <w:shd w:val="clear" w:color="auto" w:fill="FFFFFF"/>
        </w:rPr>
        <w:t>/CT</w:t>
      </w:r>
      <w:r w:rsidRPr="00E60CCC">
        <w:rPr>
          <w:rStyle w:val="normaltextrun"/>
          <w:shd w:val="clear" w:color="auto" w:fill="FFFFFF"/>
        </w:rPr>
        <w:t xml:space="preserve"> for initial staging is likely to be clinically </w:t>
      </w:r>
      <w:r w:rsidR="007374C6">
        <w:rPr>
          <w:rStyle w:val="normaltextrun"/>
          <w:shd w:val="clear" w:color="auto" w:fill="FFFFFF"/>
        </w:rPr>
        <w:t xml:space="preserve">effective </w:t>
      </w:r>
      <w:r w:rsidRPr="00E60CCC">
        <w:rPr>
          <w:rStyle w:val="normaltextrun"/>
          <w:shd w:val="clear" w:color="auto" w:fill="FFFFFF"/>
        </w:rPr>
        <w:t>and cost</w:t>
      </w:r>
      <w:r w:rsidR="007374C6">
        <w:rPr>
          <w:rStyle w:val="normaltextrun"/>
          <w:shd w:val="clear" w:color="auto" w:fill="FFFFFF"/>
        </w:rPr>
        <w:t>-</w:t>
      </w:r>
      <w:r w:rsidRPr="00E60CCC">
        <w:rPr>
          <w:rStyle w:val="normaltextrun"/>
          <w:shd w:val="clear" w:color="auto" w:fill="FFFFFF"/>
        </w:rPr>
        <w:t>effective</w:t>
      </w:r>
      <w:r>
        <w:rPr>
          <w:rStyle w:val="normaltextrun"/>
          <w:shd w:val="clear" w:color="auto" w:fill="FFFFFF"/>
        </w:rPr>
        <w:t>.</w:t>
      </w:r>
    </w:p>
    <w:p w14:paraId="636C5AC8" w14:textId="13AF73B1" w:rsidR="0063195F" w:rsidRPr="0063195F" w:rsidRDefault="0063195F" w:rsidP="006C7A6C">
      <w:pPr>
        <w:pStyle w:val="BoxText"/>
        <w:keepNext/>
        <w:rPr>
          <w:rStyle w:val="normaltextrun"/>
          <w:b/>
          <w:bCs/>
          <w:shd w:val="clear" w:color="auto" w:fill="FFFFFF"/>
        </w:rPr>
      </w:pPr>
      <w:r w:rsidRPr="0063195F">
        <w:rPr>
          <w:rStyle w:val="normaltextrun"/>
          <w:b/>
          <w:bCs/>
          <w:shd w:val="clear" w:color="auto" w:fill="FFFFFF"/>
        </w:rPr>
        <w:t>MSAC’s recommendation to the Commonwealth Health Minister</w:t>
      </w:r>
    </w:p>
    <w:p w14:paraId="05CCB861" w14:textId="3311291A" w:rsidR="0063195F" w:rsidRDefault="0063195F" w:rsidP="006C7A6C">
      <w:pPr>
        <w:pStyle w:val="BoxText"/>
        <w:rPr>
          <w:rStyle w:val="normaltextrun"/>
          <w:shd w:val="clear" w:color="auto" w:fill="FFFFFF"/>
        </w:rPr>
      </w:pPr>
      <w:r w:rsidRPr="0063195F">
        <w:rPr>
          <w:rStyle w:val="normaltextrun"/>
          <w:shd w:val="clear" w:color="auto" w:fill="FFFFFF"/>
        </w:rPr>
        <w:t xml:space="preserve">MSAC supported the creation of a new Medicare Benefits Schedule (MBS) item for initial staging by fluorodeoxyglucose positron emission tomography (FDG-PET) of rare </w:t>
      </w:r>
      <w:r w:rsidR="00D73112">
        <w:rPr>
          <w:rStyle w:val="normaltextrun"/>
          <w:shd w:val="clear" w:color="auto" w:fill="FFFFFF"/>
        </w:rPr>
        <w:t>or</w:t>
      </w:r>
      <w:r w:rsidRPr="0063195F">
        <w:rPr>
          <w:rStyle w:val="normaltextrun"/>
          <w:shd w:val="clear" w:color="auto" w:fill="FFFFFF"/>
        </w:rPr>
        <w:t xml:space="preserve"> uncommon cancer types </w:t>
      </w:r>
      <w:r>
        <w:rPr>
          <w:rStyle w:val="normaltextrun"/>
          <w:shd w:val="clear" w:color="auto" w:fill="FFFFFF"/>
        </w:rPr>
        <w:t>that meet</w:t>
      </w:r>
      <w:r w:rsidRPr="0063195F">
        <w:rPr>
          <w:rStyle w:val="normaltextrun"/>
          <w:shd w:val="clear" w:color="auto" w:fill="FFFFFF"/>
        </w:rPr>
        <w:t xml:space="preserve"> certain qualification criteria.</w:t>
      </w:r>
    </w:p>
    <w:p w14:paraId="33233929" w14:textId="34629B98" w:rsidR="00FC1FD4" w:rsidRPr="006C7A6C" w:rsidRDefault="0063195F" w:rsidP="006C7A6C">
      <w:pPr>
        <w:pStyle w:val="BoxText"/>
        <w:rPr>
          <w:iCs/>
          <w:szCs w:val="28"/>
        </w:rPr>
      </w:pPr>
      <w:r w:rsidRPr="0063195F">
        <w:rPr>
          <w:rStyle w:val="normaltextrun"/>
          <w:shd w:val="clear" w:color="auto" w:fill="FFFFFF"/>
        </w:rPr>
        <w:t>MSAC accepted that the</w:t>
      </w:r>
      <w:r w:rsidR="008357E7">
        <w:rPr>
          <w:rStyle w:val="normaltextrun"/>
          <w:shd w:val="clear" w:color="auto" w:fill="FFFFFF"/>
        </w:rPr>
        <w:t>se</w:t>
      </w:r>
      <w:r w:rsidRPr="0063195F">
        <w:rPr>
          <w:rStyle w:val="normaltextrun"/>
          <w:shd w:val="clear" w:color="auto" w:fill="FFFFFF"/>
        </w:rPr>
        <w:t xml:space="preserve"> qualification criteria had been validated through the development of a generic economic model. MSAC also acknowledged the budget impact of limiting the MBS item to the eligible cancer types.</w:t>
      </w:r>
    </w:p>
    <w:p w14:paraId="6954B24F" w14:textId="77777777" w:rsidR="00FC1FD4" w:rsidRDefault="00FC1FD4" w:rsidP="00FC1FD4">
      <w:pPr>
        <w:pStyle w:val="Heading2"/>
      </w:pPr>
      <w:r w:rsidRPr="00972B87">
        <w:t>Summary of consideration and rationale for MSAC’s advice</w:t>
      </w:r>
    </w:p>
    <w:p w14:paraId="6FE711B5" w14:textId="45F7E531" w:rsidR="00A83287" w:rsidRDefault="00A83287" w:rsidP="00A83287">
      <w:r>
        <w:t xml:space="preserve">MSAC noted that the current extent of </w:t>
      </w:r>
      <w:r w:rsidRPr="00C128A1">
        <w:t>Medicare Benefits Schedule</w:t>
      </w:r>
      <w:r>
        <w:t xml:space="preserve"> (MBS) funding for positron emission tomography/computed tomography (PET/CT) use is relatively small compared to the current extent of clinically accepted use. As part of the MBS Review, the Diagnostic Imaging Clinical Committee recommended use of four clinically based, cancer-agnostic indications for MBS funding of </w:t>
      </w:r>
      <w:r>
        <w:rPr>
          <w:lang w:eastAsia="en-US"/>
        </w:rPr>
        <w:t>fluorodeoxyglucose positron (</w:t>
      </w:r>
      <w:r>
        <w:t>FDG) PET/CT: diagnosis, staging, response assessment, and re-staging for suspected residual or recurrent cancer.</w:t>
      </w:r>
      <w:r w:rsidRPr="00103BB7">
        <w:t xml:space="preserve"> </w:t>
      </w:r>
      <w:r>
        <w:t xml:space="preserve">The PET </w:t>
      </w:r>
      <w:r w:rsidR="00180665">
        <w:t>P</w:t>
      </w:r>
      <w:r>
        <w:t xml:space="preserve">roject was initiated in recognition of the limited resources and availability of relevant evidence to conduct conventional </w:t>
      </w:r>
      <w:r>
        <w:rPr>
          <w:lang w:eastAsia="en-US"/>
        </w:rPr>
        <w:t>health technology assessments</w:t>
      </w:r>
      <w:r>
        <w:t xml:space="preserve"> to evaluate FDG PET/CT across all cancer types and across all purposes. The initial focus of the </w:t>
      </w:r>
      <w:r w:rsidR="00180665">
        <w:t>P</w:t>
      </w:r>
      <w:r>
        <w:t xml:space="preserve">roject was </w:t>
      </w:r>
      <w:r w:rsidR="00B866B3">
        <w:t>initial staging of</w:t>
      </w:r>
      <w:r>
        <w:t xml:space="preserve"> rare or uncommon cancer</w:t>
      </w:r>
      <w:r w:rsidR="00D73112">
        <w:t xml:space="preserve"> type</w:t>
      </w:r>
      <w:r>
        <w:t>s, which collectively account for 30% of new cancer diagnoses, and for which an initial set of five eligibility criteria were established to triage the cancer types to be assessed.</w:t>
      </w:r>
    </w:p>
    <w:p w14:paraId="71386C22" w14:textId="1A858848" w:rsidR="002C3B0C" w:rsidRDefault="002C3B0C" w:rsidP="00FC1FD4">
      <w:pPr>
        <w:pStyle w:val="NormalBeforeBullet"/>
      </w:pPr>
      <w:r>
        <w:t>MSAC recalled the outcomes from the July 2021 MSAC meeting:</w:t>
      </w:r>
    </w:p>
    <w:p w14:paraId="5F521B95" w14:textId="28710C5F" w:rsidR="002C3B0C" w:rsidRDefault="002C3B0C" w:rsidP="00804760">
      <w:pPr>
        <w:pStyle w:val="Bullet"/>
        <w:ind w:left="720"/>
      </w:pPr>
      <w:r>
        <w:t xml:space="preserve">The decision to truncate the time horizon of the </w:t>
      </w:r>
      <w:r w:rsidR="00180665">
        <w:t>generic economic m</w:t>
      </w:r>
      <w:r>
        <w:t>odel (GEM) to 12 months was necessary to reduce modelling complexity, but it reduced the capacity of the model to fully capture net health gains attributable to changes in treatment options</w:t>
      </w:r>
      <w:r w:rsidR="00680FA9">
        <w:t>.</w:t>
      </w:r>
    </w:p>
    <w:p w14:paraId="4C3E0E8C" w14:textId="74E937B9" w:rsidR="002C3B0C" w:rsidRDefault="002C3B0C" w:rsidP="00804760">
      <w:pPr>
        <w:pStyle w:val="Bullet"/>
        <w:ind w:left="720"/>
      </w:pPr>
      <w:r>
        <w:t xml:space="preserve">For the </w:t>
      </w:r>
      <w:r w:rsidR="00AA3F0B">
        <w:t>seven</w:t>
      </w:r>
      <w:r>
        <w:t xml:space="preserve"> cancer</w:t>
      </w:r>
      <w:r w:rsidR="00D73112">
        <w:t xml:space="preserve"> type</w:t>
      </w:r>
      <w:r>
        <w:t xml:space="preserve">s explored with the GEM, MSAC accepted ESC’s advice to interpret the </w:t>
      </w:r>
      <w:r w:rsidR="00B866B3">
        <w:t>incremental cost per i</w:t>
      </w:r>
      <w:r>
        <w:t xml:space="preserve">mproved treatment allocation </w:t>
      </w:r>
      <w:r w:rsidR="00B866B3">
        <w:t xml:space="preserve">decision </w:t>
      </w:r>
      <w:r>
        <w:t xml:space="preserve">alongside the 12-month </w:t>
      </w:r>
      <w:r w:rsidR="00B866B3">
        <w:t xml:space="preserve">incremental </w:t>
      </w:r>
      <w:r w:rsidR="00680FA9">
        <w:t>c</w:t>
      </w:r>
      <w:r>
        <w:t>ost</w:t>
      </w:r>
      <w:r w:rsidR="00680FA9">
        <w:t xml:space="preserve"> per quality-adjusted life year (</w:t>
      </w:r>
      <w:r>
        <w:t>QALY</w:t>
      </w:r>
      <w:r w:rsidR="00680FA9">
        <w:t>).</w:t>
      </w:r>
    </w:p>
    <w:p w14:paraId="34C470AA" w14:textId="522073DF" w:rsidR="002C3B0C" w:rsidRDefault="002C3B0C" w:rsidP="00804760">
      <w:pPr>
        <w:pStyle w:val="Bullet"/>
        <w:ind w:left="720"/>
      </w:pPr>
      <w:r>
        <w:t xml:space="preserve">More work </w:t>
      </w:r>
      <w:r w:rsidR="00B866B3">
        <w:t>wa</w:t>
      </w:r>
      <w:r>
        <w:t>s required to understand (qualitatively) the drivers of the GEM, such as life expectancy without improved treatment and life expectancy gained with improved treatment.</w:t>
      </w:r>
    </w:p>
    <w:p w14:paraId="17151D79" w14:textId="420A2181" w:rsidR="007E1A4D" w:rsidRDefault="002C3B0C" w:rsidP="00804760">
      <w:pPr>
        <w:pStyle w:val="Bullet"/>
        <w:ind w:left="720"/>
      </w:pPr>
      <w:r>
        <w:t xml:space="preserve">More clarity on the interrelationships between the model drivers should allow the elucidation of </w:t>
      </w:r>
      <w:r w:rsidR="00AA3F0B">
        <w:t>q</w:t>
      </w:r>
      <w:r>
        <w:t>ualification criteria that would discriminate between cost-effective and cost-ineffective uses of FDG</w:t>
      </w:r>
      <w:r w:rsidR="00634D16">
        <w:t xml:space="preserve"> </w:t>
      </w:r>
      <w:r>
        <w:t>PET</w:t>
      </w:r>
      <w:r w:rsidR="00634D16">
        <w:t>/CT</w:t>
      </w:r>
      <w:r>
        <w:t xml:space="preserve"> for initial staging</w:t>
      </w:r>
      <w:r w:rsidR="007E1A4D">
        <w:t>.</w:t>
      </w:r>
    </w:p>
    <w:p w14:paraId="729E353A" w14:textId="0B251DFB" w:rsidR="007E1A4D" w:rsidRDefault="009F11F0" w:rsidP="00FC1FD4">
      <w:pPr>
        <w:pStyle w:val="NormalBeforeBullet"/>
      </w:pPr>
      <w:r>
        <w:t xml:space="preserve">As a result of the </w:t>
      </w:r>
      <w:r w:rsidR="007E1A4D">
        <w:t xml:space="preserve">July 2021 </w:t>
      </w:r>
      <w:r w:rsidR="007E1A4D" w:rsidRPr="007E1A4D">
        <w:t>MSAC</w:t>
      </w:r>
      <w:r>
        <w:t xml:space="preserve"> meeting, MSAC noted that the PET </w:t>
      </w:r>
      <w:r w:rsidR="00680FA9">
        <w:t>Working Group</w:t>
      </w:r>
      <w:r w:rsidR="007E1A4D">
        <w:t>:</w:t>
      </w:r>
    </w:p>
    <w:p w14:paraId="075262FA" w14:textId="319B5771" w:rsidR="009F11F0" w:rsidRDefault="009F11F0" w:rsidP="00804760">
      <w:pPr>
        <w:pStyle w:val="Bullet"/>
        <w:ind w:left="720"/>
      </w:pPr>
      <w:r>
        <w:t xml:space="preserve">explored ways to extend the original </w:t>
      </w:r>
      <w:r w:rsidR="00680FA9">
        <w:t>“</w:t>
      </w:r>
      <w:r>
        <w:t>triage criteria</w:t>
      </w:r>
      <w:r w:rsidR="00680FA9">
        <w:t>”</w:t>
      </w:r>
      <w:r>
        <w:t xml:space="preserve"> </w:t>
      </w:r>
      <w:r w:rsidR="001135B7">
        <w:t>to</w:t>
      </w:r>
      <w:r>
        <w:t xml:space="preserve"> develop </w:t>
      </w:r>
      <w:r w:rsidR="00680FA9">
        <w:t>“</w:t>
      </w:r>
      <w:r>
        <w:t>qualification criteria</w:t>
      </w:r>
      <w:r w:rsidR="00680FA9">
        <w:t>”,</w:t>
      </w:r>
      <w:r>
        <w:t xml:space="preserve"> including a definition of management change that is identical to that used in previous MSAC Reviews that supported MBS funding </w:t>
      </w:r>
      <w:r w:rsidR="00B866B3">
        <w:t>of FDG</w:t>
      </w:r>
      <w:r w:rsidR="00165898">
        <w:t>-</w:t>
      </w:r>
      <w:r w:rsidR="00B866B3">
        <w:t xml:space="preserve">PET </w:t>
      </w:r>
      <w:r>
        <w:t xml:space="preserve">for colorectal, </w:t>
      </w:r>
      <w:r>
        <w:lastRenderedPageBreak/>
        <w:t>head and neck, ovarian, and oesophagogastric cancer, and for melanoma, sarcoma, and lymphoma</w:t>
      </w:r>
    </w:p>
    <w:p w14:paraId="1C7FC157" w14:textId="04FA8DCA" w:rsidR="009F11F0" w:rsidRDefault="009F11F0" w:rsidP="00804760">
      <w:pPr>
        <w:pStyle w:val="Bullet"/>
        <w:ind w:left="720"/>
      </w:pPr>
      <w:r>
        <w:t xml:space="preserve">applied the proposed qualification criteria to </w:t>
      </w:r>
      <w:r w:rsidR="00655C9F">
        <w:t xml:space="preserve">the 36 </w:t>
      </w:r>
      <w:r>
        <w:t xml:space="preserve">rare </w:t>
      </w:r>
      <w:r w:rsidR="00D73112">
        <w:t>or</w:t>
      </w:r>
      <w:r>
        <w:t xml:space="preserve"> uncommon cancer</w:t>
      </w:r>
      <w:r w:rsidR="00D73112">
        <w:t xml:space="preserve"> type</w:t>
      </w:r>
      <w:r>
        <w:t xml:space="preserve">s listed by </w:t>
      </w:r>
      <w:r w:rsidR="00680FA9">
        <w:t>the Australian Institute of Health and Welfare (</w:t>
      </w:r>
      <w:r>
        <w:t>incl</w:t>
      </w:r>
      <w:r w:rsidR="007E1A4D">
        <w:t>uding the five</w:t>
      </w:r>
      <w:r>
        <w:t xml:space="preserve"> case studies </w:t>
      </w:r>
      <w:r w:rsidR="007E1A4D">
        <w:t>originally explored</w:t>
      </w:r>
      <w:r>
        <w:t>)</w:t>
      </w:r>
    </w:p>
    <w:p w14:paraId="31A85F91" w14:textId="1B1E3D2D" w:rsidR="009F11F0" w:rsidRDefault="009F11F0" w:rsidP="00804760">
      <w:pPr>
        <w:pStyle w:val="Bullet"/>
        <w:ind w:left="720"/>
      </w:pPr>
      <w:r>
        <w:t>identified 23 cancer</w:t>
      </w:r>
      <w:r w:rsidR="00B866B3">
        <w:t xml:space="preserve"> type</w:t>
      </w:r>
      <w:r>
        <w:t>s (incl</w:t>
      </w:r>
      <w:r w:rsidR="007E1A4D">
        <w:t xml:space="preserve">uding </w:t>
      </w:r>
      <w:r w:rsidR="001135B7">
        <w:t xml:space="preserve">those used for </w:t>
      </w:r>
      <w:r w:rsidR="007E1A4D">
        <w:t>the five</w:t>
      </w:r>
      <w:r>
        <w:t xml:space="preserve"> case studies) in which FDG</w:t>
      </w:r>
      <w:r w:rsidR="00634D16">
        <w:t xml:space="preserve"> </w:t>
      </w:r>
      <w:r>
        <w:t>PET</w:t>
      </w:r>
      <w:r w:rsidR="00634D16">
        <w:t>/CT</w:t>
      </w:r>
      <w:r>
        <w:t xml:space="preserve"> for initial staging is likely to be clinically </w:t>
      </w:r>
      <w:r w:rsidR="00680FA9">
        <w:t xml:space="preserve">effective </w:t>
      </w:r>
      <w:r>
        <w:t>and cost</w:t>
      </w:r>
      <w:r w:rsidR="00680FA9">
        <w:t>-</w:t>
      </w:r>
      <w:r>
        <w:t>effective</w:t>
      </w:r>
      <w:r w:rsidR="007E1A4D">
        <w:t>.</w:t>
      </w:r>
    </w:p>
    <w:p w14:paraId="77B125C5" w14:textId="1744C834" w:rsidR="0004628B" w:rsidRDefault="000036DD" w:rsidP="007E1A4D">
      <w:r>
        <w:t>MSAC noted that</w:t>
      </w:r>
      <w:r w:rsidR="007E1A4D">
        <w:t xml:space="preserve"> it had been requested to advise on </w:t>
      </w:r>
      <w:r w:rsidR="00AA3F0B">
        <w:t>whether</w:t>
      </w:r>
      <w:r w:rsidR="007E1A4D">
        <w:t xml:space="preserve"> </w:t>
      </w:r>
      <w:r>
        <w:t xml:space="preserve">the </w:t>
      </w:r>
      <w:r w:rsidR="007E1A4D">
        <w:t>proposed qualification c</w:t>
      </w:r>
      <w:r w:rsidR="0004628B">
        <w:t xml:space="preserve">riteria </w:t>
      </w:r>
      <w:r w:rsidR="007E1A4D">
        <w:t xml:space="preserve">are </w:t>
      </w:r>
      <w:r w:rsidR="0004628B">
        <w:t>acceptable</w:t>
      </w:r>
      <w:r w:rsidR="007E1A4D">
        <w:t xml:space="preserve"> and </w:t>
      </w:r>
      <w:r w:rsidR="00B866B3">
        <w:t xml:space="preserve">to </w:t>
      </w:r>
      <w:r w:rsidR="007E1A4D">
        <w:t xml:space="preserve">determine the next phase of the </w:t>
      </w:r>
      <w:r w:rsidR="00180665">
        <w:t>P</w:t>
      </w:r>
      <w:r w:rsidR="007E1A4D">
        <w:t>roject.</w:t>
      </w:r>
    </w:p>
    <w:p w14:paraId="0681BC45" w14:textId="5A3C18BA" w:rsidR="00B442AB" w:rsidRDefault="00B442AB" w:rsidP="00B442AB">
      <w:pPr>
        <w:pStyle w:val="NormalBeforeBullet"/>
      </w:pPr>
      <w:r w:rsidRPr="00F07B0E">
        <w:t xml:space="preserve">MSAC </w:t>
      </w:r>
      <w:r>
        <w:t xml:space="preserve">accepted the proposed qualification criteria, with minor amendments (deleted text marked as strikethrough and additional text in </w:t>
      </w:r>
      <w:r w:rsidR="006C7A6C">
        <w:t>bolded italics</w:t>
      </w:r>
      <w:r>
        <w:t>):</w:t>
      </w:r>
    </w:p>
    <w:p w14:paraId="3A2054F8" w14:textId="1430DE90" w:rsidR="00B442AB" w:rsidRDefault="00B442AB" w:rsidP="00804760">
      <w:pPr>
        <w:pStyle w:val="Bullet"/>
        <w:ind w:left="720"/>
      </w:pPr>
      <w:r>
        <w:t xml:space="preserve">the cancer type is </w:t>
      </w:r>
      <w:r w:rsidRPr="008825AE">
        <w:rPr>
          <w:strike/>
        </w:rPr>
        <w:t>typically</w:t>
      </w:r>
      <w:r w:rsidRPr="00A0793E">
        <w:t xml:space="preserve"> </w:t>
      </w:r>
      <w:r w:rsidRPr="006C7A6C">
        <w:rPr>
          <w:b/>
          <w:bCs/>
          <w:i/>
          <w:iCs/>
          <w:color w:val="auto"/>
        </w:rPr>
        <w:t>normally expected to be</w:t>
      </w:r>
      <w:r w:rsidRPr="006C7A6C">
        <w:rPr>
          <w:color w:val="auto"/>
        </w:rPr>
        <w:t xml:space="preserve"> </w:t>
      </w:r>
      <w:r w:rsidRPr="008825AE">
        <w:rPr>
          <w:vertAlign w:val="superscript"/>
        </w:rPr>
        <w:t>18</w:t>
      </w:r>
      <w:r>
        <w:t>FDG-avid;</w:t>
      </w:r>
    </w:p>
    <w:p w14:paraId="056886E3" w14:textId="31D6F3EF" w:rsidR="00B442AB" w:rsidRDefault="00B442AB" w:rsidP="00804760">
      <w:pPr>
        <w:pStyle w:val="Bullet"/>
        <w:ind w:left="720"/>
      </w:pPr>
      <w:r>
        <w:t>the annual incidence of the cancer type meets the definition of rare or uncommon (&lt;12 per 100,000 person-years);</w:t>
      </w:r>
    </w:p>
    <w:p w14:paraId="160B6F4F" w14:textId="12606A50" w:rsidR="00B442AB" w:rsidRDefault="00B442AB" w:rsidP="00804760">
      <w:pPr>
        <w:pStyle w:val="Bullet"/>
        <w:ind w:left="720"/>
      </w:pPr>
      <w:r>
        <w:t>there are different clinical treatment options available</w:t>
      </w:r>
      <w:r w:rsidR="00B37161">
        <w:t xml:space="preserve"> for that cancer type</w:t>
      </w:r>
      <w:r>
        <w:t>, the selection of which is affected by whether the initial staging with FDG PET/CT has identified either distant metastases or evidence of the cancer in regional lymph nodes;</w:t>
      </w:r>
    </w:p>
    <w:p w14:paraId="4FB9F00E" w14:textId="64B2734D" w:rsidR="00B442AB" w:rsidRDefault="00B442AB" w:rsidP="00804760">
      <w:pPr>
        <w:pStyle w:val="Bullet"/>
        <w:ind w:left="720"/>
      </w:pPr>
      <w:r>
        <w:t>there</w:t>
      </w:r>
      <w:r w:rsidR="006C7A6C">
        <w:t xml:space="preserve"> is</w:t>
      </w:r>
      <w:r>
        <w:t xml:space="preserve"> </w:t>
      </w:r>
      <w:r w:rsidRPr="008825AE">
        <w:rPr>
          <w:strike/>
        </w:rPr>
        <w:t>a sufficient</w:t>
      </w:r>
      <w:r w:rsidR="006C7A6C">
        <w:rPr>
          <w:strike/>
        </w:rPr>
        <w:t xml:space="preserve"> proportio</w:t>
      </w:r>
      <w:r w:rsidR="00B37161">
        <w:rPr>
          <w:strike/>
        </w:rPr>
        <w:t>n</w:t>
      </w:r>
      <w:r>
        <w:t xml:space="preserve"> </w:t>
      </w:r>
      <w:r w:rsidRPr="00B37161">
        <w:rPr>
          <w:b/>
          <w:bCs/>
          <w:i/>
          <w:iCs/>
          <w:color w:val="auto"/>
        </w:rPr>
        <w:t>at least 10%</w:t>
      </w:r>
      <w:r w:rsidRPr="00B37161">
        <w:rPr>
          <w:color w:val="auto"/>
        </w:rPr>
        <w:t xml:space="preserve"> of patients </w:t>
      </w:r>
      <w:r w:rsidR="00A0793E">
        <w:rPr>
          <w:color w:val="auto"/>
        </w:rPr>
        <w:t xml:space="preserve">with </w:t>
      </w:r>
      <w:r w:rsidR="00B37161">
        <w:rPr>
          <w:color w:val="auto"/>
        </w:rPr>
        <w:t xml:space="preserve">that </w:t>
      </w:r>
      <w:r w:rsidRPr="00B37161">
        <w:rPr>
          <w:color w:val="auto"/>
        </w:rPr>
        <w:t>cancer</w:t>
      </w:r>
      <w:r w:rsidR="00D73112" w:rsidRPr="00B37161">
        <w:rPr>
          <w:color w:val="auto"/>
        </w:rPr>
        <w:t xml:space="preserve"> type</w:t>
      </w:r>
      <w:r w:rsidRPr="00B37161">
        <w:rPr>
          <w:color w:val="auto"/>
        </w:rPr>
        <w:t xml:space="preserve"> </w:t>
      </w:r>
      <w:r w:rsidR="00A0793E">
        <w:rPr>
          <w:color w:val="auto"/>
        </w:rPr>
        <w:t xml:space="preserve">for whom the </w:t>
      </w:r>
      <w:r w:rsidR="00A0793E">
        <w:t xml:space="preserve">initial staging </w:t>
      </w:r>
      <w:r w:rsidR="00A0793E">
        <w:rPr>
          <w:color w:val="auto"/>
        </w:rPr>
        <w:t xml:space="preserve">FDG PET/CT result will inform a significant </w:t>
      </w:r>
      <w:r>
        <w:t>change in clinical management;</w:t>
      </w:r>
    </w:p>
    <w:p w14:paraId="2B3B386E" w14:textId="77777777" w:rsidR="00B442AB" w:rsidRDefault="00B442AB" w:rsidP="00804760">
      <w:pPr>
        <w:pStyle w:val="Bullet"/>
        <w:ind w:left="720"/>
      </w:pPr>
      <w:r>
        <w:t>there is clear basis to conclude that the resulting change in the clinical management would be characterised as</w:t>
      </w:r>
    </w:p>
    <w:p w14:paraId="19F0AAA8" w14:textId="77777777" w:rsidR="00B442AB" w:rsidRPr="00B37161" w:rsidRDefault="00B442AB" w:rsidP="00DF3B91">
      <w:pPr>
        <w:pStyle w:val="ListParagraph"/>
        <w:numPr>
          <w:ilvl w:val="1"/>
          <w:numId w:val="8"/>
        </w:numPr>
      </w:pPr>
      <w:r>
        <w:t xml:space="preserve">improving the net health outcomes for the patients receiving the change in management to a </w:t>
      </w:r>
      <w:r w:rsidRPr="00B37161">
        <w:rPr>
          <w:i/>
          <w:iCs/>
        </w:rPr>
        <w:t>sufficient</w:t>
      </w:r>
      <w:r w:rsidRPr="00B37161">
        <w:t xml:space="preserve"> extent; OR</w:t>
      </w:r>
    </w:p>
    <w:p w14:paraId="40CFA894" w14:textId="77777777" w:rsidR="00B442AB" w:rsidRPr="00B37161" w:rsidRDefault="00B442AB" w:rsidP="00DF3B91">
      <w:pPr>
        <w:pStyle w:val="ListParagraph"/>
        <w:numPr>
          <w:ilvl w:val="1"/>
          <w:numId w:val="8"/>
        </w:numPr>
      </w:pPr>
      <w:r w:rsidRPr="00B37161">
        <w:t xml:space="preserve">reducing the costs of related healthcare resources to a </w:t>
      </w:r>
      <w:r w:rsidRPr="00B37161">
        <w:rPr>
          <w:i/>
          <w:iCs/>
        </w:rPr>
        <w:t>sufficient</w:t>
      </w:r>
      <w:r w:rsidRPr="00B37161">
        <w:t xml:space="preserve"> extent (up to and including generating net healthcare resource savings); OR</w:t>
      </w:r>
    </w:p>
    <w:p w14:paraId="7982FC6B" w14:textId="77777777" w:rsidR="00B442AB" w:rsidRPr="00B37161" w:rsidRDefault="00B442AB" w:rsidP="00DF3B91">
      <w:pPr>
        <w:pStyle w:val="ListParagraph"/>
        <w:numPr>
          <w:ilvl w:val="1"/>
          <w:numId w:val="8"/>
        </w:numPr>
      </w:pPr>
      <w:r w:rsidRPr="00B37161">
        <w:t xml:space="preserve">both improving the net health outcomes for the patients receiving the change in management and reducing the costs of related healthcare resources to a </w:t>
      </w:r>
      <w:r w:rsidRPr="00B37161">
        <w:rPr>
          <w:i/>
          <w:iCs/>
        </w:rPr>
        <w:t>sufficient</w:t>
      </w:r>
      <w:r w:rsidRPr="00B37161">
        <w:t xml:space="preserve"> extent.</w:t>
      </w:r>
    </w:p>
    <w:p w14:paraId="311AA017" w14:textId="1F334E8C" w:rsidR="00B442AB" w:rsidRDefault="00B442AB" w:rsidP="00B442AB">
      <w:r w:rsidRPr="008825AE">
        <w:t>MSAC</w:t>
      </w:r>
      <w:r>
        <w:t xml:space="preserve"> questioned whether “sufficient” in the</w:t>
      </w:r>
      <w:r w:rsidRPr="00680FA9">
        <w:t xml:space="preserve"> 5</w:t>
      </w:r>
      <w:r w:rsidRPr="00FC1FD4">
        <w:t>th</w:t>
      </w:r>
      <w:r>
        <w:t xml:space="preserve"> dot point (highlighted</w:t>
      </w:r>
      <w:r w:rsidR="00B37161">
        <w:t xml:space="preserve"> in italics</w:t>
      </w:r>
      <w:r>
        <w:t>) is the most appropriate word, or whether it needed to be more specific.</w:t>
      </w:r>
    </w:p>
    <w:p w14:paraId="657C58B6" w14:textId="191867F2" w:rsidR="00B442AB" w:rsidRDefault="00B442AB" w:rsidP="00B442AB">
      <w:r w:rsidRPr="00545802">
        <w:t>MSAC</w:t>
      </w:r>
      <w:r>
        <w:t xml:space="preserve"> questioned if initial staging should occur at the beginning of a patient’s clinical management pathway or if it should be reserved for a later point. </w:t>
      </w:r>
      <w:r w:rsidRPr="00545802">
        <w:t>MSAC</w:t>
      </w:r>
      <w:r>
        <w:t xml:space="preserve"> decided to leave the wording of the descriptor as “initial staging” of eligible cancer</w:t>
      </w:r>
      <w:r w:rsidR="00027EFB">
        <w:t xml:space="preserve"> type</w:t>
      </w:r>
      <w:r>
        <w:t>s, rather than adding in “newly diagnosed” to</w:t>
      </w:r>
      <w:r w:rsidR="003846E8">
        <w:t xml:space="preserve"> provide flexibility in timing</w:t>
      </w:r>
      <w:r>
        <w:t xml:space="preserve">. </w:t>
      </w:r>
      <w:r w:rsidRPr="00545802">
        <w:t>MSAC</w:t>
      </w:r>
      <w:r>
        <w:t xml:space="preserve"> acknowledged that, for some cancer</w:t>
      </w:r>
      <w:r w:rsidR="00027EFB">
        <w:t xml:space="preserve"> type</w:t>
      </w:r>
      <w:r>
        <w:t xml:space="preserve">s, the initial staging might be better done later in the course of treatment. It would be up to requester when in the patient pathway to perform FDG PET/CT. </w:t>
      </w:r>
      <w:r w:rsidRPr="00E875A8">
        <w:t>MSAC</w:t>
      </w:r>
      <w:r w:rsidR="003846E8">
        <w:t xml:space="preserve"> questioned whether removing “newly</w:t>
      </w:r>
      <w:r>
        <w:t xml:space="preserve"> </w:t>
      </w:r>
      <w:r w:rsidR="003846E8">
        <w:t>diagnosed</w:t>
      </w:r>
      <w:r w:rsidR="001135B7">
        <w:t>”</w:t>
      </w:r>
      <w:r w:rsidR="003846E8">
        <w:t xml:space="preserve"> might risk initial staging being misinterpreted as allowing restaging, but was reassured</w:t>
      </w:r>
      <w:r>
        <w:t xml:space="preserve"> that the proposed item descriptor is limited to once per cancer diagnosis.</w:t>
      </w:r>
    </w:p>
    <w:p w14:paraId="6E642D75" w14:textId="624870E3" w:rsidR="00B442AB" w:rsidRDefault="00B442AB" w:rsidP="00B442AB">
      <w:r w:rsidRPr="00E875A8">
        <w:t>MSAC</w:t>
      </w:r>
      <w:r>
        <w:t xml:space="preserve"> </w:t>
      </w:r>
      <w:r w:rsidR="003846E8">
        <w:t xml:space="preserve">considered </w:t>
      </w:r>
      <w:r>
        <w:t xml:space="preserve">that “at least 10%” </w:t>
      </w:r>
      <w:r w:rsidR="003846E8">
        <w:t xml:space="preserve">expectation of a change in clinical management </w:t>
      </w:r>
      <w:r>
        <w:t xml:space="preserve">is reasonable and </w:t>
      </w:r>
      <w:r w:rsidR="003846E8">
        <w:t xml:space="preserve">noted </w:t>
      </w:r>
      <w:r>
        <w:t xml:space="preserve">that the oncologists consulted </w:t>
      </w:r>
      <w:r w:rsidR="003846E8">
        <w:t xml:space="preserve">had advised </w:t>
      </w:r>
      <w:r>
        <w:t xml:space="preserve">that it is unlikely less than 10% </w:t>
      </w:r>
      <w:r w:rsidR="003846E8">
        <w:t xml:space="preserve">of patients with an eligible cancer type would experience a </w:t>
      </w:r>
      <w:r>
        <w:t>treatment change.</w:t>
      </w:r>
      <w:r w:rsidRPr="009D1117">
        <w:t xml:space="preserve"> </w:t>
      </w:r>
      <w:r w:rsidRPr="001E3282">
        <w:t>MSAC</w:t>
      </w:r>
      <w:r>
        <w:t xml:space="preserve"> </w:t>
      </w:r>
      <w:r>
        <w:lastRenderedPageBreak/>
        <w:t>noted that t</w:t>
      </w:r>
      <w:r w:rsidRPr="009D1117">
        <w:t>he PET Working Group, wh</w:t>
      </w:r>
      <w:r w:rsidR="003846E8">
        <w:t>ich had</w:t>
      </w:r>
      <w:r w:rsidRPr="009D1117">
        <w:t xml:space="preserve"> sought expert oncological opinion on these </w:t>
      </w:r>
      <w:r w:rsidR="003846E8">
        <w:t>estimates</w:t>
      </w:r>
      <w:r w:rsidRPr="009D1117">
        <w:t>, note</w:t>
      </w:r>
      <w:r>
        <w:t>d</w:t>
      </w:r>
      <w:r w:rsidRPr="009D1117">
        <w:t xml:space="preserve"> that even when </w:t>
      </w:r>
      <w:r w:rsidR="003846E8">
        <w:t xml:space="preserve">FDG </w:t>
      </w:r>
      <w:r w:rsidRPr="009D1117">
        <w:t>PET</w:t>
      </w:r>
      <w:r w:rsidR="003846E8">
        <w:t>/</w:t>
      </w:r>
      <w:r w:rsidRPr="009D1117">
        <w:t>CT is only relevant for a small number of patients</w:t>
      </w:r>
      <w:r w:rsidR="003846E8">
        <w:t xml:space="preserve"> with an eligible cancer type</w:t>
      </w:r>
      <w:r w:rsidRPr="009D1117">
        <w:t xml:space="preserve">, the </w:t>
      </w:r>
      <w:r w:rsidR="003846E8">
        <w:t xml:space="preserve">proportion expected to experience a </w:t>
      </w:r>
      <w:r w:rsidRPr="009D1117">
        <w:t>change in their management is substantial.</w:t>
      </w:r>
    </w:p>
    <w:p w14:paraId="0DFB05AE" w14:textId="7D0211AF" w:rsidR="00EB739C" w:rsidRDefault="000036DD" w:rsidP="00EB739C">
      <w:r>
        <w:t xml:space="preserve">MSAC </w:t>
      </w:r>
      <w:r w:rsidR="00A000F1">
        <w:t>noted t</w:t>
      </w:r>
      <w:r w:rsidR="00A000F1" w:rsidRPr="00A000F1">
        <w:t>he</w:t>
      </w:r>
      <w:r w:rsidR="00EB739C">
        <w:t xml:space="preserve"> PET Working Group </w:t>
      </w:r>
      <w:r w:rsidR="00B442AB">
        <w:t xml:space="preserve">also </w:t>
      </w:r>
      <w:r w:rsidR="00EB739C">
        <w:t>completed a matrix that was used to assess which cancer</w:t>
      </w:r>
      <w:r w:rsidR="00027EFB">
        <w:t xml:space="preserve"> type</w:t>
      </w:r>
      <w:r w:rsidR="00EB739C">
        <w:t xml:space="preserve">s would potentially meet the </w:t>
      </w:r>
      <w:r w:rsidR="00B866B3">
        <w:t xml:space="preserve">proposed </w:t>
      </w:r>
      <w:r w:rsidR="00EB739C">
        <w:t xml:space="preserve">qualification criteria for </w:t>
      </w:r>
      <w:r w:rsidR="00B866B3">
        <w:t>FDG</w:t>
      </w:r>
      <w:r w:rsidR="00634D16">
        <w:t xml:space="preserve"> </w:t>
      </w:r>
      <w:r w:rsidR="00EB739C">
        <w:t>PET/CT for initial staging. As part of this exercise</w:t>
      </w:r>
      <w:r w:rsidR="009D1117">
        <w:t>,</w:t>
      </w:r>
      <w:r w:rsidR="00EB739C">
        <w:t xml:space="preserve"> clinical experts </w:t>
      </w:r>
      <w:r w:rsidR="00883E3B">
        <w:t xml:space="preserve">estimated </w:t>
      </w:r>
      <w:r w:rsidR="00EB739C">
        <w:t xml:space="preserve">the </w:t>
      </w:r>
      <w:r w:rsidR="00883E3B">
        <w:t>proportion</w:t>
      </w:r>
      <w:r w:rsidR="00EB739C">
        <w:t xml:space="preserve"> of patients in </w:t>
      </w:r>
      <w:r w:rsidR="00883E3B">
        <w:t>e</w:t>
      </w:r>
      <w:r w:rsidR="00EB739C">
        <w:t>a</w:t>
      </w:r>
      <w:r w:rsidR="00883E3B">
        <w:t>ch selected</w:t>
      </w:r>
      <w:r w:rsidR="00EB739C">
        <w:t xml:space="preserve"> cancer </w:t>
      </w:r>
      <w:r w:rsidR="00883E3B">
        <w:t xml:space="preserve">type who </w:t>
      </w:r>
      <w:r w:rsidR="00EB739C">
        <w:t xml:space="preserve">are likely to </w:t>
      </w:r>
      <w:r w:rsidR="00883E3B">
        <w:t xml:space="preserve">require </w:t>
      </w:r>
      <w:r w:rsidR="00B866B3">
        <w:t>FDG</w:t>
      </w:r>
      <w:r w:rsidR="00634D16">
        <w:t xml:space="preserve"> </w:t>
      </w:r>
      <w:r w:rsidR="00EB739C">
        <w:t xml:space="preserve">PET/CT for initial staging. Clinical experts also </w:t>
      </w:r>
      <w:r w:rsidR="00883E3B">
        <w:t xml:space="preserve">estimated </w:t>
      </w:r>
      <w:r w:rsidR="00EB739C">
        <w:t xml:space="preserve">the </w:t>
      </w:r>
      <w:r w:rsidR="00883E3B">
        <w:t xml:space="preserve">proportion </w:t>
      </w:r>
      <w:r w:rsidR="009D1117">
        <w:t xml:space="preserve">of </w:t>
      </w:r>
      <w:r w:rsidR="00883E3B">
        <w:t xml:space="preserve">these </w:t>
      </w:r>
      <w:r w:rsidR="00EB739C">
        <w:t xml:space="preserve">patients </w:t>
      </w:r>
      <w:r w:rsidR="00883E3B">
        <w:t xml:space="preserve">for whom </w:t>
      </w:r>
      <w:r w:rsidR="00B866B3">
        <w:t>FDG</w:t>
      </w:r>
      <w:r w:rsidR="00634D16">
        <w:t xml:space="preserve"> </w:t>
      </w:r>
      <w:r w:rsidR="00EB739C">
        <w:t>PET/CT is likely to provide an effective change of management</w:t>
      </w:r>
      <w:r w:rsidR="008B0276">
        <w:t>.</w:t>
      </w:r>
    </w:p>
    <w:p w14:paraId="335B328A" w14:textId="25210249" w:rsidR="00EB739C" w:rsidRDefault="00EB739C" w:rsidP="00FC1FD4">
      <w:pPr>
        <w:pStyle w:val="NormalBeforeBullet"/>
      </w:pPr>
      <w:r>
        <w:t xml:space="preserve">The </w:t>
      </w:r>
      <w:r w:rsidR="00B55BE9">
        <w:t xml:space="preserve">PET </w:t>
      </w:r>
      <w:r>
        <w:t xml:space="preserve">Working Group reviewed the inputs into the matrix and concluded that </w:t>
      </w:r>
      <w:r w:rsidR="00B866B3">
        <w:t>FDG</w:t>
      </w:r>
      <w:r w:rsidR="00634D16">
        <w:t xml:space="preserve"> </w:t>
      </w:r>
      <w:r>
        <w:t xml:space="preserve">PET/CT for initial staging would </w:t>
      </w:r>
      <w:r w:rsidR="00883E3B">
        <w:t xml:space="preserve">provide </w:t>
      </w:r>
      <w:r>
        <w:t xml:space="preserve">effective change management for the following 23 rare </w:t>
      </w:r>
      <w:r w:rsidR="00D73112">
        <w:t>or</w:t>
      </w:r>
      <w:r>
        <w:t xml:space="preserve"> uncommon cancer</w:t>
      </w:r>
      <w:r w:rsidR="00883E3B">
        <w:t xml:space="preserve"> type</w:t>
      </w:r>
      <w:r>
        <w:t>s:</w:t>
      </w:r>
    </w:p>
    <w:p w14:paraId="37B7D74F" w14:textId="6499BED7" w:rsidR="00EB739C" w:rsidRDefault="00680FA9" w:rsidP="00804760">
      <w:pPr>
        <w:pStyle w:val="Bullet"/>
        <w:ind w:left="720"/>
      </w:pPr>
      <w:r>
        <w:t>anal cancer</w:t>
      </w:r>
    </w:p>
    <w:p w14:paraId="7BD126E4" w14:textId="29E5812F" w:rsidR="00EB739C" w:rsidRDefault="00680FA9" w:rsidP="00804760">
      <w:pPr>
        <w:pStyle w:val="Bullet"/>
        <w:ind w:left="720"/>
      </w:pPr>
      <w:r>
        <w:t>bladder cancer</w:t>
      </w:r>
    </w:p>
    <w:p w14:paraId="7780E682" w14:textId="314B1EB3" w:rsidR="00EB739C" w:rsidRDefault="00680FA9" w:rsidP="00804760">
      <w:pPr>
        <w:pStyle w:val="Bullet"/>
        <w:ind w:left="720"/>
      </w:pPr>
      <w:r>
        <w:t>brain and other central nervous system (cancer of the)</w:t>
      </w:r>
    </w:p>
    <w:p w14:paraId="61BE20CE" w14:textId="72974BFD" w:rsidR="00EB739C" w:rsidRDefault="00680FA9" w:rsidP="00804760">
      <w:pPr>
        <w:pStyle w:val="Bullet"/>
        <w:ind w:left="720"/>
      </w:pPr>
      <w:r>
        <w:t>brain cancer</w:t>
      </w:r>
    </w:p>
    <w:p w14:paraId="75A9BAB6" w14:textId="2667AE52" w:rsidR="00EB739C" w:rsidRDefault="00680FA9" w:rsidP="00804760">
      <w:pPr>
        <w:pStyle w:val="Bullet"/>
        <w:ind w:left="720"/>
      </w:pPr>
      <w:r>
        <w:t>gallbladder and extrahepatic bile ducts (cancer of the)</w:t>
      </w:r>
    </w:p>
    <w:p w14:paraId="69157A92" w14:textId="6180D491" w:rsidR="00EB739C" w:rsidRDefault="00680FA9" w:rsidP="00804760">
      <w:pPr>
        <w:pStyle w:val="Bullet"/>
        <w:ind w:left="720"/>
      </w:pPr>
      <w:r>
        <w:t>gastrointestinal stromal tumours (</w:t>
      </w:r>
      <w:r w:rsidR="00390D8A">
        <w:t>GIST</w:t>
      </w:r>
      <w:r>
        <w:t>)</w:t>
      </w:r>
    </w:p>
    <w:p w14:paraId="067E4A0E" w14:textId="3151FCDC" w:rsidR="00EB739C" w:rsidRDefault="00390D8A" w:rsidP="00804760">
      <w:pPr>
        <w:pStyle w:val="Bullet"/>
        <w:ind w:left="720"/>
      </w:pPr>
      <w:r>
        <w:t>K</w:t>
      </w:r>
      <w:r w:rsidR="00680FA9">
        <w:t>aposi sarcoma</w:t>
      </w:r>
    </w:p>
    <w:p w14:paraId="2BC2F0F0" w14:textId="129C1176" w:rsidR="00EB739C" w:rsidRDefault="00680FA9" w:rsidP="00804760">
      <w:pPr>
        <w:pStyle w:val="Bullet"/>
        <w:ind w:left="720"/>
      </w:pPr>
      <w:r>
        <w:t>liver cancer</w:t>
      </w:r>
    </w:p>
    <w:p w14:paraId="0E8D6391" w14:textId="6A48FD32" w:rsidR="00EB739C" w:rsidRDefault="008357E7" w:rsidP="00804760">
      <w:pPr>
        <w:pStyle w:val="Bullet"/>
        <w:ind w:left="720"/>
      </w:pPr>
      <w:r>
        <w:t>M</w:t>
      </w:r>
      <w:r w:rsidR="00680FA9">
        <w:t>erkel</w:t>
      </w:r>
      <w:r>
        <w:t xml:space="preserve"> </w:t>
      </w:r>
      <w:r w:rsidR="00680FA9">
        <w:t>cell cancer</w:t>
      </w:r>
    </w:p>
    <w:p w14:paraId="41EDB937" w14:textId="7BB76403" w:rsidR="00EB739C" w:rsidRDefault="00680FA9" w:rsidP="00804760">
      <w:pPr>
        <w:pStyle w:val="Bullet"/>
        <w:ind w:left="720"/>
      </w:pPr>
      <w:r>
        <w:t>mesothelioma</w:t>
      </w:r>
    </w:p>
    <w:p w14:paraId="5FD12214" w14:textId="4EB7C96E" w:rsidR="00EB739C" w:rsidRDefault="00680FA9" w:rsidP="00804760">
      <w:pPr>
        <w:pStyle w:val="Bullet"/>
        <w:ind w:left="720"/>
      </w:pPr>
      <w:r>
        <w:t>ovarian cancer (incidence only)</w:t>
      </w:r>
    </w:p>
    <w:p w14:paraId="4DBD31C9" w14:textId="6A25FF15" w:rsidR="00EB739C" w:rsidRDefault="00680FA9" w:rsidP="00804760">
      <w:pPr>
        <w:pStyle w:val="Bullet"/>
        <w:ind w:left="720"/>
      </w:pPr>
      <w:r>
        <w:t>ovarian cancer and serous carcinomas of the fallopian tube</w:t>
      </w:r>
    </w:p>
    <w:p w14:paraId="1FA5E25B" w14:textId="23C22584" w:rsidR="00EB739C" w:rsidRDefault="00680FA9" w:rsidP="00804760">
      <w:pPr>
        <w:pStyle w:val="Bullet"/>
        <w:ind w:left="720"/>
      </w:pPr>
      <w:r>
        <w:t>pancreatic cancer</w:t>
      </w:r>
    </w:p>
    <w:p w14:paraId="4E12EC79" w14:textId="6D82B6B3" w:rsidR="00EB739C" w:rsidRDefault="00680FA9" w:rsidP="00804760">
      <w:pPr>
        <w:pStyle w:val="Bullet"/>
        <w:ind w:left="720"/>
      </w:pPr>
      <w:r>
        <w:t>penile cancer</w:t>
      </w:r>
    </w:p>
    <w:p w14:paraId="6758A3B2" w14:textId="7F6F57A8" w:rsidR="00EB739C" w:rsidRDefault="00680FA9" w:rsidP="00804760">
      <w:pPr>
        <w:pStyle w:val="Bullet"/>
        <w:ind w:left="720"/>
      </w:pPr>
      <w:r>
        <w:t>peritoneal cancer</w:t>
      </w:r>
    </w:p>
    <w:p w14:paraId="08B64AE2" w14:textId="75CE1E5A" w:rsidR="00EB739C" w:rsidRDefault="00680FA9" w:rsidP="00804760">
      <w:pPr>
        <w:pStyle w:val="Bullet"/>
        <w:ind w:left="720"/>
      </w:pPr>
      <w:r>
        <w:t>placenta cancer</w:t>
      </w:r>
    </w:p>
    <w:p w14:paraId="0707FE6C" w14:textId="1568F00F" w:rsidR="00EB739C" w:rsidRDefault="00680FA9" w:rsidP="00804760">
      <w:pPr>
        <w:pStyle w:val="Bullet"/>
        <w:ind w:left="720"/>
      </w:pPr>
      <w:r>
        <w:t>small intestine (cancer of the)</w:t>
      </w:r>
    </w:p>
    <w:p w14:paraId="2DE18A10" w14:textId="0C82EA73" w:rsidR="00EB739C" w:rsidRDefault="00680FA9" w:rsidP="00804760">
      <w:pPr>
        <w:pStyle w:val="Bullet"/>
        <w:ind w:left="720"/>
      </w:pPr>
      <w:r>
        <w:t>stomach cancer</w:t>
      </w:r>
    </w:p>
    <w:p w14:paraId="31AAD939" w14:textId="21CB3A29" w:rsidR="00EB739C" w:rsidRDefault="00680FA9" w:rsidP="00804760">
      <w:pPr>
        <w:pStyle w:val="Bullet"/>
        <w:ind w:left="720"/>
      </w:pPr>
      <w:r>
        <w:t>testicular cancer</w:t>
      </w:r>
    </w:p>
    <w:p w14:paraId="228F35C8" w14:textId="538EA134" w:rsidR="00EB739C" w:rsidRDefault="00680FA9" w:rsidP="00804760">
      <w:pPr>
        <w:pStyle w:val="Bullet"/>
        <w:ind w:left="720"/>
      </w:pPr>
      <w:r>
        <w:t>unknown primary site (cancer of)</w:t>
      </w:r>
    </w:p>
    <w:p w14:paraId="38E5406C" w14:textId="3D507B15" w:rsidR="00EB739C" w:rsidRDefault="00680FA9" w:rsidP="00804760">
      <w:pPr>
        <w:pStyle w:val="Bullet"/>
        <w:ind w:left="720"/>
      </w:pPr>
      <w:r>
        <w:t>uterine cancer</w:t>
      </w:r>
    </w:p>
    <w:p w14:paraId="6D3A51B7" w14:textId="2745D6DC" w:rsidR="00EB739C" w:rsidRDefault="00680FA9" w:rsidP="00804760">
      <w:pPr>
        <w:pStyle w:val="Bullet"/>
        <w:ind w:left="720"/>
      </w:pPr>
      <w:r>
        <w:t>vaginal cancer</w:t>
      </w:r>
    </w:p>
    <w:p w14:paraId="34B4CB84" w14:textId="75004AE3" w:rsidR="00EB739C" w:rsidRDefault="00680FA9" w:rsidP="00804760">
      <w:pPr>
        <w:pStyle w:val="Bullet"/>
        <w:ind w:left="720"/>
      </w:pPr>
      <w:r>
        <w:t>vulvar cancer.</w:t>
      </w:r>
    </w:p>
    <w:p w14:paraId="39D73AEC" w14:textId="00D93FDA" w:rsidR="00A13C00" w:rsidRDefault="00A13C00" w:rsidP="00CD48EA">
      <w:r>
        <w:t>MSAC expressed some doubt about the inclusion of GIST given the unfavourable results of the GEM for this case study</w:t>
      </w:r>
      <w:r w:rsidR="00DC4E60">
        <w:t xml:space="preserve">, which was based on assuming all patients with GIST would be </w:t>
      </w:r>
      <w:r w:rsidR="00DC4E60">
        <w:lastRenderedPageBreak/>
        <w:t>initially staged with FDG PET/CT, whereas clinical practice is to select only a low proportion of patients with GIST for whom FDG PET/CT would be needed</w:t>
      </w:r>
      <w:r>
        <w:t xml:space="preserve">. </w:t>
      </w:r>
      <w:r w:rsidR="00DC4E60">
        <w:t>Overall</w:t>
      </w:r>
      <w:r>
        <w:t>, MSAC supported its inclusion for consistency of approach with the other 22 identified cancer types.</w:t>
      </w:r>
    </w:p>
    <w:p w14:paraId="76AEE86A" w14:textId="7E02D062" w:rsidR="00CD48EA" w:rsidRDefault="00CD48EA" w:rsidP="00CD48EA">
      <w:r w:rsidRPr="00CD48EA">
        <w:t>MSAC</w:t>
      </w:r>
      <w:r>
        <w:t xml:space="preserve"> noted that cervical cancer, tongue cancer, mouth cancer, lip cancer, major salivary gland cancer and bone cancer </w:t>
      </w:r>
      <w:r w:rsidR="00883E3B">
        <w:t xml:space="preserve">also </w:t>
      </w:r>
      <w:r>
        <w:t xml:space="preserve">meet all the proposed </w:t>
      </w:r>
      <w:r w:rsidR="00B866B3">
        <w:t>q</w:t>
      </w:r>
      <w:r>
        <w:t xml:space="preserve">ualification </w:t>
      </w:r>
      <w:r w:rsidR="00B866B3">
        <w:t>c</w:t>
      </w:r>
      <w:r>
        <w:t>riteria</w:t>
      </w:r>
      <w:r w:rsidR="0098769E">
        <w:t>. However, the</w:t>
      </w:r>
      <w:r>
        <w:t xml:space="preserve"> </w:t>
      </w:r>
      <w:r w:rsidR="0098769E">
        <w:t xml:space="preserve">MBS </w:t>
      </w:r>
      <w:r>
        <w:t xml:space="preserve">already </w:t>
      </w:r>
      <w:r w:rsidR="0098769E">
        <w:t>funds FDG PET/CT for patients with these cancer types, so MSAC considered that there was no need to include them in</w:t>
      </w:r>
      <w:r>
        <w:t xml:space="preserve"> the </w:t>
      </w:r>
      <w:r w:rsidR="0098769E">
        <w:t xml:space="preserve">proposed </w:t>
      </w:r>
      <w:r>
        <w:t>MBS</w:t>
      </w:r>
      <w:r w:rsidR="0098769E">
        <w:t xml:space="preserve"> item</w:t>
      </w:r>
      <w:r w:rsidR="00680FA9">
        <w:t>.</w:t>
      </w:r>
    </w:p>
    <w:p w14:paraId="0051A0D4" w14:textId="44558F72" w:rsidR="00CD48EA" w:rsidRDefault="00CD48EA" w:rsidP="00FC1FD4">
      <w:pPr>
        <w:pStyle w:val="NormalBeforeBullet"/>
      </w:pPr>
      <w:r w:rsidRPr="00CD48EA">
        <w:t>MSAC</w:t>
      </w:r>
      <w:r>
        <w:t xml:space="preserve"> noted that the following cancer</w:t>
      </w:r>
      <w:r w:rsidR="00027EFB">
        <w:t xml:space="preserve"> type</w:t>
      </w:r>
      <w:r>
        <w:t xml:space="preserve">s meet the </w:t>
      </w:r>
      <w:r w:rsidR="0098769E">
        <w:t>criteria for “rare or u</w:t>
      </w:r>
      <w:r>
        <w:t>ncommon</w:t>
      </w:r>
      <w:r w:rsidR="0098769E">
        <w:t>”</w:t>
      </w:r>
      <w:r>
        <w:t xml:space="preserve"> and </w:t>
      </w:r>
      <w:r w:rsidR="0098769E">
        <w:t>“</w:t>
      </w:r>
      <w:r>
        <w:t>FDG-avid</w:t>
      </w:r>
      <w:r w:rsidR="0098769E">
        <w:t>”,</w:t>
      </w:r>
      <w:r>
        <w:t xml:space="preserve"> but are insufficiently defined for </w:t>
      </w:r>
      <w:r w:rsidR="00DC4E60">
        <w:t xml:space="preserve">further </w:t>
      </w:r>
      <w:r w:rsidR="00A13C00">
        <w:t xml:space="preserve">assessment and thus possible </w:t>
      </w:r>
      <w:r w:rsidR="0098769E">
        <w:t>inclusion in the proposed MBS item</w:t>
      </w:r>
      <w:r>
        <w:t>:</w:t>
      </w:r>
    </w:p>
    <w:p w14:paraId="7631583F" w14:textId="3F8397FE" w:rsidR="00CD48EA" w:rsidRDefault="00680FA9" w:rsidP="00804760">
      <w:pPr>
        <w:pStyle w:val="Bullet"/>
        <w:ind w:left="720"/>
      </w:pPr>
      <w:r>
        <w:t>other and ill-defined digestive organs</w:t>
      </w:r>
    </w:p>
    <w:p w14:paraId="29B0894F" w14:textId="366AC26A" w:rsidR="00CD48EA" w:rsidRDefault="00680FA9" w:rsidP="00804760">
      <w:pPr>
        <w:pStyle w:val="Bullet"/>
        <w:ind w:left="720"/>
      </w:pPr>
      <w:r>
        <w:t>other female genital organs excluding serous carcinomas of the fallopian tube</w:t>
      </w:r>
    </w:p>
    <w:p w14:paraId="61DDC4A0" w14:textId="216CD7FD" w:rsidR="00CD48EA" w:rsidRDefault="00680FA9" w:rsidP="00804760">
      <w:pPr>
        <w:pStyle w:val="Bullet"/>
        <w:ind w:left="720"/>
      </w:pPr>
      <w:r>
        <w:t>other ma</w:t>
      </w:r>
      <w:r w:rsidR="00A13C00">
        <w:t>l</w:t>
      </w:r>
      <w:r>
        <w:t>e genital organs</w:t>
      </w:r>
    </w:p>
    <w:p w14:paraId="40016F00" w14:textId="02EBD595" w:rsidR="00CD48EA" w:rsidRDefault="00680FA9" w:rsidP="00804760">
      <w:pPr>
        <w:pStyle w:val="Bullet"/>
        <w:ind w:left="720"/>
      </w:pPr>
      <w:r>
        <w:t>other endocrine glands</w:t>
      </w:r>
    </w:p>
    <w:p w14:paraId="77DC08E1" w14:textId="2C6D75DE" w:rsidR="00CD48EA" w:rsidRDefault="00680FA9" w:rsidP="00804760">
      <w:pPr>
        <w:pStyle w:val="Bullet"/>
        <w:ind w:left="720"/>
      </w:pPr>
      <w:r>
        <w:t>other CNS cancers</w:t>
      </w:r>
    </w:p>
    <w:p w14:paraId="6D7F8F01" w14:textId="7E4F9D17" w:rsidR="00CD48EA" w:rsidRDefault="00680FA9" w:rsidP="00804760">
      <w:pPr>
        <w:pStyle w:val="Bullet"/>
        <w:ind w:left="720"/>
      </w:pPr>
      <w:r>
        <w:t>other thoracic and respiratory organs</w:t>
      </w:r>
    </w:p>
    <w:p w14:paraId="1AD78F75" w14:textId="4F4A6B39" w:rsidR="00CD48EA" w:rsidRDefault="00680FA9" w:rsidP="00804760">
      <w:pPr>
        <w:pStyle w:val="Bullet"/>
        <w:ind w:left="720"/>
      </w:pPr>
      <w:r>
        <w:t>other and ill-defined sites.</w:t>
      </w:r>
    </w:p>
    <w:p w14:paraId="7502CD43" w14:textId="2D6EE33D" w:rsidR="001F7A88" w:rsidRDefault="001F7A88" w:rsidP="001F7A88">
      <w:r w:rsidRPr="0063195F">
        <w:t xml:space="preserve">MSAC noted that the maximum potential cost to the MBS, if all </w:t>
      </w:r>
      <w:r>
        <w:t xml:space="preserve">23 </w:t>
      </w:r>
      <w:r w:rsidRPr="0063195F">
        <w:t>cancer</w:t>
      </w:r>
      <w:r>
        <w:t xml:space="preserve"> type</w:t>
      </w:r>
      <w:r w:rsidRPr="0063195F">
        <w:t xml:space="preserve">s that met the “eligibility criteria” </w:t>
      </w:r>
      <w:r>
        <w:t xml:space="preserve">were listed, </w:t>
      </w:r>
      <w:r w:rsidRPr="0063195F">
        <w:t>would be approximately $9.3</w:t>
      </w:r>
      <w:r>
        <w:t> </w:t>
      </w:r>
      <w:r w:rsidRPr="0063195F">
        <w:t>m</w:t>
      </w:r>
      <w:r>
        <w:t>illion</w:t>
      </w:r>
      <w:r w:rsidRPr="0063195F">
        <w:t xml:space="preserve"> per </w:t>
      </w:r>
      <w:r>
        <w:t xml:space="preserve">year. In summary, MSAC concluded that, despite being limited to a 12-month timeframe, the GEM </w:t>
      </w:r>
      <w:r w:rsidR="00A80B0D">
        <w:t xml:space="preserve">provided a sound basis for developing and assessing qualification criteria whereby using FDG PET/CT for </w:t>
      </w:r>
      <w:r>
        <w:t xml:space="preserve">initial staging </w:t>
      </w:r>
      <w:r w:rsidR="00A80B0D">
        <w:t>could be supported for 23 additional rare or uncommon cancer types</w:t>
      </w:r>
      <w:r>
        <w:t>.</w:t>
      </w:r>
    </w:p>
    <w:p w14:paraId="0606E48F" w14:textId="1AE42401" w:rsidR="003C6015" w:rsidRDefault="003C6015" w:rsidP="00437742">
      <w:r>
        <w:t xml:space="preserve">MBS </w:t>
      </w:r>
      <w:r w:rsidR="00FB32FC">
        <w:t xml:space="preserve">therefore </w:t>
      </w:r>
      <w:r w:rsidR="00390D8A">
        <w:t xml:space="preserve">supported </w:t>
      </w:r>
      <w:r>
        <w:t xml:space="preserve">the proposed MBS item </w:t>
      </w:r>
      <w:r w:rsidR="00390D8A">
        <w:t>below</w:t>
      </w:r>
      <w:r>
        <w:t>.</w:t>
      </w:r>
    </w:p>
    <w:tbl>
      <w:tblPr>
        <w:tblStyle w:val="TableGrid"/>
        <w:tblW w:w="90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5"/>
      </w:tblGrid>
      <w:tr w:rsidR="003C6015" w:rsidRPr="00C54F0B" w14:paraId="72578899" w14:textId="77777777" w:rsidTr="001F7A88">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17AE2B1" w14:textId="77777777" w:rsidR="003C6015" w:rsidRPr="00C54F0B" w:rsidRDefault="003C6015" w:rsidP="001F7A88">
            <w:pPr>
              <w:jc w:val="right"/>
            </w:pPr>
            <w:r w:rsidRPr="00C54F0B">
              <w:rPr>
                <w:b/>
                <w:bCs/>
              </w:rPr>
              <w:t xml:space="preserve">CATEGORY </w:t>
            </w:r>
            <w:r>
              <w:rPr>
                <w:b/>
                <w:bCs/>
              </w:rPr>
              <w:t>5</w:t>
            </w:r>
            <w:r w:rsidRPr="00C54F0B">
              <w:rPr>
                <w:b/>
                <w:bCs/>
              </w:rPr>
              <w:t xml:space="preserve"> –</w:t>
            </w:r>
            <w:r>
              <w:rPr>
                <w:b/>
                <w:bCs/>
              </w:rPr>
              <w:t xml:space="preserve"> </w:t>
            </w:r>
            <w:r w:rsidRPr="00F07B0E">
              <w:rPr>
                <w:b/>
                <w:bCs/>
              </w:rPr>
              <w:t>DIAGNOSTIC IMAGING SERVICES​</w:t>
            </w:r>
          </w:p>
        </w:tc>
      </w:tr>
      <w:tr w:rsidR="003C6015" w:rsidRPr="00C54F0B" w14:paraId="66C2AB27" w14:textId="77777777" w:rsidTr="001F7A88">
        <w:tc>
          <w:tcPr>
            <w:tcW w:w="9015" w:type="dxa"/>
            <w:tcBorders>
              <w:top w:val="nil"/>
              <w:left w:val="single" w:sz="6" w:space="0" w:color="auto"/>
              <w:bottom w:val="single" w:sz="6" w:space="0" w:color="auto"/>
              <w:right w:val="single" w:sz="6" w:space="0" w:color="auto"/>
            </w:tcBorders>
            <w:shd w:val="clear" w:color="auto" w:fill="auto"/>
            <w:hideMark/>
          </w:tcPr>
          <w:p w14:paraId="23204FCB" w14:textId="77777777" w:rsidR="003C6015" w:rsidRPr="00C54F0B" w:rsidRDefault="003C6015" w:rsidP="001F7A88">
            <w:r>
              <w:t>Item number TBA</w:t>
            </w:r>
          </w:p>
          <w:p w14:paraId="29A1DC1D" w14:textId="246E8724" w:rsidR="003C6015" w:rsidRDefault="003C6015" w:rsidP="00E0362F">
            <w:pPr>
              <w:spacing w:after="0"/>
              <w:jc w:val="right"/>
            </w:pPr>
            <w:r>
              <w:t>Group I4 - Nuclear Medicine Imaging​</w:t>
            </w:r>
          </w:p>
          <w:p w14:paraId="4186154F" w14:textId="3F4333D0" w:rsidR="003C6015" w:rsidRDefault="003C6015" w:rsidP="00E0362F">
            <w:pPr>
              <w:jc w:val="right"/>
            </w:pPr>
            <w:r>
              <w:t>Subgroup 2 - PET​</w:t>
            </w:r>
          </w:p>
          <w:p w14:paraId="4FEC4A32" w14:textId="1B6DD9CB" w:rsidR="003C6015" w:rsidRDefault="003C6015" w:rsidP="001F7A88">
            <w:r>
              <w:t xml:space="preserve">Whole body FDG PET study for the initial staging of </w:t>
            </w:r>
            <w:r w:rsidRPr="00E875A8">
              <w:rPr>
                <w:strike/>
              </w:rPr>
              <w:t>newly diagnosed</w:t>
            </w:r>
            <w:r>
              <w:t xml:space="preserve"> eligible cancer</w:t>
            </w:r>
            <w:r w:rsidR="00027EFB">
              <w:t xml:space="preserve"> type</w:t>
            </w:r>
            <w:r>
              <w:t>s, for a patient who is considered suitable for active therapy.</w:t>
            </w:r>
          </w:p>
          <w:p w14:paraId="36E7397B" w14:textId="5F678990" w:rsidR="003C6015" w:rsidRDefault="003C6015" w:rsidP="00E0362F">
            <w:pPr>
              <w:spacing w:after="120"/>
            </w:pPr>
            <w:r>
              <w:t xml:space="preserve">Where an eligible cancer </w:t>
            </w:r>
            <w:r w:rsidR="00027EFB">
              <w:t xml:space="preserve">type </w:t>
            </w:r>
            <w:r>
              <w:t>is:</w:t>
            </w:r>
          </w:p>
          <w:p w14:paraId="5F94EAF0" w14:textId="6401C37C" w:rsidR="003C6015" w:rsidRDefault="003C6015" w:rsidP="00E0362F">
            <w:pPr>
              <w:spacing w:after="120"/>
            </w:pPr>
            <w:r>
              <w:t>(a) a rare or uncommon cancer (&lt;12/100,000/y</w:t>
            </w:r>
            <w:r w:rsidR="00390D8A">
              <w:t>ea</w:t>
            </w:r>
            <w:r>
              <w:t>r); and</w:t>
            </w:r>
          </w:p>
          <w:p w14:paraId="6F05EF6C" w14:textId="5314200F" w:rsidR="003C6015" w:rsidRDefault="003C6015" w:rsidP="00E0362F">
            <w:pPr>
              <w:spacing w:after="120"/>
            </w:pPr>
            <w:r>
              <w:t xml:space="preserve">(b) </w:t>
            </w:r>
            <w:r w:rsidR="00B37161">
              <w:t>normally expected to be</w:t>
            </w:r>
            <w:r>
              <w:t xml:space="preserve"> </w:t>
            </w:r>
            <w:r w:rsidR="00B37161">
              <w:t xml:space="preserve">an </w:t>
            </w:r>
            <w:r>
              <w:t>FDG-avid cancer.</w:t>
            </w:r>
          </w:p>
          <w:p w14:paraId="51BEF433" w14:textId="3D45FC87" w:rsidR="003C6015" w:rsidRDefault="003C6015" w:rsidP="00E0362F">
            <w:pPr>
              <w:spacing w:after="120"/>
            </w:pPr>
            <w:r>
              <w:t xml:space="preserve">Where there is at least a 10% likelihood that the PET study result </w:t>
            </w:r>
            <w:r w:rsidR="00A13C00">
              <w:t xml:space="preserve">will </w:t>
            </w:r>
            <w:r>
              <w:t>in</w:t>
            </w:r>
            <w:r w:rsidR="00811734">
              <w:t>form</w:t>
            </w:r>
            <w:r>
              <w:t xml:space="preserve"> a significant change in management for the patient.</w:t>
            </w:r>
          </w:p>
          <w:p w14:paraId="25AB2D02" w14:textId="67B75E3C" w:rsidR="003C6015" w:rsidRDefault="003C6015" w:rsidP="001F7A88">
            <w:r>
              <w:t>Once per cancer diagnosis</w:t>
            </w:r>
          </w:p>
          <w:p w14:paraId="32EA6F75" w14:textId="77777777" w:rsidR="003C6015" w:rsidRPr="00C54F0B" w:rsidRDefault="003C6015" w:rsidP="00E0362F">
            <w:pPr>
              <w:spacing w:after="0"/>
            </w:pPr>
            <w:r>
              <w:t>Fee: $953.00</w:t>
            </w:r>
          </w:p>
        </w:tc>
      </w:tr>
    </w:tbl>
    <w:p w14:paraId="552CD43A" w14:textId="1F3042B6" w:rsidR="003C6015" w:rsidRPr="00797B59" w:rsidRDefault="003C6015" w:rsidP="00FC1FD4">
      <w:pPr>
        <w:pStyle w:val="BulletBeforeDash"/>
        <w:numPr>
          <w:ilvl w:val="0"/>
          <w:numId w:val="0"/>
        </w:numPr>
        <w:ind w:left="360"/>
      </w:pPr>
      <w:r w:rsidRPr="00FC1FD4">
        <w:rPr>
          <w:sz w:val="21"/>
          <w:szCs w:val="16"/>
        </w:rPr>
        <w:t>Explanatory note</w:t>
      </w:r>
      <w:r w:rsidR="0098769E">
        <w:rPr>
          <w:sz w:val="21"/>
          <w:szCs w:val="16"/>
        </w:rPr>
        <w:t xml:space="preserve"> </w:t>
      </w:r>
      <w:r w:rsidR="0098769E" w:rsidRPr="00FC1FD4">
        <w:rPr>
          <w:sz w:val="21"/>
          <w:szCs w:val="16"/>
        </w:rPr>
        <w:t xml:space="preserve">rather than in the </w:t>
      </w:r>
      <w:r w:rsidR="0098769E">
        <w:rPr>
          <w:sz w:val="21"/>
          <w:szCs w:val="16"/>
        </w:rPr>
        <w:t>item d</w:t>
      </w:r>
      <w:r w:rsidR="0098769E" w:rsidRPr="00FC1FD4">
        <w:rPr>
          <w:sz w:val="21"/>
          <w:szCs w:val="16"/>
        </w:rPr>
        <w:t>escriptor</w:t>
      </w:r>
      <w:r w:rsidR="0098769E">
        <w:rPr>
          <w:sz w:val="21"/>
          <w:szCs w:val="16"/>
        </w:rPr>
        <w:t xml:space="preserve"> to</w:t>
      </w:r>
      <w:r w:rsidRPr="00FC1FD4">
        <w:rPr>
          <w:sz w:val="21"/>
          <w:szCs w:val="16"/>
        </w:rPr>
        <w:t xml:space="preserve"> </w:t>
      </w:r>
      <w:r w:rsidR="0098769E" w:rsidRPr="00FC1FD4">
        <w:rPr>
          <w:sz w:val="21"/>
          <w:szCs w:val="16"/>
        </w:rPr>
        <w:t>l</w:t>
      </w:r>
      <w:r w:rsidRPr="00FC1FD4">
        <w:rPr>
          <w:sz w:val="21"/>
          <w:szCs w:val="16"/>
        </w:rPr>
        <w:t xml:space="preserve">ist </w:t>
      </w:r>
      <w:r w:rsidR="00390D8A">
        <w:rPr>
          <w:sz w:val="21"/>
          <w:szCs w:val="16"/>
        </w:rPr>
        <w:t xml:space="preserve">the </w:t>
      </w:r>
      <w:r w:rsidR="0098769E">
        <w:rPr>
          <w:sz w:val="21"/>
          <w:szCs w:val="16"/>
        </w:rPr>
        <w:t xml:space="preserve">23 additional </w:t>
      </w:r>
      <w:r w:rsidRPr="00FC1FD4">
        <w:rPr>
          <w:sz w:val="21"/>
          <w:szCs w:val="16"/>
        </w:rPr>
        <w:t>eligible cancer</w:t>
      </w:r>
      <w:r w:rsidR="00027EFB">
        <w:rPr>
          <w:sz w:val="21"/>
          <w:szCs w:val="16"/>
        </w:rPr>
        <w:t xml:space="preserve"> type</w:t>
      </w:r>
      <w:r w:rsidRPr="00FC1FD4">
        <w:rPr>
          <w:sz w:val="21"/>
          <w:szCs w:val="16"/>
        </w:rPr>
        <w:t>s</w:t>
      </w:r>
      <w:r w:rsidR="00390D8A">
        <w:rPr>
          <w:sz w:val="21"/>
          <w:szCs w:val="16"/>
        </w:rPr>
        <w:t>.</w:t>
      </w:r>
    </w:p>
    <w:p w14:paraId="65B9642A" w14:textId="1B776516" w:rsidR="0004628B" w:rsidRDefault="00624EE7" w:rsidP="0098769E">
      <w:pPr>
        <w:spacing w:before="240"/>
      </w:pPr>
      <w:r w:rsidRPr="00624EE7">
        <w:lastRenderedPageBreak/>
        <w:t>MSAC</w:t>
      </w:r>
      <w:r>
        <w:t xml:space="preserve"> considered what would happen to</w:t>
      </w:r>
      <w:r w:rsidR="00CD48EA">
        <w:t xml:space="preserve"> th</w:t>
      </w:r>
      <w:r w:rsidR="0098769E">
        <w:t>o</w:t>
      </w:r>
      <w:r w:rsidR="00CD48EA">
        <w:t>se</w:t>
      </w:r>
      <w:r>
        <w:t xml:space="preserve"> cancer</w:t>
      </w:r>
      <w:r w:rsidR="0098769E">
        <w:t xml:space="preserve"> type</w:t>
      </w:r>
      <w:r>
        <w:t xml:space="preserve">s where there is </w:t>
      </w:r>
      <w:r w:rsidR="0004628B">
        <w:t>insuff</w:t>
      </w:r>
      <w:r>
        <w:t>icient information available on the change in clinical management</w:t>
      </w:r>
      <w:r w:rsidR="00680FA9">
        <w:t>, and what would</w:t>
      </w:r>
      <w:r>
        <w:t xml:space="preserve"> happen if </w:t>
      </w:r>
      <w:r w:rsidR="0004628B">
        <w:t xml:space="preserve">clinical </w:t>
      </w:r>
      <w:r>
        <w:t xml:space="preserve">management </w:t>
      </w:r>
      <w:r w:rsidR="0004628B">
        <w:t>changes and more info</w:t>
      </w:r>
      <w:r>
        <w:t>rmation becomes available</w:t>
      </w:r>
      <w:r w:rsidR="00680FA9">
        <w:t>.</w:t>
      </w:r>
      <w:r w:rsidR="0004628B">
        <w:t xml:space="preserve"> </w:t>
      </w:r>
      <w:r w:rsidR="00CD48EA">
        <w:t xml:space="preserve">How would they </w:t>
      </w:r>
      <w:r w:rsidR="00545802">
        <w:t>be added</w:t>
      </w:r>
      <w:r w:rsidR="00CD48EA">
        <w:t xml:space="preserve"> on the </w:t>
      </w:r>
      <w:r w:rsidR="00545802">
        <w:t xml:space="preserve">MBS item? To address this, </w:t>
      </w:r>
      <w:r w:rsidR="00AA3F0B" w:rsidRPr="00AA3F0B">
        <w:t>MSAC</w:t>
      </w:r>
      <w:r w:rsidR="00AA3F0B">
        <w:t xml:space="preserve"> decided to</w:t>
      </w:r>
      <w:r w:rsidR="009F11F0">
        <w:t xml:space="preserve"> </w:t>
      </w:r>
      <w:r w:rsidR="0004628B">
        <w:t xml:space="preserve">list </w:t>
      </w:r>
      <w:r w:rsidR="00AA3F0B">
        <w:t>eligible</w:t>
      </w:r>
      <w:r w:rsidR="0004628B">
        <w:t xml:space="preserve"> cancer</w:t>
      </w:r>
      <w:r w:rsidR="00027EFB">
        <w:t xml:space="preserve"> type</w:t>
      </w:r>
      <w:r w:rsidR="00AA3F0B">
        <w:t>s</w:t>
      </w:r>
      <w:r w:rsidR="0004628B">
        <w:t xml:space="preserve"> in the expl</w:t>
      </w:r>
      <w:r w:rsidR="00AA3F0B">
        <w:t>anatory</w:t>
      </w:r>
      <w:r w:rsidR="0004628B">
        <w:t xml:space="preserve"> notes</w:t>
      </w:r>
      <w:r w:rsidR="00A8359F">
        <w:t>, to allow</w:t>
      </w:r>
      <w:r w:rsidR="0004628B">
        <w:t xml:space="preserve"> anyone </w:t>
      </w:r>
      <w:r w:rsidR="00A8359F">
        <w:t xml:space="preserve">to </w:t>
      </w:r>
      <w:r w:rsidR="0004628B">
        <w:t xml:space="preserve">approach the </w:t>
      </w:r>
      <w:r w:rsidR="00A8359F">
        <w:t xml:space="preserve">Department of Health </w:t>
      </w:r>
      <w:r w:rsidR="0004628B">
        <w:t xml:space="preserve">if they </w:t>
      </w:r>
      <w:r w:rsidR="00A8359F">
        <w:t>believe that the</w:t>
      </w:r>
      <w:r w:rsidR="00B442AB">
        <w:t>ir cancer type</w:t>
      </w:r>
      <w:r w:rsidR="00A8359F">
        <w:t xml:space="preserve"> </w:t>
      </w:r>
      <w:r w:rsidR="0004628B">
        <w:t xml:space="preserve">could meet the </w:t>
      </w:r>
      <w:r w:rsidR="00B442AB">
        <w:t xml:space="preserve">qualification </w:t>
      </w:r>
      <w:r w:rsidR="0004628B">
        <w:t xml:space="preserve">criteria. </w:t>
      </w:r>
      <w:r w:rsidR="00A8359F">
        <w:t xml:space="preserve">The </w:t>
      </w:r>
      <w:r w:rsidR="0004628B">
        <w:t>HTA and policy area</w:t>
      </w:r>
      <w:r w:rsidR="00A8359F">
        <w:t xml:space="preserve">s </w:t>
      </w:r>
      <w:r w:rsidR="00B442AB">
        <w:t xml:space="preserve">of the Department could then provide an initial assessment against the criteria for consideration by the </w:t>
      </w:r>
      <w:r w:rsidR="0004628B">
        <w:t xml:space="preserve">MSAC </w:t>
      </w:r>
      <w:r w:rsidR="00680FA9">
        <w:t>Executive</w:t>
      </w:r>
      <w:r w:rsidR="0004628B">
        <w:t xml:space="preserve">. </w:t>
      </w:r>
      <w:r w:rsidR="00B442AB">
        <w:t>If supported, t</w:t>
      </w:r>
      <w:r w:rsidR="0004628B">
        <w:t xml:space="preserve">hen </w:t>
      </w:r>
      <w:r w:rsidR="00A8359F">
        <w:t xml:space="preserve">the cancer </w:t>
      </w:r>
      <w:r w:rsidR="00B442AB">
        <w:t xml:space="preserve">type </w:t>
      </w:r>
      <w:r w:rsidR="0004628B">
        <w:t xml:space="preserve">could be added to </w:t>
      </w:r>
      <w:r w:rsidR="00B442AB">
        <w:t xml:space="preserve">the list in </w:t>
      </w:r>
      <w:r w:rsidR="00A8359F">
        <w:t xml:space="preserve">the explanatory </w:t>
      </w:r>
      <w:r w:rsidR="0004628B">
        <w:t>note.</w:t>
      </w:r>
    </w:p>
    <w:p w14:paraId="1F2F4940" w14:textId="77777777" w:rsidR="00781B7E" w:rsidRDefault="002F7BC7" w:rsidP="0004628B">
      <w:r w:rsidRPr="002F7BC7">
        <w:t xml:space="preserve">MSAC </w:t>
      </w:r>
      <w:r w:rsidR="00984622">
        <w:t>discussed</w:t>
      </w:r>
      <w:r w:rsidR="00190B8E">
        <w:t xml:space="preserve"> </w:t>
      </w:r>
      <w:r w:rsidR="00027EFB">
        <w:t xml:space="preserve">issues regarding </w:t>
      </w:r>
      <w:r w:rsidR="00190B8E">
        <w:t xml:space="preserve">whether </w:t>
      </w:r>
      <w:r w:rsidR="00FB32FC">
        <w:t xml:space="preserve">the </w:t>
      </w:r>
      <w:r w:rsidR="00190B8E">
        <w:t xml:space="preserve">GEM </w:t>
      </w:r>
      <w:r w:rsidR="00FB32FC">
        <w:t xml:space="preserve">approach </w:t>
      </w:r>
      <w:r w:rsidR="00190B8E">
        <w:t>could be</w:t>
      </w:r>
      <w:r w:rsidR="00781B7E">
        <w:t>:</w:t>
      </w:r>
    </w:p>
    <w:p w14:paraId="77228114" w14:textId="4E6DAFF1" w:rsidR="00781B7E" w:rsidRDefault="00190B8E" w:rsidP="00804760">
      <w:pPr>
        <w:pStyle w:val="Bullet"/>
        <w:ind w:left="720"/>
      </w:pPr>
      <w:r>
        <w:t xml:space="preserve">used </w:t>
      </w:r>
      <w:r w:rsidR="00FB32FC">
        <w:t xml:space="preserve">to evaluate </w:t>
      </w:r>
      <w:r w:rsidR="001F7A88">
        <w:t xml:space="preserve">FDG PET/CT for the </w:t>
      </w:r>
      <w:r w:rsidR="00FB32FC">
        <w:t xml:space="preserve">initial staging of FDG-avid </w:t>
      </w:r>
      <w:r w:rsidR="002F7BC7">
        <w:t>common cancer</w:t>
      </w:r>
      <w:r w:rsidR="00FB32FC">
        <w:t xml:space="preserve"> type</w:t>
      </w:r>
      <w:r w:rsidR="002F7BC7">
        <w:t>s</w:t>
      </w:r>
      <w:r w:rsidR="00FB32FC">
        <w:t xml:space="preserve"> for which </w:t>
      </w:r>
      <w:r w:rsidR="001F7A88">
        <w:t xml:space="preserve">it </w:t>
      </w:r>
      <w:r w:rsidR="00FB32FC">
        <w:t>is not currently MBS funded</w:t>
      </w:r>
    </w:p>
    <w:p w14:paraId="3BCC27E0" w14:textId="6D9343A3" w:rsidR="00190B8E" w:rsidRDefault="00781B7E" w:rsidP="00804760">
      <w:pPr>
        <w:pStyle w:val="Bullet"/>
        <w:ind w:left="720"/>
      </w:pPr>
      <w:r>
        <w:t>modified to evaluate FDG PET/CT for the subsequent uses (restaging, response assessment and</w:t>
      </w:r>
      <w:r w:rsidR="00092931">
        <w:t>/or</w:t>
      </w:r>
      <w:r>
        <w:t xml:space="preserve"> monitoring</w:t>
      </w:r>
      <w:r w:rsidR="00791000">
        <w:t>)</w:t>
      </w:r>
      <w:r>
        <w:t xml:space="preserve"> of FDG-avid rare or uncommon cancer types for which it is not currently MBS funded</w:t>
      </w:r>
      <w:r w:rsidR="00190B8E">
        <w:t>.</w:t>
      </w:r>
    </w:p>
    <w:p w14:paraId="3F714244" w14:textId="02FE8223" w:rsidR="000055BA" w:rsidRDefault="000055BA" w:rsidP="000055BA">
      <w:r>
        <w:t xml:space="preserve">MSAC noted that FDG </w:t>
      </w:r>
      <w:r w:rsidR="00FB32FC">
        <w:t xml:space="preserve">PET/CT </w:t>
      </w:r>
      <w:r>
        <w:t xml:space="preserve">is a mature technology and currently the </w:t>
      </w:r>
      <w:r w:rsidR="00FB32FC">
        <w:t xml:space="preserve">HTA </w:t>
      </w:r>
      <w:r>
        <w:t>process is complex</w:t>
      </w:r>
      <w:r w:rsidR="00FB32FC">
        <w:t>. As such</w:t>
      </w:r>
      <w:r>
        <w:t xml:space="preserve">, the original aim of the PET </w:t>
      </w:r>
      <w:r w:rsidR="00180665">
        <w:t>P</w:t>
      </w:r>
      <w:r>
        <w:t>roject was to try to simplify th</w:t>
      </w:r>
      <w:r w:rsidR="00FB32FC">
        <w:t>is</w:t>
      </w:r>
      <w:r>
        <w:t xml:space="preserve"> process, </w:t>
      </w:r>
      <w:r w:rsidR="00FB32FC">
        <w:t xml:space="preserve">focussing first on initial </w:t>
      </w:r>
      <w:r>
        <w:t xml:space="preserve">staging, </w:t>
      </w:r>
      <w:r w:rsidR="00FB32FC">
        <w:t xml:space="preserve">then </w:t>
      </w:r>
      <w:r>
        <w:t xml:space="preserve">restaging and </w:t>
      </w:r>
      <w:r w:rsidR="00FB32FC">
        <w:t xml:space="preserve">then </w:t>
      </w:r>
      <w:r>
        <w:t>treatment response (</w:t>
      </w:r>
      <w:r w:rsidR="00FB32FC">
        <w:t xml:space="preserve">with each purpose </w:t>
      </w:r>
      <w:r w:rsidR="003C6015">
        <w:t xml:space="preserve">agnostic for </w:t>
      </w:r>
      <w:r>
        <w:t xml:space="preserve">cancer type). </w:t>
      </w:r>
      <w:r w:rsidRPr="00190B8E">
        <w:t>MSAC</w:t>
      </w:r>
      <w:r>
        <w:t xml:space="preserve"> noted that the </w:t>
      </w:r>
      <w:r w:rsidR="00180665">
        <w:t>P</w:t>
      </w:r>
      <w:r>
        <w:t xml:space="preserve">roject has deviated from that aim. However, </w:t>
      </w:r>
      <w:r w:rsidRPr="00190B8E">
        <w:t>MSAC</w:t>
      </w:r>
      <w:r>
        <w:t xml:space="preserve"> noted that there are currently people who need this technology </w:t>
      </w:r>
      <w:r w:rsidR="00530C80">
        <w:t>(which has</w:t>
      </w:r>
      <w:r w:rsidR="00FB32FC">
        <w:t xml:space="preserve"> accepted utility and safety</w:t>
      </w:r>
      <w:r w:rsidR="00530C80">
        <w:t>)</w:t>
      </w:r>
      <w:r w:rsidR="001F7A88">
        <w:t>,</w:t>
      </w:r>
      <w:r>
        <w:t xml:space="preserve"> and yet </w:t>
      </w:r>
      <w:r w:rsidR="00FB32FC">
        <w:t xml:space="preserve">a </w:t>
      </w:r>
      <w:r>
        <w:t xml:space="preserve">full MSAC assessment process </w:t>
      </w:r>
      <w:r w:rsidR="00FB32FC">
        <w:t xml:space="preserve">is expected </w:t>
      </w:r>
      <w:r>
        <w:t xml:space="preserve">to assess </w:t>
      </w:r>
      <w:r w:rsidR="00FB32FC">
        <w:t>its value in cost-effectiveness terms</w:t>
      </w:r>
      <w:r>
        <w:t xml:space="preserve">. </w:t>
      </w:r>
      <w:r w:rsidRPr="00190B8E">
        <w:t>MSAC</w:t>
      </w:r>
      <w:r>
        <w:t xml:space="preserve"> noted that</w:t>
      </w:r>
      <w:r w:rsidR="003C6015">
        <w:t xml:space="preserve"> most of these applications are from</w:t>
      </w:r>
      <w:r>
        <w:t xml:space="preserve"> </w:t>
      </w:r>
      <w:r w:rsidR="003C6015">
        <w:t>the Australasian Association of Nuclear Medicine Specialists (AANMS)</w:t>
      </w:r>
      <w:r>
        <w:t xml:space="preserve">. The question is, if </w:t>
      </w:r>
      <w:r w:rsidRPr="00190B8E">
        <w:t>MSAC</w:t>
      </w:r>
      <w:r>
        <w:t xml:space="preserve"> agrees that there are patients who are having FDG </w:t>
      </w:r>
      <w:r w:rsidR="00FB32FC">
        <w:t xml:space="preserve">PET/CT without a rebate from </w:t>
      </w:r>
      <w:r>
        <w:t xml:space="preserve">Medicare, how can </w:t>
      </w:r>
      <w:r w:rsidR="001F7A88">
        <w:t>the value of this be</w:t>
      </w:r>
      <w:r>
        <w:t xml:space="preserve"> demonstrate</w:t>
      </w:r>
      <w:r w:rsidR="001F7A88">
        <w:t>d</w:t>
      </w:r>
      <w:r>
        <w:t xml:space="preserve"> without </w:t>
      </w:r>
      <w:r w:rsidR="00530C80">
        <w:t xml:space="preserve">expending </w:t>
      </w:r>
      <w:r>
        <w:t xml:space="preserve">the </w:t>
      </w:r>
      <w:r w:rsidR="00530C80">
        <w:t>resources required to undertake</w:t>
      </w:r>
      <w:r>
        <w:t xml:space="preserve"> a</w:t>
      </w:r>
      <w:r w:rsidR="001F7A88">
        <w:t xml:space="preserve"> full</w:t>
      </w:r>
      <w:r>
        <w:t xml:space="preserve"> MSAC assessment?</w:t>
      </w:r>
    </w:p>
    <w:p w14:paraId="4BCE395D" w14:textId="16E0F75D" w:rsidR="00A80B0D" w:rsidRDefault="001F7A88" w:rsidP="0004628B">
      <w:r>
        <w:t xml:space="preserve">In this context, </w:t>
      </w:r>
      <w:r w:rsidR="000055BA" w:rsidRPr="000055BA">
        <w:t>MSAC</w:t>
      </w:r>
      <w:r w:rsidR="000055BA">
        <w:t xml:space="preserve"> </w:t>
      </w:r>
      <w:r w:rsidR="005C31A1">
        <w:t>noted that using FDG</w:t>
      </w:r>
      <w:r w:rsidR="00D73112">
        <w:t xml:space="preserve"> </w:t>
      </w:r>
      <w:r w:rsidR="005C31A1">
        <w:t>PET/CT for common cancer</w:t>
      </w:r>
      <w:r w:rsidR="00027EFB">
        <w:t xml:space="preserve"> type</w:t>
      </w:r>
      <w:r w:rsidR="005C31A1">
        <w:t xml:space="preserve">s would mean that there </w:t>
      </w:r>
      <w:r w:rsidR="00D73112">
        <w:t>are greater</w:t>
      </w:r>
      <w:r w:rsidR="005C31A1">
        <w:t xml:space="preserve"> financial </w:t>
      </w:r>
      <w:r w:rsidR="00D73112">
        <w:t>implications</w:t>
      </w:r>
      <w:r w:rsidR="005C31A1">
        <w:t xml:space="preserve"> because of the greater number of patients. MSAC therefore </w:t>
      </w:r>
      <w:r>
        <w:t xml:space="preserve">considered </w:t>
      </w:r>
      <w:r w:rsidR="000055BA">
        <w:t xml:space="preserve">that there </w:t>
      </w:r>
      <w:r>
        <w:t>we</w:t>
      </w:r>
      <w:r w:rsidR="000055BA">
        <w:t xml:space="preserve">re </w:t>
      </w:r>
      <w:r w:rsidR="00781B7E">
        <w:t xml:space="preserve">several </w:t>
      </w:r>
      <w:r w:rsidR="000055BA">
        <w:t xml:space="preserve">directions to go </w:t>
      </w:r>
      <w:r>
        <w:t xml:space="preserve">to evaluate </w:t>
      </w:r>
      <w:r w:rsidR="005C31A1">
        <w:t xml:space="preserve">the </w:t>
      </w:r>
      <w:r w:rsidR="00781B7E">
        <w:t xml:space="preserve">currently unfunded </w:t>
      </w:r>
      <w:r w:rsidR="005C31A1">
        <w:t>use</w:t>
      </w:r>
      <w:r w:rsidR="00781B7E">
        <w:t>s</w:t>
      </w:r>
      <w:r w:rsidR="005C31A1">
        <w:t xml:space="preserve"> of FDG PET/CT in </w:t>
      </w:r>
      <w:r>
        <w:t xml:space="preserve">FDG-avid </w:t>
      </w:r>
      <w:r w:rsidR="000055BA">
        <w:t>cancer</w:t>
      </w:r>
      <w:r>
        <w:t xml:space="preserve"> type</w:t>
      </w:r>
      <w:r w:rsidR="000055BA">
        <w:t>s</w:t>
      </w:r>
      <w:r w:rsidR="00984622">
        <w:t>. One way would be to</w:t>
      </w:r>
      <w:r w:rsidR="0004628B">
        <w:t xml:space="preserve"> </w:t>
      </w:r>
      <w:r w:rsidR="005C31A1">
        <w:t xml:space="preserve">limit the next step to </w:t>
      </w:r>
      <w:r w:rsidR="0004628B">
        <w:t xml:space="preserve">just </w:t>
      </w:r>
      <w:r w:rsidR="005C31A1">
        <w:t xml:space="preserve">an evaluation of </w:t>
      </w:r>
      <w:r w:rsidR="0004628B">
        <w:t>initial st</w:t>
      </w:r>
      <w:r w:rsidR="00984622">
        <w:t>aging</w:t>
      </w:r>
      <w:r w:rsidR="00781B7E">
        <w:t xml:space="preserve"> in currently unfunded common cancer types</w:t>
      </w:r>
      <w:r w:rsidR="00984622">
        <w:t>,</w:t>
      </w:r>
      <w:r w:rsidR="0004628B">
        <w:t xml:space="preserve"> </w:t>
      </w:r>
      <w:r w:rsidR="005C31A1">
        <w:t xml:space="preserve">noting </w:t>
      </w:r>
      <w:r w:rsidR="00984622">
        <w:t xml:space="preserve">the </w:t>
      </w:r>
      <w:r w:rsidR="005C31A1">
        <w:t xml:space="preserve">identified </w:t>
      </w:r>
      <w:r w:rsidR="0004628B">
        <w:t xml:space="preserve">caveats of </w:t>
      </w:r>
      <w:r w:rsidR="005C31A1">
        <w:t xml:space="preserve">applying </w:t>
      </w:r>
      <w:r w:rsidR="00984622">
        <w:t xml:space="preserve">a </w:t>
      </w:r>
      <w:r w:rsidR="0004628B">
        <w:t xml:space="preserve">truncated </w:t>
      </w:r>
      <w:r w:rsidR="00984622">
        <w:t>GEM</w:t>
      </w:r>
      <w:r w:rsidR="0004628B">
        <w:t xml:space="preserve">. </w:t>
      </w:r>
      <w:r w:rsidR="00781B7E">
        <w:t>An</w:t>
      </w:r>
      <w:r w:rsidR="005C31A1">
        <w:t xml:space="preserve"> alternative</w:t>
      </w:r>
      <w:r w:rsidR="00984622">
        <w:t xml:space="preserve"> would be</w:t>
      </w:r>
      <w:r w:rsidR="0004628B">
        <w:t xml:space="preserve"> to </w:t>
      </w:r>
      <w:r w:rsidR="00781B7E">
        <w:t>limit the next step to</w:t>
      </w:r>
      <w:r w:rsidR="005C31A1">
        <w:t xml:space="preserve"> </w:t>
      </w:r>
      <w:r w:rsidR="00984622">
        <w:t>purposes</w:t>
      </w:r>
      <w:r w:rsidR="0004628B">
        <w:t xml:space="preserve"> subs</w:t>
      </w:r>
      <w:r w:rsidR="00984622">
        <w:t>equent to</w:t>
      </w:r>
      <w:r w:rsidR="0004628B">
        <w:t xml:space="preserve"> </w:t>
      </w:r>
      <w:r w:rsidR="005C31A1">
        <w:t xml:space="preserve">initial </w:t>
      </w:r>
      <w:r w:rsidR="0004628B">
        <w:t>staging</w:t>
      </w:r>
      <w:r w:rsidR="00781B7E">
        <w:t xml:space="preserve"> in currently unfunded uncommon or rare cancer types</w:t>
      </w:r>
      <w:r w:rsidR="00D73112">
        <w:t>, which would incur multiple uses per patient and therefore greater financial implications</w:t>
      </w:r>
      <w:r w:rsidR="005C31A1">
        <w:t xml:space="preserve">. </w:t>
      </w:r>
      <w:r w:rsidR="008A1859">
        <w:t>Other alternatives could be various combinations of these first two options. All</w:t>
      </w:r>
      <w:r w:rsidR="005C31A1">
        <w:t xml:space="preserve"> options could be put to potential </w:t>
      </w:r>
      <w:r w:rsidR="00984622">
        <w:t>applicant</w:t>
      </w:r>
      <w:r w:rsidR="005C31A1">
        <w:t>s (likely AANMS) to gauge their preference in making</w:t>
      </w:r>
      <w:r w:rsidR="0004628B">
        <w:t xml:space="preserve"> </w:t>
      </w:r>
      <w:r w:rsidR="00984622">
        <w:t>an</w:t>
      </w:r>
      <w:r w:rsidR="0004628B">
        <w:t xml:space="preserve"> application</w:t>
      </w:r>
      <w:r w:rsidR="005C31A1">
        <w:t>, noting that t</w:t>
      </w:r>
      <w:r w:rsidR="00984622">
        <w:t xml:space="preserve">his would most likely be </w:t>
      </w:r>
      <w:r w:rsidR="005C31A1">
        <w:t xml:space="preserve">processed </w:t>
      </w:r>
      <w:r w:rsidR="00984622">
        <w:t xml:space="preserve">as a </w:t>
      </w:r>
      <w:r w:rsidR="003C6015">
        <w:t>Department contracted assessment report (</w:t>
      </w:r>
      <w:r w:rsidR="00984622">
        <w:t>DCAR</w:t>
      </w:r>
      <w:r w:rsidR="003C6015">
        <w:t>)</w:t>
      </w:r>
      <w:r w:rsidR="00984622">
        <w:t xml:space="preserve"> </w:t>
      </w:r>
      <w:r w:rsidR="005C31A1">
        <w:t>given its complexity</w:t>
      </w:r>
      <w:r w:rsidR="0004628B">
        <w:t>.</w:t>
      </w:r>
    </w:p>
    <w:p w14:paraId="3F3A9168" w14:textId="39FE8869" w:rsidR="0004628B" w:rsidRDefault="001D0401" w:rsidP="0004628B">
      <w:r>
        <w:t xml:space="preserve">MSAC </w:t>
      </w:r>
      <w:r w:rsidR="008A1859">
        <w:t xml:space="preserve">suggested </w:t>
      </w:r>
      <w:r>
        <w:t>that the next step</w:t>
      </w:r>
      <w:r w:rsidR="00684819">
        <w:t>s are for the Department</w:t>
      </w:r>
      <w:r>
        <w:t xml:space="preserve"> to </w:t>
      </w:r>
      <w:r w:rsidR="0004628B">
        <w:t xml:space="preserve">consult with </w:t>
      </w:r>
      <w:bookmarkStart w:id="0" w:name="_Hlk89675360"/>
      <w:r w:rsidRPr="001D0401">
        <w:t xml:space="preserve">AANMS </w:t>
      </w:r>
      <w:bookmarkEnd w:id="0"/>
      <w:r w:rsidR="00153BCC">
        <w:t xml:space="preserve">and share the results of using </w:t>
      </w:r>
      <w:r w:rsidR="00530C80">
        <w:t xml:space="preserve">the </w:t>
      </w:r>
      <w:r w:rsidR="00153BCC">
        <w:t>GEM for initial staging</w:t>
      </w:r>
      <w:r w:rsidR="00D73112">
        <w:t xml:space="preserve"> of rare or uncommon cancer</w:t>
      </w:r>
      <w:r w:rsidR="00027EFB">
        <w:t xml:space="preserve"> type</w:t>
      </w:r>
      <w:r w:rsidR="00D73112">
        <w:t>s</w:t>
      </w:r>
      <w:r w:rsidR="00684819">
        <w:t>,</w:t>
      </w:r>
      <w:r w:rsidR="000055BA">
        <w:t xml:space="preserve"> </w:t>
      </w:r>
      <w:r w:rsidR="00684819">
        <w:t xml:space="preserve">as well as </w:t>
      </w:r>
      <w:r w:rsidR="00D73112">
        <w:t xml:space="preserve">to </w:t>
      </w:r>
      <w:r w:rsidR="00684819">
        <w:t xml:space="preserve">determine </w:t>
      </w:r>
      <w:r w:rsidR="000055BA">
        <w:t>the next</w:t>
      </w:r>
      <w:r w:rsidR="007854E3">
        <w:t xml:space="preserve"> </w:t>
      </w:r>
      <w:r w:rsidR="00437742">
        <w:t xml:space="preserve">stages of the PET </w:t>
      </w:r>
      <w:r w:rsidR="00180665">
        <w:t>P</w:t>
      </w:r>
      <w:r w:rsidR="00437742">
        <w:t>roject</w:t>
      </w:r>
      <w:r w:rsidR="0004628B">
        <w:t>.</w:t>
      </w:r>
    </w:p>
    <w:p w14:paraId="299BD212" w14:textId="0865475D" w:rsidR="00FB457E" w:rsidRPr="00FB457E" w:rsidRDefault="00FB457E" w:rsidP="00FB457E">
      <w:pPr>
        <w:pStyle w:val="Heading1"/>
      </w:pPr>
      <w:r w:rsidRPr="00FB457E">
        <w:lastRenderedPageBreak/>
        <w:t>July 2021</w:t>
      </w:r>
    </w:p>
    <w:p w14:paraId="57531410" w14:textId="77777777" w:rsidR="00FB457E" w:rsidRDefault="00FB457E" w:rsidP="00FB457E">
      <w:pPr>
        <w:pStyle w:val="Heading1"/>
      </w:pPr>
      <w:r w:rsidRPr="00972B87">
        <w:t xml:space="preserve">Application No. </w:t>
      </w:r>
      <w:r>
        <w:t>1562</w:t>
      </w:r>
      <w:r w:rsidRPr="00972B87">
        <w:t xml:space="preserve"> – </w:t>
      </w:r>
      <w:r>
        <w:t>Streamlining of MSAC assessment of positron emission tomography (PET) project</w:t>
      </w:r>
    </w:p>
    <w:p w14:paraId="29358E71" w14:textId="74C401A7" w:rsidR="00FB457E" w:rsidRDefault="00FB457E" w:rsidP="00FB457E">
      <w:r>
        <w:t xml:space="preserve">MSAC noted that the current extent of </w:t>
      </w:r>
      <w:r w:rsidRPr="00C128A1">
        <w:t>Medicare Benefits Schedule</w:t>
      </w:r>
      <w:r>
        <w:t xml:space="preserve"> (MBS) funding for positron emission tomography/computed tomography (PET/CT) use is relatively small compared to the current extent of clinically accepted use. As part of the MBS Review, the Diagnostic Imaging Clinical Committee recommended use of four clinically based, cancer agnostic indications for MBS funding of </w:t>
      </w:r>
      <w:r>
        <w:rPr>
          <w:lang w:eastAsia="en-US"/>
        </w:rPr>
        <w:t>fluorodeoxyglucose positron (</w:t>
      </w:r>
      <w:r>
        <w:t>FDG) PET/CT: diagnosis, staging, response assessment, and re-staging for suspected residual or recurrent cancer.</w:t>
      </w:r>
      <w:r w:rsidRPr="00103BB7">
        <w:t xml:space="preserve"> </w:t>
      </w:r>
      <w:r>
        <w:t xml:space="preserve">The PET Project was initiated in recognition of the limited resources and availability of relevant evidence to conduct conventional </w:t>
      </w:r>
      <w:r>
        <w:rPr>
          <w:lang w:eastAsia="en-US"/>
        </w:rPr>
        <w:t>health technology assessments</w:t>
      </w:r>
      <w:r>
        <w:t xml:space="preserve"> to evaluate FDG PET/CT across all cancer types and across all purposes. The initial focus of the </w:t>
      </w:r>
      <w:r w:rsidR="00180665">
        <w:t>P</w:t>
      </w:r>
      <w:r>
        <w:t xml:space="preserve">roject was </w:t>
      </w:r>
      <w:r w:rsidR="000479E4">
        <w:t>initial staging of</w:t>
      </w:r>
      <w:r>
        <w:t xml:space="preserve"> rare or uncommon cancer</w:t>
      </w:r>
      <w:r w:rsidR="00027EFB">
        <w:t xml:space="preserve"> type</w:t>
      </w:r>
      <w:r>
        <w:t>s, which collectively account for 30% of new cancer diagnoses, and for which an initial set of five eligibility criteria were established to triage the cancer types to be assessed.</w:t>
      </w:r>
    </w:p>
    <w:p w14:paraId="06A65CB9" w14:textId="240BE7B1" w:rsidR="00FB457E" w:rsidRDefault="00FB457E" w:rsidP="00FB457E">
      <w:r>
        <w:t xml:space="preserve">MSAC noted that the June 2021 </w:t>
      </w:r>
      <w:r w:rsidRPr="00202C3B">
        <w:t>ESC</w:t>
      </w:r>
      <w:r>
        <w:t xml:space="preserve"> </w:t>
      </w:r>
      <w:r w:rsidRPr="00202C3B">
        <w:t xml:space="preserve">meeting reviewed the Overarching Report </w:t>
      </w:r>
      <w:r>
        <w:t>for the PET Project</w:t>
      </w:r>
      <w:r w:rsidRPr="00202C3B">
        <w:t xml:space="preserve"> and w</w:t>
      </w:r>
      <w:r>
        <w:t>as</w:t>
      </w:r>
      <w:r w:rsidRPr="00202C3B">
        <w:t xml:space="preserve"> supportive of the</w:t>
      </w:r>
      <w:r>
        <w:t xml:space="preserve"> piloting of the </w:t>
      </w:r>
      <w:r>
        <w:rPr>
          <w:lang w:eastAsia="en-US"/>
        </w:rPr>
        <w:t>generic economic model</w:t>
      </w:r>
      <w:r w:rsidRPr="00202C3B">
        <w:t xml:space="preserve"> </w:t>
      </w:r>
      <w:r>
        <w:t>(</w:t>
      </w:r>
      <w:r w:rsidRPr="00202C3B">
        <w:t>GEM</w:t>
      </w:r>
      <w:r>
        <w:t>)</w:t>
      </w:r>
      <w:r w:rsidRPr="00202C3B">
        <w:t xml:space="preserve"> approach for the </w:t>
      </w:r>
      <w:r>
        <w:t>assessment</w:t>
      </w:r>
      <w:r w:rsidRPr="00202C3B">
        <w:t xml:space="preserve"> of rare </w:t>
      </w:r>
      <w:r>
        <w:t xml:space="preserve">or uncommon </w:t>
      </w:r>
      <w:r w:rsidRPr="00202C3B">
        <w:t>cancer</w:t>
      </w:r>
      <w:r w:rsidR="00027EFB">
        <w:t xml:space="preserve"> type</w:t>
      </w:r>
      <w:r w:rsidRPr="00202C3B">
        <w:t>s</w:t>
      </w:r>
      <w:r>
        <w:t xml:space="preserve"> based on two validation studies </w:t>
      </w:r>
      <w:r w:rsidRPr="00202C3B">
        <w:t xml:space="preserve">and five </w:t>
      </w:r>
      <w:r>
        <w:t>case</w:t>
      </w:r>
      <w:r w:rsidRPr="00202C3B">
        <w:t xml:space="preserve"> studies.</w:t>
      </w:r>
    </w:p>
    <w:p w14:paraId="373FC640" w14:textId="77777777" w:rsidR="00FB457E" w:rsidRDefault="00FB457E" w:rsidP="00FB457E">
      <w:pPr>
        <w:pStyle w:val="NormalBeforeBullet"/>
      </w:pPr>
      <w:r>
        <w:t>MSAC noted that it been requested to:</w:t>
      </w:r>
    </w:p>
    <w:p w14:paraId="24A56310" w14:textId="1E8057E2" w:rsidR="00FB457E" w:rsidRDefault="00FB457E" w:rsidP="00804760">
      <w:pPr>
        <w:pStyle w:val="Bullet"/>
        <w:ind w:left="720"/>
      </w:pPr>
      <w:r>
        <w:t>support/reject/defer MBS funding for the rare</w:t>
      </w:r>
      <w:r w:rsidR="00027EFB">
        <w:t xml:space="preserve"> or </w:t>
      </w:r>
      <w:r>
        <w:t>uncommon cancer</w:t>
      </w:r>
      <w:r w:rsidR="00027EFB">
        <w:t xml:space="preserve"> type</w:t>
      </w:r>
      <w:r>
        <w:t>s assessed to date</w:t>
      </w:r>
    </w:p>
    <w:p w14:paraId="77D6202C" w14:textId="1B12C966" w:rsidR="00FB457E" w:rsidRDefault="00FB457E" w:rsidP="00804760">
      <w:pPr>
        <w:pStyle w:val="Bullet"/>
        <w:ind w:left="720"/>
      </w:pPr>
      <w:r>
        <w:t xml:space="preserve">make recommendations regarding publication of the </w:t>
      </w:r>
      <w:r w:rsidR="00180665">
        <w:t>P</w:t>
      </w:r>
      <w:r>
        <w:t>roject report</w:t>
      </w:r>
    </w:p>
    <w:p w14:paraId="6C9D1D23" w14:textId="3531550D" w:rsidR="00FB457E" w:rsidRDefault="00FB457E" w:rsidP="00804760">
      <w:pPr>
        <w:pStyle w:val="Bullet"/>
        <w:ind w:left="720"/>
      </w:pPr>
      <w:r>
        <w:t xml:space="preserve">make recommendations regarding the assessments to be conducted in the next phase of this </w:t>
      </w:r>
      <w:r w:rsidR="00180665">
        <w:t>P</w:t>
      </w:r>
      <w:r>
        <w:t>roject.</w:t>
      </w:r>
    </w:p>
    <w:p w14:paraId="6273A9F2" w14:textId="77777777" w:rsidR="00FB457E" w:rsidRDefault="00FB457E" w:rsidP="00FB457E">
      <w:pPr>
        <w:pStyle w:val="NormalBeforeBullet"/>
      </w:pPr>
      <w:r>
        <w:t>MSAC noted the overarching aims of the PET Project:</w:t>
      </w:r>
    </w:p>
    <w:p w14:paraId="0A4B87DA" w14:textId="3CB84873" w:rsidR="00FB457E" w:rsidRDefault="00FB457E" w:rsidP="00804760">
      <w:pPr>
        <w:pStyle w:val="Bullet"/>
        <w:ind w:left="720"/>
      </w:pPr>
      <w:r>
        <w:t>explore the feasibility of facilitated assessments of FDG PET/CT in rare</w:t>
      </w:r>
      <w:r w:rsidR="00027EFB">
        <w:t xml:space="preserve"> or </w:t>
      </w:r>
      <w:r>
        <w:t>uncommon cancer</w:t>
      </w:r>
      <w:r w:rsidR="00027EFB">
        <w:t xml:space="preserve"> type</w:t>
      </w:r>
      <w:r>
        <w:t>s for diagnosis, initial staging, re-staging for suspected residual or recurrent disease, treatment response assessment and monitoring</w:t>
      </w:r>
    </w:p>
    <w:p w14:paraId="0EA76EFF" w14:textId="5036FAC0" w:rsidR="00FB457E" w:rsidRDefault="00FB457E" w:rsidP="00804760">
      <w:pPr>
        <w:pStyle w:val="Bullet"/>
        <w:ind w:left="720"/>
      </w:pPr>
      <w:r>
        <w:t>explore the feasibility of facilitated assessments of FDG PET/CT for the purposes as above, but in common cancer</w:t>
      </w:r>
      <w:r w:rsidR="00027EFB">
        <w:t xml:space="preserve"> type</w:t>
      </w:r>
      <w:r>
        <w:t>s</w:t>
      </w:r>
    </w:p>
    <w:p w14:paraId="4859D3F9" w14:textId="77777777" w:rsidR="00FB457E" w:rsidRDefault="00FB457E" w:rsidP="00804760">
      <w:pPr>
        <w:pStyle w:val="Bullet"/>
        <w:ind w:left="720"/>
      </w:pPr>
      <w:r>
        <w:t>explore the feasibility of facilitated assessments of FDG PET/CT outside oncology, and for assessments of other imaging modalities.</w:t>
      </w:r>
    </w:p>
    <w:p w14:paraId="3925DF29" w14:textId="5F1F188F" w:rsidR="00FB457E" w:rsidRDefault="00FB457E" w:rsidP="00FB457E">
      <w:r>
        <w:t>MSAC noted that to date, the specific aims were to e</w:t>
      </w:r>
      <w:r w:rsidRPr="0033190E">
        <w:t xml:space="preserve">xplore the development of a streamlined approach to assessing FDG PET/CT for initial staging </w:t>
      </w:r>
      <w:r>
        <w:t xml:space="preserve">to detect </w:t>
      </w:r>
      <w:r w:rsidRPr="0033190E">
        <w:t xml:space="preserve">metastatic disease </w:t>
      </w:r>
      <w:r>
        <w:t>in</w:t>
      </w:r>
      <w:r w:rsidRPr="0033190E">
        <w:t xml:space="preserve"> rare or uncommon cancer</w:t>
      </w:r>
      <w:r w:rsidR="00027EFB">
        <w:t xml:space="preserve"> type</w:t>
      </w:r>
      <w:r w:rsidRPr="0033190E">
        <w:t>s</w:t>
      </w:r>
      <w:r>
        <w:t xml:space="preserve">. MSAC acknowledged that the progress of the </w:t>
      </w:r>
      <w:r w:rsidR="00180665">
        <w:t>P</w:t>
      </w:r>
      <w:r>
        <w:t xml:space="preserve">roject was well-regarded by those providers of FDG PET/CT who have been involved in the </w:t>
      </w:r>
      <w:r w:rsidR="00180665">
        <w:t>P</w:t>
      </w:r>
      <w:r>
        <w:t>roject.</w:t>
      </w:r>
    </w:p>
    <w:p w14:paraId="7CEEEA5A" w14:textId="06F4D797" w:rsidR="00FB457E" w:rsidRDefault="00FB457E" w:rsidP="00FB457E">
      <w:r>
        <w:t xml:space="preserve">MSAC noted that, for the purpose of initial staging, the GEM used a truncated time horizon (12 months) because of modelling complexities and the intention to later add downstream FDG PET/CT purposes with an extended time horizon. </w:t>
      </w:r>
      <w:r>
        <w:rPr>
          <w:rStyle w:val="normaltextrun"/>
          <w:shd w:val="clear" w:color="auto" w:fill="FFFFFF"/>
        </w:rPr>
        <w:t xml:space="preserve">This decision reduced the complexity of the model by excluding subsequent interventions (both subsequent investigations and </w:t>
      </w:r>
      <w:r>
        <w:rPr>
          <w:rStyle w:val="normaltextrun"/>
          <w:shd w:val="clear" w:color="auto" w:fill="FFFFFF"/>
        </w:rPr>
        <w:lastRenderedPageBreak/>
        <w:t>subsequent treatments) beyond those initially informed by the initial staging scan.</w:t>
      </w:r>
      <w:r w:rsidR="000479E4">
        <w:rPr>
          <w:rStyle w:val="normaltextrun"/>
          <w:shd w:val="clear" w:color="auto" w:fill="FFFFFF"/>
        </w:rPr>
        <w:t xml:space="preserve"> </w:t>
      </w:r>
      <w:r>
        <w:rPr>
          <w:rStyle w:val="normaltextrun"/>
          <w:shd w:val="clear" w:color="auto" w:fill="FFFFFF"/>
        </w:rPr>
        <w:t>It</w:t>
      </w:r>
      <w:r w:rsidR="000479E4">
        <w:rPr>
          <w:rStyle w:val="normaltextrun"/>
          <w:shd w:val="clear" w:color="auto" w:fill="FFFFFF"/>
        </w:rPr>
        <w:t xml:space="preserve"> </w:t>
      </w:r>
      <w:r>
        <w:rPr>
          <w:rStyle w:val="normaltextrun"/>
          <w:shd w:val="clear" w:color="auto" w:fill="FFFFFF"/>
        </w:rPr>
        <w:t>also</w:t>
      </w:r>
      <w:r w:rsidR="000479E4">
        <w:rPr>
          <w:rStyle w:val="normaltextrun"/>
          <w:shd w:val="clear" w:color="auto" w:fill="FFFFFF"/>
        </w:rPr>
        <w:t xml:space="preserve"> </w:t>
      </w:r>
      <w:r>
        <w:rPr>
          <w:rStyle w:val="normaltextrun"/>
          <w:shd w:val="clear" w:color="auto" w:fill="FFFFFF"/>
        </w:rPr>
        <w:t>reduced</w:t>
      </w:r>
      <w:r w:rsidR="000479E4">
        <w:rPr>
          <w:rStyle w:val="normaltextrun"/>
          <w:shd w:val="clear" w:color="auto" w:fill="FFFFFF"/>
        </w:rPr>
        <w:t xml:space="preserve"> </w:t>
      </w:r>
      <w:r>
        <w:rPr>
          <w:rStyle w:val="normaltextrun"/>
          <w:shd w:val="clear" w:color="auto" w:fill="FFFFFF"/>
        </w:rPr>
        <w:t>the number of additional inputs to inform the model. However, it also reduced the capacity of the model to fully capture net health gains attributable to the initial change in</w:t>
      </w:r>
      <w:r w:rsidR="000479E4">
        <w:rPr>
          <w:rStyle w:val="normaltextrun"/>
          <w:shd w:val="clear" w:color="auto" w:fill="FFFFFF"/>
        </w:rPr>
        <w:t xml:space="preserve"> </w:t>
      </w:r>
      <w:r>
        <w:rPr>
          <w:rStyle w:val="normaltextrun"/>
          <w:shd w:val="clear" w:color="auto" w:fill="FFFFFF"/>
        </w:rPr>
        <w:t>treatment options. One consequence of this truncation decision is that the utility gains in a CUA may be underestimated by the GEM, especially for those cancer types with a good prognosis beyond 12 months when the patient receives the correct treatment. </w:t>
      </w:r>
      <w:r>
        <w:t>However, this means that the GEM’s cost-effectiveness (incremental cost per extra improved treatment allocation decision) and truncated cost-utility (ICER/QALY) results are difficult to interpret, and it highlights the need to understand the drivers of the GEM through examination of these results across its seven applications. This is particularly the case when the corrected change in treatment is to recommend more intense treatment, because the associated disutility and increased costs are captured in the first 12 months, but health gains beyond 12 months are omitted.</w:t>
      </w:r>
    </w:p>
    <w:p w14:paraId="74A18351" w14:textId="77777777" w:rsidR="00FB457E" w:rsidRDefault="00FB457E" w:rsidP="00FB457E">
      <w:pPr>
        <w:rPr>
          <w:rStyle w:val="normaltextrun"/>
          <w:shd w:val="clear" w:color="auto" w:fill="FFFFFF"/>
        </w:rPr>
      </w:pPr>
      <w:r>
        <w:rPr>
          <w:rStyle w:val="normaltextrun"/>
          <w:shd w:val="clear" w:color="auto" w:fill="FFFFFF"/>
        </w:rPr>
        <w:t>MSAC noted that the validation exercises in breast cancer and prostate cancer supported acceptance of the GEM as they generated results in the same quadrant of the cost-effectiveness plane (increased costs and improved health outcomes). More convincing quantitative validation was impeded by the decision to truncate the GEM for initial staging purposes to a 12-month time horizon.</w:t>
      </w:r>
      <w:r w:rsidDel="00024B34">
        <w:rPr>
          <w:rStyle w:val="normaltextrun"/>
          <w:shd w:val="clear" w:color="auto" w:fill="FFFFFF"/>
        </w:rPr>
        <w:t xml:space="preserve"> </w:t>
      </w:r>
      <w:r>
        <w:t>MSAC recognised the value in extending the time horizon but noted that it would not be a simple matter as it would require the addition of Markov or other modelling.</w:t>
      </w:r>
    </w:p>
    <w:p w14:paraId="7337A7BE" w14:textId="77777777" w:rsidR="00FB457E" w:rsidRDefault="00FB457E" w:rsidP="00FB457E">
      <w:pPr>
        <w:rPr>
          <w:rStyle w:val="eop"/>
          <w:shd w:val="clear" w:color="auto" w:fill="FFFFFF"/>
        </w:rPr>
      </w:pPr>
      <w:r>
        <w:rPr>
          <w:rStyle w:val="normaltextrun"/>
          <w:shd w:val="clear" w:color="auto" w:fill="FFFFFF"/>
        </w:rPr>
        <w:t>MSAC therefore accepted ESC’s advice that the incremental cost per extra improved treatment allocation decision should be interpreted alongside the 12-month ICER/QALY for each cancer type.</w:t>
      </w:r>
    </w:p>
    <w:p w14:paraId="392B24D3" w14:textId="77777777" w:rsidR="00FB457E" w:rsidRDefault="00FB457E" w:rsidP="00FB457E">
      <w:r>
        <w:t xml:space="preserve">MSAC reviewed the </w:t>
      </w:r>
      <w:r w:rsidRPr="00202C3B">
        <w:t>table comparing the</w:t>
      </w:r>
      <w:r>
        <w:t>se</w:t>
      </w:r>
      <w:r w:rsidRPr="00202C3B">
        <w:t xml:space="preserve"> GEM results for the two validation cancer types and the five case studies</w:t>
      </w:r>
      <w:r>
        <w:t>, as suggested by ESC.</w:t>
      </w:r>
      <w:r w:rsidRPr="00202C3B">
        <w:t xml:space="preserve"> </w:t>
      </w:r>
      <w:r>
        <w:t>MSAC identified at least two likely drivers of the model: life expectancy without improved treatment, and life expectancy gained with improved treatment. Another driver may be the difference in costs per patient between the treatments for early and metastatic disease.</w:t>
      </w:r>
    </w:p>
    <w:p w14:paraId="473095C8" w14:textId="04C04B55" w:rsidR="00FB457E" w:rsidRDefault="00FB457E" w:rsidP="00FB457E">
      <w:r>
        <w:t xml:space="preserve">MSAC agreed with ESC that expert knowledge elicitation is a resource-intensive process, in terms of preparing the questions to elicit the necessary information in each case, selecting the experts and getting them to effectively communicate with each other, and reaching a consensus across the experts. MSAC considered that, while this method was useful to inform the reported case studies it is not feasible for every rare </w:t>
      </w:r>
      <w:r w:rsidR="00D73112">
        <w:t>or</w:t>
      </w:r>
      <w:r>
        <w:t xml:space="preserve"> uncommon cancer, and that a more facilitated approach will be needed in the future.</w:t>
      </w:r>
    </w:p>
    <w:p w14:paraId="2DEEFF69" w14:textId="1DEB8C68" w:rsidR="00FB457E" w:rsidRDefault="00FB457E" w:rsidP="00FB457E">
      <w:r>
        <w:t>MSAC noted that its usual approach is to identify if sufficient evidence is available to demonstrate that an intervention (FDG PET/CT) justifies public funding. The Committee considered the ESC suggestion of an alternative approach which would be for MSAC to accept that FDG PET/CT is a superior imaging modality for detecting metastases in FDG-avid cancers, and thus reverse the burden of proof so that funding is supported unless pre-defined eligibility criteria are not met. MSAC considered that this approach might be easier to apply for rare or uncommon cancer</w:t>
      </w:r>
      <w:r w:rsidR="00027EFB">
        <w:t xml:space="preserve"> type</w:t>
      </w:r>
      <w:r>
        <w:t>s, for which the financial cost to the MBS would be small, but harder to apply for common cancer</w:t>
      </w:r>
      <w:r w:rsidR="00027EFB">
        <w:t xml:space="preserve"> type</w:t>
      </w:r>
      <w:r>
        <w:t>s, for which the financial cost to the MBS would be noticeably greater. In this deliberative context, the relative influence of the “value of knowing” may also need to be considered.</w:t>
      </w:r>
    </w:p>
    <w:p w14:paraId="44C92C3F" w14:textId="25B87B67" w:rsidR="00FB457E" w:rsidRDefault="00FB457E" w:rsidP="00FB457E">
      <w:r>
        <w:lastRenderedPageBreak/>
        <w:t xml:space="preserve">MSAC noted that this </w:t>
      </w:r>
      <w:r w:rsidR="00180665">
        <w:t>P</w:t>
      </w:r>
      <w:r>
        <w:t>roject ha</w:t>
      </w:r>
      <w:r w:rsidR="00180665">
        <w:t>d</w:t>
      </w:r>
      <w:r>
        <w:t xml:space="preserve"> been in progress for 3 years so far and acknowledged the concern that many years or even decades could be spent trying to apply a model across every imaging purpose and cancer. MSAC accepted that the GEM provides a pragmatic way forward for further exploration to identify eligibility criteria or rules for assessing funding for initial staging in rare or uncommon cancer</w:t>
      </w:r>
      <w:r w:rsidR="00027EFB">
        <w:t xml:space="preserve"> type</w:t>
      </w:r>
      <w:r>
        <w:t>s (via facilitated or qualitative assessment), for use in supporting initial staging for common cancer</w:t>
      </w:r>
      <w:r w:rsidR="00027EFB">
        <w:t xml:space="preserve"> type</w:t>
      </w:r>
      <w:r>
        <w:t>s (via exemplar or quantitative assessment), and potentially for further extension to assess the downstream imaging purposes.</w:t>
      </w:r>
    </w:p>
    <w:p w14:paraId="74B34334" w14:textId="77777777" w:rsidR="00FB457E" w:rsidRDefault="00FB457E" w:rsidP="00FB457E">
      <w:r>
        <w:t>MSAC considered that the optimal time point at which to perform initial staging after initial diagnosis had not been considered in the case studies. For example, MSAC indicated that most anal cancers were cured following initial radiotherapy, suggesting that the likely best time to use FDG PET/CT to detect metastases would be after, not before, the initial therapy. One option to address this might be to consult with those who request initial staging. Another option might be to clearly limit initial staging to once per cancer diagnosis so that the requester of the service is incentivised to determine when best to request it.</w:t>
      </w:r>
    </w:p>
    <w:p w14:paraId="1C260553" w14:textId="77777777" w:rsidR="00FB457E" w:rsidRDefault="00FB457E" w:rsidP="00FB457E">
      <w:r>
        <w:t>MSAC considered that the work to date in the PET Project plausibly suggests that, with the exception of gastro-intestinal stromal tumours (GIST), initial staging with FDG PET/CT could be supported in all the other new cancer types assessed (pancreatic, anal, biliary, Merkel cell and Langerhans cell histiocytosis). MSAC accepted that GIST may not have met the initial triage criteria because it is staged differently, which might support the discriminative ability of the GEM and the criteria. The case of Langerhans cell histiocytosis in particular, was an example of where the early truncation of the model (resulting in a relatively large ICER/QALY estimate) underestimated the expected longer-term health gains of allocation to a more appropriate treatment. However, MSAC had reservations that the underlying drivers of the GEM and their inter-relationships had not been fully elucidated, including with reference to the set of seven truncated cost-utility analyses and cost-effectiveness analyses presented using the GEM. MSAC therefore decided that more clarity is needed so that a facilitated approach based on the proposed expansion to the initial triage eligibility criteria could be defined which, without requiring an extension of the time horizon for the ICER/QALY estimate, could satisfactorily account for the two types of results from the GEM. In this way, it would not take another 3 years to assess six more cancer types.</w:t>
      </w:r>
    </w:p>
    <w:p w14:paraId="79A6F620" w14:textId="6016B067" w:rsidR="00FB457E" w:rsidRDefault="00FB457E" w:rsidP="00FB457E">
      <w:r>
        <w:t xml:space="preserve">MSAC noted the need for a clear position and parameters on how to approach this task to enable expansion of this work, firstly to initial staging in other rare </w:t>
      </w:r>
      <w:r w:rsidR="00D73112">
        <w:t>or</w:t>
      </w:r>
      <w:r>
        <w:t xml:space="preserve"> uncommon FDG-avid cancer</w:t>
      </w:r>
      <w:r w:rsidR="00D73112">
        <w:t xml:space="preserve"> type</w:t>
      </w:r>
      <w:r>
        <w:t>s, then to initial staging in common FDG-avid cancer</w:t>
      </w:r>
      <w:r w:rsidR="00D73112">
        <w:t xml:space="preserve"> type</w:t>
      </w:r>
      <w:r>
        <w:t xml:space="preserve">s, and then to the wider objectives of the </w:t>
      </w:r>
      <w:r w:rsidR="00180665">
        <w:t>P</w:t>
      </w:r>
      <w:r>
        <w:t>roject.</w:t>
      </w:r>
    </w:p>
    <w:p w14:paraId="153D1394" w14:textId="2AD934CB" w:rsidR="00FB457E" w:rsidRDefault="00FB457E" w:rsidP="00FB457E">
      <w:r>
        <w:t xml:space="preserve">MSAC decided that the MSAC Executive should have a strategy-setting discussion, to clarify the above principles and request that the PET </w:t>
      </w:r>
      <w:r w:rsidR="00B55BE9">
        <w:t>Working G</w:t>
      </w:r>
      <w:r>
        <w:t xml:space="preserve">roup be engaged to help prepare for this discussion. The aim for the </w:t>
      </w:r>
      <w:r w:rsidR="00B55BE9">
        <w:t>PET Working Group</w:t>
      </w:r>
      <w:r>
        <w:t xml:space="preserve"> would be to prepare a paper for the following MSAC Executive meeting so that the matter can be brought back to MSAC for re-consideration in November 2021.</w:t>
      </w:r>
    </w:p>
    <w:p w14:paraId="0170B838" w14:textId="3E413442" w:rsidR="00FB457E" w:rsidRDefault="00FB457E" w:rsidP="00FB457E">
      <w:pPr>
        <w:pStyle w:val="Heading1"/>
      </w:pPr>
      <w:r>
        <w:lastRenderedPageBreak/>
        <w:t>November 2019</w:t>
      </w:r>
    </w:p>
    <w:p w14:paraId="595A0B95" w14:textId="69CB2337" w:rsidR="00FB457E" w:rsidRDefault="00FB457E" w:rsidP="00FB457E">
      <w:pPr>
        <w:pStyle w:val="Heading1"/>
        <w:spacing w:before="360"/>
      </w:pPr>
      <w:r w:rsidRPr="00972B87">
        <w:t xml:space="preserve">Application No. </w:t>
      </w:r>
      <w:r>
        <w:t>1562</w:t>
      </w:r>
      <w:r w:rsidRPr="00972B87">
        <w:t xml:space="preserve"> – </w:t>
      </w:r>
      <w:r w:rsidRPr="008A4DCB">
        <w:t>Development of an evaluation framework for positron emission tomography (PET) imaging services for cancer</w:t>
      </w:r>
    </w:p>
    <w:p w14:paraId="6E7B3369" w14:textId="77777777" w:rsidR="00FB457E" w:rsidRDefault="00FB457E" w:rsidP="00FB457E">
      <w:pPr>
        <w:pStyle w:val="Heading2"/>
      </w:pPr>
      <w:r>
        <w:t>Project update for MSAC</w:t>
      </w:r>
    </w:p>
    <w:p w14:paraId="07702CA6" w14:textId="3112DC28" w:rsidR="00FB457E" w:rsidRDefault="00FB457E" w:rsidP="00FB457E">
      <w:pPr>
        <w:pStyle w:val="NormalBeforeBullet"/>
      </w:pPr>
      <w:r>
        <w:t xml:space="preserve">MSAC noted the </w:t>
      </w:r>
      <w:r w:rsidR="00180665">
        <w:t>P</w:t>
      </w:r>
      <w:r>
        <w:t xml:space="preserve">roject aims for Application 1562 – </w:t>
      </w:r>
      <w:r w:rsidRPr="008A4DCB">
        <w:t>Development of an evaluation framework for positron emissi</w:t>
      </w:r>
      <w:bookmarkStart w:id="1" w:name="Editing"/>
      <w:bookmarkEnd w:id="1"/>
      <w:r w:rsidRPr="008A4DCB">
        <w:t>on tomography (PET) imaging services for cancer</w:t>
      </w:r>
      <w:r>
        <w:t>:</w:t>
      </w:r>
    </w:p>
    <w:p w14:paraId="756D8630" w14:textId="77777777" w:rsidR="00FB457E" w:rsidRPr="00BF183D" w:rsidRDefault="00FB457E" w:rsidP="00804760">
      <w:pPr>
        <w:pStyle w:val="Bullet"/>
        <w:ind w:left="720"/>
      </w:pPr>
      <w:r w:rsidRPr="00BF183D">
        <w:t>Immediate (Dec 2019 and Jan 2020)</w:t>
      </w:r>
    </w:p>
    <w:p w14:paraId="05C1CDE3" w14:textId="77A616EA" w:rsidR="00FB457E" w:rsidRPr="00BF183D" w:rsidRDefault="00FB457E" w:rsidP="00DF3B91">
      <w:pPr>
        <w:pStyle w:val="ListParagraph"/>
        <w:numPr>
          <w:ilvl w:val="1"/>
          <w:numId w:val="8"/>
        </w:numPr>
      </w:pPr>
      <w:r w:rsidRPr="00BF183D">
        <w:t xml:space="preserve">Confirm </w:t>
      </w:r>
      <w:r w:rsidRPr="00736903">
        <w:t>use</w:t>
      </w:r>
      <w:r>
        <w:t xml:space="preserve"> of</w:t>
      </w:r>
      <w:r w:rsidRPr="00BF183D">
        <w:t xml:space="preserve"> the streamlined assessment and generic economic model </w:t>
      </w:r>
      <w:r>
        <w:t>(GEM) for</w:t>
      </w:r>
      <w:r w:rsidRPr="00BF183D">
        <w:t xml:space="preserve"> PET/CT for initial staging of (up to) 10 appropriate cancer</w:t>
      </w:r>
      <w:r w:rsidR="00027EFB">
        <w:t xml:space="preserve"> type</w:t>
      </w:r>
      <w:r w:rsidRPr="00BF183D">
        <w:t>s.</w:t>
      </w:r>
    </w:p>
    <w:p w14:paraId="7704270C" w14:textId="77777777" w:rsidR="00FB457E" w:rsidRPr="00BF183D" w:rsidRDefault="00FB457E" w:rsidP="00804760">
      <w:pPr>
        <w:pStyle w:val="Bullet"/>
        <w:ind w:left="720"/>
      </w:pPr>
      <w:r w:rsidRPr="00BF183D">
        <w:t>Intermediate (mid-2020)</w:t>
      </w:r>
    </w:p>
    <w:p w14:paraId="755AF04A" w14:textId="77777777" w:rsidR="00FB457E" w:rsidRPr="00BF183D" w:rsidRDefault="00FB457E" w:rsidP="00DF3B91">
      <w:pPr>
        <w:pStyle w:val="ListParagraph"/>
        <w:numPr>
          <w:ilvl w:val="1"/>
          <w:numId w:val="8"/>
        </w:numPr>
      </w:pPr>
      <w:r w:rsidRPr="00BF183D">
        <w:t>Provide MSAC with a validated, timely and cost-effective approach to assessing PET/</w:t>
      </w:r>
      <w:r w:rsidRPr="00736903">
        <w:t>CT</w:t>
      </w:r>
      <w:r w:rsidRPr="00BF183D">
        <w:t xml:space="preserve"> in </w:t>
      </w:r>
      <w:r>
        <w:t>f</w:t>
      </w:r>
      <w:r w:rsidRPr="0071116B">
        <w:t xml:space="preserve">luorine 18 fluorodeoxyglucose </w:t>
      </w:r>
      <w:r>
        <w:t>(</w:t>
      </w:r>
      <w:r w:rsidRPr="00BF183D">
        <w:t>FDG</w:t>
      </w:r>
      <w:r>
        <w:t>)</w:t>
      </w:r>
      <w:r w:rsidRPr="00BF183D">
        <w:t>-avid cancers</w:t>
      </w:r>
      <w:r>
        <w:t xml:space="preserve"> for the purpose of initial staging</w:t>
      </w:r>
      <w:r w:rsidRPr="00BF183D">
        <w:t>.</w:t>
      </w:r>
    </w:p>
    <w:p w14:paraId="3CC14DAE" w14:textId="442C01DE" w:rsidR="00FB457E" w:rsidRPr="00BF183D" w:rsidRDefault="00FB457E" w:rsidP="00DF3B91">
      <w:pPr>
        <w:pStyle w:val="ListParagraph"/>
        <w:numPr>
          <w:ilvl w:val="1"/>
          <w:numId w:val="8"/>
        </w:numPr>
      </w:pPr>
      <w:r w:rsidRPr="00736903">
        <w:t>Provide</w:t>
      </w:r>
      <w:r w:rsidRPr="00BF183D">
        <w:t xml:space="preserve"> MSAC with evaluation results for nominated cancer</w:t>
      </w:r>
      <w:r w:rsidR="00027EFB">
        <w:t xml:space="preserve"> type</w:t>
      </w:r>
      <w:r w:rsidRPr="00BF183D">
        <w:t>s (up to 10).</w:t>
      </w:r>
    </w:p>
    <w:p w14:paraId="5ECDDD5B" w14:textId="3DF212C5" w:rsidR="00FB457E" w:rsidRPr="00BF183D" w:rsidRDefault="00FB457E" w:rsidP="00804760">
      <w:pPr>
        <w:pStyle w:val="Bullet"/>
        <w:ind w:left="720"/>
      </w:pPr>
      <w:r w:rsidRPr="00BF183D">
        <w:t>Long-term (provisional)</w:t>
      </w:r>
    </w:p>
    <w:p w14:paraId="1AB1E166" w14:textId="3B94C8F1" w:rsidR="00FB457E" w:rsidRPr="00BF183D" w:rsidRDefault="00FB457E" w:rsidP="00DF3B91">
      <w:pPr>
        <w:pStyle w:val="ListParagraph"/>
        <w:numPr>
          <w:ilvl w:val="1"/>
          <w:numId w:val="8"/>
        </w:numPr>
      </w:pPr>
      <w:r w:rsidRPr="00BF183D">
        <w:t xml:space="preserve">Investigate how subsequent use of PET/CT </w:t>
      </w:r>
      <w:r>
        <w:t xml:space="preserve">for the purposes of </w:t>
      </w:r>
      <w:r w:rsidRPr="00BF183D">
        <w:t xml:space="preserve">restaging and treatment monitoring should be evaluated using similar methodologies for </w:t>
      </w:r>
      <w:r>
        <w:t>assessing beyond common cancer</w:t>
      </w:r>
      <w:r w:rsidR="00027EFB">
        <w:t xml:space="preserve"> type</w:t>
      </w:r>
      <w:r>
        <w:t xml:space="preserve">s to also assess </w:t>
      </w:r>
      <w:r w:rsidRPr="00BF183D">
        <w:t xml:space="preserve">uncommon </w:t>
      </w:r>
      <w:r w:rsidR="00027EFB">
        <w:t>or</w:t>
      </w:r>
      <w:r w:rsidRPr="00BF183D">
        <w:t xml:space="preserve"> rare cancer</w:t>
      </w:r>
      <w:r w:rsidR="00027EFB">
        <w:t xml:space="preserve"> type</w:t>
      </w:r>
      <w:r w:rsidRPr="00BF183D">
        <w:t>s.</w:t>
      </w:r>
    </w:p>
    <w:p w14:paraId="3520CAC4" w14:textId="55ED9A4B" w:rsidR="00FB457E" w:rsidRDefault="00FB457E" w:rsidP="00DF3B91">
      <w:pPr>
        <w:pStyle w:val="ListParagraph"/>
        <w:numPr>
          <w:ilvl w:val="1"/>
          <w:numId w:val="8"/>
        </w:numPr>
      </w:pPr>
      <w:r w:rsidRPr="00BF183D">
        <w:t xml:space="preserve">If the above approach is proven successful, explore the possibility of rolling out the streamlined process and </w:t>
      </w:r>
      <w:r>
        <w:t>GEM</w:t>
      </w:r>
      <w:r w:rsidRPr="00BF183D">
        <w:t xml:space="preserve"> to evaluate other imaging modalities</w:t>
      </w:r>
      <w:r>
        <w:t xml:space="preserve"> in cancer beyond FDG</w:t>
      </w:r>
      <w:r w:rsidR="00634D16">
        <w:t xml:space="preserve"> </w:t>
      </w:r>
      <w:r>
        <w:t>PET/CT</w:t>
      </w:r>
      <w:r w:rsidRPr="00BF183D">
        <w:t>.</w:t>
      </w:r>
    </w:p>
    <w:p w14:paraId="710E1804" w14:textId="77777777" w:rsidR="00474408" w:rsidRDefault="00FB457E" w:rsidP="00FB457E">
      <w:pPr>
        <w:sectPr w:rsidR="00474408" w:rsidSect="00372C2A">
          <w:headerReference w:type="default" r:id="rId9"/>
          <w:footerReference w:type="even" r:id="rId10"/>
          <w:footerReference w:type="default" r:id="rId11"/>
          <w:footerReference w:type="first" r:id="rId12"/>
          <w:footnotePr>
            <w:numRestart w:val="eachSect"/>
          </w:footnotePr>
          <w:type w:val="oddPage"/>
          <w:pgSz w:w="11906" w:h="16838" w:code="9"/>
          <w:pgMar w:top="1440" w:right="1440" w:bottom="1440" w:left="1440" w:header="576" w:footer="576" w:gutter="0"/>
          <w:cols w:space="720"/>
          <w:docGrid w:linePitch="299"/>
        </w:sectPr>
      </w:pPr>
      <w:r>
        <w:t>An overview of the process can be seen in Figure 1.</w:t>
      </w:r>
    </w:p>
    <w:p w14:paraId="326B29E5" w14:textId="0525A7EC" w:rsidR="00FB457E" w:rsidRDefault="00FB457E" w:rsidP="00FB457E">
      <w:r w:rsidRPr="00794497">
        <w:rPr>
          <w:noProof/>
        </w:rPr>
        <w:drawing>
          <wp:inline distT="0" distB="0" distL="0" distR="0" wp14:anchorId="1FFF004B" wp14:editId="62228C80">
            <wp:extent cx="8653882" cy="4995915"/>
            <wp:effectExtent l="0" t="0" r="0" b="0"/>
            <wp:docPr id="13" name="Picture 12" descr="Overview of development process for PET evaluation framework ">
              <a:extLst xmlns:a="http://schemas.openxmlformats.org/drawingml/2006/main">
                <a:ext uri="{FF2B5EF4-FFF2-40B4-BE49-F238E27FC236}">
                  <a16:creationId xmlns:a16="http://schemas.microsoft.com/office/drawing/2014/main" id="{73DF3444-D83D-44F5-9BF2-6D87A61A06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Overview of development process for PET evaluation framework ">
                      <a:extLst>
                        <a:ext uri="{FF2B5EF4-FFF2-40B4-BE49-F238E27FC236}">
                          <a16:creationId xmlns:a16="http://schemas.microsoft.com/office/drawing/2014/main" id="{73DF3444-D83D-44F5-9BF2-6D87A61A06F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53882" cy="4995915"/>
                    </a:xfrm>
                    <a:prstGeom prst="rect">
                      <a:avLst/>
                    </a:prstGeom>
                    <a:ln w="3175">
                      <a:noFill/>
                    </a:ln>
                  </pic:spPr>
                </pic:pic>
              </a:graphicData>
            </a:graphic>
          </wp:inline>
        </w:drawing>
      </w:r>
    </w:p>
    <w:p w14:paraId="5CD37383" w14:textId="77777777" w:rsidR="00474408" w:rsidRDefault="00FB457E" w:rsidP="00FB457E">
      <w:pPr>
        <w:rPr>
          <w:rFonts w:ascii="Arial Narrow" w:hAnsi="Arial Narrow"/>
          <w:b/>
          <w:sz w:val="20"/>
        </w:rPr>
        <w:sectPr w:rsidR="00474408" w:rsidSect="00474408">
          <w:footnotePr>
            <w:numRestart w:val="eachSect"/>
          </w:footnotePr>
          <w:pgSz w:w="16838" w:h="11906" w:orient="landscape" w:code="9"/>
          <w:pgMar w:top="1440" w:right="1440" w:bottom="1440" w:left="1440" w:header="576" w:footer="576" w:gutter="0"/>
          <w:cols w:space="720"/>
          <w:docGrid w:linePitch="326"/>
        </w:sectPr>
      </w:pPr>
      <w:r w:rsidRPr="009206D8">
        <w:rPr>
          <w:rFonts w:ascii="Arial Narrow" w:hAnsi="Arial Narrow"/>
          <w:b/>
          <w:sz w:val="20"/>
        </w:rPr>
        <w:t xml:space="preserve">Figure 1: Overview of development process for PET evaluation framework </w:t>
      </w:r>
    </w:p>
    <w:p w14:paraId="4337B464" w14:textId="15658D20" w:rsidR="00FB457E" w:rsidRDefault="00FB457E" w:rsidP="00FB457E">
      <w:r>
        <w:t xml:space="preserve">MSAC noted the outcomes and concerns raised by ESC at its October 2019 meeting. Subsequent responses from the </w:t>
      </w:r>
      <w:r w:rsidR="00180665">
        <w:t>P</w:t>
      </w:r>
      <w:r>
        <w:t>roject team are as follows:</w:t>
      </w:r>
    </w:p>
    <w:p w14:paraId="4B104A0D" w14:textId="77777777" w:rsidR="00FB457E" w:rsidRDefault="00FB457E" w:rsidP="00FB457E">
      <w:pPr>
        <w:rPr>
          <w:rFonts w:cs="Arial"/>
          <w:bCs/>
          <w:iCs/>
          <w:szCs w:val="26"/>
        </w:rPr>
      </w:pPr>
      <w:r w:rsidRPr="00FE669E">
        <w:rPr>
          <w:i/>
          <w:iCs/>
        </w:rPr>
        <w:t>Why was Markov not used for capturing cost-effectiveness in the long term?</w:t>
      </w:r>
      <w:r>
        <w:t xml:space="preserve"> This process is o</w:t>
      </w:r>
      <w:r w:rsidRPr="005577D3">
        <w:t>nly for initial staging</w:t>
      </w:r>
      <w:r>
        <w:t xml:space="preserve"> with a </w:t>
      </w:r>
      <w:r w:rsidRPr="005577D3">
        <w:t>focus on immediate benefits: reducing repeated scans, avoiding biopsies and starting of the initial treatment</w:t>
      </w:r>
      <w:r>
        <w:t xml:space="preserve">. The </w:t>
      </w:r>
      <w:r>
        <w:rPr>
          <w:rFonts w:cs="Arial"/>
          <w:bCs/>
          <w:iCs/>
          <w:szCs w:val="26"/>
        </w:rPr>
        <w:t>benefits are in terms of cost per correct staging using PET.</w:t>
      </w:r>
    </w:p>
    <w:p w14:paraId="4AF5B9E0" w14:textId="77777777" w:rsidR="00FB457E" w:rsidRDefault="00FB457E" w:rsidP="00FB457E">
      <w:r w:rsidRPr="001A525F">
        <w:rPr>
          <w:i/>
          <w:iCs/>
        </w:rPr>
        <w:t>How will the model be validated?</w:t>
      </w:r>
      <w:r>
        <w:t xml:space="preserve"> Currently it is being tested against</w:t>
      </w:r>
      <w:r w:rsidRPr="00FE5881">
        <w:t xml:space="preserve"> the CA1357.1 breast model</w:t>
      </w:r>
      <w:r>
        <w:t>. There will p</w:t>
      </w:r>
      <w:r w:rsidRPr="00FE5881">
        <w:t xml:space="preserve">otentially </w:t>
      </w:r>
      <w:r>
        <w:t xml:space="preserve">be </w:t>
      </w:r>
      <w:r w:rsidRPr="00FE5881">
        <w:t xml:space="preserve">testing </w:t>
      </w:r>
      <w:r>
        <w:t xml:space="preserve">of the </w:t>
      </w:r>
      <w:r w:rsidRPr="00FE5881">
        <w:t xml:space="preserve">GEM using the lung </w:t>
      </w:r>
      <w:r>
        <w:t>cancer model. However, MSAC accepted that the use</w:t>
      </w:r>
      <w:r w:rsidRPr="00FE5881">
        <w:t xml:space="preserve"> of expert knowledge</w:t>
      </w:r>
      <w:r>
        <w:t xml:space="preserve"> is inevitable because of the rarity of these conditions. Therefore, the GEM structure requires expert opinion for some model inputs.</w:t>
      </w:r>
    </w:p>
    <w:p w14:paraId="4FE8A875" w14:textId="6EF9CE81" w:rsidR="00FB457E" w:rsidRDefault="00FB457E" w:rsidP="00FB457E">
      <w:r w:rsidRPr="001A525F">
        <w:rPr>
          <w:i/>
          <w:iCs/>
        </w:rPr>
        <w:t>Is this an organ-centric view (per-cancer basis) of malignancy</w:t>
      </w:r>
      <w:r>
        <w:t>? The criteri</w:t>
      </w:r>
      <w:r w:rsidR="00883E3B">
        <w:t>on</w:t>
      </w:r>
      <w:r>
        <w:t xml:space="preserve"> is actually whether it is rapidly dividing and this will be detected using FDG</w:t>
      </w:r>
      <w:r w:rsidR="00883E3B">
        <w:t xml:space="preserve"> </w:t>
      </w:r>
      <w:r>
        <w:t>PET</w:t>
      </w:r>
      <w:r w:rsidR="00883E3B">
        <w:t>/CT</w:t>
      </w:r>
      <w:r>
        <w:t xml:space="preserve">. It was clarified that while the </w:t>
      </w:r>
      <w:r w:rsidR="00B55BE9">
        <w:t>PET W</w:t>
      </w:r>
      <w:r>
        <w:t xml:space="preserve">orking </w:t>
      </w:r>
      <w:r w:rsidR="00B55BE9">
        <w:t>G</w:t>
      </w:r>
      <w:r>
        <w:t>roup refers to ‘breast cancer’, in fact it is one type of breast cancer that the model is being tested against, and in total ten different types of cancer will be tested. Eligibility criteria into each of the organ-based cancer</w:t>
      </w:r>
      <w:r w:rsidR="00027EFB">
        <w:t xml:space="preserve"> type</w:t>
      </w:r>
      <w:r>
        <w:t>s would be based on multiple differentiating criteria (including pathology findings), particularly to help differentiate indolent versus aggressive cancer sub-types based on pathology findings. Each one can be considered to be a pilot case and then groupings can be explored.</w:t>
      </w:r>
    </w:p>
    <w:p w14:paraId="2D15A04F" w14:textId="0FAD76E3" w:rsidR="00474408" w:rsidRPr="00474408" w:rsidRDefault="00FB457E" w:rsidP="00474408">
      <w:r>
        <w:t>The concept of a meta-analysis was presented</w:t>
      </w:r>
      <w:r w:rsidRPr="001A525F">
        <w:t xml:space="preserve"> as </w:t>
      </w:r>
      <w:r>
        <w:t xml:space="preserve">an </w:t>
      </w:r>
      <w:r w:rsidRPr="001A525F">
        <w:t xml:space="preserve">analogy </w:t>
      </w:r>
      <w:r>
        <w:t xml:space="preserve">of how the combining of </w:t>
      </w:r>
      <w:r w:rsidRPr="001A525F">
        <w:t>individual cancer</w:t>
      </w:r>
      <w:r w:rsidR="00027EFB">
        <w:t xml:space="preserve"> type</w:t>
      </w:r>
      <w:r w:rsidRPr="001A525F">
        <w:t xml:space="preserve">s </w:t>
      </w:r>
      <w:r>
        <w:t>could be</w:t>
      </w:r>
      <w:r w:rsidRPr="001A525F">
        <w:t xml:space="preserve"> </w:t>
      </w:r>
      <w:r>
        <w:t>tested in the model</w:t>
      </w:r>
      <w:r w:rsidRPr="001A525F">
        <w:t xml:space="preserve">. </w:t>
      </w:r>
      <w:r>
        <w:t xml:space="preserve">In the same way that in a </w:t>
      </w:r>
      <w:r w:rsidRPr="001A525F">
        <w:t>meta</w:t>
      </w:r>
      <w:r>
        <w:t>-</w:t>
      </w:r>
      <w:r w:rsidRPr="001A525F">
        <w:t>analysis results</w:t>
      </w:r>
      <w:r>
        <w:t xml:space="preserve"> from</w:t>
      </w:r>
      <w:r w:rsidRPr="001A525F">
        <w:t xml:space="preserve"> different studies </w:t>
      </w:r>
      <w:r>
        <w:t>are</w:t>
      </w:r>
      <w:r w:rsidRPr="001A525F">
        <w:t xml:space="preserve"> combine</w:t>
      </w:r>
      <w:r>
        <w:t>d to</w:t>
      </w:r>
      <w:r w:rsidRPr="001A525F">
        <w:t xml:space="preserve"> produce a summary measure, </w:t>
      </w:r>
      <w:r>
        <w:t xml:space="preserve">this </w:t>
      </w:r>
      <w:r w:rsidR="00180665">
        <w:t>P</w:t>
      </w:r>
      <w:r>
        <w:t xml:space="preserve">roject is </w:t>
      </w:r>
      <w:r w:rsidRPr="001A525F">
        <w:t>explor</w:t>
      </w:r>
      <w:r>
        <w:t>ing</w:t>
      </w:r>
      <w:r w:rsidRPr="001A525F">
        <w:t xml:space="preserve"> the potential of combining differen</w:t>
      </w:r>
      <w:r>
        <w:t>t</w:t>
      </w:r>
      <w:r w:rsidRPr="001A525F">
        <w:t xml:space="preserve"> uncommon</w:t>
      </w:r>
      <w:r w:rsidR="00027EFB">
        <w:t xml:space="preserve"> or</w:t>
      </w:r>
      <w:r>
        <w:t xml:space="preserve"> rare cancer</w:t>
      </w:r>
      <w:r w:rsidR="00027EFB">
        <w:t xml:space="preserve"> type</w:t>
      </w:r>
      <w:r>
        <w:t>s (the</w:t>
      </w:r>
      <w:r w:rsidRPr="001A525F">
        <w:t xml:space="preserve"> input parameters). </w:t>
      </w:r>
      <w:r>
        <w:t>A</w:t>
      </w:r>
      <w:r w:rsidRPr="001A525F">
        <w:t xml:space="preserve"> meta</w:t>
      </w:r>
      <w:r>
        <w:t>-</w:t>
      </w:r>
      <w:r w:rsidRPr="001A525F">
        <w:t>analysis also produce</w:t>
      </w:r>
      <w:r>
        <w:t>s</w:t>
      </w:r>
      <w:r w:rsidRPr="001A525F">
        <w:t xml:space="preserve"> a measure of heterogeneity to quantify how different the studies are</w:t>
      </w:r>
      <w:r>
        <w:t>;</w:t>
      </w:r>
      <w:r w:rsidRPr="001A525F">
        <w:t xml:space="preserve"> similarly </w:t>
      </w:r>
      <w:r>
        <w:t xml:space="preserve">this </w:t>
      </w:r>
      <w:r w:rsidR="00180665">
        <w:t>P</w:t>
      </w:r>
      <w:r>
        <w:t>roject is</w:t>
      </w:r>
      <w:r w:rsidRPr="001A525F">
        <w:t xml:space="preserve"> planning to explore the difference</w:t>
      </w:r>
      <w:r>
        <w:t>s across</w:t>
      </w:r>
      <w:r w:rsidRPr="001A525F">
        <w:t xml:space="preserve"> uncommon</w:t>
      </w:r>
      <w:r w:rsidR="00027EFB">
        <w:t xml:space="preserve"> or </w:t>
      </w:r>
      <w:r w:rsidRPr="001A525F">
        <w:t>rare cancer</w:t>
      </w:r>
      <w:r w:rsidR="00027EFB">
        <w:t xml:space="preserve"> type</w:t>
      </w:r>
      <w:r w:rsidRPr="001A525F">
        <w:t>s using sensitivity analyses. In meta</w:t>
      </w:r>
      <w:r>
        <w:t>-</w:t>
      </w:r>
      <w:r w:rsidRPr="001A525F">
        <w:t>analys</w:t>
      </w:r>
      <w:r>
        <w:t>e</w:t>
      </w:r>
      <w:r w:rsidRPr="001A525F">
        <w:t xml:space="preserve">s, prediction intervals </w:t>
      </w:r>
      <w:r>
        <w:t xml:space="preserve">can be generated </w:t>
      </w:r>
      <w:r w:rsidRPr="001A525F">
        <w:t xml:space="preserve">to infer the likely result of a “new” or “additional study”. </w:t>
      </w:r>
      <w:r>
        <w:t>T</w:t>
      </w:r>
      <w:r w:rsidRPr="001A525F">
        <w:t xml:space="preserve">he GEM could also produce an overarching probability of a “new” or “additional” cancer being </w:t>
      </w:r>
      <w:r>
        <w:t xml:space="preserve">acceptably </w:t>
      </w:r>
      <w:r w:rsidRPr="001A525F">
        <w:t>cost-effective</w:t>
      </w:r>
      <w:r>
        <w:t>,</w:t>
      </w:r>
      <w:r w:rsidRPr="001A525F">
        <w:t xml:space="preserve"> with some uncertainty measures regarding how likely the </w:t>
      </w:r>
      <w:r>
        <w:t xml:space="preserve">incremental </w:t>
      </w:r>
      <w:r w:rsidRPr="001A525F">
        <w:t xml:space="preserve">cost-effectiveness would </w:t>
      </w:r>
      <w:r>
        <w:t>remain acceptable</w:t>
      </w:r>
      <w:r w:rsidRPr="001A525F">
        <w:t xml:space="preserve">. Most importantly, the concept of “combining similar studies” in </w:t>
      </w:r>
      <w:r>
        <w:t xml:space="preserve">a </w:t>
      </w:r>
      <w:r w:rsidRPr="001A525F">
        <w:t>meta</w:t>
      </w:r>
      <w:r>
        <w:t>-</w:t>
      </w:r>
      <w:r w:rsidRPr="001A525F">
        <w:t xml:space="preserve">analysis will also be borrowed to assess whether it is sensible to group different uncommon </w:t>
      </w:r>
      <w:r w:rsidR="00027EFB">
        <w:t>or</w:t>
      </w:r>
      <w:r w:rsidRPr="001A525F">
        <w:t xml:space="preserve"> rare cancer</w:t>
      </w:r>
      <w:r w:rsidR="00027EFB">
        <w:t xml:space="preserve"> type</w:t>
      </w:r>
      <w:r w:rsidRPr="001A525F">
        <w:t>s using one single model (i.e.</w:t>
      </w:r>
      <w:r>
        <w:t> </w:t>
      </w:r>
      <w:r w:rsidRPr="001A525F">
        <w:t>the GEM)</w:t>
      </w:r>
      <w:r>
        <w:t>,</w:t>
      </w:r>
      <w:r w:rsidRPr="001A525F">
        <w:t xml:space="preserve"> as well as producing one summary statistic (e.g.</w:t>
      </w:r>
      <w:r>
        <w:t> </w:t>
      </w:r>
      <w:r w:rsidRPr="001A525F">
        <w:t>one ICER)</w:t>
      </w:r>
      <w:r>
        <w:t xml:space="preserve"> as per Table 1.</w:t>
      </w:r>
      <w:r w:rsidR="00474408">
        <w:rPr>
          <w:rFonts w:ascii="Arial Narrow" w:hAnsi="Arial Narrow"/>
          <w:b/>
          <w:sz w:val="20"/>
        </w:rPr>
        <w:br w:type="page"/>
      </w:r>
    </w:p>
    <w:p w14:paraId="3B935DA9" w14:textId="77777777" w:rsidR="00474408" w:rsidRDefault="00474408" w:rsidP="00FB457E">
      <w:pPr>
        <w:tabs>
          <w:tab w:val="left" w:pos="3148"/>
          <w:tab w:val="left" w:pos="6264"/>
          <w:tab w:val="left" w:pos="9482"/>
        </w:tabs>
        <w:rPr>
          <w:rFonts w:ascii="Arial Narrow" w:hAnsi="Arial Narrow"/>
          <w:b/>
          <w:sz w:val="20"/>
        </w:rPr>
        <w:sectPr w:rsidR="00474408" w:rsidSect="00474408">
          <w:footnotePr>
            <w:numRestart w:val="eachSect"/>
          </w:footnotePr>
          <w:pgSz w:w="11906" w:h="16838" w:code="9"/>
          <w:pgMar w:top="1440" w:right="1440" w:bottom="1440" w:left="1440" w:header="576" w:footer="576" w:gutter="0"/>
          <w:cols w:space="720"/>
          <w:docGrid w:linePitch="299"/>
        </w:sectPr>
      </w:pPr>
    </w:p>
    <w:p w14:paraId="2F02CAFB" w14:textId="5AF6727F" w:rsidR="00FB457E" w:rsidRPr="009206D8" w:rsidRDefault="00FB457E" w:rsidP="00FB457E">
      <w:pPr>
        <w:tabs>
          <w:tab w:val="left" w:pos="3148"/>
          <w:tab w:val="left" w:pos="6264"/>
          <w:tab w:val="left" w:pos="9482"/>
        </w:tabs>
        <w:rPr>
          <w:rFonts w:ascii="Arial Narrow" w:hAnsi="Arial Narrow"/>
          <w:b/>
          <w:bCs/>
          <w:sz w:val="20"/>
        </w:rPr>
      </w:pPr>
      <w:r w:rsidRPr="009206D8">
        <w:rPr>
          <w:rFonts w:ascii="Arial Narrow" w:hAnsi="Arial Narrow"/>
          <w:b/>
          <w:sz w:val="20"/>
        </w:rPr>
        <w:t>Table 1: GEM theoretical framework</w:t>
      </w:r>
    </w:p>
    <w:tbl>
      <w:tblPr>
        <w:tblStyle w:val="TableGrid"/>
        <w:tblW w:w="14178" w:type="dxa"/>
        <w:tblCellMar>
          <w:left w:w="0" w:type="dxa"/>
          <w:right w:w="0" w:type="dxa"/>
        </w:tblCellMar>
        <w:tblLook w:val="0420" w:firstRow="1" w:lastRow="0" w:firstColumn="0" w:lastColumn="0" w:noHBand="0" w:noVBand="1"/>
      </w:tblPr>
      <w:tblGrid>
        <w:gridCol w:w="3405"/>
        <w:gridCol w:w="3543"/>
        <w:gridCol w:w="3686"/>
        <w:gridCol w:w="3544"/>
      </w:tblGrid>
      <w:tr w:rsidR="00FB457E" w:rsidRPr="00D202DB" w14:paraId="4A8FACED" w14:textId="77777777" w:rsidTr="001F7A88">
        <w:trPr>
          <w:trHeight w:val="531"/>
        </w:trPr>
        <w:tc>
          <w:tcPr>
            <w:tcW w:w="3405"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1931C731" w14:textId="77777777" w:rsidR="00FB457E" w:rsidRPr="00D202DB" w:rsidRDefault="00FB457E" w:rsidP="001F7A88"/>
        </w:tc>
        <w:tc>
          <w:tcPr>
            <w:tcW w:w="3543"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25B36BA2" w14:textId="77777777" w:rsidR="00FB457E" w:rsidRPr="00D202DB" w:rsidRDefault="00FB457E" w:rsidP="001F7A88">
            <w:r w:rsidRPr="00D202DB">
              <w:rPr>
                <w:b/>
                <w:bCs/>
              </w:rPr>
              <w:t>STEP 1 – INDIVIDUAL</w:t>
            </w:r>
          </w:p>
        </w:tc>
        <w:tc>
          <w:tcPr>
            <w:tcW w:w="3686"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6F34EE9B" w14:textId="77777777" w:rsidR="00FB457E" w:rsidRPr="00D202DB" w:rsidRDefault="00FB457E" w:rsidP="001F7A88">
            <w:r w:rsidRPr="00D202DB">
              <w:rPr>
                <w:b/>
                <w:bCs/>
              </w:rPr>
              <w:t xml:space="preserve">STEP 2 – GROUPED </w:t>
            </w:r>
          </w:p>
        </w:tc>
        <w:tc>
          <w:tcPr>
            <w:tcW w:w="3544"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5CB29875" w14:textId="77777777" w:rsidR="00FB457E" w:rsidRPr="00D202DB" w:rsidRDefault="00FB457E" w:rsidP="001F7A88">
            <w:r w:rsidRPr="00D202DB">
              <w:rPr>
                <w:b/>
                <w:bCs/>
              </w:rPr>
              <w:t xml:space="preserve">STEP 3 – AGGREGATED </w:t>
            </w:r>
          </w:p>
        </w:tc>
      </w:tr>
      <w:tr w:rsidR="00FB457E" w:rsidRPr="00D202DB" w14:paraId="3C874945" w14:textId="77777777" w:rsidTr="001F7A88">
        <w:trPr>
          <w:trHeight w:val="918"/>
        </w:trPr>
        <w:tc>
          <w:tcPr>
            <w:tcW w:w="3405"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04E9D392" w14:textId="77777777" w:rsidR="00FB457E" w:rsidRPr="00D202DB" w:rsidRDefault="00FB457E" w:rsidP="001F7A88">
            <w:r w:rsidRPr="00D202DB">
              <w:rPr>
                <w:b/>
                <w:bCs/>
              </w:rPr>
              <w:t>Inputs</w:t>
            </w:r>
          </w:p>
        </w:tc>
        <w:tc>
          <w:tcPr>
            <w:tcW w:w="3543"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196648DB" w14:textId="77777777" w:rsidR="00FB457E" w:rsidRPr="00D202DB" w:rsidRDefault="00FB457E" w:rsidP="001F7A88">
            <w:r w:rsidRPr="00D202DB">
              <w:t>10 cancer-specific dataset</w:t>
            </w:r>
            <w:r>
              <w:t>s</w:t>
            </w:r>
          </w:p>
        </w:tc>
        <w:tc>
          <w:tcPr>
            <w:tcW w:w="3686"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0405B19C" w14:textId="77777777" w:rsidR="00FB457E" w:rsidRPr="00D202DB" w:rsidRDefault="00FB457E" w:rsidP="001F7A88">
            <w:r w:rsidRPr="00D202DB">
              <w:t>10 cancer-specific dataset</w:t>
            </w:r>
            <w:r>
              <w:t>s</w:t>
            </w:r>
          </w:p>
        </w:tc>
        <w:tc>
          <w:tcPr>
            <w:tcW w:w="3544"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697B5C0D" w14:textId="77777777" w:rsidR="00FB457E" w:rsidRPr="00D202DB" w:rsidRDefault="00FB457E" w:rsidP="001F7A88">
            <w:r w:rsidRPr="00D202DB">
              <w:t>10 cancer-specific dataset</w:t>
            </w:r>
            <w:r>
              <w:t>s</w:t>
            </w:r>
          </w:p>
        </w:tc>
      </w:tr>
      <w:tr w:rsidR="00FB457E" w:rsidRPr="00D202DB" w14:paraId="47095A74" w14:textId="77777777" w:rsidTr="001F7A88">
        <w:trPr>
          <w:trHeight w:val="1311"/>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2D12C125" w14:textId="77777777" w:rsidR="00FB457E" w:rsidRPr="00D202DB" w:rsidRDefault="00FB457E" w:rsidP="001F7A88">
            <w:r w:rsidRPr="00D202DB">
              <w:rPr>
                <w:b/>
                <w:bCs/>
              </w:rPr>
              <w:t>Data elicitation and validation</w:t>
            </w:r>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388838E" w14:textId="77777777" w:rsidR="00FB457E" w:rsidRPr="00D202DB" w:rsidRDefault="00FB457E" w:rsidP="001F7A88">
            <w:r w:rsidRPr="00D202DB">
              <w:t>Required, confirmed by experts</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72BB3A1" w14:textId="77777777" w:rsidR="00FB457E" w:rsidRPr="00D202DB" w:rsidRDefault="00FB457E" w:rsidP="001F7A88">
            <w:r w:rsidRPr="00D202DB">
              <w:t>Required, confirmed by experts</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297078D" w14:textId="77777777" w:rsidR="00FB457E" w:rsidRPr="00D202DB" w:rsidRDefault="00FB457E" w:rsidP="001F7A88">
            <w:r w:rsidRPr="00D202DB">
              <w:t>Required, confirmed by experts</w:t>
            </w:r>
          </w:p>
        </w:tc>
      </w:tr>
      <w:tr w:rsidR="00FB457E" w:rsidRPr="00D202DB" w14:paraId="3604B645"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4CDFF0C0" w14:textId="77777777" w:rsidR="00FB457E" w:rsidRPr="00D202DB" w:rsidRDefault="00FB457E" w:rsidP="001F7A88">
            <w:r w:rsidRPr="00D202DB">
              <w:rPr>
                <w:b/>
                <w:bCs/>
              </w:rPr>
              <w:t xml:space="preserve">Process </w:t>
            </w:r>
            <w:r>
              <w:rPr>
                <w:b/>
                <w:bCs/>
              </w:rPr>
              <w:t>s</w:t>
            </w:r>
            <w:r w:rsidRPr="00D202DB">
              <w:rPr>
                <w:b/>
                <w:bCs/>
              </w:rPr>
              <w:t>treamlining</w:t>
            </w:r>
          </w:p>
        </w:tc>
        <w:tc>
          <w:tcPr>
            <w:tcW w:w="3543"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4623E312" w14:textId="77777777" w:rsidR="00FB457E" w:rsidRPr="00D202DB" w:rsidRDefault="00FB457E" w:rsidP="001F7A88">
            <w:r w:rsidRPr="00D202DB">
              <w:rPr>
                <w:b/>
                <w:bCs/>
              </w:rPr>
              <w:t>Not</w:t>
            </w:r>
            <w:r w:rsidRPr="00D202DB">
              <w:t xml:space="preserve"> </w:t>
            </w:r>
            <w:r w:rsidRPr="00D202DB">
              <w:rPr>
                <w:b/>
                <w:bCs/>
              </w:rPr>
              <w:t>grouped</w:t>
            </w:r>
            <w:r w:rsidRPr="00D202DB">
              <w:t>, 10 sets of input</w:t>
            </w:r>
            <w:r>
              <w:t>s</w:t>
            </w:r>
          </w:p>
        </w:tc>
        <w:tc>
          <w:tcPr>
            <w:tcW w:w="3686"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69CB03E6" w14:textId="77777777" w:rsidR="00FB457E" w:rsidRPr="00D202DB" w:rsidRDefault="00FB457E" w:rsidP="001F7A88">
            <w:r w:rsidRPr="00D202DB">
              <w:rPr>
                <w:b/>
                <w:bCs/>
                <w:u w:val="single"/>
              </w:rPr>
              <w:t>Some</w:t>
            </w:r>
            <w:r w:rsidRPr="00D202DB">
              <w:t xml:space="preserve"> </w:t>
            </w:r>
            <w:r w:rsidRPr="00D202DB">
              <w:rPr>
                <w:b/>
                <w:bCs/>
              </w:rPr>
              <w:t>grouped</w:t>
            </w:r>
            <w:r w:rsidRPr="00D202DB">
              <w:t>, &lt;10 sets of input</w:t>
            </w:r>
            <w:r>
              <w:t>s</w:t>
            </w:r>
          </w:p>
        </w:tc>
        <w:tc>
          <w:tcPr>
            <w:tcW w:w="3544"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C619102" w14:textId="77777777" w:rsidR="00FB457E" w:rsidRPr="00D202DB" w:rsidRDefault="00FB457E" w:rsidP="001F7A88">
            <w:r w:rsidRPr="00D202DB">
              <w:rPr>
                <w:b/>
                <w:bCs/>
                <w:u w:val="single"/>
              </w:rPr>
              <w:t>All</w:t>
            </w:r>
            <w:r w:rsidRPr="00D202DB">
              <w:t xml:space="preserve"> </w:t>
            </w:r>
            <w:r w:rsidRPr="00D202DB">
              <w:rPr>
                <w:b/>
                <w:bCs/>
              </w:rPr>
              <w:t xml:space="preserve">grouped, </w:t>
            </w:r>
            <w:r w:rsidRPr="00D202DB">
              <w:t>only 1 set of input</w:t>
            </w:r>
            <w:r>
              <w:t>s</w:t>
            </w:r>
          </w:p>
        </w:tc>
      </w:tr>
      <w:tr w:rsidR="00FB457E" w:rsidRPr="00D202DB" w14:paraId="511CF19B"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DD145E9" w14:textId="77777777" w:rsidR="00FB457E" w:rsidRPr="00D202DB" w:rsidRDefault="00FB457E" w:rsidP="001F7A88">
            <w:r w:rsidRPr="00D202DB">
              <w:rPr>
                <w:b/>
                <w:bCs/>
              </w:rPr>
              <w:t>Economic evaluation</w:t>
            </w:r>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073FB7A" w14:textId="77777777" w:rsidR="00FB457E" w:rsidRPr="00D202DB" w:rsidRDefault="00FB457E" w:rsidP="001F7A88">
            <w:r w:rsidRPr="00D202DB">
              <w:t>10 runs of the generic model</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C83264D" w14:textId="77777777" w:rsidR="00FB457E" w:rsidRPr="00D202DB" w:rsidRDefault="00FB457E" w:rsidP="001F7A88">
            <w:r w:rsidRPr="00D202DB">
              <w:t>&lt;10 runs of the generic model</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5E612D8A" w14:textId="77777777" w:rsidR="00FB457E" w:rsidRPr="00D202DB" w:rsidRDefault="00FB457E" w:rsidP="001F7A88">
            <w:r w:rsidRPr="00D202DB">
              <w:t>1 run of the generic model</w:t>
            </w:r>
          </w:p>
        </w:tc>
      </w:tr>
      <w:tr w:rsidR="00FB457E" w:rsidRPr="00D202DB" w14:paraId="153B1CD5"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5E6DA56B" w14:textId="77777777" w:rsidR="00FB457E" w:rsidRPr="00D202DB" w:rsidRDefault="00FB457E" w:rsidP="001F7A88">
            <w:r w:rsidRPr="00D202DB">
              <w:rPr>
                <w:b/>
                <w:bCs/>
              </w:rPr>
              <w:t>Preliminary outcome</w:t>
            </w:r>
          </w:p>
        </w:tc>
        <w:tc>
          <w:tcPr>
            <w:tcW w:w="3543"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F6FD91B" w14:textId="77777777" w:rsidR="00FB457E" w:rsidRPr="00D202DB" w:rsidRDefault="00FB457E" w:rsidP="001F7A88">
            <w:r w:rsidRPr="00D202DB">
              <w:t>10 ICERs</w:t>
            </w:r>
          </w:p>
        </w:tc>
        <w:tc>
          <w:tcPr>
            <w:tcW w:w="3686"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70E8B57A" w14:textId="77777777" w:rsidR="00FB457E" w:rsidRPr="00D202DB" w:rsidRDefault="00FB457E" w:rsidP="001F7A88">
            <w:r w:rsidRPr="00D202DB">
              <w:t>&lt;10 ICERs</w:t>
            </w:r>
          </w:p>
        </w:tc>
        <w:tc>
          <w:tcPr>
            <w:tcW w:w="3544"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A86ECE7" w14:textId="77777777" w:rsidR="00FB457E" w:rsidRPr="00D202DB" w:rsidRDefault="00FB457E" w:rsidP="001F7A88">
            <w:r w:rsidRPr="00D202DB">
              <w:t>1 ICER</w:t>
            </w:r>
          </w:p>
        </w:tc>
      </w:tr>
      <w:tr w:rsidR="00FB457E" w:rsidRPr="00D202DB" w14:paraId="64CD5E3C"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7CDD2BA" w14:textId="77777777" w:rsidR="00FB457E" w:rsidRPr="00D202DB" w:rsidRDefault="00FB457E" w:rsidP="001F7A88">
            <w:r w:rsidRPr="00D202DB">
              <w:rPr>
                <w:b/>
                <w:bCs/>
              </w:rPr>
              <w:t>Final outcome</w:t>
            </w:r>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E19D7A7" w14:textId="77777777" w:rsidR="00FB457E" w:rsidRPr="00D202DB" w:rsidRDefault="00FB457E" w:rsidP="001F7A88">
            <w:r w:rsidRPr="00D202DB">
              <w:t>(Weighted) averaged ICER</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5072F058" w14:textId="77777777" w:rsidR="00FB457E" w:rsidRPr="00D202DB" w:rsidRDefault="00FB457E" w:rsidP="001F7A88">
            <w:r w:rsidRPr="00D202DB">
              <w:t>(Weighted) averaged ICER</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47B2F2B" w14:textId="77777777" w:rsidR="00FB457E" w:rsidRPr="00D202DB" w:rsidRDefault="00FB457E" w:rsidP="001F7A88">
            <w:r>
              <w:rPr>
                <w:i/>
                <w:iCs/>
              </w:rPr>
              <w:t>–</w:t>
            </w:r>
          </w:p>
        </w:tc>
      </w:tr>
    </w:tbl>
    <w:p w14:paraId="33EB9368" w14:textId="77777777" w:rsidR="00474408" w:rsidRDefault="00474408" w:rsidP="00FB457E">
      <w:pPr>
        <w:rPr>
          <w:i/>
          <w:iCs/>
        </w:rPr>
      </w:pPr>
    </w:p>
    <w:p w14:paraId="1602645D" w14:textId="77777777" w:rsidR="00474408" w:rsidRDefault="00474408">
      <w:pPr>
        <w:spacing w:after="0"/>
        <w:rPr>
          <w:i/>
          <w:iCs/>
        </w:rPr>
        <w:sectPr w:rsidR="00474408" w:rsidSect="00474408">
          <w:footnotePr>
            <w:numRestart w:val="eachSect"/>
          </w:footnotePr>
          <w:pgSz w:w="16838" w:h="11906" w:orient="landscape" w:code="9"/>
          <w:pgMar w:top="1440" w:right="1440" w:bottom="1440" w:left="1440" w:header="576" w:footer="576" w:gutter="0"/>
          <w:cols w:space="720"/>
          <w:docGrid w:linePitch="326"/>
        </w:sectPr>
      </w:pPr>
    </w:p>
    <w:p w14:paraId="1959534D" w14:textId="6F82D44B" w:rsidR="00FB457E" w:rsidRDefault="00FB457E" w:rsidP="00FB457E">
      <w:r w:rsidRPr="001A525F">
        <w:rPr>
          <w:i/>
          <w:iCs/>
        </w:rPr>
        <w:t>Is there too much reliance on experts?</w:t>
      </w:r>
      <w:r>
        <w:t xml:space="preserve"> MSAC accepted that a</w:t>
      </w:r>
      <w:r w:rsidRPr="001A525F">
        <w:t xml:space="preserve"> large proportion of input parameters are unlikely to be available from the literature, due to </w:t>
      </w:r>
      <w:r>
        <w:t>c</w:t>
      </w:r>
      <w:r w:rsidRPr="001A525F">
        <w:t>ancer rarity</w:t>
      </w:r>
      <w:r>
        <w:t xml:space="preserve"> and p</w:t>
      </w:r>
      <w:r w:rsidRPr="001A525F">
        <w:t>arameter</w:t>
      </w:r>
      <w:r>
        <w:t>s</w:t>
      </w:r>
      <w:r w:rsidRPr="001A525F">
        <w:t xml:space="preserve"> specifically defined by the GEM structure</w:t>
      </w:r>
      <w:r>
        <w:t xml:space="preserve">. </w:t>
      </w:r>
      <w:r w:rsidRPr="001A525F">
        <w:t>The</w:t>
      </w:r>
      <w:r>
        <w:t>re is also a</w:t>
      </w:r>
      <w:r w:rsidRPr="001A525F">
        <w:t xml:space="preserve"> lack of </w:t>
      </w:r>
      <w:r>
        <w:t>better</w:t>
      </w:r>
      <w:r w:rsidRPr="001A525F">
        <w:t xml:space="preserve"> alternatives, i.e.</w:t>
      </w:r>
      <w:r>
        <w:t> </w:t>
      </w:r>
      <w:r w:rsidRPr="001A525F">
        <w:t xml:space="preserve">conventional </w:t>
      </w:r>
      <w:r>
        <w:t>health technology assessment</w:t>
      </w:r>
      <w:r w:rsidRPr="001A525F">
        <w:t xml:space="preserve"> process</w:t>
      </w:r>
      <w:r>
        <w:t xml:space="preserve">es. MSAC noted that the </w:t>
      </w:r>
      <w:r w:rsidR="00180665">
        <w:t>P</w:t>
      </w:r>
      <w:r>
        <w:t>roject proposes to use</w:t>
      </w:r>
      <w:r w:rsidRPr="001A525F">
        <w:t xml:space="preserve"> systematic and methodologically robust approaches to mitigate the risk of any subjective bias</w:t>
      </w:r>
      <w:r>
        <w:t>.</w:t>
      </w:r>
    </w:p>
    <w:p w14:paraId="12DD60EE" w14:textId="5F21FDEE" w:rsidR="00FB457E" w:rsidRDefault="00FB457E" w:rsidP="00FB457E">
      <w:r>
        <w:t xml:space="preserve">MSAC agreed with the </w:t>
      </w:r>
      <w:r w:rsidR="00180665">
        <w:t>P</w:t>
      </w:r>
      <w:r>
        <w:t>roject team that ideally the ten nominated cancer</w:t>
      </w:r>
      <w:r w:rsidR="00027EFB">
        <w:t xml:space="preserve"> type</w:t>
      </w:r>
      <w:r>
        <w:t>s will cover a broad range, to test the model more thoroughly. There will be a call for nominations.</w:t>
      </w:r>
      <w:r w:rsidRPr="00FE5881">
        <w:t xml:space="preserve"> </w:t>
      </w:r>
      <w:r>
        <w:t>MSAC was advised that the model needs to be considered from multiple perspectives, including pathologists and those treating childhood cancer, so the nomination form needs to be sent to a range of types of health professionals.</w:t>
      </w:r>
    </w:p>
    <w:p w14:paraId="51DC4787" w14:textId="3E32F8D7" w:rsidR="00FB457E" w:rsidRDefault="00FB457E" w:rsidP="00FB457E">
      <w:r>
        <w:t>MSAC queried whether there will be confusion between the terminology of M1 and M1+ and would it be better to have M1 and M2 instead? It was clarified that the plus (+) signals that it is advanced. It was thought to be important</w:t>
      </w:r>
      <w:r w:rsidRPr="005577D3">
        <w:t xml:space="preserve"> to separate cases with oligometastat</w:t>
      </w:r>
      <w:r>
        <w:t>ic</w:t>
      </w:r>
      <w:r w:rsidRPr="005577D3">
        <w:t xml:space="preserve"> disease f</w:t>
      </w:r>
      <w:r>
        <w:t>ro</w:t>
      </w:r>
      <w:r w:rsidRPr="005577D3">
        <w:t>m other more disseminated disease</w:t>
      </w:r>
      <w:r>
        <w:t xml:space="preserve">. MSAC considered that the </w:t>
      </w:r>
      <w:r w:rsidR="00B55BE9">
        <w:t>PET W</w:t>
      </w:r>
      <w:r>
        <w:t xml:space="preserve">orking </w:t>
      </w:r>
      <w:r w:rsidR="00B55BE9">
        <w:t>G</w:t>
      </w:r>
      <w:r>
        <w:t>roup should ensure this is made clear.</w:t>
      </w:r>
    </w:p>
    <w:p w14:paraId="0AB0E14F" w14:textId="77777777" w:rsidR="00FB457E" w:rsidRDefault="00FB457E" w:rsidP="00FB457E">
      <w:r>
        <w:t>MSAC noted that Department representatives will be going to a course in Sheffield (UK), run by world leaders in expert elicitation processes. The intention is to try and develop a robust method for eliciting expert input without bias that can be incorporated into MSAC processes and potentially published.</w:t>
      </w:r>
    </w:p>
    <w:p w14:paraId="3EC05051" w14:textId="4661589B" w:rsidR="00FB457E" w:rsidRDefault="00FB457E" w:rsidP="00FB457E">
      <w:r>
        <w:t xml:space="preserve">MSAC noted the </w:t>
      </w:r>
      <w:r w:rsidR="00180665">
        <w:t>P</w:t>
      </w:r>
      <w:r>
        <w:t>roject update and supported the future plans.</w:t>
      </w:r>
    </w:p>
    <w:p w14:paraId="72D60B3D" w14:textId="19B1694F" w:rsidR="00FB457E" w:rsidRDefault="00FB457E" w:rsidP="00FB457E">
      <w:r>
        <w:t xml:space="preserve">MSAC noted that the Department will determine whether the </w:t>
      </w:r>
      <w:r w:rsidR="00180665">
        <w:t>P</w:t>
      </w:r>
      <w:r>
        <w:t>roject can proceed further after the July 2020 MSAC meeting has reviewed the model results for the purpose of initial staging.</w:t>
      </w:r>
    </w:p>
    <w:p w14:paraId="667EAEB4" w14:textId="4621B505" w:rsidR="00FB457E" w:rsidRPr="00FB457E" w:rsidRDefault="00FB457E" w:rsidP="00FB457E">
      <w:r>
        <w:t>MSAC noted that consumer input will be needed at a later stage.</w:t>
      </w:r>
    </w:p>
    <w:sectPr w:rsidR="00FB457E" w:rsidRPr="00FB457E" w:rsidSect="00474408">
      <w:footnotePr>
        <w:numRestart w:val="eachSect"/>
      </w:footnotePr>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BB08" w14:textId="77777777" w:rsidR="0039560C" w:rsidRDefault="0039560C">
      <w:pPr>
        <w:spacing w:after="0"/>
      </w:pPr>
      <w:r>
        <w:separator/>
      </w:r>
    </w:p>
  </w:endnote>
  <w:endnote w:type="continuationSeparator" w:id="0">
    <w:p w14:paraId="3018D819" w14:textId="77777777" w:rsidR="0039560C" w:rsidRDefault="0039560C">
      <w:pPr>
        <w:spacing w:after="0"/>
      </w:pPr>
      <w:r>
        <w:continuationSeparator/>
      </w:r>
    </w:p>
  </w:endnote>
  <w:endnote w:type="continuationNotice" w:id="1">
    <w:p w14:paraId="28932CFD" w14:textId="77777777" w:rsidR="0039560C" w:rsidRDefault="003956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5615" w14:textId="77777777" w:rsidR="001F7A88" w:rsidRDefault="001F7A88" w:rsidP="00F54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C14" w14:textId="77777777" w:rsidR="001F7A88" w:rsidRDefault="001F7A88"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476786"/>
      <w:docPartObj>
        <w:docPartGallery w:val="Page Numbers (Bottom of Page)"/>
        <w:docPartUnique/>
      </w:docPartObj>
    </w:sdtPr>
    <w:sdtEndPr>
      <w:rPr>
        <w:noProof/>
      </w:rPr>
    </w:sdtEndPr>
    <w:sdtContent>
      <w:p w14:paraId="78343858" w14:textId="09EFB5B0" w:rsidR="00474408" w:rsidRDefault="004744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4467B" w14:textId="7FABADB7" w:rsidR="001F7A88" w:rsidRDefault="001F7A88" w:rsidP="00E2479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7680"/>
      <w:docPartObj>
        <w:docPartGallery w:val="Page Numbers (Bottom of Page)"/>
        <w:docPartUnique/>
      </w:docPartObj>
    </w:sdtPr>
    <w:sdtEndPr>
      <w:rPr>
        <w:noProof/>
      </w:rPr>
    </w:sdtEndPr>
    <w:sdtContent>
      <w:p w14:paraId="4EFCF401" w14:textId="77777777" w:rsidR="001F7A88" w:rsidRDefault="001F7A88"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E8CA" w14:textId="77777777" w:rsidR="0039560C" w:rsidRDefault="0039560C">
      <w:pPr>
        <w:spacing w:after="0"/>
      </w:pPr>
      <w:r>
        <w:separator/>
      </w:r>
    </w:p>
  </w:footnote>
  <w:footnote w:type="continuationSeparator" w:id="0">
    <w:p w14:paraId="143DB3B9" w14:textId="77777777" w:rsidR="0039560C" w:rsidRDefault="0039560C">
      <w:pPr>
        <w:spacing w:after="0"/>
      </w:pPr>
      <w:r>
        <w:continuationSeparator/>
      </w:r>
    </w:p>
  </w:footnote>
  <w:footnote w:type="continuationNotice" w:id="1">
    <w:p w14:paraId="7B482646" w14:textId="77777777" w:rsidR="0039560C" w:rsidRDefault="003956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0D9C" w14:textId="77777777" w:rsidR="001F7A88" w:rsidRDefault="001F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57A37"/>
    <w:multiLevelType w:val="hybridMultilevel"/>
    <w:tmpl w:val="3454E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C4"/>
    <w:rsid w:val="000001E4"/>
    <w:rsid w:val="000036DD"/>
    <w:rsid w:val="000055BA"/>
    <w:rsid w:val="00013A29"/>
    <w:rsid w:val="00024B34"/>
    <w:rsid w:val="00027EFB"/>
    <w:rsid w:val="0003272C"/>
    <w:rsid w:val="0004628B"/>
    <w:rsid w:val="00046F61"/>
    <w:rsid w:val="000479E4"/>
    <w:rsid w:val="00052AF0"/>
    <w:rsid w:val="00064FDC"/>
    <w:rsid w:val="0007619D"/>
    <w:rsid w:val="00080EA9"/>
    <w:rsid w:val="00092931"/>
    <w:rsid w:val="000A5C99"/>
    <w:rsid w:val="000C10BA"/>
    <w:rsid w:val="000D2811"/>
    <w:rsid w:val="000E14DC"/>
    <w:rsid w:val="000F1020"/>
    <w:rsid w:val="00100909"/>
    <w:rsid w:val="00102B30"/>
    <w:rsid w:val="00103BB7"/>
    <w:rsid w:val="00104E39"/>
    <w:rsid w:val="001135B7"/>
    <w:rsid w:val="00114BAC"/>
    <w:rsid w:val="00124CD3"/>
    <w:rsid w:val="001342D1"/>
    <w:rsid w:val="0015148D"/>
    <w:rsid w:val="00153BCC"/>
    <w:rsid w:val="001547C6"/>
    <w:rsid w:val="00165898"/>
    <w:rsid w:val="00180665"/>
    <w:rsid w:val="00190B8E"/>
    <w:rsid w:val="00192A9D"/>
    <w:rsid w:val="001C357A"/>
    <w:rsid w:val="001D0401"/>
    <w:rsid w:val="001D4D1F"/>
    <w:rsid w:val="001E3282"/>
    <w:rsid w:val="001F7A88"/>
    <w:rsid w:val="00202C3B"/>
    <w:rsid w:val="0020319C"/>
    <w:rsid w:val="00223521"/>
    <w:rsid w:val="00271B40"/>
    <w:rsid w:val="00277283"/>
    <w:rsid w:val="00284611"/>
    <w:rsid w:val="0029345F"/>
    <w:rsid w:val="002C19BF"/>
    <w:rsid w:val="002C3B0C"/>
    <w:rsid w:val="002C3F92"/>
    <w:rsid w:val="002C61F5"/>
    <w:rsid w:val="002D0313"/>
    <w:rsid w:val="002D0CA9"/>
    <w:rsid w:val="002D1C36"/>
    <w:rsid w:val="002E52DD"/>
    <w:rsid w:val="002E6060"/>
    <w:rsid w:val="002E7F52"/>
    <w:rsid w:val="002F7BC7"/>
    <w:rsid w:val="0033188B"/>
    <w:rsid w:val="0033190E"/>
    <w:rsid w:val="003375F1"/>
    <w:rsid w:val="00343031"/>
    <w:rsid w:val="00351A33"/>
    <w:rsid w:val="0035229C"/>
    <w:rsid w:val="00372C2A"/>
    <w:rsid w:val="003730C1"/>
    <w:rsid w:val="003737EE"/>
    <w:rsid w:val="003773D2"/>
    <w:rsid w:val="00381A60"/>
    <w:rsid w:val="003846E8"/>
    <w:rsid w:val="00390D8A"/>
    <w:rsid w:val="0039361E"/>
    <w:rsid w:val="0039560C"/>
    <w:rsid w:val="003C6015"/>
    <w:rsid w:val="003D0620"/>
    <w:rsid w:val="003D170B"/>
    <w:rsid w:val="003D7068"/>
    <w:rsid w:val="003F041E"/>
    <w:rsid w:val="003F4EC4"/>
    <w:rsid w:val="003F6FF6"/>
    <w:rsid w:val="003F7F48"/>
    <w:rsid w:val="00422EF0"/>
    <w:rsid w:val="00437742"/>
    <w:rsid w:val="0044143B"/>
    <w:rsid w:val="00446C95"/>
    <w:rsid w:val="00474408"/>
    <w:rsid w:val="0048077C"/>
    <w:rsid w:val="004822BC"/>
    <w:rsid w:val="0048295D"/>
    <w:rsid w:val="0048716B"/>
    <w:rsid w:val="004900B9"/>
    <w:rsid w:val="004957C3"/>
    <w:rsid w:val="00497D20"/>
    <w:rsid w:val="004A525D"/>
    <w:rsid w:val="004A56BF"/>
    <w:rsid w:val="004D27B3"/>
    <w:rsid w:val="004D4B62"/>
    <w:rsid w:val="004D79BE"/>
    <w:rsid w:val="004F6FCC"/>
    <w:rsid w:val="00523F72"/>
    <w:rsid w:val="005260E2"/>
    <w:rsid w:val="00530C80"/>
    <w:rsid w:val="00541312"/>
    <w:rsid w:val="00545802"/>
    <w:rsid w:val="005529A9"/>
    <w:rsid w:val="005648FC"/>
    <w:rsid w:val="00573014"/>
    <w:rsid w:val="005A3244"/>
    <w:rsid w:val="005A72C4"/>
    <w:rsid w:val="005B442A"/>
    <w:rsid w:val="005B64B8"/>
    <w:rsid w:val="005B7395"/>
    <w:rsid w:val="005C0691"/>
    <w:rsid w:val="005C2135"/>
    <w:rsid w:val="005C31A1"/>
    <w:rsid w:val="005D2064"/>
    <w:rsid w:val="005E7C90"/>
    <w:rsid w:val="005F1827"/>
    <w:rsid w:val="005F74DD"/>
    <w:rsid w:val="00600D70"/>
    <w:rsid w:val="00624EE7"/>
    <w:rsid w:val="0063195F"/>
    <w:rsid w:val="00634D16"/>
    <w:rsid w:val="00655C9F"/>
    <w:rsid w:val="006678D2"/>
    <w:rsid w:val="00680FA9"/>
    <w:rsid w:val="00684819"/>
    <w:rsid w:val="00684DBF"/>
    <w:rsid w:val="00686087"/>
    <w:rsid w:val="006928ED"/>
    <w:rsid w:val="00692B58"/>
    <w:rsid w:val="00694F28"/>
    <w:rsid w:val="006961D2"/>
    <w:rsid w:val="006A3A42"/>
    <w:rsid w:val="006A6353"/>
    <w:rsid w:val="006B105E"/>
    <w:rsid w:val="006B4086"/>
    <w:rsid w:val="006C02DA"/>
    <w:rsid w:val="006C0942"/>
    <w:rsid w:val="006C1769"/>
    <w:rsid w:val="006C62B2"/>
    <w:rsid w:val="006C793F"/>
    <w:rsid w:val="006C7A6C"/>
    <w:rsid w:val="006E3C67"/>
    <w:rsid w:val="006F3E72"/>
    <w:rsid w:val="006F5743"/>
    <w:rsid w:val="00704FE3"/>
    <w:rsid w:val="00721310"/>
    <w:rsid w:val="00731EBC"/>
    <w:rsid w:val="00737115"/>
    <w:rsid w:val="007374C6"/>
    <w:rsid w:val="0073765B"/>
    <w:rsid w:val="00745815"/>
    <w:rsid w:val="007532F6"/>
    <w:rsid w:val="00761514"/>
    <w:rsid w:val="00770969"/>
    <w:rsid w:val="00772D67"/>
    <w:rsid w:val="00773806"/>
    <w:rsid w:val="007754ED"/>
    <w:rsid w:val="007765EE"/>
    <w:rsid w:val="00781B7E"/>
    <w:rsid w:val="007854E3"/>
    <w:rsid w:val="00791000"/>
    <w:rsid w:val="00793655"/>
    <w:rsid w:val="00793721"/>
    <w:rsid w:val="00797B59"/>
    <w:rsid w:val="007B0867"/>
    <w:rsid w:val="007B6376"/>
    <w:rsid w:val="007C1D1B"/>
    <w:rsid w:val="007C3B62"/>
    <w:rsid w:val="007E1A4D"/>
    <w:rsid w:val="007E48FF"/>
    <w:rsid w:val="00804760"/>
    <w:rsid w:val="00806E72"/>
    <w:rsid w:val="00811734"/>
    <w:rsid w:val="008357E7"/>
    <w:rsid w:val="008603FE"/>
    <w:rsid w:val="008706D1"/>
    <w:rsid w:val="008755AA"/>
    <w:rsid w:val="0088030E"/>
    <w:rsid w:val="008825AE"/>
    <w:rsid w:val="00883E3B"/>
    <w:rsid w:val="00897599"/>
    <w:rsid w:val="008A1859"/>
    <w:rsid w:val="008B0276"/>
    <w:rsid w:val="008B37AD"/>
    <w:rsid w:val="008B51FC"/>
    <w:rsid w:val="008B7077"/>
    <w:rsid w:val="008D09FB"/>
    <w:rsid w:val="008D32BA"/>
    <w:rsid w:val="008D5825"/>
    <w:rsid w:val="008F3AA8"/>
    <w:rsid w:val="009014B2"/>
    <w:rsid w:val="00905190"/>
    <w:rsid w:val="00931674"/>
    <w:rsid w:val="00932C6D"/>
    <w:rsid w:val="00944CF9"/>
    <w:rsid w:val="00945E3D"/>
    <w:rsid w:val="0095777B"/>
    <w:rsid w:val="0096081E"/>
    <w:rsid w:val="00961243"/>
    <w:rsid w:val="00972B87"/>
    <w:rsid w:val="00976D59"/>
    <w:rsid w:val="00980B45"/>
    <w:rsid w:val="00984622"/>
    <w:rsid w:val="0098769E"/>
    <w:rsid w:val="009B4069"/>
    <w:rsid w:val="009B61E5"/>
    <w:rsid w:val="009C7BA5"/>
    <w:rsid w:val="009D1117"/>
    <w:rsid w:val="009E3B68"/>
    <w:rsid w:val="009F11F0"/>
    <w:rsid w:val="00A000F1"/>
    <w:rsid w:val="00A01586"/>
    <w:rsid w:val="00A041D2"/>
    <w:rsid w:val="00A064A6"/>
    <w:rsid w:val="00A0793E"/>
    <w:rsid w:val="00A07B11"/>
    <w:rsid w:val="00A13C00"/>
    <w:rsid w:val="00A52432"/>
    <w:rsid w:val="00A540FB"/>
    <w:rsid w:val="00A5552B"/>
    <w:rsid w:val="00A55AFE"/>
    <w:rsid w:val="00A564A7"/>
    <w:rsid w:val="00A80B0D"/>
    <w:rsid w:val="00A83287"/>
    <w:rsid w:val="00A8359F"/>
    <w:rsid w:val="00A83FCE"/>
    <w:rsid w:val="00A85618"/>
    <w:rsid w:val="00A91E2F"/>
    <w:rsid w:val="00A9331B"/>
    <w:rsid w:val="00AA3F0B"/>
    <w:rsid w:val="00AB2C03"/>
    <w:rsid w:val="00AC246D"/>
    <w:rsid w:val="00AD0CD0"/>
    <w:rsid w:val="00B00BDB"/>
    <w:rsid w:val="00B110A7"/>
    <w:rsid w:val="00B14537"/>
    <w:rsid w:val="00B1647E"/>
    <w:rsid w:val="00B331E2"/>
    <w:rsid w:val="00B35FF2"/>
    <w:rsid w:val="00B37161"/>
    <w:rsid w:val="00B403F0"/>
    <w:rsid w:val="00B442AB"/>
    <w:rsid w:val="00B4457A"/>
    <w:rsid w:val="00B451D8"/>
    <w:rsid w:val="00B50D30"/>
    <w:rsid w:val="00B55BE9"/>
    <w:rsid w:val="00B55F41"/>
    <w:rsid w:val="00B64994"/>
    <w:rsid w:val="00B7037D"/>
    <w:rsid w:val="00B743B7"/>
    <w:rsid w:val="00B859E2"/>
    <w:rsid w:val="00B866B3"/>
    <w:rsid w:val="00B97D3F"/>
    <w:rsid w:val="00BA1016"/>
    <w:rsid w:val="00BA7CAC"/>
    <w:rsid w:val="00BB1574"/>
    <w:rsid w:val="00BB35B5"/>
    <w:rsid w:val="00BB3E2F"/>
    <w:rsid w:val="00BB5800"/>
    <w:rsid w:val="00BD346C"/>
    <w:rsid w:val="00BE2E9B"/>
    <w:rsid w:val="00C0068B"/>
    <w:rsid w:val="00C049B6"/>
    <w:rsid w:val="00C102AB"/>
    <w:rsid w:val="00C128A1"/>
    <w:rsid w:val="00C16186"/>
    <w:rsid w:val="00C323DC"/>
    <w:rsid w:val="00C32C57"/>
    <w:rsid w:val="00C45C28"/>
    <w:rsid w:val="00C70282"/>
    <w:rsid w:val="00C75DE5"/>
    <w:rsid w:val="00C768D0"/>
    <w:rsid w:val="00C831DF"/>
    <w:rsid w:val="00C92341"/>
    <w:rsid w:val="00C9562E"/>
    <w:rsid w:val="00CA15C8"/>
    <w:rsid w:val="00CB5E93"/>
    <w:rsid w:val="00CC155F"/>
    <w:rsid w:val="00CD1766"/>
    <w:rsid w:val="00CD48EA"/>
    <w:rsid w:val="00CD4E02"/>
    <w:rsid w:val="00CF1989"/>
    <w:rsid w:val="00CF44BE"/>
    <w:rsid w:val="00CF4C32"/>
    <w:rsid w:val="00CF6C64"/>
    <w:rsid w:val="00D02F7F"/>
    <w:rsid w:val="00D03C40"/>
    <w:rsid w:val="00D20FD9"/>
    <w:rsid w:val="00D23585"/>
    <w:rsid w:val="00D73112"/>
    <w:rsid w:val="00D85147"/>
    <w:rsid w:val="00D96F7C"/>
    <w:rsid w:val="00DA12D1"/>
    <w:rsid w:val="00DC122C"/>
    <w:rsid w:val="00DC4E60"/>
    <w:rsid w:val="00DC7559"/>
    <w:rsid w:val="00DD652D"/>
    <w:rsid w:val="00DE02B4"/>
    <w:rsid w:val="00DE3FBF"/>
    <w:rsid w:val="00DF3B91"/>
    <w:rsid w:val="00DF56DD"/>
    <w:rsid w:val="00E0362F"/>
    <w:rsid w:val="00E07464"/>
    <w:rsid w:val="00E24791"/>
    <w:rsid w:val="00E31DDC"/>
    <w:rsid w:val="00E35DF1"/>
    <w:rsid w:val="00E3629C"/>
    <w:rsid w:val="00E36E49"/>
    <w:rsid w:val="00E404F3"/>
    <w:rsid w:val="00E50CBE"/>
    <w:rsid w:val="00E57719"/>
    <w:rsid w:val="00E601A6"/>
    <w:rsid w:val="00E60CCC"/>
    <w:rsid w:val="00E61CC5"/>
    <w:rsid w:val="00E62BBF"/>
    <w:rsid w:val="00E83607"/>
    <w:rsid w:val="00E860EF"/>
    <w:rsid w:val="00E875A8"/>
    <w:rsid w:val="00E914CA"/>
    <w:rsid w:val="00E92DC4"/>
    <w:rsid w:val="00EB56A3"/>
    <w:rsid w:val="00EB739C"/>
    <w:rsid w:val="00ED4368"/>
    <w:rsid w:val="00EE7B06"/>
    <w:rsid w:val="00EF0707"/>
    <w:rsid w:val="00F07B0E"/>
    <w:rsid w:val="00F2019C"/>
    <w:rsid w:val="00F31128"/>
    <w:rsid w:val="00F5466E"/>
    <w:rsid w:val="00F71900"/>
    <w:rsid w:val="00F90D07"/>
    <w:rsid w:val="00F9550C"/>
    <w:rsid w:val="00F96DEE"/>
    <w:rsid w:val="00FA5DE1"/>
    <w:rsid w:val="00FB2918"/>
    <w:rsid w:val="00FB32FC"/>
    <w:rsid w:val="00FB457E"/>
    <w:rsid w:val="00FB798A"/>
    <w:rsid w:val="00FC1FD4"/>
    <w:rsid w:val="00FD2FAD"/>
    <w:rsid w:val="00FE048C"/>
    <w:rsid w:val="00FE457F"/>
    <w:rsid w:val="00FE7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1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7"/>
    <w:pPr>
      <w:spacing w:after="240"/>
    </w:pPr>
    <w:rPr>
      <w:color w:val="000000"/>
      <w:sz w:val="24"/>
    </w:rPr>
  </w:style>
  <w:style w:type="paragraph" w:styleId="Heading1">
    <w:name w:val="heading 1"/>
    <w:basedOn w:val="Normal"/>
    <w:next w:val="Normal"/>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ind w:left="36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7"/>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6"/>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basedOn w:val="Normal"/>
    <w:uiPriority w:val="34"/>
    <w:rsid w:val="00B97D3F"/>
    <w:pPr>
      <w:ind w:left="720"/>
      <w:contextualSpacing/>
    </w:pPr>
  </w:style>
  <w:style w:type="paragraph" w:customStyle="1" w:styleId="paragraph">
    <w:name w:val="paragraph"/>
    <w:basedOn w:val="Normal"/>
    <w:rsid w:val="001547C6"/>
    <w:pPr>
      <w:spacing w:before="100" w:beforeAutospacing="1" w:after="100" w:afterAutospacing="1"/>
    </w:pPr>
    <w:rPr>
      <w:color w:val="auto"/>
      <w:szCs w:val="24"/>
    </w:rPr>
  </w:style>
  <w:style w:type="character" w:customStyle="1" w:styleId="normaltextrun">
    <w:name w:val="normaltextrun"/>
    <w:basedOn w:val="DefaultParagraphFont"/>
    <w:rsid w:val="001547C6"/>
  </w:style>
  <w:style w:type="character" w:customStyle="1" w:styleId="eop">
    <w:name w:val="eop"/>
    <w:basedOn w:val="DefaultParagraphFont"/>
    <w:rsid w:val="001547C6"/>
  </w:style>
  <w:style w:type="character" w:styleId="CommentReference">
    <w:name w:val="annotation reference"/>
    <w:basedOn w:val="DefaultParagraphFont"/>
    <w:uiPriority w:val="99"/>
    <w:semiHidden/>
    <w:unhideWhenUsed/>
    <w:rsid w:val="00C128A1"/>
    <w:rPr>
      <w:sz w:val="16"/>
      <w:szCs w:val="16"/>
    </w:rPr>
  </w:style>
  <w:style w:type="paragraph" w:styleId="CommentText">
    <w:name w:val="annotation text"/>
    <w:basedOn w:val="Normal"/>
    <w:link w:val="CommentTextChar"/>
    <w:uiPriority w:val="99"/>
    <w:semiHidden/>
    <w:unhideWhenUsed/>
    <w:rsid w:val="00C128A1"/>
    <w:rPr>
      <w:sz w:val="20"/>
    </w:rPr>
  </w:style>
  <w:style w:type="character" w:customStyle="1" w:styleId="CommentTextChar">
    <w:name w:val="Comment Text Char"/>
    <w:basedOn w:val="DefaultParagraphFont"/>
    <w:link w:val="CommentText"/>
    <w:uiPriority w:val="99"/>
    <w:semiHidden/>
    <w:rsid w:val="00C128A1"/>
    <w:rPr>
      <w:color w:val="000000"/>
    </w:rPr>
  </w:style>
  <w:style w:type="paragraph" w:styleId="CommentSubject">
    <w:name w:val="annotation subject"/>
    <w:basedOn w:val="CommentText"/>
    <w:next w:val="CommentText"/>
    <w:link w:val="CommentSubjectChar"/>
    <w:uiPriority w:val="99"/>
    <w:semiHidden/>
    <w:unhideWhenUsed/>
    <w:rsid w:val="00C128A1"/>
    <w:rPr>
      <w:b/>
      <w:bCs/>
    </w:rPr>
  </w:style>
  <w:style w:type="character" w:customStyle="1" w:styleId="CommentSubjectChar">
    <w:name w:val="Comment Subject Char"/>
    <w:basedOn w:val="CommentTextChar"/>
    <w:link w:val="CommentSubject"/>
    <w:uiPriority w:val="99"/>
    <w:semiHidden/>
    <w:rsid w:val="00C128A1"/>
    <w:rPr>
      <w:b/>
      <w:bCs/>
      <w:color w:val="000000"/>
    </w:rPr>
  </w:style>
  <w:style w:type="character" w:styleId="Hyperlink">
    <w:name w:val="Hyperlink"/>
    <w:basedOn w:val="DefaultParagraphFont"/>
    <w:uiPriority w:val="99"/>
    <w:unhideWhenUsed/>
    <w:rsid w:val="00F07B0E"/>
    <w:rPr>
      <w:color w:val="0000FF" w:themeColor="hyperlink"/>
      <w:u w:val="single"/>
    </w:rPr>
  </w:style>
  <w:style w:type="paragraph" w:styleId="Revision">
    <w:name w:val="Revision"/>
    <w:hidden/>
    <w:uiPriority w:val="99"/>
    <w:semiHidden/>
    <w:rsid w:val="00680FA9"/>
    <w:rPr>
      <w:color w:val="000000"/>
      <w:sz w:val="24"/>
    </w:rPr>
  </w:style>
  <w:style w:type="paragraph" w:styleId="BodyText">
    <w:name w:val="Body Text"/>
    <w:basedOn w:val="Normal"/>
    <w:link w:val="BodyTextChar"/>
    <w:uiPriority w:val="1"/>
    <w:qFormat/>
    <w:rsid w:val="00BA1016"/>
    <w:pPr>
      <w:spacing w:before="180" w:after="0" w:line="259" w:lineRule="auto"/>
    </w:pPr>
    <w:rPr>
      <w:rFonts w:asciiTheme="minorHAnsi" w:hAnsiTheme="minorHAnsi"/>
      <w:color w:val="auto"/>
      <w:sz w:val="20"/>
      <w:szCs w:val="24"/>
    </w:rPr>
  </w:style>
  <w:style w:type="character" w:customStyle="1" w:styleId="BodyTextChar">
    <w:name w:val="Body Text Char"/>
    <w:basedOn w:val="DefaultParagraphFont"/>
    <w:link w:val="BodyText"/>
    <w:uiPriority w:val="1"/>
    <w:rsid w:val="00BA1016"/>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44335">
      <w:bodyDiv w:val="1"/>
      <w:marLeft w:val="0"/>
      <w:marRight w:val="0"/>
      <w:marTop w:val="0"/>
      <w:marBottom w:val="0"/>
      <w:divBdr>
        <w:top w:val="none" w:sz="0" w:space="0" w:color="auto"/>
        <w:left w:val="none" w:sz="0" w:space="0" w:color="auto"/>
        <w:bottom w:val="none" w:sz="0" w:space="0" w:color="auto"/>
        <w:right w:val="none" w:sz="0" w:space="0" w:color="auto"/>
      </w:divBdr>
    </w:div>
    <w:div w:id="942343297">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046948737">
      <w:bodyDiv w:val="1"/>
      <w:marLeft w:val="0"/>
      <w:marRight w:val="0"/>
      <w:marTop w:val="0"/>
      <w:marBottom w:val="0"/>
      <w:divBdr>
        <w:top w:val="none" w:sz="0" w:space="0" w:color="auto"/>
        <w:left w:val="none" w:sz="0" w:space="0" w:color="auto"/>
        <w:bottom w:val="none" w:sz="0" w:space="0" w:color="auto"/>
        <w:right w:val="none" w:sz="0" w:space="0" w:color="auto"/>
      </w:divBdr>
      <w:divsChild>
        <w:div w:id="1258514793">
          <w:marLeft w:val="0"/>
          <w:marRight w:val="0"/>
          <w:marTop w:val="0"/>
          <w:marBottom w:val="0"/>
          <w:divBdr>
            <w:top w:val="none" w:sz="0" w:space="0" w:color="auto"/>
            <w:left w:val="none" w:sz="0" w:space="0" w:color="auto"/>
            <w:bottom w:val="none" w:sz="0" w:space="0" w:color="auto"/>
            <w:right w:val="none" w:sz="0" w:space="0" w:color="auto"/>
          </w:divBdr>
        </w:div>
        <w:div w:id="1982034079">
          <w:marLeft w:val="0"/>
          <w:marRight w:val="0"/>
          <w:marTop w:val="0"/>
          <w:marBottom w:val="0"/>
          <w:divBdr>
            <w:top w:val="none" w:sz="0" w:space="0" w:color="auto"/>
            <w:left w:val="none" w:sz="0" w:space="0" w:color="auto"/>
            <w:bottom w:val="none" w:sz="0" w:space="0" w:color="auto"/>
            <w:right w:val="none" w:sz="0" w:space="0" w:color="auto"/>
          </w:divBdr>
        </w:div>
      </w:divsChild>
    </w:div>
    <w:div w:id="1188561143">
      <w:bodyDiv w:val="1"/>
      <w:marLeft w:val="0"/>
      <w:marRight w:val="0"/>
      <w:marTop w:val="0"/>
      <w:marBottom w:val="0"/>
      <w:divBdr>
        <w:top w:val="none" w:sz="0" w:space="0" w:color="auto"/>
        <w:left w:val="none" w:sz="0" w:space="0" w:color="auto"/>
        <w:bottom w:val="none" w:sz="0" w:space="0" w:color="auto"/>
        <w:right w:val="none" w:sz="0" w:space="0" w:color="auto"/>
      </w:divBdr>
    </w:div>
    <w:div w:id="123623566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470174019">
      <w:bodyDiv w:val="1"/>
      <w:marLeft w:val="0"/>
      <w:marRight w:val="0"/>
      <w:marTop w:val="0"/>
      <w:marBottom w:val="0"/>
      <w:divBdr>
        <w:top w:val="none" w:sz="0" w:space="0" w:color="auto"/>
        <w:left w:val="none" w:sz="0" w:space="0" w:color="auto"/>
        <w:bottom w:val="none" w:sz="0" w:space="0" w:color="auto"/>
        <w:right w:val="none" w:sz="0" w:space="0" w:color="auto"/>
      </w:divBdr>
    </w:div>
    <w:div w:id="1548839494">
      <w:bodyDiv w:val="1"/>
      <w:marLeft w:val="0"/>
      <w:marRight w:val="0"/>
      <w:marTop w:val="0"/>
      <w:marBottom w:val="0"/>
      <w:divBdr>
        <w:top w:val="none" w:sz="0" w:space="0" w:color="auto"/>
        <w:left w:val="none" w:sz="0" w:space="0" w:color="auto"/>
        <w:bottom w:val="none" w:sz="0" w:space="0" w:color="auto"/>
        <w:right w:val="none" w:sz="0" w:space="0" w:color="auto"/>
      </w:divBdr>
      <w:divsChild>
        <w:div w:id="3410820">
          <w:marLeft w:val="0"/>
          <w:marRight w:val="0"/>
          <w:marTop w:val="0"/>
          <w:marBottom w:val="0"/>
          <w:divBdr>
            <w:top w:val="none" w:sz="0" w:space="0" w:color="auto"/>
            <w:left w:val="none" w:sz="0" w:space="0" w:color="auto"/>
            <w:bottom w:val="none" w:sz="0" w:space="0" w:color="auto"/>
            <w:right w:val="none" w:sz="0" w:space="0" w:color="auto"/>
          </w:divBdr>
        </w:div>
        <w:div w:id="1223711857">
          <w:marLeft w:val="0"/>
          <w:marRight w:val="0"/>
          <w:marTop w:val="0"/>
          <w:marBottom w:val="0"/>
          <w:divBdr>
            <w:top w:val="none" w:sz="0" w:space="0" w:color="auto"/>
            <w:left w:val="none" w:sz="0" w:space="0" w:color="auto"/>
            <w:bottom w:val="none" w:sz="0" w:space="0" w:color="auto"/>
            <w:right w:val="none" w:sz="0" w:space="0" w:color="auto"/>
          </w:divBdr>
        </w:div>
        <w:div w:id="1960186814">
          <w:marLeft w:val="0"/>
          <w:marRight w:val="0"/>
          <w:marTop w:val="0"/>
          <w:marBottom w:val="0"/>
          <w:divBdr>
            <w:top w:val="none" w:sz="0" w:space="0" w:color="auto"/>
            <w:left w:val="none" w:sz="0" w:space="0" w:color="auto"/>
            <w:bottom w:val="none" w:sz="0" w:space="0" w:color="auto"/>
            <w:right w:val="none" w:sz="0" w:space="0" w:color="auto"/>
          </w:divBdr>
        </w:div>
      </w:divsChild>
    </w:div>
    <w:div w:id="1723551425">
      <w:bodyDiv w:val="1"/>
      <w:marLeft w:val="0"/>
      <w:marRight w:val="0"/>
      <w:marTop w:val="0"/>
      <w:marBottom w:val="0"/>
      <w:divBdr>
        <w:top w:val="none" w:sz="0" w:space="0" w:color="auto"/>
        <w:left w:val="none" w:sz="0" w:space="0" w:color="auto"/>
        <w:bottom w:val="none" w:sz="0" w:space="0" w:color="auto"/>
        <w:right w:val="none" w:sz="0" w:space="0" w:color="auto"/>
      </w:divBdr>
      <w:divsChild>
        <w:div w:id="1634865505">
          <w:marLeft w:val="0"/>
          <w:marRight w:val="0"/>
          <w:marTop w:val="0"/>
          <w:marBottom w:val="0"/>
          <w:divBdr>
            <w:top w:val="none" w:sz="0" w:space="0" w:color="auto"/>
            <w:left w:val="none" w:sz="0" w:space="0" w:color="auto"/>
            <w:bottom w:val="none" w:sz="0" w:space="0" w:color="auto"/>
            <w:right w:val="none" w:sz="0" w:space="0" w:color="auto"/>
          </w:divBdr>
        </w:div>
        <w:div w:id="1357541127">
          <w:marLeft w:val="0"/>
          <w:marRight w:val="0"/>
          <w:marTop w:val="0"/>
          <w:marBottom w:val="0"/>
          <w:divBdr>
            <w:top w:val="none" w:sz="0" w:space="0" w:color="auto"/>
            <w:left w:val="none" w:sz="0" w:space="0" w:color="auto"/>
            <w:bottom w:val="none" w:sz="0" w:space="0" w:color="auto"/>
            <w:right w:val="none" w:sz="0" w:space="0" w:color="auto"/>
          </w:divBdr>
        </w:div>
        <w:div w:id="2146971263">
          <w:marLeft w:val="0"/>
          <w:marRight w:val="0"/>
          <w:marTop w:val="0"/>
          <w:marBottom w:val="0"/>
          <w:divBdr>
            <w:top w:val="none" w:sz="0" w:space="0" w:color="auto"/>
            <w:left w:val="none" w:sz="0" w:space="0" w:color="auto"/>
            <w:bottom w:val="none" w:sz="0" w:space="0" w:color="auto"/>
            <w:right w:val="none" w:sz="0" w:space="0" w:color="auto"/>
          </w:divBdr>
        </w:div>
      </w:divsChild>
    </w:div>
    <w:div w:id="1727994548">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2092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3044-6A3E-4C17-97DD-981A70A5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5134</Words>
  <Characters>27838</Characters>
  <Application>Microsoft Office Word</Application>
  <DocSecurity>0</DocSecurity>
  <Lines>479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2022-02-23T05:02:00Z</dcterms:created>
  <dcterms:modified xsi:type="dcterms:W3CDTF">2022-03-21T00:14:00Z</dcterms:modified>
</cp:coreProperties>
</file>