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438B" w14:textId="366172D4" w:rsidR="00065623" w:rsidRPr="00065623" w:rsidRDefault="00493F7D" w:rsidP="00B411FE">
      <w:pPr>
        <w:jc w:val="center"/>
        <w:rPr>
          <w:rFonts w:ascii="Arial" w:hAnsi="Arial" w:cs="Arial"/>
          <w:b/>
          <w:i/>
          <w:szCs w:val="24"/>
          <w:highlight w:val="yellow"/>
        </w:rPr>
      </w:pPr>
      <w:r>
        <w:rPr>
          <w:rFonts w:ascii="Arial" w:hAnsi="Arial" w:cs="Arial"/>
          <w:b/>
          <w:noProof/>
          <w:color w:val="000080"/>
          <w:sz w:val="28"/>
          <w:szCs w:val="28"/>
        </w:rPr>
        <w:drawing>
          <wp:inline distT="0" distB="0" distL="0" distR="0" wp14:anchorId="52596895" wp14:editId="4B0E0B2C">
            <wp:extent cx="2627630" cy="1078865"/>
            <wp:effectExtent l="0" t="0" r="1270" b="6985"/>
            <wp:docPr id="1" name="Picture 1"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247E53C" w14:textId="77777777" w:rsidR="00E936DA" w:rsidRPr="00B02E35" w:rsidRDefault="00E936DA" w:rsidP="00B411FE">
      <w:pPr>
        <w:jc w:val="center"/>
        <w:rPr>
          <w:rFonts w:ascii="Arial" w:hAnsi="Arial" w:cs="Arial"/>
          <w:b/>
          <w:color w:val="000000" w:themeColor="text1"/>
          <w:sz w:val="28"/>
          <w:szCs w:val="28"/>
        </w:rPr>
      </w:pPr>
    </w:p>
    <w:p w14:paraId="51D1F92D" w14:textId="77777777" w:rsidR="00493F7D" w:rsidRDefault="00493F7D" w:rsidP="00493F7D">
      <w:pPr>
        <w:pStyle w:val="Subtitle"/>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5CD743DD" w14:textId="6BAA991A" w:rsidR="0050188B" w:rsidRPr="0052065A" w:rsidRDefault="0052065A" w:rsidP="0052065A">
      <w:pPr>
        <w:pStyle w:val="Subtitle"/>
      </w:pPr>
      <w:r>
        <w:t xml:space="preserve">Application No. </w:t>
      </w:r>
      <w:r w:rsidRPr="0052065A">
        <w:t>1646 – Whole genome sequencing of antimicrobial-resistant pathogens</w:t>
      </w:r>
    </w:p>
    <w:p w14:paraId="1F456B50" w14:textId="10ECF865" w:rsidR="006B241A" w:rsidRPr="00493F7D" w:rsidRDefault="00065623" w:rsidP="0052065A">
      <w:pPr>
        <w:tabs>
          <w:tab w:val="left" w:pos="3686"/>
        </w:tabs>
        <w:spacing w:before="120" w:after="240" w:line="259" w:lineRule="auto"/>
        <w:rPr>
          <w:rFonts w:ascii="Arial" w:eastAsiaTheme="minorHAnsi" w:hAnsi="Arial" w:cs="Arial"/>
          <w:b/>
          <w:sz w:val="22"/>
          <w:szCs w:val="24"/>
          <w:lang w:eastAsia="en-US"/>
        </w:rPr>
      </w:pPr>
      <w:r w:rsidRPr="00493F7D">
        <w:rPr>
          <w:rFonts w:ascii="Arial" w:eastAsiaTheme="minorHAnsi" w:hAnsi="Arial" w:cs="Arial"/>
          <w:b/>
          <w:sz w:val="22"/>
          <w:szCs w:val="24"/>
          <w:lang w:eastAsia="en-US"/>
        </w:rPr>
        <w:t>Applicant:</w:t>
      </w:r>
      <w:r w:rsidR="0065529B" w:rsidRPr="00493F7D">
        <w:rPr>
          <w:rFonts w:ascii="Arial" w:eastAsiaTheme="minorHAnsi" w:hAnsi="Arial" w:cs="Arial"/>
          <w:b/>
          <w:sz w:val="22"/>
          <w:szCs w:val="24"/>
          <w:lang w:eastAsia="en-US"/>
        </w:rPr>
        <w:t xml:space="preserve"> </w:t>
      </w:r>
      <w:r w:rsidR="0052065A" w:rsidRPr="00493F7D">
        <w:rPr>
          <w:rFonts w:ascii="Arial" w:eastAsiaTheme="minorHAnsi" w:hAnsi="Arial" w:cs="Arial"/>
          <w:b/>
          <w:sz w:val="22"/>
          <w:szCs w:val="24"/>
          <w:lang w:eastAsia="en-US"/>
        </w:rPr>
        <w:tab/>
        <w:t>Royal College of Pathologist</w:t>
      </w:r>
      <w:r w:rsidR="006F4EBA" w:rsidRPr="00493F7D">
        <w:rPr>
          <w:rFonts w:ascii="Arial" w:eastAsiaTheme="minorHAnsi" w:hAnsi="Arial" w:cs="Arial"/>
          <w:b/>
          <w:sz w:val="22"/>
          <w:szCs w:val="24"/>
          <w:lang w:eastAsia="en-US"/>
        </w:rPr>
        <w:t>s</w:t>
      </w:r>
      <w:r w:rsidR="0052065A" w:rsidRPr="00493F7D">
        <w:rPr>
          <w:rFonts w:ascii="Arial" w:eastAsiaTheme="minorHAnsi" w:hAnsi="Arial" w:cs="Arial"/>
          <w:b/>
          <w:sz w:val="22"/>
          <w:szCs w:val="24"/>
          <w:lang w:eastAsia="en-US"/>
        </w:rPr>
        <w:t xml:space="preserve"> of Australasia</w:t>
      </w:r>
    </w:p>
    <w:p w14:paraId="5DDE635B" w14:textId="6A750A77" w:rsidR="00D118AD" w:rsidRPr="00493F7D" w:rsidRDefault="00676C49" w:rsidP="0052065A">
      <w:pPr>
        <w:tabs>
          <w:tab w:val="left" w:pos="3686"/>
        </w:tabs>
        <w:spacing w:before="120" w:after="240" w:line="259" w:lineRule="auto"/>
        <w:rPr>
          <w:rFonts w:ascii="Arial" w:eastAsiaTheme="minorHAnsi" w:hAnsi="Arial" w:cs="Arial"/>
          <w:b/>
          <w:sz w:val="22"/>
          <w:szCs w:val="24"/>
          <w:lang w:eastAsia="en-US"/>
        </w:rPr>
      </w:pPr>
      <w:r w:rsidRPr="00493F7D">
        <w:rPr>
          <w:rFonts w:ascii="Arial" w:eastAsiaTheme="minorHAnsi" w:hAnsi="Arial" w:cs="Arial"/>
          <w:b/>
          <w:sz w:val="22"/>
          <w:szCs w:val="24"/>
          <w:lang w:eastAsia="en-US"/>
        </w:rPr>
        <w:t xml:space="preserve">Date of </w:t>
      </w:r>
      <w:r w:rsidR="00493F7D" w:rsidRPr="00493F7D">
        <w:rPr>
          <w:rFonts w:ascii="Arial" w:eastAsiaTheme="minorHAnsi" w:hAnsi="Arial" w:cs="Arial"/>
          <w:b/>
          <w:sz w:val="22"/>
          <w:szCs w:val="24"/>
          <w:lang w:eastAsia="en-US"/>
        </w:rPr>
        <w:t>MSAC</w:t>
      </w:r>
      <w:r w:rsidRPr="00493F7D">
        <w:rPr>
          <w:rFonts w:ascii="Arial" w:eastAsiaTheme="minorHAnsi" w:hAnsi="Arial" w:cs="Arial"/>
          <w:b/>
          <w:sz w:val="22"/>
          <w:szCs w:val="24"/>
          <w:lang w:eastAsia="en-US"/>
        </w:rPr>
        <w:t xml:space="preserve"> </w:t>
      </w:r>
      <w:r w:rsidR="00065623" w:rsidRPr="00493F7D">
        <w:rPr>
          <w:rFonts w:ascii="Arial" w:eastAsiaTheme="minorHAnsi" w:hAnsi="Arial" w:cs="Arial"/>
          <w:b/>
          <w:sz w:val="22"/>
          <w:szCs w:val="24"/>
          <w:lang w:eastAsia="en-US"/>
        </w:rPr>
        <w:t>consideration:</w:t>
      </w:r>
      <w:r w:rsidR="0052065A" w:rsidRPr="00493F7D">
        <w:rPr>
          <w:rFonts w:ascii="Arial" w:eastAsiaTheme="minorHAnsi" w:hAnsi="Arial" w:cs="Arial"/>
          <w:b/>
          <w:sz w:val="22"/>
          <w:szCs w:val="24"/>
          <w:lang w:eastAsia="en-US"/>
        </w:rPr>
        <w:tab/>
      </w:r>
      <w:r w:rsidR="009406C6" w:rsidRPr="00A513B1">
        <w:rPr>
          <w:rFonts w:ascii="Arial" w:hAnsi="Arial" w:cs="Arial"/>
          <w:b/>
          <w:sz w:val="22"/>
          <w:szCs w:val="22"/>
        </w:rPr>
        <w:t>31 March – 1 April 2022</w:t>
      </w:r>
    </w:p>
    <w:p w14:paraId="0E348944" w14:textId="26D2643B" w:rsidR="006F4EBA" w:rsidRPr="00E06036" w:rsidRDefault="006F4EBA" w:rsidP="00E06036">
      <w:pPr>
        <w:pStyle w:val="Heading1"/>
      </w:pPr>
      <w:bookmarkStart w:id="0" w:name="_Toc69491415"/>
      <w:bookmarkStart w:id="1" w:name="_Hlk69734469"/>
      <w:r w:rsidRPr="00E06036">
        <w:t>Purpose of application</w:t>
      </w:r>
      <w:bookmarkEnd w:id="0"/>
    </w:p>
    <w:p w14:paraId="3BDE18A1" w14:textId="77777777" w:rsidR="0052065A" w:rsidRPr="006F4EBA" w:rsidRDefault="0052065A" w:rsidP="0052065A">
      <w:pPr>
        <w:spacing w:after="240"/>
        <w:rPr>
          <w:rFonts w:ascii="Franklin Gothic Book" w:hAnsi="Franklin Gothic Book"/>
          <w:iCs/>
          <w:sz w:val="22"/>
          <w:szCs w:val="22"/>
        </w:rPr>
      </w:pPr>
      <w:r w:rsidRPr="006F4EBA">
        <w:rPr>
          <w:rFonts w:ascii="Franklin Gothic Book" w:hAnsi="Franklin Gothic Book"/>
          <w:iCs/>
          <w:sz w:val="22"/>
          <w:szCs w:val="22"/>
        </w:rPr>
        <w:t xml:space="preserve">An application requesting Medicare Benefits Schedule (MBS) listing of pathogen whole genome sequencing (WGS) for five indications for antimicrobial drug susceptibility testing (DST) was received from the Royal College of Pathologists of Australasia by the Department of Health. PASC advised that the mycobacterial indication should be assessed first. The exemplar for this indication is patients diagnosed with tuberculosis with confirmed </w:t>
      </w:r>
      <w:r w:rsidRPr="006F4EBA">
        <w:rPr>
          <w:rFonts w:ascii="Franklin Gothic Book" w:hAnsi="Franklin Gothic Book"/>
          <w:i/>
          <w:iCs/>
          <w:sz w:val="22"/>
          <w:szCs w:val="22"/>
        </w:rPr>
        <w:t>Mycobacterium tuberculosis</w:t>
      </w:r>
      <w:r w:rsidRPr="006F4EBA">
        <w:rPr>
          <w:rFonts w:ascii="Franklin Gothic Book" w:hAnsi="Franklin Gothic Book"/>
          <w:iCs/>
          <w:sz w:val="22"/>
          <w:szCs w:val="22"/>
        </w:rPr>
        <w:t xml:space="preserve">. DST allows patients to be treated with antibiotics the organism is likely to respond to, improving the health of the affected individual, and decreasing the likelihood of further resistance developing. </w:t>
      </w:r>
    </w:p>
    <w:p w14:paraId="5263B805" w14:textId="77777777" w:rsidR="0052065A" w:rsidRPr="009A3778" w:rsidRDefault="0052065A" w:rsidP="0052065A">
      <w:pPr>
        <w:spacing w:after="240"/>
        <w:rPr>
          <w:iCs/>
        </w:rPr>
      </w:pPr>
      <w:r w:rsidRPr="006F4EBA">
        <w:rPr>
          <w:rFonts w:ascii="Franklin Gothic Book" w:hAnsi="Franklin Gothic Book"/>
          <w:iCs/>
          <w:sz w:val="22"/>
          <w:szCs w:val="22"/>
        </w:rPr>
        <w:t>The comparative clinical claim made by the applicants is that use of WGS is non-inferior to phenotypic drug susceptibility testing (</w:t>
      </w:r>
      <w:proofErr w:type="spellStart"/>
      <w:r w:rsidRPr="006F4EBA">
        <w:rPr>
          <w:rFonts w:ascii="Franklin Gothic Book" w:hAnsi="Franklin Gothic Book"/>
          <w:iCs/>
          <w:sz w:val="22"/>
          <w:szCs w:val="22"/>
        </w:rPr>
        <w:t>pDST</w:t>
      </w:r>
      <w:proofErr w:type="spellEnd"/>
      <w:r w:rsidRPr="006F4EBA">
        <w:rPr>
          <w:rFonts w:ascii="Franklin Gothic Book" w:hAnsi="Franklin Gothic Book"/>
          <w:iCs/>
          <w:sz w:val="22"/>
          <w:szCs w:val="22"/>
        </w:rPr>
        <w:t xml:space="preserve">) alone. However, the evidence supported a claim of superior effectiveness and superior safety compared to </w:t>
      </w:r>
      <w:proofErr w:type="spellStart"/>
      <w:r w:rsidRPr="006F4EBA">
        <w:rPr>
          <w:rFonts w:ascii="Franklin Gothic Book" w:hAnsi="Franklin Gothic Book"/>
          <w:iCs/>
          <w:sz w:val="22"/>
          <w:szCs w:val="22"/>
        </w:rPr>
        <w:t>pDST</w:t>
      </w:r>
      <w:proofErr w:type="spellEnd"/>
      <w:r w:rsidRPr="006F4EBA">
        <w:rPr>
          <w:rFonts w:ascii="Franklin Gothic Book" w:hAnsi="Franklin Gothic Book"/>
          <w:iCs/>
          <w:sz w:val="22"/>
          <w:szCs w:val="22"/>
        </w:rPr>
        <w:t xml:space="preserve"> alone.</w:t>
      </w:r>
      <w:r>
        <w:rPr>
          <w:iCs/>
        </w:rPr>
        <w:t xml:space="preserve">  </w:t>
      </w:r>
    </w:p>
    <w:bookmarkEnd w:id="1"/>
    <w:p w14:paraId="43637675" w14:textId="241EC96C" w:rsidR="00493F7D" w:rsidRPr="00E06036" w:rsidRDefault="00493F7D" w:rsidP="00E06036">
      <w:pPr>
        <w:pStyle w:val="Heading1"/>
      </w:pPr>
      <w:r w:rsidRPr="00E06036">
        <w:t>MSAC’s advice to the Minister</w:t>
      </w:r>
    </w:p>
    <w:p w14:paraId="2C7767B0" w14:textId="635A60B3" w:rsidR="00493F7D" w:rsidRPr="00F33D59" w:rsidRDefault="00F33D59" w:rsidP="00F33D59">
      <w:pPr>
        <w:spacing w:after="240"/>
        <w:rPr>
          <w:rFonts w:ascii="Franklin Gothic Book" w:hAnsi="Franklin Gothic Book"/>
          <w:iCs/>
          <w:sz w:val="22"/>
          <w:szCs w:val="22"/>
        </w:rPr>
      </w:pPr>
      <w:r w:rsidRPr="00F33D59">
        <w:rPr>
          <w:rFonts w:ascii="Franklin Gothic Book" w:hAnsi="Franklin Gothic Book"/>
          <w:iCs/>
          <w:sz w:val="22"/>
          <w:szCs w:val="22"/>
        </w:rPr>
        <w:t xml:space="preserve">After considering the strength of the available evidence in relation to comparative safety, clinical effectiveness and cost-effectiveness, MSAC supported whole genome sequencing of </w:t>
      </w:r>
      <w:r w:rsidRPr="00F33D59">
        <w:rPr>
          <w:rFonts w:ascii="Franklin Gothic Book" w:hAnsi="Franklin Gothic Book"/>
          <w:i/>
          <w:sz w:val="22"/>
          <w:szCs w:val="22"/>
        </w:rPr>
        <w:t>Mycobacterium tuberculosis</w:t>
      </w:r>
      <w:r w:rsidRPr="00F33D59">
        <w:rPr>
          <w:rFonts w:ascii="Franklin Gothic Book" w:hAnsi="Franklin Gothic Book"/>
          <w:iCs/>
          <w:sz w:val="22"/>
          <w:szCs w:val="22"/>
        </w:rPr>
        <w:t xml:space="preserve"> complex (MTBC) to speciate the organism and characterise its </w:t>
      </w:r>
      <w:proofErr w:type="spellStart"/>
      <w:r w:rsidRPr="00F33D59">
        <w:rPr>
          <w:rFonts w:ascii="Franklin Gothic Book" w:hAnsi="Franklin Gothic Book"/>
          <w:iCs/>
          <w:sz w:val="22"/>
          <w:szCs w:val="22"/>
        </w:rPr>
        <w:t>resistome</w:t>
      </w:r>
      <w:proofErr w:type="spellEnd"/>
      <w:r w:rsidRPr="00F33D59">
        <w:rPr>
          <w:rFonts w:ascii="Franklin Gothic Book" w:hAnsi="Franklin Gothic Book"/>
          <w:iCs/>
          <w:sz w:val="22"/>
          <w:szCs w:val="22"/>
        </w:rPr>
        <w:t>, at initial diagnosis and at recurrence, on the basis that the proposed testing is safe and more effective than current phenotypic based drug susceptibility testing, is probably cost-effective, and would have a modest financial impact.</w:t>
      </w:r>
    </w:p>
    <w:tbl>
      <w:tblPr>
        <w:tblStyle w:val="TableGrid"/>
        <w:tblW w:w="0" w:type="auto"/>
        <w:tblLook w:val="04A0" w:firstRow="1" w:lastRow="0" w:firstColumn="1" w:lastColumn="0" w:noHBand="0" w:noVBand="1"/>
        <w:tblDescription w:val="Consumer summary of MSAC consideration"/>
      </w:tblPr>
      <w:tblGrid>
        <w:gridCol w:w="9016"/>
      </w:tblGrid>
      <w:tr w:rsidR="00493F7D" w:rsidRPr="005F6A3D" w14:paraId="304FEA25" w14:textId="77777777" w:rsidTr="00644745">
        <w:trPr>
          <w:tblHeader/>
        </w:trPr>
        <w:tc>
          <w:tcPr>
            <w:tcW w:w="9016" w:type="dxa"/>
          </w:tcPr>
          <w:p w14:paraId="7BD187B3" w14:textId="77777777" w:rsidR="00493F7D" w:rsidRPr="00493F7D" w:rsidRDefault="00493F7D" w:rsidP="00644745">
            <w:pPr>
              <w:pStyle w:val="Heading3"/>
              <w:spacing w:before="120" w:after="120"/>
              <w:outlineLvl w:val="2"/>
              <w:rPr>
                <w:rFonts w:ascii="Franklin Gothic Book" w:eastAsiaTheme="minorHAnsi" w:hAnsi="Franklin Gothic Book" w:cstheme="minorBidi"/>
                <w:b/>
                <w:bCs/>
                <w:i w:val="0"/>
                <w:iCs/>
                <w:szCs w:val="22"/>
              </w:rPr>
            </w:pPr>
            <w:r w:rsidRPr="00493F7D">
              <w:rPr>
                <w:rFonts w:eastAsiaTheme="majorEastAsia" w:cstheme="majorBidi"/>
                <w:b/>
                <w:bCs/>
                <w:i w:val="0"/>
                <w:iCs/>
                <w:szCs w:val="22"/>
              </w:rPr>
              <w:t>Consumer summary</w:t>
            </w:r>
          </w:p>
        </w:tc>
      </w:tr>
      <w:tr w:rsidR="00493F7D" w:rsidRPr="005F6A3D" w14:paraId="4550DDF1" w14:textId="77777777" w:rsidTr="00644745">
        <w:tc>
          <w:tcPr>
            <w:tcW w:w="9016" w:type="dxa"/>
          </w:tcPr>
          <w:p w14:paraId="22EE053B" w14:textId="6DD6B7F8" w:rsidR="00F33D59" w:rsidRPr="00F33D59" w:rsidRDefault="00F33D59" w:rsidP="00F33D59">
            <w:pPr>
              <w:pStyle w:val="Default"/>
              <w:spacing w:before="120" w:after="240"/>
              <w:rPr>
                <w:rFonts w:ascii="Franklin Gothic Book" w:eastAsiaTheme="minorHAnsi" w:hAnsi="Franklin Gothic Book" w:cstheme="minorBidi"/>
                <w:iCs/>
                <w:color w:val="auto"/>
                <w:szCs w:val="22"/>
              </w:rPr>
            </w:pPr>
            <w:r w:rsidRPr="00F33D59">
              <w:rPr>
                <w:rFonts w:ascii="Franklin Gothic Book" w:eastAsiaTheme="minorHAnsi" w:hAnsi="Franklin Gothic Book" w:cstheme="minorBidi"/>
                <w:iCs/>
                <w:color w:val="auto"/>
                <w:szCs w:val="22"/>
              </w:rPr>
              <w:t>MSAC noted that this is an application from the Royal College of Pathologists of Australasia requesting Medicare Benefits Schedule (MBS) listing of pathogen whole</w:t>
            </w:r>
            <w:r w:rsidR="00094C3A">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genome sequencing for antimicrobial drug susceptibility testing (DST) in patients who have</w:t>
            </w:r>
            <w:r w:rsidR="007933B1">
              <w:rPr>
                <w:rFonts w:ascii="Franklin Gothic Book" w:eastAsiaTheme="minorHAnsi" w:hAnsi="Franklin Gothic Book" w:cstheme="minorBidi"/>
                <w:iCs/>
                <w:color w:val="auto"/>
                <w:szCs w:val="22"/>
              </w:rPr>
              <w:t xml:space="preserve"> a</w:t>
            </w:r>
            <w:r w:rsidR="00094C3A">
              <w:rPr>
                <w:rFonts w:ascii="Franklin Gothic Book" w:eastAsiaTheme="minorHAnsi" w:hAnsi="Franklin Gothic Book" w:cstheme="minorBidi"/>
                <w:iCs/>
                <w:color w:val="auto"/>
                <w:szCs w:val="22"/>
              </w:rPr>
              <w:t>n infection caused by a pathogen in the</w:t>
            </w:r>
            <w:r w:rsidRPr="00F33D59">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
                <w:color w:val="auto"/>
                <w:szCs w:val="22"/>
              </w:rPr>
              <w:t>Mycobacterium tuberculosis</w:t>
            </w:r>
            <w:r w:rsidRPr="00F33D59">
              <w:rPr>
                <w:rFonts w:ascii="Franklin Gothic Book" w:eastAsiaTheme="minorHAnsi" w:hAnsi="Franklin Gothic Book" w:cstheme="minorBidi"/>
                <w:iCs/>
                <w:color w:val="auto"/>
                <w:szCs w:val="22"/>
              </w:rPr>
              <w:t xml:space="preserve"> complex.</w:t>
            </w:r>
          </w:p>
          <w:p w14:paraId="204B5BE9" w14:textId="37C00311" w:rsidR="00F33D59" w:rsidRPr="00F33D59" w:rsidRDefault="00F33D59" w:rsidP="00F33D59">
            <w:pPr>
              <w:pStyle w:val="Default"/>
              <w:spacing w:after="240"/>
              <w:rPr>
                <w:rFonts w:ascii="Franklin Gothic Book" w:eastAsiaTheme="minorHAnsi" w:hAnsi="Franklin Gothic Book" w:cstheme="minorBidi"/>
                <w:iCs/>
                <w:color w:val="auto"/>
                <w:szCs w:val="22"/>
              </w:rPr>
            </w:pPr>
            <w:r w:rsidRPr="00F33D59">
              <w:rPr>
                <w:rFonts w:ascii="Franklin Gothic Book" w:eastAsiaTheme="minorHAnsi" w:hAnsi="Franklin Gothic Book" w:cstheme="minorBidi"/>
                <w:iCs/>
                <w:color w:val="auto"/>
                <w:szCs w:val="22"/>
              </w:rPr>
              <w:t>Pathogens are organism</w:t>
            </w:r>
            <w:r w:rsidR="007933B1">
              <w:rPr>
                <w:rFonts w:ascii="Franklin Gothic Book" w:eastAsiaTheme="minorHAnsi" w:hAnsi="Franklin Gothic Book" w:cstheme="minorBidi"/>
                <w:iCs/>
                <w:color w:val="auto"/>
                <w:szCs w:val="22"/>
              </w:rPr>
              <w:t>s</w:t>
            </w:r>
            <w:r w:rsidRPr="00F33D59">
              <w:rPr>
                <w:rFonts w:ascii="Franklin Gothic Book" w:eastAsiaTheme="minorHAnsi" w:hAnsi="Franklin Gothic Book" w:cstheme="minorBidi"/>
                <w:iCs/>
                <w:color w:val="auto"/>
                <w:szCs w:val="22"/>
              </w:rPr>
              <w:t>, such as bacteria and viruses, that cause disease</w:t>
            </w:r>
            <w:r w:rsidR="007933B1">
              <w:rPr>
                <w:rFonts w:ascii="Franklin Gothic Book" w:eastAsiaTheme="minorHAnsi" w:hAnsi="Franklin Gothic Book" w:cstheme="minorBidi"/>
                <w:iCs/>
                <w:color w:val="auto"/>
                <w:szCs w:val="22"/>
              </w:rPr>
              <w:t xml:space="preserve"> in other organisms</w:t>
            </w:r>
            <w:r w:rsidRPr="00F33D59">
              <w:rPr>
                <w:rFonts w:ascii="Franklin Gothic Book" w:eastAsiaTheme="minorHAnsi" w:hAnsi="Franklin Gothic Book" w:cstheme="minorBidi"/>
                <w:iCs/>
                <w:color w:val="auto"/>
                <w:szCs w:val="22"/>
              </w:rPr>
              <w:t xml:space="preserve">. Some bacteria develop resistance to common medications. This means that the medication </w:t>
            </w:r>
            <w:r w:rsidR="007933B1">
              <w:rPr>
                <w:rFonts w:ascii="Franklin Gothic Book" w:eastAsiaTheme="minorHAnsi" w:hAnsi="Franklin Gothic Book" w:cstheme="minorBidi"/>
                <w:iCs/>
                <w:color w:val="auto"/>
                <w:szCs w:val="22"/>
              </w:rPr>
              <w:t xml:space="preserve">can </w:t>
            </w:r>
            <w:r w:rsidRPr="00F33D59">
              <w:rPr>
                <w:rFonts w:ascii="Franklin Gothic Book" w:eastAsiaTheme="minorHAnsi" w:hAnsi="Franklin Gothic Book" w:cstheme="minorBidi"/>
                <w:iCs/>
                <w:color w:val="auto"/>
                <w:szCs w:val="22"/>
              </w:rPr>
              <w:t>no longer kill the pathogen</w:t>
            </w:r>
            <w:r w:rsidR="007933B1">
              <w:rPr>
                <w:rFonts w:ascii="Franklin Gothic Book" w:eastAsiaTheme="minorHAnsi" w:hAnsi="Franklin Gothic Book" w:cstheme="minorBidi"/>
                <w:iCs/>
                <w:color w:val="auto"/>
                <w:szCs w:val="22"/>
              </w:rPr>
              <w:t>,</w:t>
            </w:r>
            <w:r w:rsidRPr="00F33D59">
              <w:rPr>
                <w:rFonts w:ascii="Franklin Gothic Book" w:eastAsiaTheme="minorHAnsi" w:hAnsi="Franklin Gothic Book" w:cstheme="minorBidi"/>
                <w:iCs/>
                <w:color w:val="auto"/>
                <w:szCs w:val="22"/>
              </w:rPr>
              <w:t xml:space="preserve"> so they are more easily able to spread disease, leading to increased disability and death.</w:t>
            </w:r>
          </w:p>
          <w:p w14:paraId="0611CB52" w14:textId="1066AF64" w:rsidR="00F33D59" w:rsidRPr="00F33D59" w:rsidRDefault="007933B1" w:rsidP="00094C3A">
            <w:pPr>
              <w:pStyle w:val="Default"/>
              <w:spacing w:after="240"/>
              <w:rPr>
                <w:rFonts w:ascii="Franklin Gothic Book" w:eastAsiaTheme="minorHAnsi" w:hAnsi="Franklin Gothic Book" w:cstheme="minorBidi"/>
                <w:iCs/>
                <w:color w:val="auto"/>
                <w:szCs w:val="22"/>
              </w:rPr>
            </w:pPr>
            <w:r>
              <w:rPr>
                <w:rFonts w:ascii="Franklin Gothic Book" w:eastAsiaTheme="minorHAnsi" w:hAnsi="Franklin Gothic Book" w:cstheme="minorBidi"/>
                <w:iCs/>
                <w:color w:val="auto"/>
                <w:szCs w:val="22"/>
              </w:rPr>
              <w:lastRenderedPageBreak/>
              <w:t>Tuberculosis</w:t>
            </w:r>
            <w:r w:rsidRPr="00F33D59">
              <w:rPr>
                <w:rFonts w:ascii="Franklin Gothic Book" w:eastAsiaTheme="minorHAnsi" w:hAnsi="Franklin Gothic Book" w:cstheme="minorBidi"/>
                <w:iCs/>
                <w:color w:val="auto"/>
                <w:szCs w:val="22"/>
              </w:rPr>
              <w:t xml:space="preserve"> </w:t>
            </w:r>
            <w:r w:rsidR="00F33D59" w:rsidRPr="00F33D59">
              <w:rPr>
                <w:rFonts w:ascii="Franklin Gothic Book" w:eastAsiaTheme="minorHAnsi" w:hAnsi="Franklin Gothic Book" w:cstheme="minorBidi"/>
                <w:iCs/>
                <w:color w:val="auto"/>
                <w:szCs w:val="22"/>
              </w:rPr>
              <w:t xml:space="preserve">is a disease that is caused by </w:t>
            </w:r>
            <w:r>
              <w:rPr>
                <w:rFonts w:ascii="Franklin Gothic Book" w:eastAsiaTheme="minorHAnsi" w:hAnsi="Franklin Gothic Book" w:cstheme="minorBidi"/>
                <w:iCs/>
                <w:color w:val="auto"/>
                <w:szCs w:val="22"/>
              </w:rPr>
              <w:t xml:space="preserve">infection with bacteria from a group called the </w:t>
            </w:r>
            <w:r w:rsidR="00F33D59" w:rsidRPr="00DB16CA">
              <w:rPr>
                <w:rFonts w:ascii="Franklin Gothic Book" w:eastAsiaTheme="minorHAnsi" w:hAnsi="Franklin Gothic Book" w:cstheme="minorBidi"/>
                <w:i/>
                <w:color w:val="auto"/>
                <w:szCs w:val="22"/>
              </w:rPr>
              <w:t>Mycobacterium tuberculosis</w:t>
            </w:r>
            <w:r>
              <w:rPr>
                <w:rFonts w:ascii="Franklin Gothic Book" w:eastAsiaTheme="minorHAnsi" w:hAnsi="Franklin Gothic Book" w:cstheme="minorBidi"/>
                <w:iCs/>
                <w:color w:val="auto"/>
                <w:szCs w:val="22"/>
              </w:rPr>
              <w:t xml:space="preserve"> complex</w:t>
            </w:r>
            <w:r w:rsidR="00F33D59" w:rsidRPr="00F33D59">
              <w:rPr>
                <w:rFonts w:ascii="Franklin Gothic Book" w:eastAsiaTheme="minorHAnsi" w:hAnsi="Franklin Gothic Book" w:cstheme="minorBidi"/>
                <w:iCs/>
                <w:color w:val="auto"/>
                <w:szCs w:val="22"/>
              </w:rPr>
              <w:t xml:space="preserve">. </w:t>
            </w:r>
            <w:r w:rsidR="00094C3A" w:rsidRPr="00F33D59">
              <w:rPr>
                <w:rFonts w:ascii="Franklin Gothic Book" w:eastAsiaTheme="minorHAnsi" w:hAnsi="Franklin Gothic Book" w:cstheme="minorBidi"/>
                <w:iCs/>
                <w:color w:val="auto"/>
                <w:szCs w:val="22"/>
              </w:rPr>
              <w:t xml:space="preserve">In Australia, people </w:t>
            </w:r>
            <w:r w:rsidR="00094C3A">
              <w:rPr>
                <w:rFonts w:ascii="Franklin Gothic Book" w:eastAsiaTheme="minorHAnsi" w:hAnsi="Franklin Gothic Book" w:cstheme="minorBidi"/>
                <w:iCs/>
                <w:color w:val="auto"/>
                <w:szCs w:val="22"/>
              </w:rPr>
              <w:t>who get</w:t>
            </w:r>
            <w:r w:rsidR="00094C3A" w:rsidRPr="00F33D59">
              <w:rPr>
                <w:rFonts w:ascii="Franklin Gothic Book" w:eastAsiaTheme="minorHAnsi" w:hAnsi="Franklin Gothic Book" w:cstheme="minorBidi"/>
                <w:iCs/>
                <w:color w:val="auto"/>
                <w:szCs w:val="22"/>
              </w:rPr>
              <w:t xml:space="preserve"> </w:t>
            </w:r>
            <w:r w:rsidR="00094C3A">
              <w:rPr>
                <w:rFonts w:ascii="Franklin Gothic Book" w:eastAsiaTheme="minorHAnsi" w:hAnsi="Franklin Gothic Book" w:cstheme="minorBidi"/>
                <w:iCs/>
                <w:color w:val="auto"/>
                <w:szCs w:val="22"/>
              </w:rPr>
              <w:t>tuberculosis</w:t>
            </w:r>
            <w:r w:rsidR="00094C3A" w:rsidRPr="00F33D59">
              <w:rPr>
                <w:rFonts w:ascii="Franklin Gothic Book" w:eastAsiaTheme="minorHAnsi" w:hAnsi="Franklin Gothic Book" w:cstheme="minorBidi"/>
                <w:iCs/>
                <w:color w:val="auto"/>
                <w:szCs w:val="22"/>
              </w:rPr>
              <w:t xml:space="preserve"> are more likely </w:t>
            </w:r>
            <w:r w:rsidR="000F2404">
              <w:rPr>
                <w:rFonts w:ascii="Franklin Gothic Book" w:eastAsiaTheme="minorHAnsi" w:hAnsi="Franklin Gothic Book" w:cstheme="minorBidi"/>
                <w:iCs/>
                <w:color w:val="auto"/>
                <w:szCs w:val="22"/>
              </w:rPr>
              <w:t>to have been born overseas, and</w:t>
            </w:r>
            <w:r w:rsidR="000F2404" w:rsidRPr="00F33D59">
              <w:rPr>
                <w:rFonts w:ascii="Franklin Gothic Book" w:eastAsiaTheme="minorHAnsi" w:hAnsi="Franklin Gothic Book" w:cstheme="minorBidi"/>
                <w:iCs/>
                <w:color w:val="auto"/>
                <w:szCs w:val="22"/>
              </w:rPr>
              <w:t xml:space="preserve"> </w:t>
            </w:r>
            <w:r w:rsidR="00094C3A" w:rsidRPr="00F33D59">
              <w:rPr>
                <w:rFonts w:ascii="Franklin Gothic Book" w:eastAsiaTheme="minorHAnsi" w:hAnsi="Franklin Gothic Book" w:cstheme="minorBidi"/>
                <w:iCs/>
                <w:color w:val="auto"/>
                <w:szCs w:val="22"/>
              </w:rPr>
              <w:t>to be living in remote and regional areas.</w:t>
            </w:r>
            <w:r w:rsidR="00094C3A">
              <w:rPr>
                <w:rFonts w:ascii="Franklin Gothic Book" w:eastAsiaTheme="minorHAnsi" w:hAnsi="Franklin Gothic Book" w:cstheme="minorBidi"/>
                <w:iCs/>
                <w:color w:val="auto"/>
                <w:szCs w:val="22"/>
              </w:rPr>
              <w:t xml:space="preserve"> </w:t>
            </w:r>
            <w:r w:rsidR="00F33D59" w:rsidRPr="00F33D59">
              <w:rPr>
                <w:rFonts w:ascii="Franklin Gothic Book" w:eastAsiaTheme="minorHAnsi" w:hAnsi="Franklin Gothic Book" w:cstheme="minorBidi"/>
                <w:iCs/>
                <w:color w:val="auto"/>
                <w:szCs w:val="22"/>
              </w:rPr>
              <w:t>T</w:t>
            </w:r>
            <w:r>
              <w:rPr>
                <w:rFonts w:ascii="Franklin Gothic Book" w:eastAsiaTheme="minorHAnsi" w:hAnsi="Franklin Gothic Book" w:cstheme="minorBidi"/>
                <w:iCs/>
                <w:color w:val="auto"/>
                <w:szCs w:val="22"/>
              </w:rPr>
              <w:t>uberculosis</w:t>
            </w:r>
            <w:r w:rsidR="00F33D59" w:rsidRPr="00F33D59">
              <w:rPr>
                <w:rFonts w:ascii="Franklin Gothic Book" w:eastAsiaTheme="minorHAnsi" w:hAnsi="Franklin Gothic Book" w:cstheme="minorBidi"/>
                <w:iCs/>
                <w:color w:val="auto"/>
                <w:szCs w:val="22"/>
              </w:rPr>
              <w:t xml:space="preserve"> most commonly affects a person’s lungs, but can also affect other parts of the body and can cause serious illness. </w:t>
            </w:r>
            <w:r w:rsidR="00C876DC">
              <w:rPr>
                <w:rFonts w:ascii="Franklin Gothic Book" w:eastAsiaTheme="minorHAnsi" w:hAnsi="Franklin Gothic Book" w:cstheme="minorBidi"/>
                <w:iCs/>
                <w:color w:val="auto"/>
                <w:szCs w:val="22"/>
              </w:rPr>
              <w:t>Tuberculosis</w:t>
            </w:r>
            <w:r w:rsidR="00F33D59" w:rsidRPr="00F33D59">
              <w:rPr>
                <w:rFonts w:ascii="Franklin Gothic Book" w:eastAsiaTheme="minorHAnsi" w:hAnsi="Franklin Gothic Book" w:cstheme="minorBidi"/>
                <w:iCs/>
                <w:color w:val="auto"/>
                <w:szCs w:val="22"/>
              </w:rPr>
              <w:t xml:space="preserve"> is usually treated with antibiotics</w:t>
            </w:r>
            <w:r w:rsidR="00C876DC">
              <w:rPr>
                <w:rFonts w:ascii="Franklin Gothic Book" w:eastAsiaTheme="minorHAnsi" w:hAnsi="Franklin Gothic Book" w:cstheme="minorBidi"/>
                <w:iCs/>
                <w:color w:val="auto"/>
                <w:szCs w:val="22"/>
              </w:rPr>
              <w:t>, but w</w:t>
            </w:r>
            <w:r w:rsidR="00F33D59" w:rsidRPr="00F33D59">
              <w:rPr>
                <w:rFonts w:ascii="Franklin Gothic Book" w:eastAsiaTheme="minorHAnsi" w:hAnsi="Franklin Gothic Book" w:cstheme="minorBidi"/>
                <w:iCs/>
                <w:color w:val="auto"/>
                <w:szCs w:val="22"/>
              </w:rPr>
              <w:t xml:space="preserve">hen </w:t>
            </w:r>
            <w:r w:rsidR="00094C3A">
              <w:rPr>
                <w:rFonts w:ascii="Franklin Gothic Book" w:eastAsiaTheme="minorHAnsi" w:hAnsi="Franklin Gothic Book" w:cstheme="minorBidi"/>
                <w:iCs/>
                <w:color w:val="auto"/>
                <w:szCs w:val="22"/>
              </w:rPr>
              <w:t>a</w:t>
            </w:r>
            <w:r w:rsidR="00C6656A">
              <w:rPr>
                <w:rFonts w:ascii="Franklin Gothic Book" w:eastAsiaTheme="minorHAnsi" w:hAnsi="Franklin Gothic Book" w:cstheme="minorBidi"/>
                <w:iCs/>
                <w:color w:val="auto"/>
                <w:szCs w:val="22"/>
              </w:rPr>
              <w:t>n antibiotic</w:t>
            </w:r>
            <w:r w:rsidR="00094C3A">
              <w:rPr>
                <w:rFonts w:ascii="Franklin Gothic Book" w:eastAsiaTheme="minorHAnsi" w:hAnsi="Franklin Gothic Book" w:cstheme="minorBidi"/>
                <w:iCs/>
                <w:color w:val="auto"/>
                <w:szCs w:val="22"/>
              </w:rPr>
              <w:t xml:space="preserve"> </w:t>
            </w:r>
            <w:r w:rsidR="00F33D59" w:rsidRPr="00F33D59">
              <w:rPr>
                <w:rFonts w:ascii="Franklin Gothic Book" w:eastAsiaTheme="minorHAnsi" w:hAnsi="Franklin Gothic Book" w:cstheme="minorBidi"/>
                <w:iCs/>
                <w:color w:val="auto"/>
                <w:szCs w:val="22"/>
              </w:rPr>
              <w:t xml:space="preserve">is given to people </w:t>
            </w:r>
            <w:r w:rsidR="00C6656A">
              <w:rPr>
                <w:rFonts w:ascii="Franklin Gothic Book" w:eastAsiaTheme="minorHAnsi" w:hAnsi="Franklin Gothic Book" w:cstheme="minorBidi"/>
                <w:iCs/>
                <w:color w:val="auto"/>
                <w:szCs w:val="22"/>
              </w:rPr>
              <w:t xml:space="preserve">whose </w:t>
            </w:r>
            <w:r w:rsidR="00C876DC">
              <w:rPr>
                <w:rFonts w:ascii="Franklin Gothic Book" w:eastAsiaTheme="minorHAnsi" w:hAnsi="Franklin Gothic Book" w:cstheme="minorBidi"/>
                <w:iCs/>
                <w:color w:val="auto"/>
                <w:szCs w:val="22"/>
              </w:rPr>
              <w:t>infection</w:t>
            </w:r>
            <w:r w:rsidR="00C6656A">
              <w:rPr>
                <w:rFonts w:ascii="Franklin Gothic Book" w:eastAsiaTheme="minorHAnsi" w:hAnsi="Franklin Gothic Book" w:cstheme="minorBidi"/>
                <w:iCs/>
                <w:color w:val="auto"/>
                <w:szCs w:val="22"/>
              </w:rPr>
              <w:t xml:space="preserve"> is</w:t>
            </w:r>
            <w:r w:rsidR="00094C3A">
              <w:rPr>
                <w:rFonts w:ascii="Franklin Gothic Book" w:eastAsiaTheme="minorHAnsi" w:hAnsi="Franklin Gothic Book" w:cstheme="minorBidi"/>
                <w:iCs/>
                <w:color w:val="auto"/>
                <w:szCs w:val="22"/>
              </w:rPr>
              <w:t xml:space="preserve"> resistant to that drug,</w:t>
            </w:r>
            <w:r w:rsidR="00F33D59" w:rsidRPr="00F33D59">
              <w:rPr>
                <w:rFonts w:ascii="Franklin Gothic Book" w:eastAsiaTheme="minorHAnsi" w:hAnsi="Franklin Gothic Book" w:cstheme="minorBidi"/>
                <w:iCs/>
                <w:color w:val="auto"/>
                <w:szCs w:val="22"/>
              </w:rPr>
              <w:t xml:space="preserve"> then there </w:t>
            </w:r>
            <w:r w:rsidR="00094C3A">
              <w:rPr>
                <w:rFonts w:ascii="Franklin Gothic Book" w:eastAsiaTheme="minorHAnsi" w:hAnsi="Franklin Gothic Book" w:cstheme="minorBidi"/>
                <w:iCs/>
                <w:color w:val="auto"/>
                <w:szCs w:val="22"/>
              </w:rPr>
              <w:t>will be</w:t>
            </w:r>
            <w:r w:rsidR="00094C3A" w:rsidRPr="00F33D59">
              <w:rPr>
                <w:rFonts w:ascii="Franklin Gothic Book" w:eastAsiaTheme="minorHAnsi" w:hAnsi="Franklin Gothic Book" w:cstheme="minorBidi"/>
                <w:iCs/>
                <w:color w:val="auto"/>
                <w:szCs w:val="22"/>
              </w:rPr>
              <w:t xml:space="preserve"> </w:t>
            </w:r>
            <w:r w:rsidR="00F33D59" w:rsidRPr="00F33D59">
              <w:rPr>
                <w:rFonts w:ascii="Franklin Gothic Book" w:eastAsiaTheme="minorHAnsi" w:hAnsi="Franklin Gothic Book" w:cstheme="minorBidi"/>
                <w:iCs/>
                <w:color w:val="auto"/>
                <w:szCs w:val="22"/>
              </w:rPr>
              <w:t>delays in their recovery</w:t>
            </w:r>
            <w:r w:rsidR="00C876DC">
              <w:rPr>
                <w:rFonts w:ascii="Franklin Gothic Book" w:eastAsiaTheme="minorHAnsi" w:hAnsi="Franklin Gothic Book" w:cstheme="minorBidi"/>
                <w:iCs/>
                <w:color w:val="auto"/>
                <w:szCs w:val="22"/>
              </w:rPr>
              <w:t>, or it may not work at all</w:t>
            </w:r>
            <w:r w:rsidR="00F33D59" w:rsidRPr="00F33D59">
              <w:rPr>
                <w:rFonts w:ascii="Franklin Gothic Book" w:eastAsiaTheme="minorHAnsi" w:hAnsi="Franklin Gothic Book" w:cstheme="minorBidi"/>
                <w:iCs/>
                <w:color w:val="auto"/>
                <w:szCs w:val="22"/>
              </w:rPr>
              <w:t>.</w:t>
            </w:r>
            <w:r w:rsidR="00C876DC">
              <w:rPr>
                <w:rFonts w:ascii="Franklin Gothic Book" w:eastAsiaTheme="minorHAnsi" w:hAnsi="Franklin Gothic Book" w:cstheme="minorBidi"/>
                <w:iCs/>
                <w:color w:val="auto"/>
                <w:szCs w:val="22"/>
              </w:rPr>
              <w:t xml:space="preserve"> If a patient receives </w:t>
            </w:r>
            <w:r w:rsidR="00524B44">
              <w:rPr>
                <w:rFonts w:ascii="Franklin Gothic Book" w:eastAsiaTheme="minorHAnsi" w:hAnsi="Franklin Gothic Book" w:cstheme="minorBidi"/>
                <w:iCs/>
                <w:color w:val="auto"/>
                <w:szCs w:val="22"/>
              </w:rPr>
              <w:t>an</w:t>
            </w:r>
            <w:r w:rsidR="00C876DC">
              <w:rPr>
                <w:rFonts w:ascii="Franklin Gothic Book" w:eastAsiaTheme="minorHAnsi" w:hAnsi="Franklin Gothic Book" w:cstheme="minorBidi"/>
                <w:iCs/>
                <w:color w:val="auto"/>
                <w:szCs w:val="22"/>
              </w:rPr>
              <w:t xml:space="preserve"> in</w:t>
            </w:r>
            <w:r w:rsidR="00524B44">
              <w:rPr>
                <w:rFonts w:ascii="Franklin Gothic Book" w:eastAsiaTheme="minorHAnsi" w:hAnsi="Franklin Gothic Book" w:cstheme="minorBidi"/>
                <w:iCs/>
                <w:color w:val="auto"/>
                <w:szCs w:val="22"/>
              </w:rPr>
              <w:t>appropriate</w:t>
            </w:r>
            <w:r w:rsidR="00C876DC">
              <w:rPr>
                <w:rFonts w:ascii="Franklin Gothic Book" w:eastAsiaTheme="minorHAnsi" w:hAnsi="Franklin Gothic Book" w:cstheme="minorBidi"/>
                <w:iCs/>
                <w:color w:val="auto"/>
                <w:szCs w:val="22"/>
              </w:rPr>
              <w:t xml:space="preserve"> </w:t>
            </w:r>
            <w:r w:rsidR="00524B44">
              <w:rPr>
                <w:rFonts w:ascii="Franklin Gothic Book" w:eastAsiaTheme="minorHAnsi" w:hAnsi="Franklin Gothic Book" w:cstheme="minorBidi"/>
                <w:iCs/>
                <w:color w:val="auto"/>
                <w:szCs w:val="22"/>
              </w:rPr>
              <w:t>medication</w:t>
            </w:r>
            <w:r w:rsidR="00C876DC">
              <w:rPr>
                <w:rFonts w:ascii="Franklin Gothic Book" w:eastAsiaTheme="minorHAnsi" w:hAnsi="Franklin Gothic Book" w:cstheme="minorBidi"/>
                <w:iCs/>
                <w:color w:val="auto"/>
                <w:szCs w:val="22"/>
              </w:rPr>
              <w:t>,</w:t>
            </w:r>
            <w:r w:rsidR="00244877">
              <w:rPr>
                <w:rFonts w:ascii="Franklin Gothic Book" w:eastAsiaTheme="minorHAnsi" w:hAnsi="Franklin Gothic Book" w:cstheme="minorBidi"/>
                <w:iCs/>
                <w:color w:val="auto"/>
                <w:szCs w:val="22"/>
              </w:rPr>
              <w:t xml:space="preserve"> </w:t>
            </w:r>
            <w:r w:rsidR="00C876DC">
              <w:rPr>
                <w:rFonts w:ascii="Franklin Gothic Book" w:eastAsiaTheme="minorHAnsi" w:hAnsi="Franklin Gothic Book" w:cstheme="minorBidi"/>
                <w:iCs/>
                <w:color w:val="auto"/>
                <w:szCs w:val="22"/>
              </w:rPr>
              <w:t>it</w:t>
            </w:r>
            <w:r w:rsidR="00F33D59" w:rsidRPr="00F33D59">
              <w:rPr>
                <w:rFonts w:ascii="Franklin Gothic Book" w:eastAsiaTheme="minorHAnsi" w:hAnsi="Franklin Gothic Book" w:cstheme="minorBidi"/>
                <w:iCs/>
                <w:color w:val="auto"/>
                <w:szCs w:val="22"/>
              </w:rPr>
              <w:t xml:space="preserve"> also makes it more likely that new </w:t>
            </w:r>
            <w:r>
              <w:rPr>
                <w:rFonts w:ascii="Franklin Gothic Book" w:eastAsiaTheme="minorHAnsi" w:hAnsi="Franklin Gothic Book" w:cstheme="minorBidi"/>
                <w:iCs/>
                <w:color w:val="auto"/>
                <w:szCs w:val="22"/>
              </w:rPr>
              <w:t xml:space="preserve">drug </w:t>
            </w:r>
            <w:r w:rsidR="00F33D59" w:rsidRPr="00F33D59">
              <w:rPr>
                <w:rFonts w:ascii="Franklin Gothic Book" w:eastAsiaTheme="minorHAnsi" w:hAnsi="Franklin Gothic Book" w:cstheme="minorBidi"/>
                <w:iCs/>
                <w:color w:val="auto"/>
                <w:szCs w:val="22"/>
              </w:rPr>
              <w:t xml:space="preserve">resistant strains of </w:t>
            </w:r>
            <w:r>
              <w:rPr>
                <w:rFonts w:ascii="Franklin Gothic Book" w:eastAsiaTheme="minorHAnsi" w:hAnsi="Franklin Gothic Book" w:cstheme="minorBidi"/>
                <w:iCs/>
                <w:color w:val="auto"/>
                <w:szCs w:val="22"/>
              </w:rPr>
              <w:t>tuberculosis</w:t>
            </w:r>
            <w:r w:rsidR="00F33D59" w:rsidRPr="00F33D59">
              <w:rPr>
                <w:rFonts w:ascii="Franklin Gothic Book" w:eastAsiaTheme="minorHAnsi" w:hAnsi="Franklin Gothic Book" w:cstheme="minorBidi"/>
                <w:iCs/>
                <w:color w:val="auto"/>
                <w:szCs w:val="22"/>
              </w:rPr>
              <w:t xml:space="preserve"> will evolve.</w:t>
            </w:r>
            <w:r>
              <w:rPr>
                <w:rFonts w:ascii="Franklin Gothic Book" w:eastAsiaTheme="minorHAnsi" w:hAnsi="Franklin Gothic Book" w:cstheme="minorBidi"/>
                <w:iCs/>
                <w:color w:val="auto"/>
                <w:szCs w:val="22"/>
              </w:rPr>
              <w:t xml:space="preserve"> At the moment, after an </w:t>
            </w:r>
            <w:r w:rsidR="003B1EF8">
              <w:rPr>
                <w:rFonts w:ascii="Franklin Gothic Book" w:eastAsiaTheme="minorHAnsi" w:hAnsi="Franklin Gothic Book" w:cstheme="minorBidi"/>
                <w:iCs/>
                <w:color w:val="auto"/>
                <w:szCs w:val="22"/>
              </w:rPr>
              <w:t xml:space="preserve">initial </w:t>
            </w:r>
            <w:r>
              <w:rPr>
                <w:rFonts w:ascii="Franklin Gothic Book" w:eastAsiaTheme="minorHAnsi" w:hAnsi="Franklin Gothic Book" w:cstheme="minorBidi"/>
                <w:iCs/>
                <w:color w:val="auto"/>
                <w:szCs w:val="22"/>
              </w:rPr>
              <w:t xml:space="preserve">test </w:t>
            </w:r>
            <w:r w:rsidR="00094C3A">
              <w:rPr>
                <w:rFonts w:ascii="Franklin Gothic Book" w:eastAsiaTheme="minorHAnsi" w:hAnsi="Franklin Gothic Book" w:cstheme="minorBidi"/>
                <w:iCs/>
                <w:color w:val="auto"/>
                <w:szCs w:val="22"/>
              </w:rPr>
              <w:t xml:space="preserve">shows that a patient has tuberculosis, </w:t>
            </w:r>
            <w:r>
              <w:rPr>
                <w:rFonts w:ascii="Franklin Gothic Book" w:eastAsiaTheme="minorHAnsi" w:hAnsi="Franklin Gothic Book" w:cstheme="minorBidi"/>
                <w:iCs/>
                <w:color w:val="auto"/>
                <w:szCs w:val="22"/>
              </w:rPr>
              <w:t>lab</w:t>
            </w:r>
            <w:r w:rsidR="00C6656A">
              <w:rPr>
                <w:rFonts w:ascii="Franklin Gothic Book" w:eastAsiaTheme="minorHAnsi" w:hAnsi="Franklin Gothic Book" w:cstheme="minorBidi"/>
                <w:iCs/>
                <w:color w:val="auto"/>
                <w:szCs w:val="22"/>
              </w:rPr>
              <w:t>oratorie</w:t>
            </w:r>
            <w:r>
              <w:rPr>
                <w:rFonts w:ascii="Franklin Gothic Book" w:eastAsiaTheme="minorHAnsi" w:hAnsi="Franklin Gothic Book" w:cstheme="minorBidi"/>
                <w:iCs/>
                <w:color w:val="auto"/>
                <w:szCs w:val="22"/>
              </w:rPr>
              <w:t xml:space="preserve">s work out which drugs </w:t>
            </w:r>
            <w:r w:rsidR="00C6656A">
              <w:rPr>
                <w:rFonts w:ascii="Franklin Gothic Book" w:eastAsiaTheme="minorHAnsi" w:hAnsi="Franklin Gothic Book" w:cstheme="minorBidi"/>
                <w:iCs/>
                <w:color w:val="auto"/>
                <w:szCs w:val="22"/>
              </w:rPr>
              <w:t>a patient’s</w:t>
            </w:r>
            <w:r>
              <w:rPr>
                <w:rFonts w:ascii="Franklin Gothic Book" w:eastAsiaTheme="minorHAnsi" w:hAnsi="Franklin Gothic Book" w:cstheme="minorBidi"/>
                <w:iCs/>
                <w:color w:val="auto"/>
                <w:szCs w:val="22"/>
              </w:rPr>
              <w:t xml:space="preserve"> </w:t>
            </w:r>
            <w:r w:rsidR="007A5361">
              <w:rPr>
                <w:rFonts w:ascii="Franklin Gothic Book" w:eastAsiaTheme="minorHAnsi" w:hAnsi="Franklin Gothic Book" w:cstheme="minorBidi"/>
                <w:iCs/>
                <w:color w:val="auto"/>
                <w:szCs w:val="22"/>
              </w:rPr>
              <w:t>pathogen</w:t>
            </w:r>
            <w:r>
              <w:rPr>
                <w:rFonts w:ascii="Franklin Gothic Book" w:eastAsiaTheme="minorHAnsi" w:hAnsi="Franklin Gothic Book" w:cstheme="minorBidi"/>
                <w:iCs/>
                <w:color w:val="auto"/>
                <w:szCs w:val="22"/>
              </w:rPr>
              <w:t xml:space="preserve"> is resistant to by seeing how well </w:t>
            </w:r>
            <w:r w:rsidR="007A5361">
              <w:rPr>
                <w:rFonts w:ascii="Franklin Gothic Book" w:eastAsiaTheme="minorHAnsi" w:hAnsi="Franklin Gothic Book" w:cstheme="minorBidi"/>
                <w:iCs/>
                <w:color w:val="auto"/>
                <w:szCs w:val="22"/>
              </w:rPr>
              <w:t>it</w:t>
            </w:r>
            <w:r>
              <w:rPr>
                <w:rFonts w:ascii="Franklin Gothic Book" w:eastAsiaTheme="minorHAnsi" w:hAnsi="Franklin Gothic Book" w:cstheme="minorBidi"/>
                <w:iCs/>
                <w:color w:val="auto"/>
                <w:szCs w:val="22"/>
              </w:rPr>
              <w:t xml:space="preserve"> can grow with</w:t>
            </w:r>
            <w:r w:rsidR="00C876DC">
              <w:rPr>
                <w:rFonts w:ascii="Franklin Gothic Book" w:eastAsiaTheme="minorHAnsi" w:hAnsi="Franklin Gothic Book" w:cstheme="minorBidi"/>
                <w:iCs/>
                <w:color w:val="auto"/>
                <w:szCs w:val="22"/>
              </w:rPr>
              <w:t>,</w:t>
            </w:r>
            <w:r>
              <w:rPr>
                <w:rFonts w:ascii="Franklin Gothic Book" w:eastAsiaTheme="minorHAnsi" w:hAnsi="Franklin Gothic Book" w:cstheme="minorBidi"/>
                <w:iCs/>
                <w:color w:val="auto"/>
                <w:szCs w:val="22"/>
              </w:rPr>
              <w:t xml:space="preserve"> and without</w:t>
            </w:r>
            <w:r w:rsidR="00C876DC">
              <w:rPr>
                <w:rFonts w:ascii="Franklin Gothic Book" w:eastAsiaTheme="minorHAnsi" w:hAnsi="Franklin Gothic Book" w:cstheme="minorBidi"/>
                <w:iCs/>
                <w:color w:val="auto"/>
                <w:szCs w:val="22"/>
              </w:rPr>
              <w:t>,</w:t>
            </w:r>
            <w:r>
              <w:rPr>
                <w:rFonts w:ascii="Franklin Gothic Book" w:eastAsiaTheme="minorHAnsi" w:hAnsi="Franklin Gothic Book" w:cstheme="minorBidi"/>
                <w:iCs/>
                <w:color w:val="auto"/>
                <w:szCs w:val="22"/>
              </w:rPr>
              <w:t xml:space="preserve"> each drug.</w:t>
            </w:r>
          </w:p>
          <w:p w14:paraId="047F0F28" w14:textId="07B794F5" w:rsidR="00F33D59" w:rsidRPr="00F33D59" w:rsidRDefault="00F33D59" w:rsidP="00F33D59">
            <w:pPr>
              <w:pStyle w:val="Default"/>
              <w:spacing w:after="240"/>
              <w:rPr>
                <w:rFonts w:ascii="Franklin Gothic Book" w:eastAsiaTheme="minorHAnsi" w:hAnsi="Franklin Gothic Book" w:cstheme="minorBidi"/>
                <w:iCs/>
                <w:color w:val="auto"/>
                <w:szCs w:val="22"/>
              </w:rPr>
            </w:pPr>
            <w:r w:rsidRPr="00F33D59">
              <w:rPr>
                <w:rFonts w:ascii="Franklin Gothic Book" w:eastAsiaTheme="minorHAnsi" w:hAnsi="Franklin Gothic Book" w:cstheme="minorBidi"/>
                <w:iCs/>
                <w:color w:val="auto"/>
                <w:szCs w:val="22"/>
              </w:rPr>
              <w:t xml:space="preserve">Every living organism is made up of genes, and together all the genes in an organism </w:t>
            </w:r>
            <w:r w:rsidR="007933B1">
              <w:rPr>
                <w:rFonts w:ascii="Franklin Gothic Book" w:eastAsiaTheme="minorHAnsi" w:hAnsi="Franklin Gothic Book" w:cstheme="minorBidi"/>
                <w:iCs/>
                <w:color w:val="auto"/>
                <w:szCs w:val="22"/>
              </w:rPr>
              <w:t>are</w:t>
            </w:r>
            <w:r w:rsidR="007933B1" w:rsidRPr="00F33D59">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 xml:space="preserve">called </w:t>
            </w:r>
            <w:r w:rsidR="007933B1">
              <w:rPr>
                <w:rFonts w:ascii="Franklin Gothic Book" w:eastAsiaTheme="minorHAnsi" w:hAnsi="Franklin Gothic Book" w:cstheme="minorBidi"/>
                <w:iCs/>
                <w:color w:val="auto"/>
                <w:szCs w:val="22"/>
              </w:rPr>
              <w:t>its</w:t>
            </w:r>
            <w:r w:rsidRPr="00F33D59">
              <w:rPr>
                <w:rFonts w:ascii="Franklin Gothic Book" w:eastAsiaTheme="minorHAnsi" w:hAnsi="Franklin Gothic Book" w:cstheme="minorBidi"/>
                <w:iCs/>
                <w:color w:val="auto"/>
                <w:szCs w:val="22"/>
              </w:rPr>
              <w:t xml:space="preserve"> genome. Whole</w:t>
            </w:r>
            <w:r w:rsidR="00094C3A">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 xml:space="preserve">genome sequencing is a technique where all the genes of </w:t>
            </w:r>
            <w:r w:rsidR="00C6656A">
              <w:rPr>
                <w:rFonts w:ascii="Franklin Gothic Book" w:eastAsiaTheme="minorHAnsi" w:hAnsi="Franklin Gothic Book" w:cstheme="minorBidi"/>
                <w:iCs/>
                <w:color w:val="auto"/>
                <w:szCs w:val="22"/>
              </w:rPr>
              <w:t>the pathogen</w:t>
            </w:r>
            <w:r w:rsidRPr="00F33D59">
              <w:rPr>
                <w:rFonts w:ascii="Franklin Gothic Book" w:eastAsiaTheme="minorHAnsi" w:hAnsi="Franklin Gothic Book" w:cstheme="minorBidi"/>
                <w:iCs/>
                <w:color w:val="auto"/>
                <w:szCs w:val="22"/>
              </w:rPr>
              <w:t xml:space="preserve"> </w:t>
            </w:r>
            <w:r w:rsidR="007933B1">
              <w:rPr>
                <w:rFonts w:ascii="Franklin Gothic Book" w:eastAsiaTheme="minorHAnsi" w:hAnsi="Franklin Gothic Book" w:cstheme="minorBidi"/>
                <w:iCs/>
                <w:color w:val="auto"/>
                <w:szCs w:val="22"/>
              </w:rPr>
              <w:t xml:space="preserve">are </w:t>
            </w:r>
            <w:r w:rsidR="00094C3A">
              <w:rPr>
                <w:rFonts w:ascii="Franklin Gothic Book" w:eastAsiaTheme="minorHAnsi" w:hAnsi="Franklin Gothic Book" w:cstheme="minorBidi"/>
                <w:iCs/>
                <w:color w:val="auto"/>
                <w:szCs w:val="22"/>
              </w:rPr>
              <w:t>looked at,</w:t>
            </w:r>
            <w:r w:rsidRPr="00F33D59">
              <w:rPr>
                <w:rFonts w:ascii="Franklin Gothic Book" w:eastAsiaTheme="minorHAnsi" w:hAnsi="Franklin Gothic Book" w:cstheme="minorBidi"/>
                <w:iCs/>
                <w:color w:val="auto"/>
                <w:szCs w:val="22"/>
              </w:rPr>
              <w:t xml:space="preserve"> and mutations that </w:t>
            </w:r>
            <w:r w:rsidR="007933B1">
              <w:rPr>
                <w:rFonts w:ascii="Franklin Gothic Book" w:eastAsiaTheme="minorHAnsi" w:hAnsi="Franklin Gothic Book" w:cstheme="minorBidi"/>
                <w:iCs/>
                <w:color w:val="auto"/>
                <w:szCs w:val="22"/>
              </w:rPr>
              <w:t xml:space="preserve">are known to </w:t>
            </w:r>
            <w:r w:rsidRPr="00F33D59">
              <w:rPr>
                <w:rFonts w:ascii="Franklin Gothic Book" w:eastAsiaTheme="minorHAnsi" w:hAnsi="Franklin Gothic Book" w:cstheme="minorBidi"/>
                <w:iCs/>
                <w:color w:val="auto"/>
                <w:szCs w:val="22"/>
              </w:rPr>
              <w:t>result in drug resistance can be identified. Whole</w:t>
            </w:r>
            <w:r w:rsidR="000F2404">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 xml:space="preserve">genome sequencing </w:t>
            </w:r>
            <w:r w:rsidR="003B1EF8">
              <w:rPr>
                <w:rFonts w:ascii="Franklin Gothic Book" w:eastAsiaTheme="minorHAnsi" w:hAnsi="Franklin Gothic Book" w:cstheme="minorBidi"/>
                <w:iCs/>
                <w:color w:val="auto"/>
                <w:szCs w:val="22"/>
              </w:rPr>
              <w:t xml:space="preserve">therefore </w:t>
            </w:r>
            <w:r w:rsidRPr="00F33D59">
              <w:rPr>
                <w:rFonts w:ascii="Franklin Gothic Book" w:eastAsiaTheme="minorHAnsi" w:hAnsi="Franklin Gothic Book" w:cstheme="minorBidi"/>
                <w:iCs/>
                <w:color w:val="auto"/>
                <w:szCs w:val="22"/>
              </w:rPr>
              <w:t>allows experts to work out which medication</w:t>
            </w:r>
            <w:r w:rsidR="000F2404">
              <w:rPr>
                <w:rFonts w:ascii="Franklin Gothic Book" w:eastAsiaTheme="minorHAnsi" w:hAnsi="Franklin Gothic Book" w:cstheme="minorBidi"/>
                <w:iCs/>
                <w:color w:val="auto"/>
                <w:szCs w:val="22"/>
              </w:rPr>
              <w:t>s</w:t>
            </w:r>
            <w:r w:rsidRPr="00F33D59">
              <w:rPr>
                <w:rFonts w:ascii="Franklin Gothic Book" w:eastAsiaTheme="minorHAnsi" w:hAnsi="Franklin Gothic Book" w:cstheme="minorBidi"/>
                <w:iCs/>
                <w:color w:val="auto"/>
                <w:szCs w:val="22"/>
              </w:rPr>
              <w:t xml:space="preserve"> will work most effectively to kill the pathogen in</w:t>
            </w:r>
            <w:r w:rsidR="007933B1">
              <w:rPr>
                <w:rFonts w:ascii="Franklin Gothic Book" w:eastAsiaTheme="minorHAnsi" w:hAnsi="Franklin Gothic Book" w:cstheme="minorBidi"/>
                <w:iCs/>
                <w:color w:val="auto"/>
                <w:szCs w:val="22"/>
              </w:rPr>
              <w:t>fecting</w:t>
            </w:r>
            <w:r w:rsidRPr="00F33D59">
              <w:rPr>
                <w:rFonts w:ascii="Franklin Gothic Book" w:eastAsiaTheme="minorHAnsi" w:hAnsi="Franklin Gothic Book" w:cstheme="minorBidi"/>
                <w:iCs/>
                <w:color w:val="auto"/>
                <w:szCs w:val="22"/>
              </w:rPr>
              <w:t xml:space="preserve"> </w:t>
            </w:r>
            <w:r w:rsidR="007933B1">
              <w:rPr>
                <w:rFonts w:ascii="Franklin Gothic Book" w:eastAsiaTheme="minorHAnsi" w:hAnsi="Franklin Gothic Book" w:cstheme="minorBidi"/>
                <w:iCs/>
                <w:color w:val="auto"/>
                <w:szCs w:val="22"/>
              </w:rPr>
              <w:t>each</w:t>
            </w:r>
            <w:r w:rsidRPr="00F33D59">
              <w:rPr>
                <w:rFonts w:ascii="Franklin Gothic Book" w:eastAsiaTheme="minorHAnsi" w:hAnsi="Franklin Gothic Book" w:cstheme="minorBidi"/>
                <w:iCs/>
                <w:color w:val="auto"/>
                <w:szCs w:val="22"/>
              </w:rPr>
              <w:t xml:space="preserve"> specific patient.</w:t>
            </w:r>
          </w:p>
          <w:p w14:paraId="197516EC" w14:textId="585DEF61" w:rsidR="00F33D59" w:rsidRPr="00F33D59" w:rsidRDefault="00F33D59" w:rsidP="00F33D59">
            <w:pPr>
              <w:pStyle w:val="Default"/>
              <w:spacing w:after="240"/>
              <w:rPr>
                <w:rFonts w:ascii="Franklin Gothic Book" w:eastAsiaTheme="minorHAnsi" w:hAnsi="Franklin Gothic Book" w:cstheme="minorBidi"/>
                <w:iCs/>
                <w:color w:val="auto"/>
                <w:szCs w:val="22"/>
              </w:rPr>
            </w:pPr>
            <w:r w:rsidRPr="00F33D59">
              <w:rPr>
                <w:rFonts w:ascii="Franklin Gothic Book" w:eastAsiaTheme="minorHAnsi" w:hAnsi="Franklin Gothic Book" w:cstheme="minorBidi"/>
                <w:iCs/>
                <w:color w:val="auto"/>
                <w:szCs w:val="22"/>
              </w:rPr>
              <w:t xml:space="preserve">MSAC </w:t>
            </w:r>
            <w:r w:rsidR="007933B1">
              <w:rPr>
                <w:rFonts w:ascii="Franklin Gothic Book" w:eastAsiaTheme="minorHAnsi" w:hAnsi="Franklin Gothic Book" w:cstheme="minorBidi"/>
                <w:iCs/>
                <w:color w:val="auto"/>
                <w:szCs w:val="22"/>
              </w:rPr>
              <w:t>considered</w:t>
            </w:r>
            <w:r w:rsidR="007933B1" w:rsidRPr="00F33D59">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that there are no safety issues</w:t>
            </w:r>
            <w:r w:rsidR="007933B1">
              <w:rPr>
                <w:rFonts w:ascii="Franklin Gothic Book" w:eastAsiaTheme="minorHAnsi" w:hAnsi="Franklin Gothic Book" w:cstheme="minorBidi"/>
                <w:iCs/>
                <w:color w:val="auto"/>
                <w:szCs w:val="22"/>
              </w:rPr>
              <w:t>,</w:t>
            </w:r>
            <w:r w:rsidRPr="00F33D59">
              <w:rPr>
                <w:rFonts w:ascii="Franklin Gothic Book" w:eastAsiaTheme="minorHAnsi" w:hAnsi="Franklin Gothic Book" w:cstheme="minorBidi"/>
                <w:iCs/>
                <w:color w:val="auto"/>
                <w:szCs w:val="22"/>
              </w:rPr>
              <w:t xml:space="preserve"> and that whole</w:t>
            </w:r>
            <w:r w:rsidR="000F2404">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 xml:space="preserve">genome sequencing </w:t>
            </w:r>
            <w:r w:rsidR="00C6656A">
              <w:rPr>
                <w:rFonts w:ascii="Franklin Gothic Book" w:eastAsiaTheme="minorHAnsi" w:hAnsi="Franklin Gothic Book" w:cstheme="minorBidi"/>
                <w:iCs/>
                <w:color w:val="auto"/>
                <w:szCs w:val="22"/>
              </w:rPr>
              <w:t xml:space="preserve">of tuberculosis </w:t>
            </w:r>
            <w:r w:rsidRPr="00F33D59">
              <w:rPr>
                <w:rFonts w:ascii="Franklin Gothic Book" w:eastAsiaTheme="minorHAnsi" w:hAnsi="Franklin Gothic Book" w:cstheme="minorBidi"/>
                <w:iCs/>
                <w:color w:val="auto"/>
                <w:szCs w:val="22"/>
              </w:rPr>
              <w:t xml:space="preserve">gave faster and more accurate results compared to the testing </w:t>
            </w:r>
            <w:r w:rsidR="007933B1">
              <w:rPr>
                <w:rFonts w:ascii="Franklin Gothic Book" w:eastAsiaTheme="minorHAnsi" w:hAnsi="Franklin Gothic Book" w:cstheme="minorBidi"/>
                <w:iCs/>
                <w:color w:val="auto"/>
                <w:szCs w:val="22"/>
              </w:rPr>
              <w:t xml:space="preserve">currently </w:t>
            </w:r>
            <w:r w:rsidRPr="00F33D59">
              <w:rPr>
                <w:rFonts w:ascii="Franklin Gothic Book" w:eastAsiaTheme="minorHAnsi" w:hAnsi="Franklin Gothic Book" w:cstheme="minorBidi"/>
                <w:iCs/>
                <w:color w:val="auto"/>
                <w:szCs w:val="22"/>
              </w:rPr>
              <w:t>used. This means that patients can get the most effective treatment sooner</w:t>
            </w:r>
            <w:r w:rsidR="00094C3A">
              <w:rPr>
                <w:rFonts w:ascii="Franklin Gothic Book" w:eastAsiaTheme="minorHAnsi" w:hAnsi="Franklin Gothic Book" w:cstheme="minorBidi"/>
                <w:iCs/>
                <w:color w:val="auto"/>
                <w:szCs w:val="22"/>
              </w:rPr>
              <w:t xml:space="preserve">, and </w:t>
            </w:r>
            <w:r w:rsidR="000F2404">
              <w:rPr>
                <w:rFonts w:ascii="Franklin Gothic Book" w:eastAsiaTheme="minorHAnsi" w:hAnsi="Franklin Gothic Book" w:cstheme="minorBidi"/>
                <w:iCs/>
                <w:color w:val="auto"/>
                <w:szCs w:val="22"/>
              </w:rPr>
              <w:t xml:space="preserve">there </w:t>
            </w:r>
            <w:r w:rsidR="00094C3A">
              <w:rPr>
                <w:rFonts w:ascii="Franklin Gothic Book" w:eastAsiaTheme="minorHAnsi" w:hAnsi="Franklin Gothic Book" w:cstheme="minorBidi"/>
                <w:iCs/>
                <w:color w:val="auto"/>
                <w:szCs w:val="22"/>
              </w:rPr>
              <w:t xml:space="preserve">may </w:t>
            </w:r>
            <w:r w:rsidR="000F2404">
              <w:rPr>
                <w:rFonts w:ascii="Franklin Gothic Book" w:eastAsiaTheme="minorHAnsi" w:hAnsi="Franklin Gothic Book" w:cstheme="minorBidi"/>
                <w:iCs/>
                <w:color w:val="auto"/>
                <w:szCs w:val="22"/>
              </w:rPr>
              <w:t xml:space="preserve">be </w:t>
            </w:r>
            <w:r w:rsidR="00094C3A">
              <w:rPr>
                <w:rFonts w:ascii="Franklin Gothic Book" w:eastAsiaTheme="minorHAnsi" w:hAnsi="Franklin Gothic Book" w:cstheme="minorBidi"/>
                <w:iCs/>
                <w:color w:val="auto"/>
                <w:szCs w:val="22"/>
              </w:rPr>
              <w:t>sav</w:t>
            </w:r>
            <w:r w:rsidR="000F2404">
              <w:rPr>
                <w:rFonts w:ascii="Franklin Gothic Book" w:eastAsiaTheme="minorHAnsi" w:hAnsi="Franklin Gothic Book" w:cstheme="minorBidi"/>
                <w:iCs/>
                <w:color w:val="auto"/>
                <w:szCs w:val="22"/>
              </w:rPr>
              <w:t>ings</w:t>
            </w:r>
            <w:r w:rsidR="00094C3A">
              <w:rPr>
                <w:rFonts w:ascii="Franklin Gothic Book" w:eastAsiaTheme="minorHAnsi" w:hAnsi="Franklin Gothic Book" w:cstheme="minorBidi"/>
                <w:iCs/>
                <w:color w:val="auto"/>
                <w:szCs w:val="22"/>
              </w:rPr>
              <w:t xml:space="preserve"> on hospital and drug costs if patients can be discharged home sooner</w:t>
            </w:r>
            <w:r w:rsidRPr="00F33D59">
              <w:rPr>
                <w:rFonts w:ascii="Franklin Gothic Book" w:eastAsiaTheme="minorHAnsi" w:hAnsi="Franklin Gothic Book" w:cstheme="minorBidi"/>
                <w:iCs/>
                <w:color w:val="auto"/>
                <w:szCs w:val="22"/>
              </w:rPr>
              <w:t>.</w:t>
            </w:r>
          </w:p>
          <w:p w14:paraId="743F8D71" w14:textId="68AD8A2F" w:rsidR="00F33D59" w:rsidRPr="00F33D59" w:rsidRDefault="00F33D59" w:rsidP="00F33D59">
            <w:pPr>
              <w:pStyle w:val="Heading3"/>
              <w:spacing w:before="120" w:after="120"/>
              <w:outlineLvl w:val="2"/>
              <w:rPr>
                <w:rFonts w:ascii="Franklin Gothic Book" w:eastAsiaTheme="minorHAnsi" w:hAnsi="Franklin Gothic Book" w:cstheme="minorBidi"/>
                <w:i w:val="0"/>
                <w:szCs w:val="22"/>
              </w:rPr>
            </w:pPr>
            <w:r w:rsidRPr="00F33D59">
              <w:rPr>
                <w:rFonts w:ascii="Franklin Gothic Book" w:eastAsiaTheme="minorHAnsi" w:hAnsi="Franklin Gothic Book" w:cstheme="minorBidi"/>
                <w:i w:val="0"/>
                <w:szCs w:val="22"/>
              </w:rPr>
              <w:t xml:space="preserve">MSAC also </w:t>
            </w:r>
            <w:r w:rsidR="00094C3A">
              <w:rPr>
                <w:rFonts w:ascii="Franklin Gothic Book" w:eastAsiaTheme="minorHAnsi" w:hAnsi="Franklin Gothic Book" w:cstheme="minorBidi"/>
                <w:i w:val="0"/>
                <w:szCs w:val="22"/>
              </w:rPr>
              <w:t>considered</w:t>
            </w:r>
            <w:r w:rsidR="00094C3A" w:rsidRPr="00F33D59">
              <w:rPr>
                <w:rFonts w:ascii="Franklin Gothic Book" w:eastAsiaTheme="minorHAnsi" w:hAnsi="Franklin Gothic Book" w:cstheme="minorBidi"/>
                <w:i w:val="0"/>
                <w:szCs w:val="22"/>
              </w:rPr>
              <w:t xml:space="preserve"> </w:t>
            </w:r>
            <w:r w:rsidRPr="00F33D59">
              <w:rPr>
                <w:rFonts w:ascii="Franklin Gothic Book" w:eastAsiaTheme="minorHAnsi" w:hAnsi="Franklin Gothic Book" w:cstheme="minorBidi"/>
                <w:i w:val="0"/>
                <w:szCs w:val="22"/>
              </w:rPr>
              <w:t xml:space="preserve">that the cost to the </w:t>
            </w:r>
            <w:r w:rsidR="00C6656A">
              <w:rPr>
                <w:rFonts w:ascii="Franklin Gothic Book" w:eastAsiaTheme="minorHAnsi" w:hAnsi="Franklin Gothic Book" w:cstheme="minorBidi"/>
                <w:i w:val="0"/>
                <w:szCs w:val="22"/>
              </w:rPr>
              <w:t>MBS</w:t>
            </w:r>
            <w:r w:rsidRPr="00F33D59">
              <w:rPr>
                <w:rFonts w:ascii="Franklin Gothic Book" w:eastAsiaTheme="minorHAnsi" w:hAnsi="Franklin Gothic Book" w:cstheme="minorBidi"/>
                <w:i w:val="0"/>
                <w:szCs w:val="22"/>
              </w:rPr>
              <w:t xml:space="preserve"> </w:t>
            </w:r>
            <w:r w:rsidR="007933B1">
              <w:rPr>
                <w:rFonts w:ascii="Franklin Gothic Book" w:eastAsiaTheme="minorHAnsi" w:hAnsi="Franklin Gothic Book" w:cstheme="minorBidi"/>
                <w:i w:val="0"/>
                <w:szCs w:val="22"/>
              </w:rPr>
              <w:t xml:space="preserve">of </w:t>
            </w:r>
            <w:r w:rsidR="00C6656A">
              <w:rPr>
                <w:rFonts w:ascii="Franklin Gothic Book" w:eastAsiaTheme="minorHAnsi" w:hAnsi="Franklin Gothic Book" w:cstheme="minorBidi"/>
                <w:i w:val="0"/>
                <w:szCs w:val="22"/>
              </w:rPr>
              <w:t>publicly funding</w:t>
            </w:r>
            <w:r w:rsidR="007933B1">
              <w:rPr>
                <w:rFonts w:ascii="Franklin Gothic Book" w:eastAsiaTheme="minorHAnsi" w:hAnsi="Franklin Gothic Book" w:cstheme="minorBidi"/>
                <w:i w:val="0"/>
                <w:szCs w:val="22"/>
              </w:rPr>
              <w:t xml:space="preserve"> </w:t>
            </w:r>
            <w:r w:rsidR="00094C3A">
              <w:rPr>
                <w:rFonts w:ascii="Franklin Gothic Book" w:eastAsiaTheme="minorHAnsi" w:hAnsi="Franklin Gothic Book" w:cstheme="minorBidi"/>
                <w:i w:val="0"/>
                <w:szCs w:val="22"/>
              </w:rPr>
              <w:t xml:space="preserve">whole genome sequencing for </w:t>
            </w:r>
            <w:r w:rsidR="00094C3A">
              <w:rPr>
                <w:rFonts w:ascii="Franklin Gothic Book" w:eastAsiaTheme="minorHAnsi" w:hAnsi="Franklin Gothic Book" w:cstheme="minorBidi"/>
                <w:iCs/>
                <w:szCs w:val="22"/>
              </w:rPr>
              <w:t xml:space="preserve">M. tuberculosis </w:t>
            </w:r>
            <w:r w:rsidR="00C6656A">
              <w:rPr>
                <w:rFonts w:ascii="Franklin Gothic Book" w:eastAsiaTheme="minorHAnsi" w:hAnsi="Franklin Gothic Book" w:cstheme="minorBidi"/>
                <w:i w:val="0"/>
                <w:szCs w:val="22"/>
              </w:rPr>
              <w:t xml:space="preserve">complex </w:t>
            </w:r>
            <w:r w:rsidR="00094C3A">
              <w:rPr>
                <w:rFonts w:ascii="Franklin Gothic Book" w:eastAsiaTheme="minorHAnsi" w:hAnsi="Franklin Gothic Book" w:cstheme="minorBidi"/>
                <w:i w:val="0"/>
                <w:szCs w:val="22"/>
              </w:rPr>
              <w:t xml:space="preserve">would be </w:t>
            </w:r>
            <w:r w:rsidRPr="00F33D59">
              <w:rPr>
                <w:rFonts w:ascii="Franklin Gothic Book" w:eastAsiaTheme="minorHAnsi" w:hAnsi="Franklin Gothic Book" w:cstheme="minorBidi"/>
                <w:i w:val="0"/>
                <w:szCs w:val="22"/>
              </w:rPr>
              <w:t>modest.</w:t>
            </w:r>
          </w:p>
          <w:p w14:paraId="2E621C8E" w14:textId="7DFD29F5" w:rsidR="00493F7D" w:rsidRPr="00493F7D" w:rsidRDefault="00493F7D" w:rsidP="00F33D59">
            <w:pPr>
              <w:pStyle w:val="Heading3"/>
              <w:spacing w:before="120" w:after="120"/>
              <w:outlineLvl w:val="2"/>
              <w:rPr>
                <w:rFonts w:eastAsiaTheme="majorEastAsia" w:cstheme="majorBidi"/>
                <w:b/>
                <w:bCs/>
                <w:i w:val="0"/>
                <w:iCs/>
                <w:szCs w:val="22"/>
              </w:rPr>
            </w:pPr>
            <w:r w:rsidRPr="00493F7D">
              <w:rPr>
                <w:rFonts w:eastAsiaTheme="majorEastAsia" w:cstheme="majorBidi"/>
                <w:b/>
                <w:bCs/>
                <w:i w:val="0"/>
                <w:iCs/>
                <w:szCs w:val="22"/>
              </w:rPr>
              <w:t>MSAC’s advice to the Commonwealth Minister for Health</w:t>
            </w:r>
          </w:p>
          <w:p w14:paraId="04EE4EC7" w14:textId="6D19559E" w:rsidR="00493F7D" w:rsidRPr="005F6A3D" w:rsidRDefault="00F33D59" w:rsidP="00644745">
            <w:pPr>
              <w:pStyle w:val="Default"/>
              <w:spacing w:after="240"/>
              <w:rPr>
                <w:rFonts w:ascii="Franklin Gothic Book" w:eastAsiaTheme="minorHAnsi" w:hAnsi="Franklin Gothic Book" w:cstheme="minorBidi"/>
                <w:iCs/>
                <w:color w:val="auto"/>
                <w:szCs w:val="22"/>
              </w:rPr>
            </w:pPr>
            <w:r w:rsidRPr="00F33D59">
              <w:rPr>
                <w:rFonts w:ascii="Franklin Gothic Book" w:eastAsiaTheme="minorHAnsi" w:hAnsi="Franklin Gothic Book" w:cstheme="minorBidi"/>
                <w:iCs/>
                <w:color w:val="auto"/>
                <w:szCs w:val="22"/>
              </w:rPr>
              <w:t xml:space="preserve">After considering the strength of the available evidence in relation to comparative safety, clinical effectiveness and cost-effectiveness, MSAC supported whole genome sequencing of </w:t>
            </w:r>
            <w:r w:rsidRPr="00F33D59">
              <w:rPr>
                <w:rFonts w:ascii="Franklin Gothic Book" w:eastAsiaTheme="minorHAnsi" w:hAnsi="Franklin Gothic Book" w:cstheme="minorBidi"/>
                <w:i/>
                <w:color w:val="auto"/>
                <w:szCs w:val="22"/>
              </w:rPr>
              <w:t>Mycobacterium tuberculosis</w:t>
            </w:r>
            <w:r w:rsidRPr="00F33D59">
              <w:rPr>
                <w:rFonts w:ascii="Franklin Gothic Book" w:eastAsiaTheme="minorHAnsi" w:hAnsi="Franklin Gothic Book" w:cstheme="minorBidi"/>
                <w:iCs/>
                <w:color w:val="auto"/>
                <w:szCs w:val="22"/>
              </w:rPr>
              <w:t xml:space="preserve"> complex</w:t>
            </w:r>
            <w:r w:rsidR="00094C3A">
              <w:rPr>
                <w:rFonts w:ascii="Franklin Gothic Book" w:eastAsiaTheme="minorHAnsi" w:hAnsi="Franklin Gothic Book" w:cstheme="minorBidi"/>
                <w:iCs/>
                <w:color w:val="auto"/>
                <w:szCs w:val="22"/>
              </w:rPr>
              <w:t>,</w:t>
            </w:r>
            <w:r w:rsidRPr="00F33D59">
              <w:rPr>
                <w:rFonts w:ascii="Franklin Gothic Book" w:eastAsiaTheme="minorHAnsi" w:hAnsi="Franklin Gothic Book" w:cstheme="minorBidi"/>
                <w:iCs/>
                <w:color w:val="auto"/>
                <w:szCs w:val="22"/>
              </w:rPr>
              <w:t xml:space="preserve"> both at the time that </w:t>
            </w:r>
            <w:r w:rsidR="00094C3A">
              <w:rPr>
                <w:rFonts w:ascii="Franklin Gothic Book" w:eastAsiaTheme="minorHAnsi" w:hAnsi="Franklin Gothic Book" w:cstheme="minorBidi"/>
                <w:iCs/>
                <w:color w:val="auto"/>
                <w:szCs w:val="22"/>
              </w:rPr>
              <w:t>tuberculosis</w:t>
            </w:r>
            <w:r w:rsidR="00094C3A" w:rsidRPr="00F33D59">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 xml:space="preserve">is diagnosed and if </w:t>
            </w:r>
            <w:r w:rsidR="00C6656A">
              <w:rPr>
                <w:rFonts w:ascii="Franklin Gothic Book" w:eastAsiaTheme="minorHAnsi" w:hAnsi="Franklin Gothic Book" w:cstheme="minorBidi"/>
                <w:iCs/>
                <w:color w:val="auto"/>
                <w:szCs w:val="22"/>
              </w:rPr>
              <w:t>the infection</w:t>
            </w:r>
            <w:r w:rsidR="00C6656A" w:rsidRPr="00F33D59">
              <w:rPr>
                <w:rFonts w:ascii="Franklin Gothic Book" w:eastAsiaTheme="minorHAnsi" w:hAnsi="Franklin Gothic Book" w:cstheme="minorBidi"/>
                <w:iCs/>
                <w:color w:val="auto"/>
                <w:szCs w:val="22"/>
              </w:rPr>
              <w:t xml:space="preserve"> </w:t>
            </w:r>
            <w:r w:rsidRPr="00F33D59">
              <w:rPr>
                <w:rFonts w:ascii="Franklin Gothic Book" w:eastAsiaTheme="minorHAnsi" w:hAnsi="Franklin Gothic Book" w:cstheme="minorBidi"/>
                <w:iCs/>
                <w:color w:val="auto"/>
                <w:szCs w:val="22"/>
              </w:rPr>
              <w:t>comes back (recurs). The proposed testing is safe and more effective than current drug susceptibility testing, is probably cost-effective and would have a modest financial impact.</w:t>
            </w:r>
          </w:p>
        </w:tc>
      </w:tr>
    </w:tbl>
    <w:p w14:paraId="1232C00F" w14:textId="2FC02A5C" w:rsidR="00493F7D" w:rsidRDefault="00493F7D" w:rsidP="00E06036">
      <w:pPr>
        <w:pStyle w:val="Heading1"/>
      </w:pPr>
      <w:r w:rsidRPr="005F6A3D">
        <w:lastRenderedPageBreak/>
        <w:t>Summary of consideration and rationale for MSAC’s advice</w:t>
      </w:r>
    </w:p>
    <w:p w14:paraId="091A69F5" w14:textId="46A18F29"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this is an application from the Royal College of Pathologists of Australasia </w:t>
      </w:r>
      <w:r w:rsidR="0031139E">
        <w:rPr>
          <w:rFonts w:ascii="Franklin Gothic Book" w:eastAsiaTheme="minorHAnsi" w:hAnsi="Franklin Gothic Book" w:cstheme="minorBidi"/>
          <w:iCs/>
          <w:color w:val="auto"/>
          <w:sz w:val="22"/>
          <w:szCs w:val="22"/>
        </w:rPr>
        <w:t xml:space="preserve">(RCPA) </w:t>
      </w:r>
      <w:r w:rsidRPr="00F33D59">
        <w:rPr>
          <w:rFonts w:ascii="Franklin Gothic Book" w:eastAsiaTheme="minorHAnsi" w:hAnsi="Franklin Gothic Book" w:cstheme="minorBidi"/>
          <w:iCs/>
          <w:color w:val="auto"/>
          <w:sz w:val="22"/>
          <w:szCs w:val="22"/>
        </w:rPr>
        <w:t xml:space="preserve">requesting MBS listing of pathogen WGS for five indications for antimicrobial drug susceptibility testing (DST). MSAC noted that PASC </w:t>
      </w:r>
      <w:r w:rsidR="0031139E">
        <w:rPr>
          <w:rFonts w:ascii="Franklin Gothic Book" w:eastAsiaTheme="minorHAnsi" w:hAnsi="Franklin Gothic Book" w:cstheme="minorBidi"/>
          <w:iCs/>
          <w:color w:val="auto"/>
          <w:sz w:val="22"/>
          <w:szCs w:val="22"/>
        </w:rPr>
        <w:t xml:space="preserve">had </w:t>
      </w:r>
      <w:r w:rsidRPr="00F33D59">
        <w:rPr>
          <w:rFonts w:ascii="Franklin Gothic Book" w:eastAsiaTheme="minorHAnsi" w:hAnsi="Franklin Gothic Book" w:cstheme="minorBidi"/>
          <w:iCs/>
          <w:color w:val="auto"/>
          <w:sz w:val="22"/>
          <w:szCs w:val="22"/>
        </w:rPr>
        <w:t>advised that the mycobacterial indication should be assessed first</w:t>
      </w:r>
      <w:r w:rsidR="0031139E">
        <w:rPr>
          <w:rFonts w:ascii="Franklin Gothic Book" w:eastAsiaTheme="minorHAnsi" w:hAnsi="Franklin Gothic Book" w:cstheme="minorBidi"/>
          <w:iCs/>
          <w:color w:val="auto"/>
          <w:sz w:val="22"/>
          <w:szCs w:val="22"/>
        </w:rPr>
        <w:t>, and t</w:t>
      </w:r>
      <w:r w:rsidRPr="00F33D59">
        <w:rPr>
          <w:rFonts w:ascii="Franklin Gothic Book" w:eastAsiaTheme="minorHAnsi" w:hAnsi="Franklin Gothic Book" w:cstheme="minorBidi"/>
          <w:iCs/>
          <w:color w:val="auto"/>
          <w:sz w:val="22"/>
          <w:szCs w:val="22"/>
        </w:rPr>
        <w:t>he exemplar for this indication is patients diagnosed with tuberculosis</w:t>
      </w:r>
      <w:r w:rsidR="007A5361">
        <w:rPr>
          <w:rFonts w:ascii="Franklin Gothic Book" w:eastAsiaTheme="minorHAnsi" w:hAnsi="Franklin Gothic Book" w:cstheme="minorBidi"/>
          <w:iCs/>
          <w:color w:val="auto"/>
          <w:sz w:val="22"/>
          <w:szCs w:val="22"/>
        </w:rPr>
        <w:t xml:space="preserve"> (TB)</w:t>
      </w:r>
      <w:r w:rsidR="0031139E">
        <w:rPr>
          <w:rFonts w:ascii="Franklin Gothic Book" w:eastAsiaTheme="minorHAnsi" w:hAnsi="Franklin Gothic Book" w:cstheme="minorBidi"/>
          <w:iCs/>
          <w:color w:val="auto"/>
          <w:sz w:val="22"/>
          <w:szCs w:val="22"/>
        </w:rPr>
        <w:t>.</w:t>
      </w:r>
      <w:r w:rsidRPr="00F33D59">
        <w:rPr>
          <w:rFonts w:ascii="Franklin Gothic Book" w:eastAsiaTheme="minorHAnsi" w:hAnsi="Franklin Gothic Book" w:cstheme="minorBidi"/>
          <w:iCs/>
          <w:color w:val="auto"/>
          <w:sz w:val="22"/>
          <w:szCs w:val="22"/>
        </w:rPr>
        <w:t xml:space="preserve"> </w:t>
      </w:r>
      <w:bookmarkStart w:id="2" w:name="_Hlk100171326"/>
      <w:r w:rsidR="00005F22">
        <w:rPr>
          <w:rFonts w:ascii="Franklin Gothic Book" w:eastAsiaTheme="minorHAnsi" w:hAnsi="Franklin Gothic Book" w:cstheme="minorBidi"/>
          <w:iCs/>
          <w:color w:val="auto"/>
          <w:sz w:val="22"/>
          <w:szCs w:val="22"/>
        </w:rPr>
        <w:t xml:space="preserve">MSAC noted ESC’s advice that the DCAR had </w:t>
      </w:r>
      <w:r w:rsidR="00005F22" w:rsidRPr="00005F22">
        <w:rPr>
          <w:rFonts w:ascii="Franklin Gothic Book" w:eastAsiaTheme="minorHAnsi" w:hAnsi="Franklin Gothic Book" w:cstheme="minorBidi"/>
          <w:iCs/>
          <w:color w:val="auto"/>
          <w:sz w:val="22"/>
          <w:szCs w:val="22"/>
        </w:rPr>
        <w:t xml:space="preserve">narrowed the </w:t>
      </w:r>
      <w:r w:rsidR="00005F22">
        <w:rPr>
          <w:rFonts w:ascii="Franklin Gothic Book" w:eastAsiaTheme="minorHAnsi" w:hAnsi="Franklin Gothic Book" w:cstheme="minorBidi"/>
          <w:iCs/>
          <w:color w:val="auto"/>
          <w:sz w:val="22"/>
          <w:szCs w:val="22"/>
        </w:rPr>
        <w:t>exemplar</w:t>
      </w:r>
      <w:r w:rsidR="00005F22" w:rsidRPr="00005F22">
        <w:rPr>
          <w:rFonts w:ascii="Franklin Gothic Book" w:eastAsiaTheme="minorHAnsi" w:hAnsi="Franklin Gothic Book" w:cstheme="minorBidi"/>
          <w:iCs/>
          <w:color w:val="auto"/>
          <w:sz w:val="22"/>
          <w:szCs w:val="22"/>
        </w:rPr>
        <w:t xml:space="preserve"> to TB caused specifically by </w:t>
      </w:r>
      <w:r w:rsidRPr="00F33D59">
        <w:rPr>
          <w:rFonts w:ascii="Franklin Gothic Book" w:eastAsiaTheme="minorHAnsi" w:hAnsi="Franklin Gothic Book" w:cstheme="minorBidi"/>
          <w:i/>
          <w:color w:val="auto"/>
          <w:sz w:val="22"/>
          <w:szCs w:val="22"/>
        </w:rPr>
        <w:t>Mycobacterium tuberculosis</w:t>
      </w:r>
      <w:bookmarkEnd w:id="2"/>
      <w:r w:rsidR="00005F22">
        <w:rPr>
          <w:rFonts w:ascii="Franklin Gothic Book" w:eastAsiaTheme="minorHAnsi" w:hAnsi="Franklin Gothic Book" w:cstheme="minorBidi"/>
          <w:iCs/>
          <w:color w:val="auto"/>
          <w:sz w:val="22"/>
          <w:szCs w:val="22"/>
        </w:rPr>
        <w:t>,</w:t>
      </w:r>
      <w:r w:rsidR="00005F22" w:rsidRPr="00005F22">
        <w:rPr>
          <w:rFonts w:ascii="Franklin Gothic Book" w:eastAsiaTheme="minorHAnsi" w:hAnsi="Franklin Gothic Book" w:cstheme="minorBidi"/>
          <w:iCs/>
          <w:color w:val="auto"/>
          <w:sz w:val="22"/>
          <w:szCs w:val="22"/>
        </w:rPr>
        <w:t xml:space="preserve"> but that the evidence </w:t>
      </w:r>
      <w:r w:rsidR="00005F22">
        <w:rPr>
          <w:rFonts w:ascii="Franklin Gothic Book" w:eastAsiaTheme="minorHAnsi" w:hAnsi="Franklin Gothic Book" w:cstheme="minorBidi"/>
          <w:iCs/>
          <w:color w:val="auto"/>
          <w:sz w:val="22"/>
          <w:szCs w:val="22"/>
        </w:rPr>
        <w:t>was relevant to</w:t>
      </w:r>
      <w:r w:rsidR="00005F22" w:rsidRPr="00005F22">
        <w:rPr>
          <w:rFonts w:ascii="Franklin Gothic Book" w:eastAsiaTheme="minorHAnsi" w:hAnsi="Franklin Gothic Book" w:cstheme="minorBidi"/>
          <w:iCs/>
          <w:color w:val="auto"/>
          <w:sz w:val="22"/>
          <w:szCs w:val="22"/>
        </w:rPr>
        <w:t xml:space="preserve"> </w:t>
      </w:r>
      <w:r w:rsidR="00005F22">
        <w:rPr>
          <w:rFonts w:ascii="Franklin Gothic Book" w:eastAsiaTheme="minorHAnsi" w:hAnsi="Franklin Gothic Book" w:cstheme="minorBidi"/>
          <w:iCs/>
          <w:color w:val="auto"/>
          <w:sz w:val="22"/>
          <w:szCs w:val="22"/>
        </w:rPr>
        <w:t>patients with MTBC infections</w:t>
      </w:r>
      <w:r w:rsidRPr="00F33D59">
        <w:rPr>
          <w:rFonts w:ascii="Franklin Gothic Book" w:eastAsiaTheme="minorHAnsi" w:hAnsi="Franklin Gothic Book" w:cstheme="minorBidi"/>
          <w:iCs/>
          <w:color w:val="auto"/>
          <w:sz w:val="22"/>
          <w:szCs w:val="22"/>
        </w:rPr>
        <w:t xml:space="preserve">. </w:t>
      </w:r>
    </w:p>
    <w:p w14:paraId="555FA150" w14:textId="1D36BF41"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Currently, usual care in patients with a</w:t>
      </w:r>
      <w:r w:rsidR="00094C3A">
        <w:rPr>
          <w:rFonts w:ascii="Franklin Gothic Book" w:eastAsiaTheme="minorHAnsi" w:hAnsi="Franklin Gothic Book" w:cstheme="minorBidi"/>
          <w:iCs/>
          <w:color w:val="auto"/>
          <w:sz w:val="22"/>
          <w:szCs w:val="22"/>
        </w:rPr>
        <w:t>n</w:t>
      </w:r>
      <w:r w:rsidRPr="00F33D59">
        <w:rPr>
          <w:rFonts w:ascii="Franklin Gothic Book" w:eastAsiaTheme="minorHAnsi" w:hAnsi="Franklin Gothic Book" w:cstheme="minorBidi"/>
          <w:iCs/>
          <w:color w:val="auto"/>
          <w:sz w:val="22"/>
          <w:szCs w:val="22"/>
        </w:rPr>
        <w:t xml:space="preserve"> </w:t>
      </w:r>
      <w:r w:rsidR="00094C3A">
        <w:rPr>
          <w:rFonts w:ascii="Franklin Gothic Book" w:eastAsiaTheme="minorHAnsi" w:hAnsi="Franklin Gothic Book" w:cstheme="minorBidi"/>
          <w:iCs/>
          <w:color w:val="auto"/>
          <w:sz w:val="22"/>
          <w:szCs w:val="22"/>
        </w:rPr>
        <w:t>MTBC</w:t>
      </w:r>
      <w:r w:rsidR="00094C3A"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infection us</w:t>
      </w:r>
      <w:r w:rsidR="00094C3A">
        <w:rPr>
          <w:rFonts w:ascii="Franklin Gothic Book" w:eastAsiaTheme="minorHAnsi" w:hAnsi="Franklin Gothic Book" w:cstheme="minorBidi"/>
          <w:iCs/>
          <w:color w:val="auto"/>
          <w:sz w:val="22"/>
          <w:szCs w:val="22"/>
        </w:rPr>
        <w:t>es</w:t>
      </w:r>
      <w:r w:rsidRPr="00F33D59">
        <w:rPr>
          <w:rFonts w:ascii="Franklin Gothic Book" w:eastAsiaTheme="minorHAnsi" w:hAnsi="Franklin Gothic Book" w:cstheme="minorBidi"/>
          <w:iCs/>
          <w:color w:val="auto"/>
          <w:sz w:val="22"/>
          <w:szCs w:val="22"/>
        </w:rPr>
        <w:t xml:space="preserve"> phenotypic antimicrobial </w:t>
      </w:r>
      <w:r w:rsidR="007A5361">
        <w:rPr>
          <w:rFonts w:ascii="Franklin Gothic Book" w:eastAsiaTheme="minorHAnsi" w:hAnsi="Franklin Gothic Book" w:cstheme="minorBidi"/>
          <w:iCs/>
          <w:color w:val="auto"/>
          <w:sz w:val="22"/>
          <w:szCs w:val="22"/>
        </w:rPr>
        <w:t xml:space="preserve">drug </w:t>
      </w:r>
      <w:r w:rsidRPr="00F33D59">
        <w:rPr>
          <w:rFonts w:ascii="Franklin Gothic Book" w:eastAsiaTheme="minorHAnsi" w:hAnsi="Franklin Gothic Book" w:cstheme="minorBidi"/>
          <w:iCs/>
          <w:color w:val="auto"/>
          <w:sz w:val="22"/>
          <w:szCs w:val="22"/>
        </w:rPr>
        <w:t>susceptibility testing (</w:t>
      </w:r>
      <w:proofErr w:type="spellStart"/>
      <w:r w:rsidR="007A5361">
        <w:rPr>
          <w:rFonts w:ascii="Franklin Gothic Book" w:eastAsiaTheme="minorHAnsi" w:hAnsi="Franklin Gothic Book" w:cstheme="minorBidi"/>
          <w:iCs/>
          <w:color w:val="auto"/>
          <w:sz w:val="22"/>
          <w:szCs w:val="22"/>
        </w:rPr>
        <w:t>pDST</w:t>
      </w:r>
      <w:proofErr w:type="spellEnd"/>
      <w:r w:rsidR="007A5361">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 xml:space="preserve">the comparator), which can take several weeks. MSAC noted the clinical management algorithm, where the WGS test is proposed as an additional test for people diagnosed with mycobacterial infections. The purpose of the test is to detect and characterise antimicrobial resistance in the pathogen genome so that appropriate treatment can be provided. </w:t>
      </w:r>
    </w:p>
    <w:p w14:paraId="50BC5493" w14:textId="5668F692" w:rsid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w:t>
      </w:r>
      <w:r w:rsidR="00005F22">
        <w:rPr>
          <w:rFonts w:ascii="Franklin Gothic Book" w:eastAsiaTheme="minorHAnsi" w:hAnsi="Franklin Gothic Book" w:cstheme="minorBidi"/>
          <w:iCs/>
          <w:color w:val="auto"/>
          <w:sz w:val="22"/>
          <w:szCs w:val="22"/>
        </w:rPr>
        <w:t>supported</w:t>
      </w:r>
      <w:r w:rsidR="00005F22"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the changes to the MBS item descriptor</w:t>
      </w:r>
      <w:r w:rsidR="00360DEF">
        <w:rPr>
          <w:rFonts w:ascii="Franklin Gothic Book" w:eastAsiaTheme="minorHAnsi" w:hAnsi="Franklin Gothic Book" w:cstheme="minorBidi"/>
          <w:iCs/>
          <w:color w:val="auto"/>
          <w:sz w:val="22"/>
          <w:szCs w:val="22"/>
        </w:rPr>
        <w:t xml:space="preserve"> proposed by ESC</w:t>
      </w:r>
      <w:r w:rsidR="00005F22">
        <w:rPr>
          <w:rFonts w:ascii="Franklin Gothic Book" w:eastAsiaTheme="minorHAnsi" w:hAnsi="Franklin Gothic Book" w:cstheme="minorBidi"/>
          <w:iCs/>
          <w:color w:val="auto"/>
          <w:sz w:val="22"/>
          <w:szCs w:val="22"/>
        </w:rPr>
        <w:t xml:space="preserve"> and the applicant</w:t>
      </w:r>
      <w:r w:rsidRPr="00F33D59">
        <w:rPr>
          <w:rFonts w:ascii="Franklin Gothic Book" w:eastAsiaTheme="minorHAnsi" w:hAnsi="Franklin Gothic Book" w:cstheme="minorBidi"/>
          <w:iCs/>
          <w:color w:val="auto"/>
          <w:sz w:val="22"/>
          <w:szCs w:val="22"/>
        </w:rPr>
        <w:t xml:space="preserve">, as shown in </w:t>
      </w:r>
      <w:r w:rsidR="00C91D6F">
        <w:rPr>
          <w:rFonts w:ascii="Franklin Gothic Book" w:eastAsiaTheme="minorHAnsi" w:hAnsi="Franklin Gothic Book" w:cstheme="minorBidi"/>
          <w:iCs/>
          <w:color w:val="auto"/>
          <w:sz w:val="22"/>
          <w:szCs w:val="22"/>
        </w:rPr>
        <w:fldChar w:fldCharType="begin"/>
      </w:r>
      <w:r w:rsidR="00C91D6F">
        <w:rPr>
          <w:rFonts w:ascii="Franklin Gothic Book" w:eastAsiaTheme="minorHAnsi" w:hAnsi="Franklin Gothic Book" w:cstheme="minorBidi"/>
          <w:iCs/>
          <w:color w:val="auto"/>
          <w:sz w:val="22"/>
          <w:szCs w:val="22"/>
        </w:rPr>
        <w:instrText xml:space="preserve"> REF _Ref101363581  \* MERGEFORMAT </w:instrText>
      </w:r>
      <w:r w:rsidR="00C91D6F">
        <w:rPr>
          <w:rFonts w:ascii="Franklin Gothic Book" w:eastAsiaTheme="minorHAnsi" w:hAnsi="Franklin Gothic Book" w:cstheme="minorBidi"/>
          <w:iCs/>
          <w:color w:val="auto"/>
          <w:sz w:val="22"/>
          <w:szCs w:val="22"/>
        </w:rPr>
        <w:fldChar w:fldCharType="separate"/>
      </w:r>
      <w:r w:rsidR="00C91D6F" w:rsidRPr="00C91D6F">
        <w:rPr>
          <w:rFonts w:ascii="Franklin Gothic Book" w:eastAsiaTheme="minorHAnsi" w:hAnsi="Franklin Gothic Book" w:cstheme="minorBidi"/>
          <w:iCs/>
          <w:color w:val="auto"/>
          <w:sz w:val="22"/>
          <w:szCs w:val="22"/>
        </w:rPr>
        <w:t>Table 1</w:t>
      </w:r>
      <w:r w:rsidR="00C91D6F">
        <w:rPr>
          <w:rFonts w:ascii="Franklin Gothic Book" w:eastAsiaTheme="minorHAnsi" w:hAnsi="Franklin Gothic Book" w:cstheme="minorBidi"/>
          <w:iCs/>
          <w:color w:val="auto"/>
          <w:sz w:val="22"/>
          <w:szCs w:val="22"/>
        </w:rPr>
        <w:fldChar w:fldCharType="end"/>
      </w:r>
      <w:r w:rsidRPr="00F33D59">
        <w:rPr>
          <w:rFonts w:ascii="Franklin Gothic Book" w:eastAsiaTheme="minorHAnsi" w:hAnsi="Franklin Gothic Book" w:cstheme="minorBidi"/>
          <w:iCs/>
          <w:color w:val="auto"/>
          <w:sz w:val="22"/>
          <w:szCs w:val="22"/>
        </w:rPr>
        <w:t>.</w:t>
      </w:r>
    </w:p>
    <w:p w14:paraId="53986E20" w14:textId="55C37056" w:rsidR="00005F22" w:rsidRPr="00CE28E3" w:rsidRDefault="00005F22" w:rsidP="00005F22">
      <w:pPr>
        <w:pStyle w:val="Caption"/>
      </w:pPr>
      <w:bookmarkStart w:id="3" w:name="_Ref101363581"/>
      <w:r>
        <w:lastRenderedPageBreak/>
        <w:t>Table </w:t>
      </w:r>
      <w:fldSimple w:instr=" SEQ Table \* ARABIC ">
        <w:r>
          <w:rPr>
            <w:noProof/>
          </w:rPr>
          <w:t>1</w:t>
        </w:r>
      </w:fldSimple>
      <w:bookmarkEnd w:id="3"/>
      <w:r w:rsidRPr="00CE28E3">
        <w:tab/>
      </w:r>
      <w:r>
        <w:t xml:space="preserve">MSAC’s </w:t>
      </w:r>
      <w:r w:rsidR="00CB2B61">
        <w:t>supported</w:t>
      </w:r>
      <w:r w:rsidRPr="00CE28E3">
        <w:t xml:space="preserve"> MBS item </w:t>
      </w:r>
      <w:r>
        <w:t>descriptor</w:t>
      </w:r>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ESC’s revised MBS item descriptor"/>
      </w:tblPr>
      <w:tblGrid>
        <w:gridCol w:w="9016"/>
      </w:tblGrid>
      <w:tr w:rsidR="00005F22" w:rsidRPr="00CE28E3" w14:paraId="503CCF9F" w14:textId="77777777" w:rsidTr="007A5361">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19C5B1A5" w14:textId="77777777" w:rsidR="00005F22" w:rsidRPr="00CE28E3" w:rsidRDefault="00005F22" w:rsidP="007A5361">
            <w:pPr>
              <w:pStyle w:val="TableText1"/>
              <w:rPr>
                <w:sz w:val="24"/>
              </w:rPr>
            </w:pPr>
            <w:r w:rsidRPr="00CE28E3">
              <w:t xml:space="preserve">Category </w:t>
            </w:r>
            <w:r>
              <w:t>3</w:t>
            </w:r>
            <w:r w:rsidRPr="00CE28E3">
              <w:t xml:space="preserve"> – </w:t>
            </w:r>
            <w:r>
              <w:t>Pathology Services – Group 3 Microbiology</w:t>
            </w:r>
          </w:p>
        </w:tc>
      </w:tr>
      <w:tr w:rsidR="00005F22" w:rsidRPr="00CE28E3" w14:paraId="7F49864A" w14:textId="77777777" w:rsidTr="007A5361">
        <w:tc>
          <w:tcPr>
            <w:tcW w:w="5000" w:type="pct"/>
            <w:tcBorders>
              <w:top w:val="single" w:sz="4" w:space="0" w:color="000000"/>
              <w:left w:val="single" w:sz="4" w:space="0" w:color="000000"/>
              <w:bottom w:val="nil"/>
              <w:right w:val="single" w:sz="4" w:space="0" w:color="000000"/>
            </w:tcBorders>
            <w:hideMark/>
          </w:tcPr>
          <w:p w14:paraId="47F5E7F2" w14:textId="77777777" w:rsidR="00005F22" w:rsidRPr="00170D5B" w:rsidRDefault="00005F22" w:rsidP="007A5361">
            <w:pPr>
              <w:spacing w:after="120"/>
              <w:rPr>
                <w:lang w:val="en-US" w:eastAsia="ja-JP"/>
              </w:rPr>
            </w:pPr>
            <w:r>
              <w:rPr>
                <w:lang w:val="en-US" w:eastAsia="ja-JP"/>
              </w:rPr>
              <w:t xml:space="preserve">MBS item </w:t>
            </w:r>
            <w:r w:rsidRPr="00170D5B">
              <w:rPr>
                <w:lang w:val="en-US" w:eastAsia="ja-JP"/>
              </w:rPr>
              <w:t>XXXX</w:t>
            </w:r>
          </w:p>
          <w:p w14:paraId="3FCFF8F2" w14:textId="77777777" w:rsidR="00005F22" w:rsidRDefault="00005F22" w:rsidP="007A5361">
            <w:pPr>
              <w:spacing w:after="120"/>
              <w:rPr>
                <w:lang w:val="en-US" w:eastAsia="ja-JP"/>
              </w:rPr>
            </w:pPr>
            <w:r>
              <w:rPr>
                <w:lang w:val="en-US" w:eastAsia="ja-JP"/>
              </w:rPr>
              <w:t xml:space="preserve">Sequencing and analysis of the </w:t>
            </w:r>
            <w:r w:rsidRPr="004C2B2A">
              <w:rPr>
                <w:strike/>
                <w:lang w:val="en-US" w:eastAsia="ja-JP"/>
              </w:rPr>
              <w:t>whole mycobacterial</w:t>
            </w:r>
            <w:r>
              <w:rPr>
                <w:lang w:val="en-US" w:eastAsia="ja-JP"/>
              </w:rPr>
              <w:t xml:space="preserve"> genome of </w:t>
            </w:r>
            <w:r w:rsidRPr="004C2B2A">
              <w:rPr>
                <w:i/>
                <w:iCs/>
                <w:color w:val="00B050"/>
                <w:lang w:val="en-US" w:eastAsia="ja-JP"/>
              </w:rPr>
              <w:t xml:space="preserve">Mycobacterium tuberculosis </w:t>
            </w:r>
            <w:r w:rsidRPr="004C2B2A">
              <w:rPr>
                <w:color w:val="00B050"/>
                <w:lang w:val="en-US" w:eastAsia="ja-JP"/>
              </w:rPr>
              <w:t xml:space="preserve">complex (MTBC) from </w:t>
            </w:r>
            <w:r>
              <w:rPr>
                <w:lang w:val="en-US" w:eastAsia="ja-JP"/>
              </w:rPr>
              <w:t>an isolate or nucleic acid extract obtained at the time of</w:t>
            </w:r>
            <w:r w:rsidRPr="004C2B2A">
              <w:rPr>
                <w:color w:val="00B050"/>
                <w:lang w:val="en-US" w:eastAsia="ja-JP"/>
              </w:rPr>
              <w:t>:</w:t>
            </w:r>
          </w:p>
          <w:p w14:paraId="288E2113" w14:textId="77777777" w:rsidR="00005F22" w:rsidRPr="004C2B2A" w:rsidRDefault="00005F22" w:rsidP="007A5361">
            <w:pPr>
              <w:pStyle w:val="ListParagraph"/>
              <w:numPr>
                <w:ilvl w:val="0"/>
                <w:numId w:val="34"/>
              </w:numPr>
              <w:spacing w:after="120"/>
              <w:rPr>
                <w:color w:val="00B050"/>
                <w:lang w:val="en-US" w:eastAsia="ja-JP"/>
              </w:rPr>
            </w:pPr>
            <w:r w:rsidRPr="004C2B2A">
              <w:rPr>
                <w:lang w:val="en-US" w:eastAsia="ja-JP"/>
              </w:rPr>
              <w:t xml:space="preserve">initial diagnosis </w:t>
            </w:r>
            <w:r>
              <w:rPr>
                <w:color w:val="00B050"/>
                <w:lang w:val="en-US" w:eastAsia="ja-JP"/>
              </w:rPr>
              <w:t xml:space="preserve">and commencement of initial empiric therapy, </w:t>
            </w:r>
            <w:r w:rsidRPr="004C2B2A">
              <w:rPr>
                <w:color w:val="00B050"/>
                <w:lang w:val="en-US" w:eastAsia="ja-JP"/>
              </w:rPr>
              <w:t>or</w:t>
            </w:r>
          </w:p>
          <w:p w14:paraId="6F97A27A" w14:textId="6019CD8C" w:rsidR="00005F22" w:rsidRPr="004C2B2A" w:rsidRDefault="00005F22" w:rsidP="007A5361">
            <w:pPr>
              <w:pStyle w:val="ListParagraph"/>
              <w:numPr>
                <w:ilvl w:val="0"/>
                <w:numId w:val="34"/>
              </w:numPr>
              <w:spacing w:after="120"/>
              <w:rPr>
                <w:color w:val="00B050"/>
                <w:lang w:val="en-US" w:eastAsia="ja-JP"/>
              </w:rPr>
            </w:pPr>
            <w:r w:rsidRPr="004C2B2A">
              <w:rPr>
                <w:color w:val="00B050"/>
                <w:lang w:val="en-US" w:eastAsia="ja-JP"/>
              </w:rPr>
              <w:t xml:space="preserve">following </w:t>
            </w:r>
            <w:r w:rsidRPr="00DB16CA">
              <w:rPr>
                <w:strike/>
                <w:color w:val="00B050"/>
                <w:lang w:val="en-US" w:eastAsia="ja-JP"/>
              </w:rPr>
              <w:t>disease relapse</w:t>
            </w:r>
            <w:r>
              <w:rPr>
                <w:color w:val="00B050"/>
                <w:lang w:val="en-US" w:eastAsia="ja-JP"/>
              </w:rPr>
              <w:t xml:space="preserve"> </w:t>
            </w:r>
            <w:r>
              <w:rPr>
                <w:color w:val="FF0000"/>
                <w:lang w:val="en-US" w:eastAsia="ja-JP"/>
              </w:rPr>
              <w:t>recurrence of symptoms or failure to respond to treatment within the expected timeframe</w:t>
            </w:r>
            <w:r w:rsidRPr="004C2B2A">
              <w:rPr>
                <w:color w:val="00B050"/>
                <w:lang w:val="en-US" w:eastAsia="ja-JP"/>
              </w:rPr>
              <w:t>,</w:t>
            </w:r>
          </w:p>
          <w:p w14:paraId="27411496" w14:textId="77777777" w:rsidR="00005F22" w:rsidRDefault="00005F22" w:rsidP="007A5361">
            <w:pPr>
              <w:spacing w:after="120"/>
              <w:rPr>
                <w:lang w:val="en-US" w:eastAsia="ja-JP"/>
              </w:rPr>
            </w:pPr>
            <w:r w:rsidRPr="004C2B2A">
              <w:rPr>
                <w:lang w:val="en-US" w:eastAsia="ja-JP"/>
              </w:rPr>
              <w:t>to speciate the organism accurately and for the purpose of genome-wide determination of the antimicrobial resistance markers (</w:t>
            </w:r>
            <w:proofErr w:type="spellStart"/>
            <w:r w:rsidRPr="004C2B2A">
              <w:rPr>
                <w:lang w:val="en-US" w:eastAsia="ja-JP"/>
              </w:rPr>
              <w:t>resistome</w:t>
            </w:r>
            <w:proofErr w:type="spellEnd"/>
            <w:r w:rsidRPr="004C2B2A">
              <w:rPr>
                <w:lang w:val="en-US" w:eastAsia="ja-JP"/>
              </w:rPr>
              <w:t xml:space="preserve">) of the isolate to </w:t>
            </w:r>
            <w:proofErr w:type="spellStart"/>
            <w:r w:rsidRPr="004C2B2A">
              <w:rPr>
                <w:lang w:val="en-US" w:eastAsia="ja-JP"/>
              </w:rPr>
              <w:t>individualise</w:t>
            </w:r>
            <w:proofErr w:type="spellEnd"/>
            <w:r w:rsidRPr="004C2B2A">
              <w:rPr>
                <w:lang w:val="en-US" w:eastAsia="ja-JP"/>
              </w:rPr>
              <w:t xml:space="preserve"> the patient’s treatment </w:t>
            </w:r>
            <w:r w:rsidRPr="004C2B2A">
              <w:rPr>
                <w:strike/>
                <w:lang w:val="en-US" w:eastAsia="ja-JP"/>
              </w:rPr>
              <w:t>after initial empiric therapy</w:t>
            </w:r>
            <w:r w:rsidRPr="004C2B2A">
              <w:rPr>
                <w:lang w:val="en-US" w:eastAsia="ja-JP"/>
              </w:rPr>
              <w:t xml:space="preserve">. </w:t>
            </w:r>
          </w:p>
          <w:p w14:paraId="06BF987C" w14:textId="0DAB8936" w:rsidR="00005F22" w:rsidRPr="004C2B2A" w:rsidRDefault="00005F22" w:rsidP="007A5361">
            <w:pPr>
              <w:spacing w:after="120"/>
              <w:rPr>
                <w:lang w:val="en-US" w:eastAsia="ja-JP"/>
              </w:rPr>
            </w:pPr>
            <w:r w:rsidRPr="004C2B2A">
              <w:rPr>
                <w:color w:val="00B050"/>
                <w:lang w:val="en-US" w:eastAsia="ja-JP"/>
              </w:rPr>
              <w:t xml:space="preserve">Applicable once at initial diagnosis and once per episode of disease </w:t>
            </w:r>
            <w:r w:rsidRPr="00DB16CA">
              <w:rPr>
                <w:strike/>
                <w:color w:val="00B050"/>
                <w:lang w:val="en-US" w:eastAsia="ja-JP"/>
              </w:rPr>
              <w:t>relapse</w:t>
            </w:r>
            <w:r>
              <w:rPr>
                <w:color w:val="00B050"/>
                <w:lang w:val="en-US" w:eastAsia="ja-JP"/>
              </w:rPr>
              <w:t xml:space="preserve"> </w:t>
            </w:r>
            <w:r w:rsidRPr="00DB16CA">
              <w:rPr>
                <w:color w:val="FF0000"/>
                <w:lang w:val="en-US" w:eastAsia="ja-JP"/>
              </w:rPr>
              <w:t>recurrence</w:t>
            </w:r>
            <w:r w:rsidRPr="004C2B2A">
              <w:rPr>
                <w:color w:val="00B050"/>
                <w:lang w:val="en-US" w:eastAsia="ja-JP"/>
              </w:rPr>
              <w:t>.</w:t>
            </w:r>
          </w:p>
        </w:tc>
      </w:tr>
      <w:tr w:rsidR="00005F22" w:rsidRPr="005D749D" w14:paraId="37953DBE" w14:textId="77777777" w:rsidTr="007A5361">
        <w:tc>
          <w:tcPr>
            <w:tcW w:w="5000" w:type="pct"/>
            <w:tcBorders>
              <w:top w:val="nil"/>
              <w:left w:val="single" w:sz="4" w:space="0" w:color="000000"/>
              <w:bottom w:val="single" w:sz="4" w:space="0" w:color="000000"/>
              <w:right w:val="single" w:sz="4" w:space="0" w:color="000000"/>
            </w:tcBorders>
            <w:vAlign w:val="center"/>
            <w:hideMark/>
          </w:tcPr>
          <w:p w14:paraId="42B1BC65" w14:textId="157C9664" w:rsidR="00005F22" w:rsidRPr="005D749D" w:rsidRDefault="00005F22" w:rsidP="007A5361">
            <w:pPr>
              <w:pStyle w:val="TableText1"/>
              <w:rPr>
                <w:szCs w:val="20"/>
              </w:rPr>
            </w:pPr>
            <w:r w:rsidRPr="008D7580">
              <w:rPr>
                <w:b/>
                <w:szCs w:val="20"/>
              </w:rPr>
              <w:t>Fee</w:t>
            </w:r>
            <w:r w:rsidRPr="005D749D">
              <w:rPr>
                <w:szCs w:val="20"/>
              </w:rPr>
              <w:t xml:space="preserve">: </w:t>
            </w:r>
            <w:r w:rsidR="00C91D6F" w:rsidRPr="00DB16CA">
              <w:rPr>
                <w:strike/>
                <w:szCs w:val="20"/>
              </w:rPr>
              <w:t>$120.00</w:t>
            </w:r>
            <w:r w:rsidR="00C91D6F">
              <w:rPr>
                <w:szCs w:val="20"/>
              </w:rPr>
              <w:t xml:space="preserve"> </w:t>
            </w:r>
            <w:r w:rsidRPr="00DB16CA">
              <w:rPr>
                <w:color w:val="FF0000"/>
                <w:szCs w:val="20"/>
              </w:rPr>
              <w:t>$1</w:t>
            </w:r>
            <w:r w:rsidR="004B641D" w:rsidRPr="00DB16CA">
              <w:rPr>
                <w:color w:val="FF0000"/>
                <w:szCs w:val="20"/>
              </w:rPr>
              <w:t>5</w:t>
            </w:r>
            <w:r w:rsidRPr="00DB16CA">
              <w:rPr>
                <w:color w:val="FF0000"/>
                <w:szCs w:val="20"/>
              </w:rPr>
              <w:t>0.00</w:t>
            </w:r>
            <w:r>
              <w:rPr>
                <w:szCs w:val="20"/>
              </w:rPr>
              <w:t xml:space="preserve"> </w:t>
            </w:r>
            <w:r>
              <w:rPr>
                <w:szCs w:val="20"/>
              </w:rPr>
              <w:tab/>
            </w:r>
            <w:r w:rsidRPr="008D7580">
              <w:rPr>
                <w:b/>
                <w:szCs w:val="20"/>
              </w:rPr>
              <w:t>Benefit</w:t>
            </w:r>
            <w:r>
              <w:rPr>
                <w:szCs w:val="20"/>
              </w:rPr>
              <w:t xml:space="preserve">: 75% = </w:t>
            </w:r>
            <w:r w:rsidR="00C91D6F" w:rsidRPr="00D05334">
              <w:rPr>
                <w:strike/>
                <w:szCs w:val="20"/>
              </w:rPr>
              <w:t>$</w:t>
            </w:r>
            <w:r w:rsidR="00C91D6F">
              <w:rPr>
                <w:strike/>
                <w:szCs w:val="20"/>
              </w:rPr>
              <w:t>9</w:t>
            </w:r>
            <w:r w:rsidR="00C91D6F" w:rsidRPr="00D05334">
              <w:rPr>
                <w:strike/>
                <w:szCs w:val="20"/>
              </w:rPr>
              <w:t>0.00</w:t>
            </w:r>
            <w:r w:rsidR="00C91D6F" w:rsidRPr="00DB16CA">
              <w:rPr>
                <w:szCs w:val="20"/>
              </w:rPr>
              <w:t xml:space="preserve"> </w:t>
            </w:r>
            <w:r w:rsidRPr="00DB16CA">
              <w:rPr>
                <w:color w:val="FF0000"/>
                <w:szCs w:val="20"/>
              </w:rPr>
              <w:t>$</w:t>
            </w:r>
            <w:r w:rsidR="004B641D" w:rsidRPr="00DB16CA">
              <w:rPr>
                <w:color w:val="FF0000"/>
                <w:szCs w:val="20"/>
              </w:rPr>
              <w:t>112.5</w:t>
            </w:r>
            <w:r w:rsidRPr="00DB16CA">
              <w:rPr>
                <w:color w:val="FF0000"/>
                <w:szCs w:val="20"/>
              </w:rPr>
              <w:t>0</w:t>
            </w:r>
            <w:r>
              <w:rPr>
                <w:szCs w:val="20"/>
              </w:rPr>
              <w:t xml:space="preserve"> </w:t>
            </w:r>
            <w:r w:rsidR="004B641D">
              <w:rPr>
                <w:szCs w:val="20"/>
              </w:rPr>
              <w:t xml:space="preserve">     </w:t>
            </w:r>
            <w:r>
              <w:rPr>
                <w:szCs w:val="20"/>
              </w:rPr>
              <w:t xml:space="preserve">85% = </w:t>
            </w:r>
            <w:r w:rsidR="00C91D6F" w:rsidRPr="00D05334">
              <w:rPr>
                <w:strike/>
                <w:szCs w:val="20"/>
              </w:rPr>
              <w:t>$1</w:t>
            </w:r>
            <w:r w:rsidR="00C91D6F">
              <w:rPr>
                <w:strike/>
                <w:szCs w:val="20"/>
              </w:rPr>
              <w:t>02</w:t>
            </w:r>
            <w:r w:rsidR="00C91D6F" w:rsidRPr="00D05334">
              <w:rPr>
                <w:strike/>
                <w:szCs w:val="20"/>
              </w:rPr>
              <w:t>.00</w:t>
            </w:r>
            <w:r w:rsidR="00C91D6F">
              <w:rPr>
                <w:szCs w:val="20"/>
              </w:rPr>
              <w:t xml:space="preserve"> </w:t>
            </w:r>
            <w:r w:rsidRPr="00DB16CA">
              <w:rPr>
                <w:color w:val="FF0000"/>
                <w:szCs w:val="20"/>
              </w:rPr>
              <w:t>$12</w:t>
            </w:r>
            <w:r w:rsidR="004B641D" w:rsidRPr="00DB16CA">
              <w:rPr>
                <w:color w:val="FF0000"/>
                <w:szCs w:val="20"/>
              </w:rPr>
              <w:t>7</w:t>
            </w:r>
            <w:r w:rsidRPr="00DB16CA">
              <w:rPr>
                <w:color w:val="FF0000"/>
                <w:szCs w:val="20"/>
              </w:rPr>
              <w:t>.</w:t>
            </w:r>
            <w:r w:rsidR="004B641D" w:rsidRPr="00DB16CA">
              <w:rPr>
                <w:color w:val="FF0000"/>
                <w:szCs w:val="20"/>
              </w:rPr>
              <w:t>5</w:t>
            </w:r>
            <w:r w:rsidRPr="00DB16CA">
              <w:rPr>
                <w:color w:val="FF0000"/>
                <w:szCs w:val="20"/>
              </w:rPr>
              <w:t>0</w:t>
            </w:r>
          </w:p>
        </w:tc>
      </w:tr>
    </w:tbl>
    <w:p w14:paraId="736E6DB3" w14:textId="41590C3E" w:rsidR="00005F22" w:rsidRDefault="00005F22" w:rsidP="00005F22">
      <w:pPr>
        <w:pStyle w:val="Tablenotes0"/>
      </w:pPr>
      <w:r>
        <w:t>Deletions in strikethrough, ESC’s additions in green, the applicant’s additions in the pre-MSAC response in red.</w:t>
      </w:r>
    </w:p>
    <w:p w14:paraId="4076B143" w14:textId="79C22072"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the fee </w:t>
      </w:r>
      <w:r w:rsidR="004B641D" w:rsidRPr="00F33D59">
        <w:rPr>
          <w:rFonts w:ascii="Franklin Gothic Book" w:eastAsiaTheme="minorHAnsi" w:hAnsi="Franklin Gothic Book" w:cstheme="minorBidi"/>
          <w:iCs/>
          <w:color w:val="auto"/>
          <w:sz w:val="22"/>
          <w:szCs w:val="22"/>
        </w:rPr>
        <w:t xml:space="preserve">originally </w:t>
      </w:r>
      <w:r w:rsidRPr="00F33D59">
        <w:rPr>
          <w:rFonts w:ascii="Franklin Gothic Book" w:eastAsiaTheme="minorHAnsi" w:hAnsi="Franklin Gothic Book" w:cstheme="minorBidi"/>
          <w:iCs/>
          <w:color w:val="auto"/>
          <w:sz w:val="22"/>
          <w:szCs w:val="22"/>
        </w:rPr>
        <w:t>proposed by the applicant was $120</w:t>
      </w:r>
      <w:r w:rsidR="00C6656A">
        <w:rPr>
          <w:rFonts w:ascii="Franklin Gothic Book" w:eastAsiaTheme="minorHAnsi" w:hAnsi="Franklin Gothic Book" w:cstheme="minorBidi"/>
          <w:iCs/>
          <w:color w:val="auto"/>
          <w:sz w:val="22"/>
          <w:szCs w:val="22"/>
        </w:rPr>
        <w:t>, but that i</w:t>
      </w:r>
      <w:r w:rsidRPr="00F33D59">
        <w:rPr>
          <w:rFonts w:ascii="Franklin Gothic Book" w:eastAsiaTheme="minorHAnsi" w:hAnsi="Franklin Gothic Book" w:cstheme="minorBidi"/>
          <w:iCs/>
          <w:color w:val="auto"/>
          <w:sz w:val="22"/>
          <w:szCs w:val="22"/>
        </w:rPr>
        <w:t xml:space="preserve">n the pre-MSAC response </w:t>
      </w:r>
      <w:r w:rsidR="00005F22">
        <w:rPr>
          <w:rFonts w:ascii="Franklin Gothic Book" w:eastAsiaTheme="minorHAnsi" w:hAnsi="Franklin Gothic Book" w:cstheme="minorBidi"/>
          <w:iCs/>
          <w:color w:val="auto"/>
          <w:sz w:val="22"/>
          <w:szCs w:val="22"/>
        </w:rPr>
        <w:t>the applicant</w:t>
      </w:r>
      <w:r w:rsidR="00005F22"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 xml:space="preserve">raised </w:t>
      </w:r>
      <w:r w:rsidR="004B641D">
        <w:rPr>
          <w:rFonts w:ascii="Franklin Gothic Book" w:eastAsiaTheme="minorHAnsi" w:hAnsi="Franklin Gothic Book" w:cstheme="minorBidi"/>
          <w:iCs/>
          <w:color w:val="auto"/>
          <w:sz w:val="22"/>
          <w:szCs w:val="22"/>
        </w:rPr>
        <w:t>its</w:t>
      </w:r>
      <w:r w:rsidR="004B641D"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proposed fee to $150</w:t>
      </w:r>
      <w:r w:rsidR="00C6656A">
        <w:rPr>
          <w:rFonts w:ascii="Franklin Gothic Book" w:eastAsiaTheme="minorHAnsi" w:hAnsi="Franklin Gothic Book" w:cstheme="minorBidi"/>
          <w:iCs/>
          <w:color w:val="auto"/>
          <w:sz w:val="22"/>
          <w:szCs w:val="22"/>
        </w:rPr>
        <w:t>.</w:t>
      </w:r>
      <w:r w:rsidRPr="00F33D59">
        <w:rPr>
          <w:rFonts w:ascii="Franklin Gothic Book" w:eastAsiaTheme="minorHAnsi" w:hAnsi="Franklin Gothic Book" w:cstheme="minorBidi"/>
          <w:iCs/>
          <w:color w:val="auto"/>
          <w:sz w:val="22"/>
          <w:szCs w:val="22"/>
        </w:rPr>
        <w:t xml:space="preserve"> MSAC questioned whether </w:t>
      </w:r>
      <w:r w:rsidR="004B641D">
        <w:rPr>
          <w:rFonts w:ascii="Franklin Gothic Book" w:eastAsiaTheme="minorHAnsi" w:hAnsi="Franklin Gothic Book" w:cstheme="minorBidi"/>
          <w:iCs/>
          <w:color w:val="auto"/>
          <w:sz w:val="22"/>
          <w:szCs w:val="22"/>
        </w:rPr>
        <w:t xml:space="preserve">even </w:t>
      </w:r>
      <w:r w:rsidRPr="00F33D59">
        <w:rPr>
          <w:rFonts w:ascii="Franklin Gothic Book" w:eastAsiaTheme="minorHAnsi" w:hAnsi="Franklin Gothic Book" w:cstheme="minorBidi"/>
          <w:iCs/>
          <w:color w:val="auto"/>
          <w:sz w:val="22"/>
          <w:szCs w:val="22"/>
        </w:rPr>
        <w:t xml:space="preserve">this </w:t>
      </w:r>
      <w:r w:rsidR="004B641D">
        <w:rPr>
          <w:rFonts w:ascii="Franklin Gothic Book" w:eastAsiaTheme="minorHAnsi" w:hAnsi="Franklin Gothic Book" w:cstheme="minorBidi"/>
          <w:iCs/>
          <w:color w:val="auto"/>
          <w:sz w:val="22"/>
          <w:szCs w:val="22"/>
        </w:rPr>
        <w:t>remained too low compared to the cost of providing WGS, which one public laboratory provides at $214 on a bottom-up costing basis</w:t>
      </w:r>
      <w:r w:rsidRPr="00F33D59">
        <w:rPr>
          <w:rFonts w:ascii="Franklin Gothic Book" w:eastAsiaTheme="minorHAnsi" w:hAnsi="Franklin Gothic Book" w:cstheme="minorBidi"/>
          <w:iCs/>
          <w:color w:val="auto"/>
          <w:sz w:val="22"/>
          <w:szCs w:val="22"/>
        </w:rPr>
        <w:t xml:space="preserve">. However, MSAC also </w:t>
      </w:r>
      <w:r w:rsidR="004B641D">
        <w:rPr>
          <w:rFonts w:ascii="Franklin Gothic Book" w:eastAsiaTheme="minorHAnsi" w:hAnsi="Franklin Gothic Book" w:cstheme="minorBidi"/>
          <w:iCs/>
          <w:color w:val="auto"/>
          <w:sz w:val="22"/>
          <w:szCs w:val="22"/>
        </w:rPr>
        <w:t>consider</w:t>
      </w:r>
      <w:r w:rsidR="004B641D" w:rsidRPr="00F33D59">
        <w:rPr>
          <w:rFonts w:ascii="Franklin Gothic Book" w:eastAsiaTheme="minorHAnsi" w:hAnsi="Franklin Gothic Book" w:cstheme="minorBidi"/>
          <w:iCs/>
          <w:color w:val="auto"/>
          <w:sz w:val="22"/>
          <w:szCs w:val="22"/>
        </w:rPr>
        <w:t xml:space="preserve">ed </w:t>
      </w:r>
      <w:r w:rsidRPr="00F33D59">
        <w:rPr>
          <w:rFonts w:ascii="Franklin Gothic Book" w:eastAsiaTheme="minorHAnsi" w:hAnsi="Franklin Gothic Book" w:cstheme="minorBidi"/>
          <w:iCs/>
          <w:color w:val="auto"/>
          <w:sz w:val="22"/>
          <w:szCs w:val="22"/>
        </w:rPr>
        <w:t xml:space="preserve">that </w:t>
      </w:r>
      <w:r w:rsidR="004B641D">
        <w:rPr>
          <w:rFonts w:ascii="Franklin Gothic Book" w:eastAsiaTheme="minorHAnsi" w:hAnsi="Franklin Gothic Book" w:cstheme="minorBidi"/>
          <w:iCs/>
          <w:color w:val="auto"/>
          <w:sz w:val="22"/>
          <w:szCs w:val="22"/>
        </w:rPr>
        <w:t xml:space="preserve">an advantage of </w:t>
      </w:r>
      <w:r w:rsidRPr="00F33D59">
        <w:rPr>
          <w:rFonts w:ascii="Franklin Gothic Book" w:eastAsiaTheme="minorHAnsi" w:hAnsi="Franklin Gothic Book" w:cstheme="minorBidi"/>
          <w:iCs/>
          <w:color w:val="auto"/>
          <w:sz w:val="22"/>
          <w:szCs w:val="22"/>
        </w:rPr>
        <w:t xml:space="preserve">keeping the fee </w:t>
      </w:r>
      <w:r w:rsidR="004B641D">
        <w:rPr>
          <w:rFonts w:ascii="Franklin Gothic Book" w:eastAsiaTheme="minorHAnsi" w:hAnsi="Franklin Gothic Book" w:cstheme="minorBidi"/>
          <w:iCs/>
          <w:color w:val="auto"/>
          <w:sz w:val="22"/>
          <w:szCs w:val="22"/>
        </w:rPr>
        <w:t xml:space="preserve">relatively </w:t>
      </w:r>
      <w:r w:rsidRPr="00F33D59">
        <w:rPr>
          <w:rFonts w:ascii="Franklin Gothic Book" w:eastAsiaTheme="minorHAnsi" w:hAnsi="Franklin Gothic Book" w:cstheme="minorBidi"/>
          <w:iCs/>
          <w:color w:val="auto"/>
          <w:sz w:val="22"/>
          <w:szCs w:val="22"/>
        </w:rPr>
        <w:t xml:space="preserve">low </w:t>
      </w:r>
      <w:r w:rsidR="004B641D">
        <w:rPr>
          <w:rFonts w:ascii="Franklin Gothic Book" w:eastAsiaTheme="minorHAnsi" w:hAnsi="Franklin Gothic Book" w:cstheme="minorBidi"/>
          <w:iCs/>
          <w:color w:val="auto"/>
          <w:sz w:val="22"/>
          <w:szCs w:val="22"/>
        </w:rPr>
        <w:t>would be to reduce</w:t>
      </w:r>
      <w:r w:rsidRPr="00F33D59">
        <w:rPr>
          <w:rFonts w:ascii="Franklin Gothic Book" w:eastAsiaTheme="minorHAnsi" w:hAnsi="Franklin Gothic Book" w:cstheme="minorBidi"/>
          <w:iCs/>
          <w:color w:val="auto"/>
          <w:sz w:val="22"/>
          <w:szCs w:val="22"/>
        </w:rPr>
        <w:t xml:space="preserve"> the number of laboratories that </w:t>
      </w:r>
      <w:r w:rsidR="004B641D">
        <w:rPr>
          <w:rFonts w:ascii="Franklin Gothic Book" w:eastAsiaTheme="minorHAnsi" w:hAnsi="Franklin Gothic Book" w:cstheme="minorBidi"/>
          <w:iCs/>
          <w:color w:val="auto"/>
          <w:sz w:val="22"/>
          <w:szCs w:val="22"/>
        </w:rPr>
        <w:t xml:space="preserve">can </w:t>
      </w:r>
      <w:r w:rsidRPr="00F33D59">
        <w:rPr>
          <w:rFonts w:ascii="Franklin Gothic Book" w:eastAsiaTheme="minorHAnsi" w:hAnsi="Franklin Gothic Book" w:cstheme="minorBidi"/>
          <w:iCs/>
          <w:color w:val="auto"/>
          <w:sz w:val="22"/>
          <w:szCs w:val="22"/>
        </w:rPr>
        <w:t>offer the test</w:t>
      </w:r>
      <w:r w:rsidR="004B641D">
        <w:rPr>
          <w:rFonts w:ascii="Franklin Gothic Book" w:eastAsiaTheme="minorHAnsi" w:hAnsi="Franklin Gothic Book" w:cstheme="minorBidi"/>
          <w:iCs/>
          <w:color w:val="auto"/>
          <w:sz w:val="22"/>
          <w:szCs w:val="22"/>
        </w:rPr>
        <w:t xml:space="preserve"> based on </w:t>
      </w:r>
      <w:r w:rsidR="00C6656A">
        <w:rPr>
          <w:rFonts w:ascii="Franklin Gothic Book" w:eastAsiaTheme="minorHAnsi" w:hAnsi="Franklin Gothic Book" w:cstheme="minorBidi"/>
          <w:iCs/>
          <w:color w:val="auto"/>
          <w:sz w:val="22"/>
          <w:szCs w:val="22"/>
        </w:rPr>
        <w:t xml:space="preserve">throughput and </w:t>
      </w:r>
      <w:r w:rsidR="004B641D">
        <w:rPr>
          <w:rFonts w:ascii="Franklin Gothic Book" w:eastAsiaTheme="minorHAnsi" w:hAnsi="Franklin Gothic Book" w:cstheme="minorBidi"/>
          <w:iCs/>
          <w:color w:val="auto"/>
          <w:sz w:val="22"/>
          <w:szCs w:val="22"/>
        </w:rPr>
        <w:t>economies of scale</w:t>
      </w:r>
      <w:r w:rsidRPr="00F33D59">
        <w:rPr>
          <w:rFonts w:ascii="Franklin Gothic Book" w:eastAsiaTheme="minorHAnsi" w:hAnsi="Franklin Gothic Book" w:cstheme="minorBidi"/>
          <w:iCs/>
          <w:color w:val="auto"/>
          <w:sz w:val="22"/>
          <w:szCs w:val="22"/>
        </w:rPr>
        <w:t xml:space="preserve">. Thus, MSAC accepted the </w:t>
      </w:r>
      <w:r w:rsidR="004B641D">
        <w:rPr>
          <w:rFonts w:ascii="Franklin Gothic Book" w:eastAsiaTheme="minorHAnsi" w:hAnsi="Franklin Gothic Book" w:cstheme="minorBidi"/>
          <w:iCs/>
          <w:color w:val="auto"/>
          <w:sz w:val="22"/>
          <w:szCs w:val="22"/>
        </w:rPr>
        <w:t xml:space="preserve">applicant’s revised </w:t>
      </w:r>
      <w:r w:rsidRPr="00F33D59">
        <w:rPr>
          <w:rFonts w:ascii="Franklin Gothic Book" w:eastAsiaTheme="minorHAnsi" w:hAnsi="Franklin Gothic Book" w:cstheme="minorBidi"/>
          <w:iCs/>
          <w:color w:val="auto"/>
          <w:sz w:val="22"/>
          <w:szCs w:val="22"/>
        </w:rPr>
        <w:t>fee of $1</w:t>
      </w:r>
      <w:r w:rsidR="004B641D">
        <w:rPr>
          <w:rFonts w:ascii="Franklin Gothic Book" w:eastAsiaTheme="minorHAnsi" w:hAnsi="Franklin Gothic Book" w:cstheme="minorBidi"/>
          <w:iCs/>
          <w:color w:val="auto"/>
          <w:sz w:val="22"/>
          <w:szCs w:val="22"/>
        </w:rPr>
        <w:t>5</w:t>
      </w:r>
      <w:r w:rsidRPr="00F33D59">
        <w:rPr>
          <w:rFonts w:ascii="Franklin Gothic Book" w:eastAsiaTheme="minorHAnsi" w:hAnsi="Franklin Gothic Book" w:cstheme="minorBidi"/>
          <w:iCs/>
          <w:color w:val="auto"/>
          <w:sz w:val="22"/>
          <w:szCs w:val="22"/>
        </w:rPr>
        <w:t>0.</w:t>
      </w:r>
    </w:p>
    <w:p w14:paraId="247B28F0" w14:textId="08AFB8D2"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MSAC noted that there are no safety issues associated with the test itself, but that WGS may result in slightly superior safety overall, given the faster return of test results and a switch to appropriate treatment earlier, thereby avoiding adverse effects of inappropriate treatment.</w:t>
      </w:r>
    </w:p>
    <w:p w14:paraId="23DE519C" w14:textId="58520F27"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a linked evidence approach was used </w:t>
      </w:r>
      <w:r w:rsidR="0096567E" w:rsidRPr="00F33D59">
        <w:rPr>
          <w:rFonts w:ascii="Franklin Gothic Book" w:eastAsiaTheme="minorHAnsi" w:hAnsi="Franklin Gothic Book" w:cstheme="minorBidi"/>
          <w:iCs/>
          <w:color w:val="auto"/>
          <w:sz w:val="22"/>
          <w:szCs w:val="22"/>
        </w:rPr>
        <w:t xml:space="preserve">to evaluate the clinical effectiveness of the test, </w:t>
      </w:r>
      <w:r w:rsidRPr="00F33D59">
        <w:rPr>
          <w:rFonts w:ascii="Franklin Gothic Book" w:eastAsiaTheme="minorHAnsi" w:hAnsi="Franklin Gothic Book" w:cstheme="minorBidi"/>
          <w:iCs/>
          <w:color w:val="auto"/>
          <w:sz w:val="22"/>
          <w:szCs w:val="22"/>
        </w:rPr>
        <w:t>because no direct evidence was available.</w:t>
      </w:r>
    </w:p>
    <w:p w14:paraId="22EDA005" w14:textId="280ABDDE"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for most patients their resistance </w:t>
      </w:r>
      <w:r w:rsidR="00C05E06">
        <w:rPr>
          <w:rFonts w:ascii="Franklin Gothic Book" w:eastAsiaTheme="minorHAnsi" w:hAnsi="Franklin Gothic Book" w:cstheme="minorBidi"/>
          <w:iCs/>
          <w:color w:val="auto"/>
          <w:sz w:val="22"/>
          <w:szCs w:val="22"/>
        </w:rPr>
        <w:t xml:space="preserve">results from </w:t>
      </w:r>
      <w:r w:rsidRPr="00F33D59">
        <w:rPr>
          <w:rFonts w:ascii="Franklin Gothic Book" w:eastAsiaTheme="minorHAnsi" w:hAnsi="Franklin Gothic Book" w:cstheme="minorBidi"/>
          <w:iCs/>
          <w:color w:val="auto"/>
          <w:sz w:val="22"/>
          <w:szCs w:val="22"/>
        </w:rPr>
        <w:t>WGS and phenotypic testing are likely to be the same</w:t>
      </w:r>
      <w:r w:rsidR="00C05E06">
        <w:rPr>
          <w:rFonts w:ascii="Franklin Gothic Book" w:eastAsiaTheme="minorHAnsi" w:hAnsi="Franklin Gothic Book" w:cstheme="minorBidi"/>
          <w:iCs/>
          <w:color w:val="auto"/>
          <w:sz w:val="22"/>
          <w:szCs w:val="22"/>
        </w:rPr>
        <w:t>,</w:t>
      </w:r>
      <w:r w:rsidRPr="00F33D59">
        <w:rPr>
          <w:rFonts w:ascii="Franklin Gothic Book" w:eastAsiaTheme="minorHAnsi" w:hAnsi="Franklin Gothic Book" w:cstheme="minorBidi"/>
          <w:iCs/>
          <w:color w:val="auto"/>
          <w:sz w:val="22"/>
          <w:szCs w:val="22"/>
        </w:rPr>
        <w:t xml:space="preserve"> however, there is a small proportion of patients in whom </w:t>
      </w:r>
      <w:r w:rsidR="00C05E06">
        <w:rPr>
          <w:rFonts w:ascii="Franklin Gothic Book" w:eastAsiaTheme="minorHAnsi" w:hAnsi="Franklin Gothic Book" w:cstheme="minorBidi"/>
          <w:iCs/>
          <w:color w:val="auto"/>
          <w:sz w:val="22"/>
          <w:szCs w:val="22"/>
        </w:rPr>
        <w:t>one</w:t>
      </w:r>
      <w:r w:rsidR="00C05E06"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 xml:space="preserve">test will provide additional information important to treatment decisions (and information from both tests is used to inform treatment). There is some limited evidence that WGS has superior sensitivity, although slightly reduced specificity. </w:t>
      </w:r>
    </w:p>
    <w:p w14:paraId="1120AB33" w14:textId="6B564469"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although it is assumed that turnaround time </w:t>
      </w:r>
      <w:r w:rsidR="00C05E06">
        <w:rPr>
          <w:rFonts w:ascii="Franklin Gothic Book" w:eastAsiaTheme="minorHAnsi" w:hAnsi="Franklin Gothic Book" w:cstheme="minorBidi"/>
          <w:iCs/>
          <w:color w:val="auto"/>
          <w:sz w:val="22"/>
          <w:szCs w:val="22"/>
        </w:rPr>
        <w:t xml:space="preserve">(TAT) </w:t>
      </w:r>
      <w:r w:rsidRPr="00F33D59">
        <w:rPr>
          <w:rFonts w:ascii="Franklin Gothic Book" w:eastAsiaTheme="minorHAnsi" w:hAnsi="Franklin Gothic Book" w:cstheme="minorBidi"/>
          <w:iCs/>
          <w:color w:val="auto"/>
          <w:sz w:val="22"/>
          <w:szCs w:val="22"/>
        </w:rPr>
        <w:t>to results is quicker for WGS, this is not always the case due to practical and logistical limitations with reference laboratories in Australia</w:t>
      </w:r>
      <w:r w:rsidR="00A92E1A">
        <w:rPr>
          <w:rFonts w:ascii="Franklin Gothic Book" w:eastAsiaTheme="minorHAnsi" w:hAnsi="Franklin Gothic Book" w:cstheme="minorBidi"/>
          <w:iCs/>
          <w:color w:val="auto"/>
          <w:sz w:val="22"/>
          <w:szCs w:val="22"/>
        </w:rPr>
        <w:t>, resulting in variation in TAT between labs</w:t>
      </w:r>
      <w:r w:rsidRPr="00F33D59">
        <w:rPr>
          <w:rFonts w:ascii="Franklin Gothic Book" w:eastAsiaTheme="minorHAnsi" w:hAnsi="Franklin Gothic Book" w:cstheme="minorBidi"/>
          <w:iCs/>
          <w:color w:val="auto"/>
          <w:sz w:val="22"/>
          <w:szCs w:val="22"/>
        </w:rPr>
        <w:t xml:space="preserve">. </w:t>
      </w:r>
      <w:r w:rsidR="006A47F3">
        <w:rPr>
          <w:rFonts w:ascii="Franklin Gothic Book" w:eastAsiaTheme="minorHAnsi" w:hAnsi="Franklin Gothic Book" w:cstheme="minorBidi"/>
          <w:iCs/>
          <w:color w:val="auto"/>
          <w:sz w:val="22"/>
          <w:szCs w:val="22"/>
        </w:rPr>
        <w:t>MSAC considered the 5 day shorter TAT for</w:t>
      </w:r>
      <w:r w:rsidR="006A47F3" w:rsidRPr="00F33D59">
        <w:rPr>
          <w:rFonts w:ascii="Franklin Gothic Book" w:eastAsiaTheme="minorHAnsi" w:hAnsi="Franklin Gothic Book" w:cstheme="minorBidi"/>
          <w:iCs/>
          <w:color w:val="auto"/>
          <w:sz w:val="22"/>
          <w:szCs w:val="22"/>
        </w:rPr>
        <w:t xml:space="preserve"> WGS </w:t>
      </w:r>
      <w:r w:rsidR="00C6656A">
        <w:rPr>
          <w:rFonts w:ascii="Franklin Gothic Book" w:eastAsiaTheme="minorHAnsi" w:hAnsi="Franklin Gothic Book" w:cstheme="minorBidi"/>
          <w:iCs/>
          <w:color w:val="auto"/>
          <w:sz w:val="22"/>
          <w:szCs w:val="22"/>
        </w:rPr>
        <w:t xml:space="preserve">compared to </w:t>
      </w:r>
      <w:proofErr w:type="spellStart"/>
      <w:r w:rsidR="00C6656A">
        <w:rPr>
          <w:rFonts w:ascii="Franklin Gothic Book" w:eastAsiaTheme="minorHAnsi" w:hAnsi="Franklin Gothic Book" w:cstheme="minorBidi"/>
          <w:iCs/>
          <w:color w:val="auto"/>
          <w:sz w:val="22"/>
          <w:szCs w:val="22"/>
        </w:rPr>
        <w:t>pDST</w:t>
      </w:r>
      <w:proofErr w:type="spellEnd"/>
      <w:r w:rsidR="00C6656A">
        <w:rPr>
          <w:rFonts w:ascii="Franklin Gothic Book" w:eastAsiaTheme="minorHAnsi" w:hAnsi="Franklin Gothic Book" w:cstheme="minorBidi"/>
          <w:iCs/>
          <w:color w:val="auto"/>
          <w:sz w:val="22"/>
          <w:szCs w:val="22"/>
        </w:rPr>
        <w:t xml:space="preserve"> </w:t>
      </w:r>
      <w:r w:rsidR="006A47F3">
        <w:rPr>
          <w:rFonts w:ascii="Franklin Gothic Book" w:eastAsiaTheme="minorHAnsi" w:hAnsi="Franklin Gothic Book" w:cstheme="minorBidi"/>
          <w:iCs/>
          <w:color w:val="auto"/>
          <w:sz w:val="22"/>
          <w:szCs w:val="22"/>
        </w:rPr>
        <w:t xml:space="preserve">to be </w:t>
      </w:r>
      <w:r w:rsidR="00EF4713">
        <w:rPr>
          <w:rFonts w:ascii="Franklin Gothic Book" w:eastAsiaTheme="minorHAnsi" w:hAnsi="Franklin Gothic Book" w:cstheme="minorBidi"/>
          <w:iCs/>
          <w:color w:val="auto"/>
          <w:sz w:val="22"/>
          <w:szCs w:val="22"/>
        </w:rPr>
        <w:t xml:space="preserve">a </w:t>
      </w:r>
      <w:r w:rsidR="006A47F3">
        <w:rPr>
          <w:rFonts w:ascii="Franklin Gothic Book" w:eastAsiaTheme="minorHAnsi" w:hAnsi="Franklin Gothic Book" w:cstheme="minorBidi"/>
          <w:iCs/>
          <w:color w:val="auto"/>
          <w:sz w:val="22"/>
          <w:szCs w:val="22"/>
        </w:rPr>
        <w:t>modest</w:t>
      </w:r>
      <w:r w:rsidR="00EF4713">
        <w:rPr>
          <w:rFonts w:ascii="Franklin Gothic Book" w:eastAsiaTheme="minorHAnsi" w:hAnsi="Franklin Gothic Book" w:cstheme="minorBidi"/>
          <w:iCs/>
          <w:color w:val="auto"/>
          <w:sz w:val="22"/>
          <w:szCs w:val="22"/>
        </w:rPr>
        <w:t xml:space="preserve"> difference</w:t>
      </w:r>
      <w:r w:rsidR="006A47F3">
        <w:rPr>
          <w:rFonts w:ascii="Franklin Gothic Book" w:eastAsiaTheme="minorHAnsi" w:hAnsi="Franklin Gothic Book" w:cstheme="minorBidi"/>
          <w:iCs/>
          <w:color w:val="auto"/>
          <w:sz w:val="22"/>
          <w:szCs w:val="22"/>
        </w:rPr>
        <w:t xml:space="preserve">, though </w:t>
      </w:r>
      <w:r w:rsidR="00C6656A">
        <w:rPr>
          <w:rFonts w:ascii="Franklin Gothic Book" w:eastAsiaTheme="minorHAnsi" w:hAnsi="Franklin Gothic Book" w:cstheme="minorBidi"/>
          <w:iCs/>
          <w:color w:val="auto"/>
          <w:sz w:val="22"/>
          <w:szCs w:val="22"/>
        </w:rPr>
        <w:t>it considered</w:t>
      </w:r>
      <w:r w:rsidRPr="00F33D59">
        <w:rPr>
          <w:rFonts w:ascii="Franklin Gothic Book" w:eastAsiaTheme="minorHAnsi" w:hAnsi="Franklin Gothic Book" w:cstheme="minorBidi"/>
          <w:iCs/>
          <w:color w:val="auto"/>
          <w:sz w:val="22"/>
          <w:szCs w:val="22"/>
        </w:rPr>
        <w:t xml:space="preserve"> that </w:t>
      </w:r>
      <w:r w:rsidR="00C6656A">
        <w:rPr>
          <w:rFonts w:ascii="Franklin Gothic Book" w:eastAsiaTheme="minorHAnsi" w:hAnsi="Franklin Gothic Book" w:cstheme="minorBidi"/>
          <w:iCs/>
          <w:color w:val="auto"/>
          <w:sz w:val="22"/>
          <w:szCs w:val="22"/>
        </w:rPr>
        <w:t>the</w:t>
      </w:r>
      <w:r w:rsidR="00C6656A" w:rsidRPr="00F33D59">
        <w:rPr>
          <w:rFonts w:ascii="Franklin Gothic Book" w:eastAsiaTheme="minorHAnsi" w:hAnsi="Franklin Gothic Book" w:cstheme="minorBidi"/>
          <w:iCs/>
          <w:color w:val="auto"/>
          <w:sz w:val="22"/>
          <w:szCs w:val="22"/>
        </w:rPr>
        <w:t xml:space="preserve"> </w:t>
      </w:r>
      <w:r w:rsidR="007A5361">
        <w:rPr>
          <w:rFonts w:ascii="Franklin Gothic Book" w:eastAsiaTheme="minorHAnsi" w:hAnsi="Franklin Gothic Book" w:cstheme="minorBidi"/>
          <w:iCs/>
          <w:color w:val="auto"/>
          <w:sz w:val="22"/>
          <w:szCs w:val="22"/>
        </w:rPr>
        <w:t>TAT</w:t>
      </w:r>
      <w:r w:rsidR="007A5361" w:rsidRPr="00F33D59">
        <w:rPr>
          <w:rFonts w:ascii="Franklin Gothic Book" w:eastAsiaTheme="minorHAnsi" w:hAnsi="Franklin Gothic Book" w:cstheme="minorBidi"/>
          <w:iCs/>
          <w:color w:val="auto"/>
          <w:sz w:val="22"/>
          <w:szCs w:val="22"/>
        </w:rPr>
        <w:t xml:space="preserve"> </w:t>
      </w:r>
      <w:r w:rsidR="00C6656A">
        <w:rPr>
          <w:rFonts w:ascii="Franklin Gothic Book" w:eastAsiaTheme="minorHAnsi" w:hAnsi="Franklin Gothic Book" w:cstheme="minorBidi"/>
          <w:iCs/>
          <w:color w:val="auto"/>
          <w:sz w:val="22"/>
          <w:szCs w:val="22"/>
        </w:rPr>
        <w:t xml:space="preserve">of WGS </w:t>
      </w:r>
      <w:r w:rsidRPr="00F33D59">
        <w:rPr>
          <w:rFonts w:ascii="Franklin Gothic Book" w:eastAsiaTheme="minorHAnsi" w:hAnsi="Franklin Gothic Book" w:cstheme="minorBidi"/>
          <w:iCs/>
          <w:color w:val="auto"/>
          <w:sz w:val="22"/>
          <w:szCs w:val="22"/>
        </w:rPr>
        <w:t xml:space="preserve">will </w:t>
      </w:r>
      <w:r w:rsidR="006A47F3">
        <w:rPr>
          <w:rFonts w:ascii="Franklin Gothic Book" w:eastAsiaTheme="minorHAnsi" w:hAnsi="Franklin Gothic Book" w:cstheme="minorBidi"/>
          <w:iCs/>
          <w:color w:val="auto"/>
          <w:sz w:val="22"/>
          <w:szCs w:val="22"/>
        </w:rPr>
        <w:t>likely improve</w:t>
      </w:r>
      <w:r w:rsidR="007A5361">
        <w:rPr>
          <w:rFonts w:ascii="Franklin Gothic Book" w:eastAsiaTheme="minorHAnsi" w:hAnsi="Franklin Gothic Book" w:cstheme="minorBidi"/>
          <w:iCs/>
          <w:color w:val="auto"/>
          <w:sz w:val="22"/>
          <w:szCs w:val="22"/>
        </w:rPr>
        <w:t xml:space="preserve"> further</w:t>
      </w:r>
      <w:r w:rsidRPr="00F33D59">
        <w:rPr>
          <w:rFonts w:ascii="Franklin Gothic Book" w:eastAsiaTheme="minorHAnsi" w:hAnsi="Franklin Gothic Book" w:cstheme="minorBidi"/>
          <w:iCs/>
          <w:color w:val="auto"/>
          <w:sz w:val="22"/>
          <w:szCs w:val="22"/>
        </w:rPr>
        <w:t xml:space="preserve"> in the future.</w:t>
      </w:r>
    </w:p>
    <w:p w14:paraId="2D546CAA" w14:textId="29B407E7"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there is a lack of evidence about how </w:t>
      </w:r>
      <w:r w:rsidR="007A5361">
        <w:rPr>
          <w:rFonts w:ascii="Franklin Gothic Book" w:eastAsiaTheme="minorHAnsi" w:hAnsi="Franklin Gothic Book" w:cstheme="minorBidi"/>
          <w:iCs/>
          <w:color w:val="auto"/>
          <w:sz w:val="22"/>
          <w:szCs w:val="22"/>
        </w:rPr>
        <w:t xml:space="preserve">WGS </w:t>
      </w:r>
      <w:r w:rsidRPr="00F33D59">
        <w:rPr>
          <w:rFonts w:ascii="Franklin Gothic Book" w:eastAsiaTheme="minorHAnsi" w:hAnsi="Franklin Gothic Book" w:cstheme="minorBidi"/>
          <w:iCs/>
          <w:color w:val="auto"/>
          <w:sz w:val="22"/>
          <w:szCs w:val="22"/>
        </w:rPr>
        <w:t xml:space="preserve">testing changes </w:t>
      </w:r>
      <w:r w:rsidR="00C876DC">
        <w:rPr>
          <w:rFonts w:ascii="Franklin Gothic Book" w:eastAsiaTheme="minorHAnsi" w:hAnsi="Franklin Gothic Book" w:cstheme="minorBidi"/>
          <w:iCs/>
          <w:color w:val="auto"/>
          <w:sz w:val="22"/>
          <w:szCs w:val="22"/>
        </w:rPr>
        <w:t xml:space="preserve">patient </w:t>
      </w:r>
      <w:r w:rsidRPr="00F33D59">
        <w:rPr>
          <w:rFonts w:ascii="Franklin Gothic Book" w:eastAsiaTheme="minorHAnsi" w:hAnsi="Franklin Gothic Book" w:cstheme="minorBidi"/>
          <w:iCs/>
          <w:color w:val="auto"/>
          <w:sz w:val="22"/>
          <w:szCs w:val="22"/>
        </w:rPr>
        <w:t xml:space="preserve">management or improves </w:t>
      </w:r>
      <w:r w:rsidR="00C876DC">
        <w:rPr>
          <w:rFonts w:ascii="Franklin Gothic Book" w:eastAsiaTheme="minorHAnsi" w:hAnsi="Franklin Gothic Book" w:cstheme="minorBidi"/>
          <w:iCs/>
          <w:color w:val="auto"/>
          <w:sz w:val="22"/>
          <w:szCs w:val="22"/>
        </w:rPr>
        <w:t>their</w:t>
      </w:r>
      <w:r w:rsidR="00BD7F95">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 xml:space="preserve">outcomes. However, as Australian guidelines recommend personalised treatment regimens based on susceptibility testing, and evidence shows that the number of effective drugs a patient receives has a significant influence on survival (i.e. patients should receive at least three antibiotics </w:t>
      </w:r>
      <w:r w:rsidR="00B156B7">
        <w:rPr>
          <w:rFonts w:ascii="Franklin Gothic Book" w:eastAsiaTheme="minorHAnsi" w:hAnsi="Franklin Gothic Book" w:cstheme="minorBidi"/>
          <w:iCs/>
          <w:color w:val="auto"/>
          <w:sz w:val="22"/>
          <w:szCs w:val="22"/>
        </w:rPr>
        <w:t xml:space="preserve">that </w:t>
      </w:r>
      <w:r w:rsidRPr="00F33D59">
        <w:rPr>
          <w:rFonts w:ascii="Franklin Gothic Book" w:eastAsiaTheme="minorHAnsi" w:hAnsi="Franklin Gothic Book" w:cstheme="minorBidi"/>
          <w:iCs/>
          <w:color w:val="auto"/>
          <w:sz w:val="22"/>
          <w:szCs w:val="22"/>
        </w:rPr>
        <w:t xml:space="preserve">the </w:t>
      </w:r>
      <w:r w:rsidR="00B156B7">
        <w:rPr>
          <w:rFonts w:ascii="Franklin Gothic Book" w:eastAsiaTheme="minorHAnsi" w:hAnsi="Franklin Gothic Book" w:cstheme="minorBidi"/>
          <w:iCs/>
          <w:color w:val="auto"/>
          <w:sz w:val="22"/>
          <w:szCs w:val="22"/>
        </w:rPr>
        <w:t>organism is</w:t>
      </w:r>
      <w:r w:rsidRPr="00F33D59">
        <w:rPr>
          <w:rFonts w:ascii="Franklin Gothic Book" w:eastAsiaTheme="minorHAnsi" w:hAnsi="Franklin Gothic Book" w:cstheme="minorBidi"/>
          <w:iCs/>
          <w:color w:val="auto"/>
          <w:sz w:val="22"/>
          <w:szCs w:val="22"/>
        </w:rPr>
        <w:t xml:space="preserve"> susceptible to), MSAC considered it reasonable to assume that receiving </w:t>
      </w:r>
      <w:r w:rsidR="00EF4713">
        <w:rPr>
          <w:rFonts w:ascii="Franklin Gothic Book" w:eastAsiaTheme="minorHAnsi" w:hAnsi="Franklin Gothic Book" w:cstheme="minorBidi"/>
          <w:iCs/>
          <w:color w:val="auto"/>
          <w:sz w:val="22"/>
          <w:szCs w:val="22"/>
        </w:rPr>
        <w:t>resistance</w:t>
      </w:r>
      <w:r w:rsidR="00EF4713"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results earlier will enable earlier appropriate treatment and better patient outcomes.</w:t>
      </w:r>
    </w:p>
    <w:p w14:paraId="107C1AA4" w14:textId="3C0AA0A9"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that a cost-effectiveness analysis was presented for the addition of WGS to </w:t>
      </w:r>
      <w:proofErr w:type="spellStart"/>
      <w:r w:rsidRPr="00F33D59">
        <w:rPr>
          <w:rFonts w:ascii="Franklin Gothic Book" w:eastAsiaTheme="minorHAnsi" w:hAnsi="Franklin Gothic Book" w:cstheme="minorBidi"/>
          <w:iCs/>
          <w:color w:val="auto"/>
          <w:sz w:val="22"/>
          <w:szCs w:val="22"/>
        </w:rPr>
        <w:t>pDST</w:t>
      </w:r>
      <w:proofErr w:type="spellEnd"/>
      <w:r w:rsidRPr="00F33D59">
        <w:rPr>
          <w:rFonts w:ascii="Franklin Gothic Book" w:eastAsiaTheme="minorHAnsi" w:hAnsi="Franklin Gothic Book" w:cstheme="minorBidi"/>
          <w:iCs/>
          <w:color w:val="auto"/>
          <w:sz w:val="22"/>
          <w:szCs w:val="22"/>
        </w:rPr>
        <w:t xml:space="preserve"> compared to </w:t>
      </w:r>
      <w:proofErr w:type="spellStart"/>
      <w:r w:rsidRPr="00F33D59">
        <w:rPr>
          <w:rFonts w:ascii="Franklin Gothic Book" w:eastAsiaTheme="minorHAnsi" w:hAnsi="Franklin Gothic Book" w:cstheme="minorBidi"/>
          <w:iCs/>
          <w:color w:val="auto"/>
          <w:sz w:val="22"/>
          <w:szCs w:val="22"/>
        </w:rPr>
        <w:t>pDST</w:t>
      </w:r>
      <w:proofErr w:type="spellEnd"/>
      <w:r w:rsidRPr="00F33D59">
        <w:rPr>
          <w:rFonts w:ascii="Franklin Gothic Book" w:eastAsiaTheme="minorHAnsi" w:hAnsi="Franklin Gothic Book" w:cstheme="minorBidi"/>
          <w:iCs/>
          <w:color w:val="auto"/>
          <w:sz w:val="22"/>
          <w:szCs w:val="22"/>
        </w:rPr>
        <w:t xml:space="preserve"> testing alone</w:t>
      </w:r>
      <w:r w:rsidR="00EF4713">
        <w:rPr>
          <w:rFonts w:ascii="Franklin Gothic Book" w:eastAsiaTheme="minorHAnsi" w:hAnsi="Franklin Gothic Book" w:cstheme="minorBidi"/>
          <w:iCs/>
          <w:color w:val="auto"/>
          <w:sz w:val="22"/>
          <w:szCs w:val="22"/>
        </w:rPr>
        <w:t>,</w:t>
      </w:r>
      <w:r w:rsidRPr="00F33D59">
        <w:rPr>
          <w:rFonts w:ascii="Franklin Gothic Book" w:eastAsiaTheme="minorHAnsi" w:hAnsi="Franklin Gothic Book" w:cstheme="minorBidi"/>
          <w:iCs/>
          <w:color w:val="auto"/>
          <w:sz w:val="22"/>
          <w:szCs w:val="22"/>
        </w:rPr>
        <w:t xml:space="preserve"> to identify resistance in isolates from patients diagnosed with TB. </w:t>
      </w:r>
      <w:r w:rsidR="00EF4713">
        <w:rPr>
          <w:rFonts w:ascii="Franklin Gothic Book" w:eastAsiaTheme="minorHAnsi" w:hAnsi="Franklin Gothic Book" w:cstheme="minorBidi"/>
          <w:iCs/>
          <w:color w:val="auto"/>
          <w:sz w:val="22"/>
          <w:szCs w:val="22"/>
        </w:rPr>
        <w:t>MSAC noted that t</w:t>
      </w:r>
      <w:r w:rsidRPr="00F33D59">
        <w:rPr>
          <w:rFonts w:ascii="Franklin Gothic Book" w:eastAsiaTheme="minorHAnsi" w:hAnsi="Franklin Gothic Book" w:cstheme="minorBidi"/>
          <w:iCs/>
          <w:color w:val="auto"/>
          <w:sz w:val="22"/>
          <w:szCs w:val="22"/>
        </w:rPr>
        <w:t xml:space="preserve">he incremental cost per additional </w:t>
      </w:r>
      <w:r w:rsidR="007A5361">
        <w:rPr>
          <w:rFonts w:ascii="Franklin Gothic Book" w:eastAsiaTheme="minorHAnsi" w:hAnsi="Franklin Gothic Book" w:cstheme="minorBidi"/>
          <w:iCs/>
          <w:color w:val="auto"/>
          <w:sz w:val="22"/>
          <w:szCs w:val="22"/>
        </w:rPr>
        <w:t xml:space="preserve">case with pathogen resistance </w:t>
      </w:r>
      <w:r w:rsidRPr="00F33D59">
        <w:rPr>
          <w:rFonts w:ascii="Franklin Gothic Book" w:eastAsiaTheme="minorHAnsi" w:hAnsi="Franklin Gothic Book" w:cstheme="minorBidi"/>
          <w:iCs/>
          <w:color w:val="auto"/>
          <w:sz w:val="22"/>
          <w:szCs w:val="22"/>
        </w:rPr>
        <w:t xml:space="preserve">correctly diagnosed is $4,551.05. </w:t>
      </w:r>
      <w:r w:rsidR="00EF4713" w:rsidRPr="00F33D59">
        <w:rPr>
          <w:rFonts w:ascii="Franklin Gothic Book" w:eastAsiaTheme="minorHAnsi" w:hAnsi="Franklin Gothic Book" w:cstheme="minorBidi"/>
          <w:iCs/>
          <w:color w:val="auto"/>
          <w:sz w:val="22"/>
          <w:szCs w:val="22"/>
        </w:rPr>
        <w:t xml:space="preserve">MSAC </w:t>
      </w:r>
      <w:r w:rsidR="00EF4713">
        <w:rPr>
          <w:rFonts w:ascii="Franklin Gothic Book" w:eastAsiaTheme="minorHAnsi" w:hAnsi="Franklin Gothic Book" w:cstheme="minorBidi"/>
          <w:iCs/>
          <w:color w:val="auto"/>
          <w:sz w:val="22"/>
          <w:szCs w:val="22"/>
        </w:rPr>
        <w:t>considered</w:t>
      </w:r>
      <w:r w:rsidR="00EF4713" w:rsidRPr="00F33D59">
        <w:rPr>
          <w:rFonts w:ascii="Franklin Gothic Book" w:eastAsiaTheme="minorHAnsi" w:hAnsi="Franklin Gothic Book" w:cstheme="minorBidi"/>
          <w:iCs/>
          <w:color w:val="auto"/>
          <w:sz w:val="22"/>
          <w:szCs w:val="22"/>
        </w:rPr>
        <w:t xml:space="preserve"> that </w:t>
      </w:r>
      <w:r w:rsidR="00EF4713">
        <w:rPr>
          <w:rFonts w:ascii="Franklin Gothic Book" w:eastAsiaTheme="minorHAnsi" w:hAnsi="Franklin Gothic Book" w:cstheme="minorBidi"/>
          <w:iCs/>
          <w:color w:val="auto"/>
          <w:sz w:val="22"/>
          <w:szCs w:val="22"/>
        </w:rPr>
        <w:t xml:space="preserve">expressing </w:t>
      </w:r>
      <w:r w:rsidR="00EF4713" w:rsidRPr="00F33D59">
        <w:rPr>
          <w:rFonts w:ascii="Franklin Gothic Book" w:eastAsiaTheme="minorHAnsi" w:hAnsi="Franklin Gothic Book" w:cstheme="minorBidi"/>
          <w:iCs/>
          <w:color w:val="auto"/>
          <w:sz w:val="22"/>
          <w:szCs w:val="22"/>
        </w:rPr>
        <w:t xml:space="preserve">the </w:t>
      </w:r>
      <w:r w:rsidR="00EF4713">
        <w:rPr>
          <w:rFonts w:ascii="Franklin Gothic Book" w:eastAsiaTheme="minorHAnsi" w:hAnsi="Franklin Gothic Book" w:cstheme="minorBidi"/>
          <w:iCs/>
          <w:color w:val="auto"/>
          <w:sz w:val="22"/>
          <w:szCs w:val="22"/>
        </w:rPr>
        <w:t>ICER in terms of</w:t>
      </w:r>
      <w:r w:rsidR="00EF4713" w:rsidRPr="00F33D59">
        <w:rPr>
          <w:rFonts w:ascii="Franklin Gothic Book" w:eastAsiaTheme="minorHAnsi" w:hAnsi="Franklin Gothic Book" w:cstheme="minorBidi"/>
          <w:iCs/>
          <w:color w:val="auto"/>
          <w:sz w:val="22"/>
          <w:szCs w:val="22"/>
        </w:rPr>
        <w:t xml:space="preserve"> the incremental cost per additional </w:t>
      </w:r>
      <w:r w:rsidR="00EF4713">
        <w:rPr>
          <w:rFonts w:ascii="Franklin Gothic Book" w:eastAsiaTheme="minorHAnsi" w:hAnsi="Franklin Gothic Book" w:cstheme="minorBidi"/>
          <w:iCs/>
          <w:color w:val="auto"/>
          <w:sz w:val="22"/>
          <w:szCs w:val="22"/>
        </w:rPr>
        <w:t xml:space="preserve">pathogen resistance </w:t>
      </w:r>
      <w:r w:rsidR="00EF4713" w:rsidRPr="00F33D59">
        <w:rPr>
          <w:rFonts w:ascii="Franklin Gothic Book" w:eastAsiaTheme="minorHAnsi" w:hAnsi="Franklin Gothic Book" w:cstheme="minorBidi"/>
          <w:iCs/>
          <w:color w:val="auto"/>
          <w:sz w:val="22"/>
          <w:szCs w:val="22"/>
        </w:rPr>
        <w:t>correct</w:t>
      </w:r>
      <w:r w:rsidR="00EF4713">
        <w:rPr>
          <w:rFonts w:ascii="Franklin Gothic Book" w:eastAsiaTheme="minorHAnsi" w:hAnsi="Franklin Gothic Book" w:cstheme="minorBidi"/>
          <w:iCs/>
          <w:color w:val="auto"/>
          <w:sz w:val="22"/>
          <w:szCs w:val="22"/>
        </w:rPr>
        <w:t>ly</w:t>
      </w:r>
      <w:r w:rsidR="00EF4713" w:rsidRPr="00F33D59">
        <w:rPr>
          <w:rFonts w:ascii="Franklin Gothic Book" w:eastAsiaTheme="minorHAnsi" w:hAnsi="Franklin Gothic Book" w:cstheme="minorBidi"/>
          <w:iCs/>
          <w:color w:val="auto"/>
          <w:sz w:val="22"/>
          <w:szCs w:val="22"/>
        </w:rPr>
        <w:t xml:space="preserve"> diagnos</w:t>
      </w:r>
      <w:r w:rsidR="00EF4713">
        <w:rPr>
          <w:rFonts w:ascii="Franklin Gothic Book" w:eastAsiaTheme="minorHAnsi" w:hAnsi="Franklin Gothic Book" w:cstheme="minorBidi"/>
          <w:iCs/>
          <w:color w:val="auto"/>
          <w:sz w:val="22"/>
          <w:szCs w:val="22"/>
        </w:rPr>
        <w:t>ed was appropriate, g</w:t>
      </w:r>
      <w:r w:rsidR="00EF4713" w:rsidRPr="00F33D59">
        <w:rPr>
          <w:rFonts w:ascii="Franklin Gothic Book" w:eastAsiaTheme="minorHAnsi" w:hAnsi="Franklin Gothic Book" w:cstheme="minorBidi"/>
          <w:iCs/>
          <w:color w:val="auto"/>
          <w:sz w:val="22"/>
          <w:szCs w:val="22"/>
        </w:rPr>
        <w:t xml:space="preserve">iven the limited </w:t>
      </w:r>
      <w:r w:rsidR="00EF4713" w:rsidRPr="00F33D59">
        <w:rPr>
          <w:rFonts w:ascii="Franklin Gothic Book" w:eastAsiaTheme="minorHAnsi" w:hAnsi="Franklin Gothic Book" w:cstheme="minorBidi"/>
          <w:iCs/>
          <w:color w:val="auto"/>
          <w:sz w:val="22"/>
          <w:szCs w:val="22"/>
        </w:rPr>
        <w:lastRenderedPageBreak/>
        <w:t>evidence to support how testing improves outcomes and the assumption that all patients in Australia would eventually receive treatment appropriate for their resistance profile.</w:t>
      </w:r>
      <w:r w:rsidR="00EF4713">
        <w:rPr>
          <w:rFonts w:ascii="Franklin Gothic Book" w:eastAsiaTheme="minorHAnsi" w:hAnsi="Franklin Gothic Book" w:cstheme="minorBidi"/>
          <w:iCs/>
          <w:color w:val="auto"/>
          <w:sz w:val="22"/>
          <w:szCs w:val="22"/>
        </w:rPr>
        <w:t xml:space="preserve"> MSAC noted t</w:t>
      </w:r>
      <w:r w:rsidRPr="00F33D59">
        <w:rPr>
          <w:rFonts w:ascii="Franklin Gothic Book" w:eastAsiaTheme="minorHAnsi" w:hAnsi="Franklin Gothic Book" w:cstheme="minorBidi"/>
          <w:iCs/>
          <w:color w:val="auto"/>
          <w:sz w:val="22"/>
          <w:szCs w:val="22"/>
        </w:rPr>
        <w:t xml:space="preserve">he incremental cost was driven primarily by the proposed cost of the test, with a reduction in costs due to earlier adjustments to appropriate treatment regimens (i.e. less inappropriate treatment costs are incurred). This reduction in costs was due to both improved accuracy and reduced </w:t>
      </w:r>
      <w:r w:rsidR="00EC5643">
        <w:rPr>
          <w:rFonts w:ascii="Franklin Gothic Book" w:eastAsiaTheme="minorHAnsi" w:hAnsi="Franklin Gothic Book" w:cstheme="minorBidi"/>
          <w:iCs/>
          <w:color w:val="auto"/>
          <w:sz w:val="22"/>
          <w:szCs w:val="22"/>
        </w:rPr>
        <w:t>TAT</w:t>
      </w:r>
      <w:r w:rsidRPr="00F33D59">
        <w:rPr>
          <w:rFonts w:ascii="Franklin Gothic Book" w:eastAsiaTheme="minorHAnsi" w:hAnsi="Franklin Gothic Book" w:cstheme="minorBidi"/>
          <w:iCs/>
          <w:color w:val="auto"/>
          <w:sz w:val="22"/>
          <w:szCs w:val="22"/>
        </w:rPr>
        <w:t xml:space="preserve">. </w:t>
      </w:r>
      <w:r w:rsidR="00EF4713" w:rsidRPr="00F33D59">
        <w:rPr>
          <w:rFonts w:ascii="Franklin Gothic Book" w:eastAsiaTheme="minorHAnsi" w:hAnsi="Franklin Gothic Book" w:cstheme="minorBidi"/>
          <w:iCs/>
          <w:color w:val="auto"/>
          <w:sz w:val="22"/>
          <w:szCs w:val="22"/>
        </w:rPr>
        <w:t xml:space="preserve">MSAC considered it reasonable to expect that the addition of WGS results in improved identification of drug resistance, and that early confirmation of resistance will result in an early treatment modification and reduction in the duration of hospital </w:t>
      </w:r>
      <w:r w:rsidR="00EF4713">
        <w:rPr>
          <w:rFonts w:ascii="Franklin Gothic Book" w:eastAsiaTheme="minorHAnsi" w:hAnsi="Franklin Gothic Book" w:cstheme="minorBidi"/>
          <w:iCs/>
          <w:color w:val="auto"/>
          <w:sz w:val="22"/>
          <w:szCs w:val="22"/>
        </w:rPr>
        <w:t>treatment, with resulting cost-offsets</w:t>
      </w:r>
      <w:r w:rsidR="00EF4713" w:rsidRPr="00F33D59">
        <w:rPr>
          <w:rFonts w:ascii="Franklin Gothic Book" w:eastAsiaTheme="minorHAnsi" w:hAnsi="Franklin Gothic Book" w:cstheme="minorBidi"/>
          <w:iCs/>
          <w:color w:val="auto"/>
          <w:sz w:val="22"/>
          <w:szCs w:val="22"/>
        </w:rPr>
        <w:t>.</w:t>
      </w:r>
    </w:p>
    <w:p w14:paraId="0416C499" w14:textId="7EC24716"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bookmarkStart w:id="4" w:name="_Hlk100209802"/>
      <w:r w:rsidRPr="00F33D59">
        <w:rPr>
          <w:rFonts w:ascii="Franklin Gothic Book" w:eastAsiaTheme="minorHAnsi" w:hAnsi="Franklin Gothic Book" w:cstheme="minorBidi"/>
          <w:iCs/>
          <w:color w:val="auto"/>
          <w:sz w:val="22"/>
          <w:szCs w:val="22"/>
        </w:rPr>
        <w:t xml:space="preserve">MSAC noted that at a </w:t>
      </w:r>
      <w:r w:rsidR="00EC5643">
        <w:rPr>
          <w:rFonts w:ascii="Franklin Gothic Book" w:eastAsiaTheme="minorHAnsi" w:hAnsi="Franklin Gothic Book" w:cstheme="minorBidi"/>
          <w:iCs/>
          <w:color w:val="auto"/>
          <w:sz w:val="22"/>
          <w:szCs w:val="22"/>
        </w:rPr>
        <w:t>fee</w:t>
      </w:r>
      <w:r w:rsidR="00EC5643"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of $120, the net financial impact to the MBS is $158,886 in Year 1 and $170,970 in Year 5.</w:t>
      </w:r>
    </w:p>
    <w:bookmarkEnd w:id="4"/>
    <w:p w14:paraId="7880CBD7" w14:textId="697714F8"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recommended that </w:t>
      </w:r>
      <w:r w:rsidR="00EC5643">
        <w:rPr>
          <w:rFonts w:ascii="Franklin Gothic Book" w:eastAsiaTheme="minorHAnsi" w:hAnsi="Franklin Gothic Book" w:cstheme="minorBidi"/>
          <w:iCs/>
          <w:color w:val="auto"/>
          <w:sz w:val="22"/>
          <w:szCs w:val="22"/>
        </w:rPr>
        <w:t xml:space="preserve">this listing be reviewed after two years. MSAC </w:t>
      </w:r>
      <w:r w:rsidR="006A47F3">
        <w:rPr>
          <w:rFonts w:ascii="Franklin Gothic Book" w:eastAsiaTheme="minorHAnsi" w:hAnsi="Franklin Gothic Book" w:cstheme="minorBidi"/>
          <w:iCs/>
          <w:color w:val="auto"/>
          <w:sz w:val="22"/>
          <w:szCs w:val="22"/>
        </w:rPr>
        <w:t xml:space="preserve">noted that the Netherlands had initially adopted TB WGS in addition to </w:t>
      </w:r>
      <w:proofErr w:type="spellStart"/>
      <w:r w:rsidR="006A47F3">
        <w:rPr>
          <w:rFonts w:ascii="Franklin Gothic Book" w:eastAsiaTheme="minorHAnsi" w:hAnsi="Franklin Gothic Book" w:cstheme="minorBidi"/>
          <w:iCs/>
          <w:color w:val="auto"/>
          <w:sz w:val="22"/>
          <w:szCs w:val="22"/>
        </w:rPr>
        <w:t>pDST</w:t>
      </w:r>
      <w:proofErr w:type="spellEnd"/>
      <w:r w:rsidR="00CB2B61">
        <w:rPr>
          <w:rFonts w:ascii="Franklin Gothic Book" w:eastAsiaTheme="minorHAnsi" w:hAnsi="Franklin Gothic Book" w:cstheme="minorBidi"/>
          <w:iCs/>
          <w:color w:val="auto"/>
          <w:sz w:val="22"/>
          <w:szCs w:val="22"/>
        </w:rPr>
        <w:t>,</w:t>
      </w:r>
      <w:r w:rsidR="006A47F3">
        <w:rPr>
          <w:rFonts w:ascii="Franklin Gothic Book" w:eastAsiaTheme="minorHAnsi" w:hAnsi="Franklin Gothic Book" w:cstheme="minorBidi"/>
          <w:iCs/>
          <w:color w:val="auto"/>
          <w:sz w:val="22"/>
          <w:szCs w:val="22"/>
        </w:rPr>
        <w:t xml:space="preserve"> but after a time WGS replaced </w:t>
      </w:r>
      <w:proofErr w:type="spellStart"/>
      <w:r w:rsidR="006A47F3">
        <w:rPr>
          <w:rFonts w:ascii="Franklin Gothic Book" w:eastAsiaTheme="minorHAnsi" w:hAnsi="Franklin Gothic Book" w:cstheme="minorBidi"/>
          <w:iCs/>
          <w:color w:val="auto"/>
          <w:sz w:val="22"/>
          <w:szCs w:val="22"/>
        </w:rPr>
        <w:t>pDST</w:t>
      </w:r>
      <w:proofErr w:type="spellEnd"/>
      <w:r w:rsidR="006A47F3">
        <w:rPr>
          <w:rFonts w:ascii="Franklin Gothic Book" w:eastAsiaTheme="minorHAnsi" w:hAnsi="Franklin Gothic Book" w:cstheme="minorBidi"/>
          <w:iCs/>
          <w:color w:val="auto"/>
          <w:sz w:val="22"/>
          <w:szCs w:val="22"/>
        </w:rPr>
        <w:t xml:space="preserve">. MSAC </w:t>
      </w:r>
      <w:r w:rsidR="00EC5643">
        <w:rPr>
          <w:rFonts w:ascii="Franklin Gothic Book" w:eastAsiaTheme="minorHAnsi" w:hAnsi="Franklin Gothic Book" w:cstheme="minorBidi"/>
          <w:iCs/>
          <w:color w:val="auto"/>
          <w:sz w:val="22"/>
          <w:szCs w:val="22"/>
        </w:rPr>
        <w:t xml:space="preserve">considered that </w:t>
      </w:r>
      <w:r w:rsidR="006A47F3">
        <w:rPr>
          <w:rFonts w:ascii="Franklin Gothic Book" w:eastAsiaTheme="minorHAnsi" w:hAnsi="Franklin Gothic Book" w:cstheme="minorBidi"/>
          <w:iCs/>
          <w:color w:val="auto"/>
          <w:sz w:val="22"/>
          <w:szCs w:val="22"/>
        </w:rPr>
        <w:t>the same may</w:t>
      </w:r>
      <w:r w:rsidR="00AA091D">
        <w:rPr>
          <w:rFonts w:ascii="Franklin Gothic Book" w:eastAsiaTheme="minorHAnsi" w:hAnsi="Franklin Gothic Book" w:cstheme="minorBidi"/>
          <w:iCs/>
          <w:color w:val="auto"/>
          <w:sz w:val="22"/>
          <w:szCs w:val="22"/>
        </w:rPr>
        <w:t xml:space="preserve"> eventually</w:t>
      </w:r>
      <w:r w:rsidR="006A47F3">
        <w:rPr>
          <w:rFonts w:ascii="Franklin Gothic Book" w:eastAsiaTheme="minorHAnsi" w:hAnsi="Franklin Gothic Book" w:cstheme="minorBidi"/>
          <w:iCs/>
          <w:color w:val="auto"/>
          <w:sz w:val="22"/>
          <w:szCs w:val="22"/>
        </w:rPr>
        <w:t xml:space="preserve"> </w:t>
      </w:r>
      <w:r w:rsidR="00672D28">
        <w:rPr>
          <w:rFonts w:ascii="Franklin Gothic Book" w:eastAsiaTheme="minorHAnsi" w:hAnsi="Franklin Gothic Book" w:cstheme="minorBidi"/>
          <w:iCs/>
          <w:color w:val="auto"/>
          <w:sz w:val="22"/>
          <w:szCs w:val="22"/>
        </w:rPr>
        <w:t>take place in</w:t>
      </w:r>
      <w:r w:rsidR="006A47F3">
        <w:rPr>
          <w:rFonts w:ascii="Franklin Gothic Book" w:eastAsiaTheme="minorHAnsi" w:hAnsi="Franklin Gothic Book" w:cstheme="minorBidi"/>
          <w:iCs/>
          <w:color w:val="auto"/>
          <w:sz w:val="22"/>
          <w:szCs w:val="22"/>
        </w:rPr>
        <w:t xml:space="preserve"> Australia, </w:t>
      </w:r>
      <w:r w:rsidR="00891601">
        <w:rPr>
          <w:rFonts w:ascii="Franklin Gothic Book" w:eastAsiaTheme="minorHAnsi" w:hAnsi="Franklin Gothic Book" w:cstheme="minorBidi"/>
          <w:iCs/>
          <w:color w:val="auto"/>
          <w:sz w:val="22"/>
          <w:szCs w:val="22"/>
        </w:rPr>
        <w:t xml:space="preserve">though at present testing relies on </w:t>
      </w:r>
      <w:proofErr w:type="spellStart"/>
      <w:r w:rsidR="00891601">
        <w:rPr>
          <w:rFonts w:ascii="Franklin Gothic Book" w:eastAsiaTheme="minorHAnsi" w:hAnsi="Franklin Gothic Book" w:cstheme="minorBidi"/>
          <w:iCs/>
          <w:color w:val="auto"/>
          <w:sz w:val="22"/>
          <w:szCs w:val="22"/>
        </w:rPr>
        <w:t>pDST</w:t>
      </w:r>
      <w:proofErr w:type="spellEnd"/>
      <w:r w:rsidR="00AA091D">
        <w:rPr>
          <w:rFonts w:ascii="Franklin Gothic Book" w:eastAsiaTheme="minorHAnsi" w:hAnsi="Franklin Gothic Book" w:cstheme="minorBidi"/>
          <w:iCs/>
          <w:color w:val="auto"/>
          <w:sz w:val="22"/>
          <w:szCs w:val="22"/>
        </w:rPr>
        <w:t>, so</w:t>
      </w:r>
      <w:r w:rsidR="00891601">
        <w:rPr>
          <w:rFonts w:ascii="Franklin Gothic Book" w:eastAsiaTheme="minorHAnsi" w:hAnsi="Franklin Gothic Book" w:cstheme="minorBidi"/>
          <w:iCs/>
          <w:color w:val="auto"/>
          <w:sz w:val="22"/>
          <w:szCs w:val="22"/>
        </w:rPr>
        <w:t xml:space="preserve"> advised it did not recommend ceasing or sunsetting public funding for </w:t>
      </w:r>
      <w:proofErr w:type="spellStart"/>
      <w:r w:rsidR="00891601">
        <w:rPr>
          <w:rFonts w:ascii="Franklin Gothic Book" w:eastAsiaTheme="minorHAnsi" w:hAnsi="Franklin Gothic Book" w:cstheme="minorBidi"/>
          <w:iCs/>
          <w:color w:val="auto"/>
          <w:sz w:val="22"/>
          <w:szCs w:val="22"/>
        </w:rPr>
        <w:t>pDST</w:t>
      </w:r>
      <w:proofErr w:type="spellEnd"/>
      <w:r w:rsidR="00891601">
        <w:rPr>
          <w:rFonts w:ascii="Franklin Gothic Book" w:eastAsiaTheme="minorHAnsi" w:hAnsi="Franklin Gothic Book" w:cstheme="minorBidi"/>
          <w:iCs/>
          <w:color w:val="auto"/>
          <w:sz w:val="22"/>
          <w:szCs w:val="22"/>
        </w:rPr>
        <w:t xml:space="preserve"> at </w:t>
      </w:r>
      <w:r w:rsidR="00AA091D">
        <w:rPr>
          <w:rFonts w:ascii="Franklin Gothic Book" w:eastAsiaTheme="minorHAnsi" w:hAnsi="Franklin Gothic Book" w:cstheme="minorBidi"/>
          <w:iCs/>
          <w:color w:val="auto"/>
          <w:sz w:val="22"/>
          <w:szCs w:val="22"/>
        </w:rPr>
        <w:t>present</w:t>
      </w:r>
      <w:r w:rsidR="00891601">
        <w:rPr>
          <w:rFonts w:ascii="Franklin Gothic Book" w:eastAsiaTheme="minorHAnsi" w:hAnsi="Franklin Gothic Book" w:cstheme="minorBidi"/>
          <w:iCs/>
          <w:color w:val="auto"/>
          <w:sz w:val="22"/>
          <w:szCs w:val="22"/>
        </w:rPr>
        <w:t>. MSAC</w:t>
      </w:r>
      <w:r w:rsidR="006A47F3">
        <w:rPr>
          <w:rFonts w:ascii="Franklin Gothic Book" w:eastAsiaTheme="minorHAnsi" w:hAnsi="Franklin Gothic Book" w:cstheme="minorBidi"/>
          <w:iCs/>
          <w:color w:val="auto"/>
          <w:sz w:val="22"/>
          <w:szCs w:val="22"/>
        </w:rPr>
        <w:t xml:space="preserve"> </w:t>
      </w:r>
      <w:r w:rsidR="00891601">
        <w:rPr>
          <w:rFonts w:ascii="Franklin Gothic Book" w:eastAsiaTheme="minorHAnsi" w:hAnsi="Franklin Gothic Book" w:cstheme="minorBidi"/>
          <w:iCs/>
          <w:color w:val="auto"/>
          <w:sz w:val="22"/>
          <w:szCs w:val="22"/>
        </w:rPr>
        <w:t>considered</w:t>
      </w:r>
      <w:r w:rsidR="006A47F3">
        <w:rPr>
          <w:rFonts w:ascii="Franklin Gothic Book" w:eastAsiaTheme="minorHAnsi" w:hAnsi="Franklin Gothic Book" w:cstheme="minorBidi"/>
          <w:iCs/>
          <w:color w:val="auto"/>
          <w:sz w:val="22"/>
          <w:szCs w:val="22"/>
        </w:rPr>
        <w:t xml:space="preserve"> </w:t>
      </w:r>
      <w:r w:rsidR="00EC5643">
        <w:rPr>
          <w:rFonts w:ascii="Franklin Gothic Book" w:eastAsiaTheme="minorHAnsi" w:hAnsi="Franklin Gothic Book" w:cstheme="minorBidi"/>
          <w:iCs/>
          <w:color w:val="auto"/>
          <w:sz w:val="22"/>
          <w:szCs w:val="22"/>
        </w:rPr>
        <w:t xml:space="preserve">it would </w:t>
      </w:r>
      <w:r w:rsidR="006A47F3">
        <w:rPr>
          <w:rFonts w:ascii="Franklin Gothic Book" w:eastAsiaTheme="minorHAnsi" w:hAnsi="Franklin Gothic Book" w:cstheme="minorBidi"/>
          <w:iCs/>
          <w:color w:val="auto"/>
          <w:sz w:val="22"/>
          <w:szCs w:val="22"/>
        </w:rPr>
        <w:t xml:space="preserve">also </w:t>
      </w:r>
      <w:r w:rsidR="00EC5643">
        <w:rPr>
          <w:rFonts w:ascii="Franklin Gothic Book" w:eastAsiaTheme="minorHAnsi" w:hAnsi="Franklin Gothic Book" w:cstheme="minorBidi"/>
          <w:iCs/>
          <w:color w:val="auto"/>
          <w:sz w:val="22"/>
          <w:szCs w:val="22"/>
        </w:rPr>
        <w:t>be interesting to assess</w:t>
      </w:r>
      <w:r w:rsidRPr="00F33D59">
        <w:rPr>
          <w:rFonts w:ascii="Franklin Gothic Book" w:eastAsiaTheme="minorHAnsi" w:hAnsi="Franklin Gothic Book" w:cstheme="minorBidi"/>
          <w:iCs/>
          <w:color w:val="auto"/>
          <w:sz w:val="22"/>
          <w:szCs w:val="22"/>
        </w:rPr>
        <w:t xml:space="preserve"> the concordance of WGS and </w:t>
      </w:r>
      <w:proofErr w:type="spellStart"/>
      <w:r w:rsidRPr="00F33D59">
        <w:rPr>
          <w:rFonts w:ascii="Franklin Gothic Book" w:eastAsiaTheme="minorHAnsi" w:hAnsi="Franklin Gothic Book" w:cstheme="minorBidi"/>
          <w:iCs/>
          <w:color w:val="auto"/>
          <w:sz w:val="22"/>
          <w:szCs w:val="22"/>
        </w:rPr>
        <w:t>pDST</w:t>
      </w:r>
      <w:proofErr w:type="spellEnd"/>
      <w:r w:rsidRPr="00F33D59">
        <w:rPr>
          <w:rFonts w:ascii="Franklin Gothic Book" w:eastAsiaTheme="minorHAnsi" w:hAnsi="Franklin Gothic Book" w:cstheme="minorBidi"/>
          <w:iCs/>
          <w:color w:val="auto"/>
          <w:sz w:val="22"/>
          <w:szCs w:val="22"/>
        </w:rPr>
        <w:t xml:space="preserve"> </w:t>
      </w:r>
      <w:r w:rsidR="00EC5643">
        <w:rPr>
          <w:rFonts w:ascii="Franklin Gothic Book" w:eastAsiaTheme="minorHAnsi" w:hAnsi="Franklin Gothic Book" w:cstheme="minorBidi"/>
          <w:iCs/>
          <w:color w:val="auto"/>
          <w:sz w:val="22"/>
          <w:szCs w:val="22"/>
        </w:rPr>
        <w:t>data if possible</w:t>
      </w:r>
      <w:r w:rsidRPr="00F33D59">
        <w:rPr>
          <w:rFonts w:ascii="Franklin Gothic Book" w:eastAsiaTheme="minorHAnsi" w:hAnsi="Franklin Gothic Book" w:cstheme="minorBidi"/>
          <w:iCs/>
          <w:color w:val="auto"/>
          <w:sz w:val="22"/>
          <w:szCs w:val="22"/>
        </w:rPr>
        <w:t>.</w:t>
      </w:r>
    </w:p>
    <w:p w14:paraId="0018E208" w14:textId="7EDA96DB" w:rsidR="00F33D59" w:rsidRP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noted </w:t>
      </w:r>
      <w:r w:rsidR="00EC5643">
        <w:rPr>
          <w:rFonts w:ascii="Franklin Gothic Book" w:eastAsiaTheme="minorHAnsi" w:hAnsi="Franklin Gothic Book" w:cstheme="minorBidi"/>
          <w:iCs/>
          <w:color w:val="auto"/>
          <w:sz w:val="22"/>
          <w:szCs w:val="22"/>
        </w:rPr>
        <w:t xml:space="preserve">that TB is a relatively rare disease in Australia, and that while </w:t>
      </w:r>
      <w:r w:rsidR="00EC5643" w:rsidRPr="00EC5643">
        <w:rPr>
          <w:rFonts w:ascii="Franklin Gothic Book" w:eastAsiaTheme="minorHAnsi" w:hAnsi="Franklin Gothic Book" w:cstheme="minorBidi"/>
          <w:iCs/>
          <w:color w:val="auto"/>
          <w:sz w:val="22"/>
          <w:szCs w:val="22"/>
        </w:rPr>
        <w:t>the majority of TB infections in Australia occur in people born overseas, amongst Australian-born people TB occurs at higher rates in Aboriginal and Torres Strait Islander populations than in the non-indigenous population</w:t>
      </w:r>
      <w:r w:rsidR="00CB2B61">
        <w:rPr>
          <w:rFonts w:ascii="Franklin Gothic Book" w:eastAsiaTheme="minorHAnsi" w:hAnsi="Franklin Gothic Book" w:cstheme="minorBidi"/>
          <w:iCs/>
          <w:color w:val="auto"/>
          <w:sz w:val="22"/>
          <w:szCs w:val="22"/>
        </w:rPr>
        <w:t xml:space="preserve"> (3.6 and 0.8 per 100,000 population respectively)</w:t>
      </w:r>
      <w:r w:rsidR="00EC5643">
        <w:rPr>
          <w:rFonts w:ascii="Franklin Gothic Book" w:eastAsiaTheme="minorHAnsi" w:hAnsi="Franklin Gothic Book" w:cstheme="minorBidi"/>
          <w:iCs/>
          <w:color w:val="auto"/>
          <w:sz w:val="22"/>
          <w:szCs w:val="22"/>
        </w:rPr>
        <w:t xml:space="preserve">. MSAC considered </w:t>
      </w:r>
      <w:r w:rsidRPr="00F33D59">
        <w:rPr>
          <w:rFonts w:ascii="Franklin Gothic Book" w:eastAsiaTheme="minorHAnsi" w:hAnsi="Franklin Gothic Book" w:cstheme="minorBidi"/>
          <w:iCs/>
          <w:color w:val="auto"/>
          <w:sz w:val="22"/>
          <w:szCs w:val="22"/>
        </w:rPr>
        <w:t xml:space="preserve">that </w:t>
      </w:r>
      <w:r w:rsidR="00EC5643">
        <w:rPr>
          <w:rFonts w:ascii="Franklin Gothic Book" w:eastAsiaTheme="minorHAnsi" w:hAnsi="Franklin Gothic Book" w:cstheme="minorBidi"/>
          <w:iCs/>
          <w:color w:val="auto"/>
          <w:sz w:val="22"/>
          <w:szCs w:val="22"/>
        </w:rPr>
        <w:t>publicly funding WGS</w:t>
      </w:r>
      <w:r w:rsidR="00EC5643"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testing may benefit high-risk communities and remote hotspots the most.</w:t>
      </w:r>
      <w:r w:rsidR="00EC5643">
        <w:rPr>
          <w:rFonts w:ascii="Franklin Gothic Book" w:eastAsiaTheme="minorHAnsi" w:hAnsi="Franklin Gothic Book" w:cstheme="minorBidi"/>
          <w:iCs/>
          <w:color w:val="auto"/>
          <w:sz w:val="22"/>
          <w:szCs w:val="22"/>
        </w:rPr>
        <w:t xml:space="preserve"> MSAC </w:t>
      </w:r>
      <w:r w:rsidR="00A92E1A">
        <w:rPr>
          <w:rFonts w:ascii="Franklin Gothic Book" w:eastAsiaTheme="minorHAnsi" w:hAnsi="Franklin Gothic Book" w:cstheme="minorBidi"/>
          <w:iCs/>
          <w:color w:val="auto"/>
          <w:sz w:val="22"/>
          <w:szCs w:val="22"/>
        </w:rPr>
        <w:t xml:space="preserve">noted the paucity of TB WGS data </w:t>
      </w:r>
      <w:r w:rsidR="006039A7">
        <w:rPr>
          <w:rFonts w:ascii="Franklin Gothic Book" w:eastAsiaTheme="minorHAnsi" w:hAnsi="Franklin Gothic Book" w:cstheme="minorBidi"/>
          <w:iCs/>
          <w:color w:val="auto"/>
          <w:sz w:val="22"/>
          <w:szCs w:val="22"/>
        </w:rPr>
        <w:t>from</w:t>
      </w:r>
      <w:r w:rsidR="00A92E1A">
        <w:rPr>
          <w:rFonts w:ascii="Franklin Gothic Book" w:eastAsiaTheme="minorHAnsi" w:hAnsi="Franklin Gothic Book" w:cstheme="minorBidi"/>
          <w:iCs/>
          <w:color w:val="auto"/>
          <w:sz w:val="22"/>
          <w:szCs w:val="22"/>
        </w:rPr>
        <w:t xml:space="preserve"> Aboriginal and Torres Strait Islander populations and considered that a</w:t>
      </w:r>
      <w:r w:rsidR="006A47F3">
        <w:rPr>
          <w:rFonts w:ascii="Franklin Gothic Book" w:eastAsiaTheme="minorHAnsi" w:hAnsi="Franklin Gothic Book" w:cstheme="minorBidi"/>
          <w:iCs/>
          <w:color w:val="auto"/>
          <w:sz w:val="22"/>
          <w:szCs w:val="22"/>
        </w:rPr>
        <w:t xml:space="preserve"> </w:t>
      </w:r>
      <w:r w:rsidR="00A92E1A">
        <w:rPr>
          <w:rFonts w:ascii="Franklin Gothic Book" w:eastAsiaTheme="minorHAnsi" w:hAnsi="Franklin Gothic Book" w:cstheme="minorBidi"/>
          <w:iCs/>
          <w:color w:val="auto"/>
          <w:sz w:val="22"/>
          <w:szCs w:val="22"/>
        </w:rPr>
        <w:t>further benefit of supporting this testing would be that it may provide more information on TB WGS in Aboriginal and Torres Strait Islander populations.</w:t>
      </w:r>
      <w:r w:rsidR="00EC5643">
        <w:rPr>
          <w:rFonts w:ascii="Franklin Gothic Book" w:eastAsiaTheme="minorHAnsi" w:hAnsi="Franklin Gothic Book" w:cstheme="minorBidi"/>
          <w:iCs/>
          <w:color w:val="auto"/>
          <w:sz w:val="22"/>
          <w:szCs w:val="22"/>
        </w:rPr>
        <w:t xml:space="preserve"> </w:t>
      </w:r>
      <w:r w:rsidR="006A47F3">
        <w:rPr>
          <w:rFonts w:ascii="Franklin Gothic Book" w:eastAsiaTheme="minorHAnsi" w:hAnsi="Franklin Gothic Book" w:cstheme="minorBidi"/>
          <w:iCs/>
          <w:color w:val="auto"/>
          <w:sz w:val="22"/>
          <w:szCs w:val="22"/>
        </w:rPr>
        <w:t xml:space="preserve">MSAC noted consultation feedback from the </w:t>
      </w:r>
      <w:r w:rsidR="006A47F3" w:rsidRPr="006A47F3">
        <w:rPr>
          <w:rFonts w:ascii="Franklin Gothic Book" w:eastAsiaTheme="minorHAnsi" w:hAnsi="Franklin Gothic Book" w:cstheme="minorBidi"/>
          <w:iCs/>
          <w:color w:val="auto"/>
          <w:sz w:val="22"/>
          <w:szCs w:val="22"/>
        </w:rPr>
        <w:t>National Aboriginal Community Controlled Health Organisation</w:t>
      </w:r>
      <w:r w:rsidR="006A47F3">
        <w:rPr>
          <w:rFonts w:ascii="Franklin Gothic Book" w:eastAsiaTheme="minorHAnsi" w:hAnsi="Franklin Gothic Book" w:cstheme="minorBidi"/>
          <w:iCs/>
          <w:color w:val="auto"/>
          <w:sz w:val="22"/>
          <w:szCs w:val="22"/>
        </w:rPr>
        <w:t xml:space="preserve"> (NACCHO) that indigeneity data in pathology tests and results are poor at present, and </w:t>
      </w:r>
      <w:r w:rsidR="00AA091D">
        <w:rPr>
          <w:rFonts w:ascii="Franklin Gothic Book" w:eastAsiaTheme="minorHAnsi" w:hAnsi="Franklin Gothic Book" w:cstheme="minorBidi"/>
          <w:iCs/>
          <w:color w:val="auto"/>
          <w:sz w:val="22"/>
          <w:szCs w:val="22"/>
        </w:rPr>
        <w:t xml:space="preserve">also noted </w:t>
      </w:r>
      <w:r w:rsidR="00891601">
        <w:rPr>
          <w:rFonts w:ascii="Franklin Gothic Book" w:eastAsiaTheme="minorHAnsi" w:hAnsi="Franklin Gothic Book" w:cstheme="minorBidi"/>
          <w:iCs/>
          <w:color w:val="auto"/>
          <w:sz w:val="22"/>
          <w:szCs w:val="22"/>
        </w:rPr>
        <w:t xml:space="preserve">that there is not a registry at the national level that includes indigeneity data as the Jurisdictions conduct contact tracing. MSAC </w:t>
      </w:r>
      <w:r w:rsidR="006A47F3">
        <w:rPr>
          <w:rFonts w:ascii="Franklin Gothic Book" w:eastAsiaTheme="minorHAnsi" w:hAnsi="Franklin Gothic Book" w:cstheme="minorBidi"/>
          <w:iCs/>
          <w:color w:val="auto"/>
          <w:sz w:val="22"/>
          <w:szCs w:val="22"/>
        </w:rPr>
        <w:t xml:space="preserve">considered </w:t>
      </w:r>
      <w:r w:rsidR="00891601">
        <w:rPr>
          <w:rFonts w:ascii="Franklin Gothic Book" w:eastAsiaTheme="minorHAnsi" w:hAnsi="Franklin Gothic Book" w:cstheme="minorBidi"/>
          <w:iCs/>
          <w:color w:val="auto"/>
          <w:sz w:val="22"/>
          <w:szCs w:val="22"/>
        </w:rPr>
        <w:t>that better</w:t>
      </w:r>
      <w:r w:rsidR="006A47F3">
        <w:rPr>
          <w:rFonts w:ascii="Franklin Gothic Book" w:eastAsiaTheme="minorHAnsi" w:hAnsi="Franklin Gothic Book" w:cstheme="minorBidi"/>
          <w:iCs/>
          <w:color w:val="auto"/>
          <w:sz w:val="22"/>
          <w:szCs w:val="22"/>
        </w:rPr>
        <w:t xml:space="preserve"> data </w:t>
      </w:r>
      <w:r w:rsidR="00891601">
        <w:rPr>
          <w:rFonts w:ascii="Franklin Gothic Book" w:eastAsiaTheme="minorHAnsi" w:hAnsi="Franklin Gothic Book" w:cstheme="minorBidi"/>
          <w:iCs/>
          <w:color w:val="auto"/>
          <w:sz w:val="22"/>
          <w:szCs w:val="22"/>
        </w:rPr>
        <w:t xml:space="preserve">could </w:t>
      </w:r>
      <w:r w:rsidR="006A47F3">
        <w:rPr>
          <w:rFonts w:ascii="Franklin Gothic Book" w:eastAsiaTheme="minorHAnsi" w:hAnsi="Franklin Gothic Book" w:cstheme="minorBidi"/>
          <w:iCs/>
          <w:color w:val="auto"/>
          <w:sz w:val="22"/>
          <w:szCs w:val="22"/>
        </w:rPr>
        <w:t xml:space="preserve">be gathered </w:t>
      </w:r>
      <w:r w:rsidR="00891601">
        <w:rPr>
          <w:rFonts w:ascii="Franklin Gothic Book" w:eastAsiaTheme="minorHAnsi" w:hAnsi="Franklin Gothic Book" w:cstheme="minorBidi"/>
          <w:iCs/>
          <w:color w:val="auto"/>
          <w:sz w:val="22"/>
          <w:szCs w:val="22"/>
        </w:rPr>
        <w:t>for</w:t>
      </w:r>
      <w:r w:rsidR="006A47F3">
        <w:rPr>
          <w:rFonts w:ascii="Franklin Gothic Book" w:eastAsiaTheme="minorHAnsi" w:hAnsi="Franklin Gothic Book" w:cstheme="minorBidi"/>
          <w:iCs/>
          <w:color w:val="auto"/>
          <w:sz w:val="22"/>
          <w:szCs w:val="22"/>
        </w:rPr>
        <w:t xml:space="preserve"> Aboriginal and Torres Strait Islander populations</w:t>
      </w:r>
      <w:r w:rsidR="00891601">
        <w:rPr>
          <w:rFonts w:ascii="Franklin Gothic Book" w:eastAsiaTheme="minorHAnsi" w:hAnsi="Franklin Gothic Book" w:cstheme="minorBidi"/>
          <w:iCs/>
          <w:color w:val="auto"/>
          <w:sz w:val="22"/>
          <w:szCs w:val="22"/>
        </w:rPr>
        <w:t xml:space="preserve"> if indigeneity data were collected</w:t>
      </w:r>
      <w:r w:rsidR="006A47F3">
        <w:rPr>
          <w:rFonts w:ascii="Franklin Gothic Book" w:eastAsiaTheme="minorHAnsi" w:hAnsi="Franklin Gothic Book" w:cstheme="minorBidi"/>
          <w:iCs/>
          <w:color w:val="auto"/>
          <w:sz w:val="22"/>
          <w:szCs w:val="22"/>
        </w:rPr>
        <w:t>.</w:t>
      </w:r>
      <w:r w:rsidR="00891601">
        <w:rPr>
          <w:rFonts w:ascii="Franklin Gothic Book" w:eastAsiaTheme="minorHAnsi" w:hAnsi="Franklin Gothic Book" w:cstheme="minorBidi"/>
          <w:iCs/>
          <w:color w:val="auto"/>
          <w:sz w:val="22"/>
          <w:szCs w:val="22"/>
        </w:rPr>
        <w:t xml:space="preserve"> MSAC considered it was unlikely to be possible to collect indigeneity data as part of laboratory request processes</w:t>
      </w:r>
      <w:r w:rsidR="00AA091D">
        <w:rPr>
          <w:rFonts w:ascii="Franklin Gothic Book" w:eastAsiaTheme="minorHAnsi" w:hAnsi="Franklin Gothic Book" w:cstheme="minorBidi"/>
          <w:iCs/>
          <w:color w:val="auto"/>
          <w:sz w:val="22"/>
          <w:szCs w:val="22"/>
        </w:rPr>
        <w:t xml:space="preserve"> or in MBS data</w:t>
      </w:r>
      <w:r w:rsidR="00891601">
        <w:rPr>
          <w:rFonts w:ascii="Franklin Gothic Book" w:eastAsiaTheme="minorHAnsi" w:hAnsi="Franklin Gothic Book" w:cstheme="minorBidi"/>
          <w:iCs/>
          <w:color w:val="auto"/>
          <w:sz w:val="22"/>
          <w:szCs w:val="22"/>
        </w:rPr>
        <w:t xml:space="preserve">, but considered that </w:t>
      </w:r>
      <w:r w:rsidR="00AA091D">
        <w:rPr>
          <w:rFonts w:ascii="Franklin Gothic Book" w:eastAsiaTheme="minorHAnsi" w:hAnsi="Franklin Gothic Book" w:cstheme="minorBidi"/>
          <w:iCs/>
          <w:color w:val="auto"/>
          <w:sz w:val="22"/>
          <w:szCs w:val="22"/>
        </w:rPr>
        <w:t>because</w:t>
      </w:r>
      <w:r w:rsidR="00891601">
        <w:rPr>
          <w:rFonts w:ascii="Franklin Gothic Book" w:eastAsiaTheme="minorHAnsi" w:hAnsi="Franklin Gothic Book" w:cstheme="minorBidi"/>
          <w:iCs/>
          <w:color w:val="auto"/>
          <w:sz w:val="22"/>
          <w:szCs w:val="22"/>
        </w:rPr>
        <w:t xml:space="preserve"> tuberculosis is a notifiable disease, the notification to public health authorities may be a more appropriate mechanism to collect indigeneity data. </w:t>
      </w:r>
    </w:p>
    <w:p w14:paraId="55A4082C" w14:textId="156F8752" w:rsidR="00F33D59" w:rsidRDefault="00F33D59" w:rsidP="00F33D59">
      <w:pPr>
        <w:pStyle w:val="Default"/>
        <w:spacing w:after="240"/>
        <w:rPr>
          <w:rFonts w:ascii="Franklin Gothic Book" w:eastAsiaTheme="minorHAnsi" w:hAnsi="Franklin Gothic Book" w:cstheme="minorBidi"/>
          <w:iCs/>
          <w:color w:val="auto"/>
          <w:sz w:val="22"/>
          <w:szCs w:val="22"/>
        </w:rPr>
      </w:pPr>
      <w:r w:rsidRPr="00F33D59">
        <w:rPr>
          <w:rFonts w:ascii="Franklin Gothic Book" w:eastAsiaTheme="minorHAnsi" w:hAnsi="Franklin Gothic Book" w:cstheme="minorBidi"/>
          <w:iCs/>
          <w:color w:val="auto"/>
          <w:sz w:val="22"/>
          <w:szCs w:val="22"/>
        </w:rPr>
        <w:t xml:space="preserve">MSAC </w:t>
      </w:r>
      <w:r w:rsidR="00672D28">
        <w:rPr>
          <w:rFonts w:ascii="Franklin Gothic Book" w:eastAsiaTheme="minorHAnsi" w:hAnsi="Franklin Gothic Book" w:cstheme="minorBidi"/>
          <w:iCs/>
          <w:color w:val="auto"/>
          <w:sz w:val="22"/>
          <w:szCs w:val="22"/>
        </w:rPr>
        <w:t>considered</w:t>
      </w:r>
      <w:r w:rsidR="00672D28" w:rsidRPr="00F33D59">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th</w:t>
      </w:r>
      <w:r w:rsidR="00B156B7">
        <w:rPr>
          <w:rFonts w:ascii="Franklin Gothic Book" w:eastAsiaTheme="minorHAnsi" w:hAnsi="Franklin Gothic Book" w:cstheme="minorBidi"/>
          <w:iCs/>
          <w:color w:val="auto"/>
          <w:sz w:val="22"/>
          <w:szCs w:val="22"/>
        </w:rPr>
        <w:t>ere are</w:t>
      </w:r>
      <w:r w:rsidRPr="00F33D59">
        <w:rPr>
          <w:rFonts w:ascii="Franklin Gothic Book" w:eastAsiaTheme="minorHAnsi" w:hAnsi="Franklin Gothic Book" w:cstheme="minorBidi"/>
          <w:iCs/>
          <w:color w:val="auto"/>
          <w:sz w:val="22"/>
          <w:szCs w:val="22"/>
        </w:rPr>
        <w:t xml:space="preserve"> </w:t>
      </w:r>
      <w:r w:rsidR="00672D28">
        <w:rPr>
          <w:rFonts w:ascii="Franklin Gothic Book" w:eastAsiaTheme="minorHAnsi" w:hAnsi="Franklin Gothic Book" w:cstheme="minorBidi"/>
          <w:iCs/>
          <w:color w:val="auto"/>
          <w:sz w:val="22"/>
          <w:szCs w:val="22"/>
        </w:rPr>
        <w:t xml:space="preserve">also </w:t>
      </w:r>
      <w:r w:rsidRPr="00F33D59">
        <w:rPr>
          <w:rFonts w:ascii="Franklin Gothic Book" w:eastAsiaTheme="minorHAnsi" w:hAnsi="Franklin Gothic Book" w:cstheme="minorBidi"/>
          <w:iCs/>
          <w:color w:val="auto"/>
          <w:sz w:val="22"/>
          <w:szCs w:val="22"/>
        </w:rPr>
        <w:t xml:space="preserve">other benefits of WGS in </w:t>
      </w:r>
      <w:r w:rsidR="00EC5643">
        <w:rPr>
          <w:rFonts w:ascii="Franklin Gothic Book" w:eastAsiaTheme="minorHAnsi" w:hAnsi="Franklin Gothic Book" w:cstheme="minorBidi"/>
          <w:iCs/>
          <w:color w:val="auto"/>
          <w:sz w:val="22"/>
          <w:szCs w:val="22"/>
        </w:rPr>
        <w:t>MTBC</w:t>
      </w:r>
      <w:r w:rsidR="00EC5643" w:rsidRPr="00F33D59">
        <w:rPr>
          <w:rFonts w:ascii="Franklin Gothic Book" w:eastAsiaTheme="minorHAnsi" w:hAnsi="Franklin Gothic Book" w:cstheme="minorBidi"/>
          <w:iCs/>
          <w:color w:val="auto"/>
          <w:sz w:val="22"/>
          <w:szCs w:val="22"/>
        </w:rPr>
        <w:t xml:space="preserve"> </w:t>
      </w:r>
      <w:r w:rsidR="00EC5643">
        <w:rPr>
          <w:rFonts w:ascii="Franklin Gothic Book" w:eastAsiaTheme="minorHAnsi" w:hAnsi="Franklin Gothic Book" w:cstheme="minorBidi"/>
          <w:iCs/>
          <w:color w:val="auto"/>
          <w:sz w:val="22"/>
          <w:szCs w:val="22"/>
        </w:rPr>
        <w:t>not captured by the economic</w:t>
      </w:r>
      <w:r w:rsidR="0000343A">
        <w:rPr>
          <w:rFonts w:ascii="Franklin Gothic Book" w:eastAsiaTheme="minorHAnsi" w:hAnsi="Franklin Gothic Book" w:cstheme="minorBidi"/>
          <w:iCs/>
          <w:color w:val="auto"/>
          <w:sz w:val="22"/>
          <w:szCs w:val="22"/>
        </w:rPr>
        <w:t xml:space="preserve"> evaluation</w:t>
      </w:r>
      <w:r w:rsidR="00B156B7">
        <w:rPr>
          <w:rFonts w:ascii="Franklin Gothic Book" w:eastAsiaTheme="minorHAnsi" w:hAnsi="Franklin Gothic Book" w:cstheme="minorBidi"/>
          <w:iCs/>
          <w:color w:val="auto"/>
          <w:sz w:val="22"/>
          <w:szCs w:val="22"/>
        </w:rPr>
        <w:t xml:space="preserve">, </w:t>
      </w:r>
      <w:r w:rsidRPr="00F33D59">
        <w:rPr>
          <w:rFonts w:ascii="Franklin Gothic Book" w:eastAsiaTheme="minorHAnsi" w:hAnsi="Franklin Gothic Book" w:cstheme="minorBidi"/>
          <w:iCs/>
          <w:color w:val="auto"/>
          <w:sz w:val="22"/>
          <w:szCs w:val="22"/>
        </w:rPr>
        <w:t>includ</w:t>
      </w:r>
      <w:r w:rsidR="0000343A">
        <w:rPr>
          <w:rFonts w:ascii="Franklin Gothic Book" w:eastAsiaTheme="minorHAnsi" w:hAnsi="Franklin Gothic Book" w:cstheme="minorBidi"/>
          <w:iCs/>
          <w:color w:val="auto"/>
          <w:sz w:val="22"/>
          <w:szCs w:val="22"/>
        </w:rPr>
        <w:t>ing</w:t>
      </w:r>
      <w:r w:rsidRPr="00F33D59">
        <w:rPr>
          <w:rFonts w:ascii="Franklin Gothic Book" w:eastAsiaTheme="minorHAnsi" w:hAnsi="Franklin Gothic Book" w:cstheme="minorBidi"/>
          <w:iCs/>
          <w:color w:val="auto"/>
          <w:sz w:val="22"/>
          <w:szCs w:val="22"/>
        </w:rPr>
        <w:t xml:space="preserve"> </w:t>
      </w:r>
      <w:r w:rsidR="00AA091D">
        <w:rPr>
          <w:rFonts w:ascii="Franklin Gothic Book" w:eastAsiaTheme="minorHAnsi" w:hAnsi="Franklin Gothic Book" w:cstheme="minorBidi"/>
          <w:iCs/>
          <w:color w:val="auto"/>
          <w:sz w:val="22"/>
          <w:szCs w:val="22"/>
        </w:rPr>
        <w:t xml:space="preserve">improved antimicrobial stewardship (i.e. </w:t>
      </w:r>
      <w:r w:rsidRPr="00F33D59">
        <w:rPr>
          <w:rFonts w:ascii="Franklin Gothic Book" w:eastAsiaTheme="minorHAnsi" w:hAnsi="Franklin Gothic Book" w:cstheme="minorBidi"/>
          <w:iCs/>
          <w:color w:val="auto"/>
          <w:sz w:val="22"/>
          <w:szCs w:val="22"/>
        </w:rPr>
        <w:t>reducing development of antimicrobial resistance</w:t>
      </w:r>
      <w:r w:rsidR="00AA091D">
        <w:rPr>
          <w:rFonts w:ascii="Franklin Gothic Book" w:eastAsiaTheme="minorHAnsi" w:hAnsi="Franklin Gothic Book" w:cstheme="minorBidi"/>
          <w:iCs/>
          <w:color w:val="auto"/>
          <w:sz w:val="22"/>
          <w:szCs w:val="22"/>
        </w:rPr>
        <w:t>)</w:t>
      </w:r>
      <w:r w:rsidRPr="00F33D59">
        <w:rPr>
          <w:rFonts w:ascii="Franklin Gothic Book" w:eastAsiaTheme="minorHAnsi" w:hAnsi="Franklin Gothic Book" w:cstheme="minorBidi"/>
          <w:iCs/>
          <w:color w:val="auto"/>
          <w:sz w:val="22"/>
          <w:szCs w:val="22"/>
        </w:rPr>
        <w:t>, and distinguishing between relapse and re-infection.</w:t>
      </w:r>
    </w:p>
    <w:p w14:paraId="489EBD14" w14:textId="1C76AD72" w:rsidR="00891601" w:rsidRPr="00F33D59" w:rsidRDefault="00891601" w:rsidP="00F33D59">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MSAC noted that </w:t>
      </w:r>
      <w:r w:rsidR="00672D28">
        <w:rPr>
          <w:rFonts w:ascii="Franklin Gothic Book" w:eastAsiaTheme="minorHAnsi" w:hAnsi="Franklin Gothic Book" w:cstheme="minorBidi"/>
          <w:iCs/>
          <w:color w:val="auto"/>
          <w:sz w:val="22"/>
          <w:szCs w:val="22"/>
        </w:rPr>
        <w:t>PASC</w:t>
      </w:r>
      <w:r>
        <w:rPr>
          <w:rFonts w:ascii="Franklin Gothic Book" w:eastAsiaTheme="minorHAnsi" w:hAnsi="Franklin Gothic Book" w:cstheme="minorBidi"/>
          <w:iCs/>
          <w:color w:val="auto"/>
          <w:sz w:val="22"/>
          <w:szCs w:val="22"/>
        </w:rPr>
        <w:t xml:space="preserve"> had supported tuberculosis being the first of the </w:t>
      </w:r>
      <w:r w:rsidR="00672D28">
        <w:rPr>
          <w:rFonts w:ascii="Franklin Gothic Book" w:eastAsiaTheme="minorHAnsi" w:hAnsi="Franklin Gothic Book" w:cstheme="minorBidi"/>
          <w:iCs/>
          <w:color w:val="auto"/>
          <w:sz w:val="22"/>
          <w:szCs w:val="22"/>
        </w:rPr>
        <w:t xml:space="preserve">five </w:t>
      </w:r>
      <w:r w:rsidR="00AA091D">
        <w:rPr>
          <w:rFonts w:ascii="Franklin Gothic Book" w:eastAsiaTheme="minorHAnsi" w:hAnsi="Franklin Gothic Book" w:cstheme="minorBidi"/>
          <w:iCs/>
          <w:color w:val="auto"/>
          <w:sz w:val="22"/>
          <w:szCs w:val="22"/>
        </w:rPr>
        <w:t xml:space="preserve">proposed </w:t>
      </w:r>
      <w:r>
        <w:rPr>
          <w:rFonts w:ascii="Franklin Gothic Book" w:eastAsiaTheme="minorHAnsi" w:hAnsi="Franklin Gothic Book" w:cstheme="minorBidi"/>
          <w:iCs/>
          <w:color w:val="auto"/>
          <w:sz w:val="22"/>
          <w:szCs w:val="22"/>
        </w:rPr>
        <w:t>indications for pathogen WGS to undergo assessment, though that the applicant’s pre-MSAC response</w:t>
      </w:r>
      <w:r w:rsidR="00672D28">
        <w:rPr>
          <w:rFonts w:ascii="Franklin Gothic Book" w:eastAsiaTheme="minorHAnsi" w:hAnsi="Franklin Gothic Book" w:cstheme="minorBidi"/>
          <w:iCs/>
          <w:color w:val="auto"/>
          <w:sz w:val="22"/>
          <w:szCs w:val="22"/>
        </w:rPr>
        <w:t xml:space="preserve"> stated the evidence base only exists at present for tuberculosis. MSAC agreed with the applicant that the </w:t>
      </w:r>
      <w:r w:rsidR="00AA091D">
        <w:rPr>
          <w:rFonts w:ascii="Franklin Gothic Book" w:eastAsiaTheme="minorHAnsi" w:hAnsi="Franklin Gothic Book" w:cstheme="minorBidi"/>
          <w:iCs/>
          <w:color w:val="auto"/>
          <w:sz w:val="22"/>
          <w:szCs w:val="22"/>
        </w:rPr>
        <w:t xml:space="preserve">current evidence base is insufficient for the </w:t>
      </w:r>
      <w:r w:rsidR="00672D28">
        <w:rPr>
          <w:rFonts w:ascii="Franklin Gothic Book" w:eastAsiaTheme="minorHAnsi" w:hAnsi="Franklin Gothic Book" w:cstheme="minorBidi"/>
          <w:iCs/>
          <w:color w:val="auto"/>
          <w:sz w:val="22"/>
          <w:szCs w:val="22"/>
        </w:rPr>
        <w:t xml:space="preserve">other indications, and advised that assessment of the remaining indications </w:t>
      </w:r>
      <w:r w:rsidR="0000343A">
        <w:rPr>
          <w:rFonts w:ascii="Franklin Gothic Book" w:eastAsiaTheme="minorHAnsi" w:hAnsi="Franklin Gothic Book" w:cstheme="minorBidi"/>
          <w:iCs/>
          <w:color w:val="auto"/>
          <w:sz w:val="22"/>
          <w:szCs w:val="22"/>
        </w:rPr>
        <w:t>commence when a</w:t>
      </w:r>
      <w:r w:rsidR="00672D28">
        <w:rPr>
          <w:rFonts w:ascii="Franklin Gothic Book" w:eastAsiaTheme="minorHAnsi" w:hAnsi="Franklin Gothic Book" w:cstheme="minorBidi"/>
          <w:iCs/>
          <w:color w:val="auto"/>
          <w:sz w:val="22"/>
          <w:szCs w:val="22"/>
        </w:rPr>
        <w:t xml:space="preserve"> suitable evidence base has developed.</w:t>
      </w:r>
    </w:p>
    <w:p w14:paraId="53FA4BDF" w14:textId="3BB4627A" w:rsidR="00B52FCF" w:rsidRPr="00A436C5" w:rsidRDefault="00065623" w:rsidP="00E06036">
      <w:pPr>
        <w:pStyle w:val="Heading1"/>
      </w:pPr>
      <w:r w:rsidRPr="00A436C5">
        <w:t>Background</w:t>
      </w:r>
    </w:p>
    <w:p w14:paraId="4460EC95" w14:textId="6617C7F5" w:rsidR="00705C4B" w:rsidRPr="006F4EBA" w:rsidRDefault="0052065A" w:rsidP="006F4EBA">
      <w:pPr>
        <w:spacing w:after="240"/>
        <w:rPr>
          <w:rFonts w:ascii="Franklin Gothic Book" w:hAnsi="Franklin Gothic Book"/>
          <w:iCs/>
          <w:sz w:val="22"/>
          <w:szCs w:val="22"/>
        </w:rPr>
      </w:pPr>
      <w:r w:rsidRPr="006F4EBA">
        <w:rPr>
          <w:rFonts w:ascii="Franklin Gothic Book" w:hAnsi="Franklin Gothic Book"/>
          <w:iCs/>
          <w:sz w:val="22"/>
          <w:szCs w:val="22"/>
        </w:rPr>
        <w:t>MSAC has not previously considered pathogen WGS for DST in patients with mycobacterial infection.</w:t>
      </w:r>
    </w:p>
    <w:p w14:paraId="4EBEBBF5" w14:textId="47DD04C0" w:rsidR="0052065A" w:rsidRPr="006F4EBA" w:rsidRDefault="0052065A" w:rsidP="006F4EBA">
      <w:pPr>
        <w:spacing w:after="240"/>
        <w:rPr>
          <w:rFonts w:ascii="Franklin Gothic Book" w:hAnsi="Franklin Gothic Book"/>
          <w:iCs/>
          <w:sz w:val="22"/>
          <w:szCs w:val="22"/>
        </w:rPr>
      </w:pPr>
      <w:r w:rsidRPr="006F4EBA">
        <w:rPr>
          <w:rFonts w:ascii="Franklin Gothic Book" w:hAnsi="Franklin Gothic Book"/>
          <w:iCs/>
          <w:sz w:val="22"/>
          <w:szCs w:val="22"/>
        </w:rPr>
        <w:t>In 2009 MSAC considered a</w:t>
      </w:r>
      <w:r w:rsidR="00895B7B">
        <w:rPr>
          <w:rFonts w:ascii="Franklin Gothic Book" w:hAnsi="Franklin Gothic Book"/>
          <w:iCs/>
          <w:sz w:val="22"/>
          <w:szCs w:val="22"/>
        </w:rPr>
        <w:t>n</w:t>
      </w:r>
      <w:r w:rsidRPr="006F4EBA">
        <w:rPr>
          <w:rFonts w:ascii="Franklin Gothic Book" w:hAnsi="Franklin Gothic Book"/>
          <w:iCs/>
          <w:sz w:val="22"/>
          <w:szCs w:val="22"/>
        </w:rPr>
        <w:t xml:space="preserve"> application for genotypic resistance testing for antiretroviral resistance in patients with confirmed HIV infection (MSAC 1127). MSAC supported public funding, and MBS item 69380 was </w:t>
      </w:r>
      <w:r w:rsidR="00895B7B">
        <w:rPr>
          <w:rFonts w:ascii="Franklin Gothic Book" w:hAnsi="Franklin Gothic Book"/>
          <w:iCs/>
          <w:sz w:val="22"/>
          <w:szCs w:val="22"/>
        </w:rPr>
        <w:t>listed</w:t>
      </w:r>
      <w:r w:rsidRPr="006F4EBA">
        <w:rPr>
          <w:rFonts w:ascii="Franklin Gothic Book" w:hAnsi="Franklin Gothic Book"/>
          <w:iCs/>
          <w:sz w:val="22"/>
          <w:szCs w:val="22"/>
        </w:rPr>
        <w:t xml:space="preserve"> </w:t>
      </w:r>
      <w:r w:rsidR="00895B7B">
        <w:rPr>
          <w:rFonts w:ascii="Franklin Gothic Book" w:hAnsi="Franklin Gothic Book"/>
          <w:iCs/>
          <w:sz w:val="22"/>
          <w:szCs w:val="22"/>
        </w:rPr>
        <w:t xml:space="preserve">on </w:t>
      </w:r>
      <w:r w:rsidRPr="006F4EBA">
        <w:rPr>
          <w:rFonts w:ascii="Franklin Gothic Book" w:hAnsi="Franklin Gothic Book"/>
          <w:iCs/>
          <w:sz w:val="22"/>
          <w:szCs w:val="22"/>
        </w:rPr>
        <w:t xml:space="preserve">1 July 2011. </w:t>
      </w:r>
    </w:p>
    <w:p w14:paraId="4CB4FE7F" w14:textId="3DC608D6" w:rsidR="00F7484F" w:rsidRPr="00A436C5" w:rsidRDefault="00065623" w:rsidP="00E06036">
      <w:pPr>
        <w:pStyle w:val="Heading1"/>
      </w:pPr>
      <w:r w:rsidRPr="00A436C5">
        <w:lastRenderedPageBreak/>
        <w:t>Prerequisites to implementation of any funding advice</w:t>
      </w:r>
    </w:p>
    <w:p w14:paraId="617743DC" w14:textId="03818846" w:rsidR="0052065A" w:rsidRPr="006F4EBA" w:rsidRDefault="0052065A" w:rsidP="006F4EBA">
      <w:pPr>
        <w:spacing w:after="240"/>
        <w:rPr>
          <w:rFonts w:ascii="Franklin Gothic Book" w:hAnsi="Franklin Gothic Book"/>
          <w:iCs/>
          <w:sz w:val="22"/>
          <w:szCs w:val="22"/>
        </w:rPr>
      </w:pPr>
      <w:r w:rsidRPr="006F4EBA">
        <w:rPr>
          <w:rFonts w:ascii="Franklin Gothic Book" w:hAnsi="Franklin Gothic Book"/>
          <w:iCs/>
          <w:sz w:val="22"/>
          <w:szCs w:val="22"/>
        </w:rPr>
        <w:t>There are a number of commercial tests already approved by the TGA for WGS that would be suitable for DST. Any test that is not approved by the TGA is considered an in-house</w:t>
      </w:r>
      <w:r w:rsidR="00895B7B">
        <w:rPr>
          <w:rFonts w:ascii="Franklin Gothic Book" w:hAnsi="Franklin Gothic Book"/>
          <w:iCs/>
          <w:sz w:val="22"/>
          <w:szCs w:val="22"/>
        </w:rPr>
        <w:t xml:space="preserve"> in vitro device</w:t>
      </w:r>
      <w:r w:rsidRPr="006F4EBA">
        <w:rPr>
          <w:rFonts w:ascii="Franklin Gothic Book" w:hAnsi="Franklin Gothic Book"/>
          <w:iCs/>
          <w:sz w:val="22"/>
          <w:szCs w:val="22"/>
        </w:rPr>
        <w:t xml:space="preserve"> </w:t>
      </w:r>
      <w:r w:rsidR="00895B7B">
        <w:rPr>
          <w:rFonts w:ascii="Franklin Gothic Book" w:hAnsi="Franklin Gothic Book"/>
          <w:iCs/>
          <w:sz w:val="22"/>
          <w:szCs w:val="22"/>
        </w:rPr>
        <w:t>(</w:t>
      </w:r>
      <w:r w:rsidRPr="006F4EBA">
        <w:rPr>
          <w:rFonts w:ascii="Franklin Gothic Book" w:hAnsi="Franklin Gothic Book"/>
          <w:iCs/>
          <w:sz w:val="22"/>
          <w:szCs w:val="22"/>
        </w:rPr>
        <w:t>IVD</w:t>
      </w:r>
      <w:r w:rsidR="00895B7B">
        <w:rPr>
          <w:rFonts w:ascii="Franklin Gothic Book" w:hAnsi="Franklin Gothic Book"/>
          <w:iCs/>
          <w:sz w:val="22"/>
          <w:szCs w:val="22"/>
        </w:rPr>
        <w:t>)</w:t>
      </w:r>
      <w:r w:rsidRPr="006F4EBA">
        <w:rPr>
          <w:rFonts w:ascii="Franklin Gothic Book" w:hAnsi="Franklin Gothic Book"/>
          <w:iCs/>
          <w:sz w:val="22"/>
          <w:szCs w:val="22"/>
        </w:rPr>
        <w:t xml:space="preserve"> and subject to regulation in accordance with the TGA’s IVD regulatory framework. Testing would be delivered only in NATA Accredited Pathology Laboratories (as defined by the MBS Pathology </w:t>
      </w:r>
      <w:r w:rsidR="00895B7B">
        <w:rPr>
          <w:rFonts w:ascii="Franklin Gothic Book" w:hAnsi="Franklin Gothic Book"/>
          <w:iCs/>
          <w:sz w:val="22"/>
          <w:szCs w:val="22"/>
        </w:rPr>
        <w:t xml:space="preserve">services </w:t>
      </w:r>
      <w:r w:rsidRPr="006F4EBA">
        <w:rPr>
          <w:rFonts w:ascii="Franklin Gothic Book" w:hAnsi="Franklin Gothic Book"/>
          <w:iCs/>
          <w:sz w:val="22"/>
          <w:szCs w:val="22"/>
        </w:rPr>
        <w:t xml:space="preserve">table), which meet biosafety requirements for Australian mycobacteriology laboratories outlined in the Australian/New Zealand Standard 2243.3: 2010 Safety in laboratories – Microbiological aspects and containment facilities. </w:t>
      </w:r>
    </w:p>
    <w:p w14:paraId="377335F3" w14:textId="77777777" w:rsidR="0052065A" w:rsidRPr="006F4EBA" w:rsidRDefault="0052065A" w:rsidP="006F4EBA">
      <w:pPr>
        <w:spacing w:after="240"/>
        <w:rPr>
          <w:rFonts w:ascii="Franklin Gothic Book" w:hAnsi="Franklin Gothic Book"/>
          <w:iCs/>
          <w:sz w:val="22"/>
          <w:szCs w:val="22"/>
        </w:rPr>
      </w:pPr>
      <w:r w:rsidRPr="006F4EBA">
        <w:rPr>
          <w:rFonts w:ascii="Franklin Gothic Book" w:hAnsi="Franklin Gothic Book"/>
          <w:iCs/>
          <w:sz w:val="22"/>
          <w:szCs w:val="22"/>
        </w:rPr>
        <w:t>Interpretation of results would be provided by an approved practising pathologist or suitably qualified medical scientist. The five Australian TB reference laboratories, based within public tertiary hospital settings, all have the appropriate accreditations.</w:t>
      </w:r>
    </w:p>
    <w:p w14:paraId="36E07551" w14:textId="36CC5330" w:rsidR="008A6C0C" w:rsidRPr="00A436C5" w:rsidRDefault="00065623" w:rsidP="00E06036">
      <w:pPr>
        <w:pStyle w:val="Heading1"/>
      </w:pPr>
      <w:r w:rsidRPr="00A436C5">
        <w:t>Proposal for public funding</w:t>
      </w:r>
    </w:p>
    <w:p w14:paraId="3394620A" w14:textId="2CE57334" w:rsidR="0052065A" w:rsidRPr="008D1C4A" w:rsidRDefault="0052065A" w:rsidP="008D1C4A">
      <w:pPr>
        <w:spacing w:after="120"/>
        <w:rPr>
          <w:rFonts w:ascii="Franklin Gothic Book" w:eastAsiaTheme="minorHAnsi" w:hAnsi="Franklin Gothic Book"/>
          <w:sz w:val="22"/>
          <w:szCs w:val="22"/>
          <w:lang w:eastAsia="en-US"/>
        </w:rPr>
      </w:pPr>
      <w:r w:rsidRPr="008D1C4A">
        <w:rPr>
          <w:rFonts w:ascii="Franklin Gothic Book" w:eastAsiaTheme="minorHAnsi" w:hAnsi="Franklin Gothic Book"/>
          <w:sz w:val="22"/>
          <w:szCs w:val="22"/>
          <w:lang w:eastAsia="en-US"/>
        </w:rPr>
        <w:t>A new MBS item is sought for public funding of WGS of mycobacteria for the purposes of drug susceptibility testing (</w:t>
      </w:r>
      <w:r w:rsidRPr="008D1C4A">
        <w:rPr>
          <w:rFonts w:ascii="Franklin Gothic Book" w:eastAsiaTheme="minorHAnsi" w:hAnsi="Franklin Gothic Book"/>
          <w:sz w:val="22"/>
          <w:szCs w:val="22"/>
          <w:lang w:eastAsia="en-US"/>
        </w:rPr>
        <w:fldChar w:fldCharType="begin"/>
      </w:r>
      <w:r w:rsidRPr="008D1C4A">
        <w:rPr>
          <w:rFonts w:ascii="Franklin Gothic Book" w:eastAsiaTheme="minorHAnsi" w:hAnsi="Franklin Gothic Book"/>
          <w:sz w:val="22"/>
          <w:szCs w:val="22"/>
          <w:lang w:eastAsia="en-US"/>
        </w:rPr>
        <w:instrText xml:space="preserve"> REF _Ref69481033 \h </w:instrText>
      </w:r>
      <w:r w:rsidR="008D1C4A">
        <w:rPr>
          <w:rFonts w:ascii="Franklin Gothic Book" w:eastAsiaTheme="minorHAnsi" w:hAnsi="Franklin Gothic Book"/>
          <w:sz w:val="22"/>
          <w:szCs w:val="22"/>
          <w:lang w:eastAsia="en-US"/>
        </w:rPr>
        <w:instrText xml:space="preserve"> \* MERGEFORMAT </w:instrText>
      </w:r>
      <w:r w:rsidRPr="008D1C4A">
        <w:rPr>
          <w:rFonts w:ascii="Franklin Gothic Book" w:eastAsiaTheme="minorHAnsi" w:hAnsi="Franklin Gothic Book"/>
          <w:sz w:val="22"/>
          <w:szCs w:val="22"/>
          <w:lang w:eastAsia="en-US"/>
        </w:rPr>
      </w:r>
      <w:r w:rsidRPr="008D1C4A">
        <w:rPr>
          <w:rFonts w:ascii="Franklin Gothic Book" w:eastAsiaTheme="minorHAnsi" w:hAnsi="Franklin Gothic Book"/>
          <w:sz w:val="22"/>
          <w:szCs w:val="22"/>
          <w:lang w:eastAsia="en-US"/>
        </w:rPr>
        <w:fldChar w:fldCharType="separate"/>
      </w:r>
      <w:r w:rsidR="004C2B2A" w:rsidRPr="004C2B2A">
        <w:rPr>
          <w:rFonts w:ascii="Franklin Gothic Book" w:eastAsiaTheme="minorHAnsi" w:hAnsi="Franklin Gothic Book"/>
          <w:sz w:val="22"/>
          <w:szCs w:val="22"/>
          <w:lang w:eastAsia="en-US"/>
        </w:rPr>
        <w:t>Table 2</w:t>
      </w:r>
      <w:r w:rsidRPr="008D1C4A">
        <w:rPr>
          <w:rFonts w:ascii="Franklin Gothic Book" w:eastAsiaTheme="minorHAnsi" w:hAnsi="Franklin Gothic Book"/>
          <w:sz w:val="22"/>
          <w:szCs w:val="22"/>
          <w:lang w:eastAsia="en-US"/>
        </w:rPr>
        <w:fldChar w:fldCharType="end"/>
      </w:r>
      <w:r w:rsidRPr="008D1C4A">
        <w:rPr>
          <w:rFonts w:ascii="Franklin Gothic Book" w:eastAsiaTheme="minorHAnsi" w:hAnsi="Franklin Gothic Book"/>
          <w:sz w:val="22"/>
          <w:szCs w:val="22"/>
          <w:lang w:eastAsia="en-US"/>
        </w:rPr>
        <w:t>). No items are currently on the MBS for genomic testing of mycobacteria. The most common</w:t>
      </w:r>
      <w:r w:rsidR="00FA7CD3">
        <w:rPr>
          <w:rFonts w:ascii="Franklin Gothic Book" w:eastAsiaTheme="minorHAnsi" w:hAnsi="Franklin Gothic Book"/>
          <w:sz w:val="22"/>
          <w:szCs w:val="22"/>
          <w:lang w:eastAsia="en-US"/>
        </w:rPr>
        <w:t>ly occurring</w:t>
      </w:r>
      <w:r w:rsidRPr="008D1C4A">
        <w:rPr>
          <w:rFonts w:ascii="Franklin Gothic Book" w:eastAsiaTheme="minorHAnsi" w:hAnsi="Franklin Gothic Book"/>
          <w:sz w:val="22"/>
          <w:szCs w:val="22"/>
          <w:lang w:eastAsia="en-US"/>
        </w:rPr>
        <w:t xml:space="preserve"> type of mycobacteria to be tested is </w:t>
      </w:r>
      <w:r w:rsidRPr="008C01F4">
        <w:rPr>
          <w:rFonts w:ascii="Franklin Gothic Book" w:eastAsiaTheme="minorHAnsi" w:hAnsi="Franklin Gothic Book"/>
          <w:i/>
          <w:iCs/>
          <w:sz w:val="22"/>
          <w:szCs w:val="22"/>
          <w:lang w:eastAsia="en-US"/>
        </w:rPr>
        <w:t>M. tuberculosis</w:t>
      </w:r>
      <w:r w:rsidRPr="008D1C4A">
        <w:rPr>
          <w:rFonts w:ascii="Franklin Gothic Book" w:eastAsiaTheme="minorHAnsi" w:hAnsi="Franklin Gothic Book"/>
          <w:sz w:val="22"/>
          <w:szCs w:val="22"/>
          <w:lang w:eastAsia="en-US"/>
        </w:rPr>
        <w:t xml:space="preserve">. </w:t>
      </w:r>
    </w:p>
    <w:p w14:paraId="5E81DD5E" w14:textId="2EE7BF9E" w:rsidR="0052065A" w:rsidRPr="008D1C4A" w:rsidRDefault="0052065A" w:rsidP="008D1C4A">
      <w:pPr>
        <w:spacing w:after="120"/>
        <w:rPr>
          <w:rFonts w:ascii="Franklin Gothic Book" w:eastAsiaTheme="minorHAnsi" w:hAnsi="Franklin Gothic Book"/>
          <w:sz w:val="22"/>
          <w:szCs w:val="22"/>
          <w:lang w:eastAsia="en-US"/>
        </w:rPr>
      </w:pPr>
      <w:r w:rsidRPr="008D1C4A">
        <w:rPr>
          <w:rFonts w:ascii="Franklin Gothic Book" w:eastAsiaTheme="minorHAnsi" w:hAnsi="Franklin Gothic Book"/>
          <w:sz w:val="22"/>
          <w:szCs w:val="22"/>
          <w:lang w:eastAsia="en-US"/>
        </w:rPr>
        <w:t xml:space="preserve">Patients with TB infections are often identified in rural and remote locations with no specialist services, and tests to diagnose and characterise TB are ordered by general practitioners. PASC therefore proposed that requestors of the item should not be limited to hospital specialists. </w:t>
      </w:r>
    </w:p>
    <w:p w14:paraId="371640C8" w14:textId="2BA7D706" w:rsidR="0052065A" w:rsidRDefault="0052065A" w:rsidP="008D1C4A">
      <w:pPr>
        <w:spacing w:after="120"/>
        <w:rPr>
          <w:rFonts w:ascii="Franklin Gothic Book" w:eastAsiaTheme="minorHAnsi" w:hAnsi="Franklin Gothic Book"/>
          <w:sz w:val="22"/>
          <w:szCs w:val="22"/>
          <w:lang w:eastAsia="en-US"/>
        </w:rPr>
      </w:pPr>
      <w:r w:rsidRPr="008D1C4A">
        <w:rPr>
          <w:rFonts w:ascii="Franklin Gothic Book" w:eastAsiaTheme="minorHAnsi" w:hAnsi="Franklin Gothic Book"/>
          <w:sz w:val="22"/>
          <w:szCs w:val="22"/>
          <w:lang w:eastAsia="en-US"/>
        </w:rPr>
        <w:t>The key proposed advantage of WGS for identifying the resistance profile is its speed (shorter turnaround time) compared to conventional phenotypic drug susceptibility testing.</w:t>
      </w:r>
    </w:p>
    <w:p w14:paraId="6BC00621" w14:textId="2CBD2F69" w:rsidR="0052065A" w:rsidRPr="00CE28E3" w:rsidRDefault="0052065A" w:rsidP="00644745">
      <w:pPr>
        <w:pStyle w:val="Caption"/>
        <w:spacing w:before="240"/>
      </w:pPr>
      <w:bookmarkStart w:id="5" w:name="_Ref69481033"/>
      <w:r>
        <w:t>Table </w:t>
      </w:r>
      <w:fldSimple w:instr=" SEQ Table \* ARABIC ">
        <w:r w:rsidR="004C2B2A">
          <w:rPr>
            <w:noProof/>
          </w:rPr>
          <w:t>2</w:t>
        </w:r>
      </w:fldSimple>
      <w:bookmarkEnd w:id="5"/>
      <w:r w:rsidRPr="00CE28E3">
        <w:tab/>
      </w:r>
      <w:r>
        <w:t>P</w:t>
      </w:r>
      <w:r w:rsidR="005971D0">
        <w:t>ICO’s p</w:t>
      </w:r>
      <w:r w:rsidRPr="00CE28E3">
        <w:t xml:space="preserve">roposed MBS item </w:t>
      </w:r>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ICO’s proposed MBS item "/>
      </w:tblPr>
      <w:tblGrid>
        <w:gridCol w:w="9016"/>
      </w:tblGrid>
      <w:tr w:rsidR="0052065A" w:rsidRPr="00CE28E3" w14:paraId="71A995B4" w14:textId="77777777" w:rsidTr="006F4EBA">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40B81926" w14:textId="77777777" w:rsidR="0052065A" w:rsidRPr="00CE28E3" w:rsidRDefault="0052065A" w:rsidP="006F4EBA">
            <w:pPr>
              <w:pStyle w:val="TableText1"/>
              <w:rPr>
                <w:sz w:val="24"/>
              </w:rPr>
            </w:pPr>
            <w:r w:rsidRPr="00CE28E3">
              <w:t xml:space="preserve">Category </w:t>
            </w:r>
            <w:r>
              <w:t>3</w:t>
            </w:r>
            <w:r w:rsidRPr="00CE28E3">
              <w:t xml:space="preserve"> – </w:t>
            </w:r>
            <w:r>
              <w:t>Pathology Services – Group 3 Microbiology</w:t>
            </w:r>
          </w:p>
        </w:tc>
      </w:tr>
      <w:tr w:rsidR="0052065A" w:rsidRPr="00CE28E3" w14:paraId="56778938" w14:textId="77777777" w:rsidTr="006F4EBA">
        <w:tc>
          <w:tcPr>
            <w:tcW w:w="5000" w:type="pct"/>
            <w:tcBorders>
              <w:top w:val="single" w:sz="4" w:space="0" w:color="000000"/>
              <w:left w:val="single" w:sz="4" w:space="0" w:color="000000"/>
              <w:bottom w:val="nil"/>
              <w:right w:val="single" w:sz="4" w:space="0" w:color="000000"/>
            </w:tcBorders>
            <w:hideMark/>
          </w:tcPr>
          <w:p w14:paraId="11E0FE7F" w14:textId="77777777" w:rsidR="0052065A" w:rsidRPr="00170D5B" w:rsidRDefault="0052065A" w:rsidP="006F4EBA">
            <w:pPr>
              <w:spacing w:after="120"/>
              <w:rPr>
                <w:lang w:val="en-US" w:eastAsia="ja-JP"/>
              </w:rPr>
            </w:pPr>
            <w:r>
              <w:rPr>
                <w:lang w:val="en-US" w:eastAsia="ja-JP"/>
              </w:rPr>
              <w:t xml:space="preserve">MBS item </w:t>
            </w:r>
            <w:r w:rsidRPr="00170D5B">
              <w:rPr>
                <w:lang w:val="en-US" w:eastAsia="ja-JP"/>
              </w:rPr>
              <w:t>XXXX</w:t>
            </w:r>
          </w:p>
          <w:p w14:paraId="7F901B62" w14:textId="77777777" w:rsidR="0052065A" w:rsidRPr="00170D5B" w:rsidRDefault="0052065A" w:rsidP="006F4EBA">
            <w:pPr>
              <w:spacing w:after="120"/>
              <w:rPr>
                <w:lang w:val="en-US" w:eastAsia="ja-JP"/>
              </w:rPr>
            </w:pPr>
            <w:r>
              <w:rPr>
                <w:lang w:val="en-US" w:eastAsia="ja-JP"/>
              </w:rPr>
              <w:t>Sequencing and analysis of the whole mycobacterial genome of an isolate or nucleic acid extract obtained at the time of initial diagnosis to speciate the organism accurately and for the purpose of genome-wide determination of the antimicrobial resistance markers (</w:t>
            </w:r>
            <w:proofErr w:type="spellStart"/>
            <w:r>
              <w:rPr>
                <w:lang w:val="en-US" w:eastAsia="ja-JP"/>
              </w:rPr>
              <w:t>resistome</w:t>
            </w:r>
            <w:proofErr w:type="spellEnd"/>
            <w:r>
              <w:rPr>
                <w:lang w:val="en-US" w:eastAsia="ja-JP"/>
              </w:rPr>
              <w:t xml:space="preserve">) of the isolate to </w:t>
            </w:r>
            <w:proofErr w:type="spellStart"/>
            <w:r>
              <w:rPr>
                <w:lang w:val="en-US" w:eastAsia="ja-JP"/>
              </w:rPr>
              <w:t>individualise</w:t>
            </w:r>
            <w:proofErr w:type="spellEnd"/>
            <w:r>
              <w:rPr>
                <w:lang w:val="en-US" w:eastAsia="ja-JP"/>
              </w:rPr>
              <w:t xml:space="preserve"> the patient’s treatment after initial empiric therapy. </w:t>
            </w:r>
          </w:p>
        </w:tc>
      </w:tr>
      <w:tr w:rsidR="0052065A" w:rsidRPr="005D749D" w14:paraId="74387128" w14:textId="77777777" w:rsidTr="006F4EBA">
        <w:tc>
          <w:tcPr>
            <w:tcW w:w="5000" w:type="pct"/>
            <w:tcBorders>
              <w:top w:val="nil"/>
              <w:left w:val="single" w:sz="4" w:space="0" w:color="000000"/>
              <w:bottom w:val="single" w:sz="4" w:space="0" w:color="000000"/>
              <w:right w:val="single" w:sz="4" w:space="0" w:color="000000"/>
            </w:tcBorders>
            <w:vAlign w:val="center"/>
            <w:hideMark/>
          </w:tcPr>
          <w:p w14:paraId="42D804AE" w14:textId="77777777" w:rsidR="0052065A" w:rsidRPr="005D749D" w:rsidRDefault="0052065A" w:rsidP="006F4EBA">
            <w:pPr>
              <w:pStyle w:val="TableText1"/>
              <w:rPr>
                <w:szCs w:val="20"/>
              </w:rPr>
            </w:pPr>
            <w:r w:rsidRPr="008D7580">
              <w:rPr>
                <w:b/>
                <w:szCs w:val="20"/>
              </w:rPr>
              <w:t>Fee</w:t>
            </w:r>
            <w:r w:rsidRPr="005D749D">
              <w:rPr>
                <w:szCs w:val="20"/>
              </w:rPr>
              <w:t xml:space="preserve">: </w:t>
            </w:r>
            <w:r>
              <w:rPr>
                <w:szCs w:val="20"/>
              </w:rPr>
              <w:t xml:space="preserve">$120.00 </w:t>
            </w:r>
            <w:r>
              <w:rPr>
                <w:szCs w:val="20"/>
              </w:rPr>
              <w:tab/>
            </w:r>
            <w:r w:rsidRPr="008D7580">
              <w:rPr>
                <w:b/>
                <w:szCs w:val="20"/>
              </w:rPr>
              <w:t>Benefit</w:t>
            </w:r>
            <w:r>
              <w:rPr>
                <w:szCs w:val="20"/>
              </w:rPr>
              <w:t>: 75% = $90.00 85% = $102.00</w:t>
            </w:r>
          </w:p>
        </w:tc>
      </w:tr>
    </w:tbl>
    <w:p w14:paraId="0F0F05D5" w14:textId="0E238EE2" w:rsidR="004C2B2A" w:rsidRDefault="004C2B2A" w:rsidP="004C2B2A">
      <w:pPr>
        <w:pStyle w:val="Tablenotes0"/>
      </w:pPr>
      <w:bookmarkStart w:id="6" w:name="_Toc69491419"/>
      <w:r>
        <w:t>Source: 1646 PICO</w:t>
      </w:r>
    </w:p>
    <w:p w14:paraId="0D4E8903" w14:textId="0E027354" w:rsidR="006F4EBA" w:rsidRPr="00986EC1" w:rsidRDefault="006F4EBA" w:rsidP="00E06036">
      <w:pPr>
        <w:pStyle w:val="Heading1"/>
      </w:pPr>
      <w:r w:rsidRPr="00986EC1">
        <w:t>Population</w:t>
      </w:r>
      <w:bookmarkEnd w:id="6"/>
    </w:p>
    <w:p w14:paraId="2F362A2B" w14:textId="77777777" w:rsidR="003869F4" w:rsidRPr="003869F4" w:rsidRDefault="003869F4" w:rsidP="00071D98">
      <w:pPr>
        <w:rPr>
          <w:rFonts w:ascii="Franklin Gothic Book" w:hAnsi="Franklin Gothic Book"/>
          <w:iCs/>
          <w:sz w:val="22"/>
          <w:szCs w:val="22"/>
        </w:rPr>
      </w:pPr>
      <w:r w:rsidRPr="003869F4">
        <w:rPr>
          <w:rFonts w:ascii="Franklin Gothic Book" w:hAnsi="Franklin Gothic Book"/>
          <w:iCs/>
          <w:sz w:val="22"/>
          <w:szCs w:val="22"/>
        </w:rPr>
        <w:t xml:space="preserve">The proposed patient population are those diagnosed with mycobacterial infection. The most common type of mycobacterium identified in humans is </w:t>
      </w:r>
      <w:r w:rsidRPr="00D44670">
        <w:rPr>
          <w:rFonts w:ascii="Franklin Gothic Book" w:hAnsi="Franklin Gothic Book"/>
          <w:i/>
          <w:sz w:val="22"/>
          <w:szCs w:val="22"/>
        </w:rPr>
        <w:t>M. tuberculosis</w:t>
      </w:r>
      <w:r w:rsidRPr="003869F4">
        <w:rPr>
          <w:rFonts w:ascii="Franklin Gothic Book" w:hAnsi="Franklin Gothic Book"/>
          <w:iCs/>
          <w:sz w:val="22"/>
          <w:szCs w:val="22"/>
        </w:rPr>
        <w:t xml:space="preserve">, responsible for causing the vast majority of cases of TB. For this reason, the exemplar for this indication is patients with TB specifically caused by </w:t>
      </w:r>
      <w:r w:rsidRPr="00D44670">
        <w:rPr>
          <w:rFonts w:ascii="Franklin Gothic Book" w:hAnsi="Franklin Gothic Book"/>
          <w:i/>
          <w:sz w:val="22"/>
          <w:szCs w:val="22"/>
        </w:rPr>
        <w:t>M. tuberculosis</w:t>
      </w:r>
      <w:r w:rsidRPr="003869F4">
        <w:rPr>
          <w:rFonts w:ascii="Franklin Gothic Book" w:hAnsi="Franklin Gothic Book"/>
          <w:iCs/>
          <w:sz w:val="22"/>
          <w:szCs w:val="22"/>
        </w:rPr>
        <w:t>. Other facilitated types of mycobacterial infections include:</w:t>
      </w:r>
    </w:p>
    <w:p w14:paraId="4BFC703D" w14:textId="3F5695DE" w:rsidR="003869F4" w:rsidRPr="000D2B7F" w:rsidRDefault="003869F4" w:rsidP="003869F4">
      <w:pPr>
        <w:pStyle w:val="NormalBeforeBullet0"/>
        <w:numPr>
          <w:ilvl w:val="0"/>
          <w:numId w:val="30"/>
        </w:numPr>
        <w:rPr>
          <w:rFonts w:ascii="Franklin Gothic Book" w:hAnsi="Franklin Gothic Book"/>
          <w:i/>
        </w:rPr>
      </w:pPr>
      <w:r w:rsidRPr="000D2B7F">
        <w:rPr>
          <w:rFonts w:ascii="Franklin Gothic Book" w:hAnsi="Franklin Gothic Book"/>
        </w:rPr>
        <w:lastRenderedPageBreak/>
        <w:t>the remainder of</w:t>
      </w:r>
      <w:r>
        <w:rPr>
          <w:rFonts w:ascii="Franklin Gothic Book" w:hAnsi="Franklin Gothic Book"/>
        </w:rPr>
        <w:t xml:space="preserve"> the</w:t>
      </w:r>
      <w:r w:rsidRPr="000D2B7F">
        <w:rPr>
          <w:rFonts w:ascii="Franklin Gothic Book" w:hAnsi="Franklin Gothic Book"/>
          <w:i/>
        </w:rPr>
        <w:t xml:space="preserve"> M. tuberculosis</w:t>
      </w:r>
      <w:r w:rsidRPr="000D2B7F">
        <w:rPr>
          <w:rFonts w:ascii="Franklin Gothic Book" w:hAnsi="Franklin Gothic Book"/>
        </w:rPr>
        <w:t xml:space="preserve"> complex (MTBC</w:t>
      </w:r>
      <w:r w:rsidRPr="000D2B7F">
        <w:rPr>
          <w:rFonts w:ascii="Franklin Gothic Book" w:hAnsi="Franklin Gothic Book"/>
          <w:i/>
        </w:rPr>
        <w:t xml:space="preserve">; </w:t>
      </w:r>
      <w:r w:rsidRPr="000D2B7F">
        <w:rPr>
          <w:rFonts w:ascii="Franklin Gothic Book" w:hAnsi="Franklin Gothic Book"/>
        </w:rPr>
        <w:t xml:space="preserve">e.g. </w:t>
      </w:r>
      <w:r w:rsidRPr="000D2B7F">
        <w:rPr>
          <w:rFonts w:ascii="Franklin Gothic Book" w:hAnsi="Franklin Gothic Book"/>
          <w:i/>
        </w:rPr>
        <w:t xml:space="preserve">M. </w:t>
      </w:r>
      <w:proofErr w:type="spellStart"/>
      <w:r w:rsidRPr="000D2B7F">
        <w:rPr>
          <w:rFonts w:ascii="Franklin Gothic Book" w:hAnsi="Franklin Gothic Book"/>
          <w:i/>
        </w:rPr>
        <w:t>bovis</w:t>
      </w:r>
      <w:proofErr w:type="spellEnd"/>
      <w:r w:rsidRPr="000D2B7F">
        <w:rPr>
          <w:rFonts w:ascii="Franklin Gothic Book" w:hAnsi="Franklin Gothic Book"/>
          <w:i/>
        </w:rPr>
        <w:t xml:space="preserve">, M. </w:t>
      </w:r>
      <w:proofErr w:type="spellStart"/>
      <w:r w:rsidRPr="000D2B7F">
        <w:rPr>
          <w:rFonts w:ascii="Franklin Gothic Book" w:hAnsi="Franklin Gothic Book"/>
          <w:i/>
        </w:rPr>
        <w:t>africanum</w:t>
      </w:r>
      <w:proofErr w:type="spellEnd"/>
      <w:r w:rsidRPr="000D2B7F">
        <w:rPr>
          <w:rFonts w:ascii="Franklin Gothic Book" w:hAnsi="Franklin Gothic Book"/>
          <w:i/>
        </w:rPr>
        <w:t xml:space="preserve"> </w:t>
      </w:r>
      <w:r w:rsidRPr="000D2B7F">
        <w:rPr>
          <w:rFonts w:ascii="Franklin Gothic Book" w:hAnsi="Franklin Gothic Book"/>
        </w:rPr>
        <w:t>and</w:t>
      </w:r>
      <w:r w:rsidRPr="000D2B7F">
        <w:rPr>
          <w:rFonts w:ascii="Franklin Gothic Book" w:hAnsi="Franklin Gothic Book"/>
          <w:i/>
        </w:rPr>
        <w:t xml:space="preserve"> M. </w:t>
      </w:r>
      <w:proofErr w:type="spellStart"/>
      <w:r w:rsidRPr="000D2B7F">
        <w:rPr>
          <w:rFonts w:ascii="Franklin Gothic Book" w:hAnsi="Franklin Gothic Book"/>
          <w:i/>
        </w:rPr>
        <w:t>canetti</w:t>
      </w:r>
      <w:proofErr w:type="spellEnd"/>
      <w:r w:rsidRPr="000D2B7F">
        <w:rPr>
          <w:rFonts w:ascii="Franklin Gothic Book" w:hAnsi="Franklin Gothic Book"/>
          <w:i/>
        </w:rPr>
        <w:t>)</w:t>
      </w:r>
      <w:r>
        <w:rPr>
          <w:rFonts w:ascii="Franklin Gothic Book" w:hAnsi="Franklin Gothic Book"/>
          <w:i/>
        </w:rPr>
        <w:t>,</w:t>
      </w:r>
      <w:r w:rsidRPr="000D2B7F">
        <w:rPr>
          <w:rFonts w:ascii="Franklin Gothic Book" w:hAnsi="Franklin Gothic Book"/>
        </w:rPr>
        <w:t xml:space="preserve"> which</w:t>
      </w:r>
      <w:r>
        <w:rPr>
          <w:rFonts w:ascii="Franklin Gothic Book" w:hAnsi="Franklin Gothic Book"/>
        </w:rPr>
        <w:t xml:space="preserve"> also cause TB</w:t>
      </w:r>
      <w:r w:rsidRPr="000D2B7F">
        <w:rPr>
          <w:rFonts w:ascii="Franklin Gothic Book" w:hAnsi="Franklin Gothic Book"/>
          <w:i/>
        </w:rPr>
        <w:t>;</w:t>
      </w:r>
    </w:p>
    <w:p w14:paraId="2E6AABFA" w14:textId="77777777" w:rsidR="003869F4" w:rsidRPr="000D2B7F" w:rsidRDefault="003869F4" w:rsidP="003869F4">
      <w:pPr>
        <w:pStyle w:val="NormalBeforeBullet0"/>
        <w:numPr>
          <w:ilvl w:val="0"/>
          <w:numId w:val="30"/>
        </w:numPr>
        <w:rPr>
          <w:rFonts w:ascii="Franklin Gothic Book" w:hAnsi="Franklin Gothic Book"/>
          <w:i/>
        </w:rPr>
      </w:pPr>
      <w:r w:rsidRPr="000D2B7F">
        <w:rPr>
          <w:rFonts w:ascii="Franklin Gothic Book" w:hAnsi="Franklin Gothic Book"/>
        </w:rPr>
        <w:t>Non-tuberculosis mycobacteri</w:t>
      </w:r>
      <w:r>
        <w:rPr>
          <w:rFonts w:ascii="Franklin Gothic Book" w:hAnsi="Franklin Gothic Book"/>
        </w:rPr>
        <w:t>a</w:t>
      </w:r>
      <w:r w:rsidRPr="000D2B7F">
        <w:rPr>
          <w:rFonts w:ascii="Franklin Gothic Book" w:hAnsi="Franklin Gothic Book"/>
        </w:rPr>
        <w:t xml:space="preserve"> (NTM), which includes all mycobacteria not associated with </w:t>
      </w:r>
      <w:r>
        <w:rPr>
          <w:rFonts w:ascii="Franklin Gothic Book" w:hAnsi="Franklin Gothic Book"/>
        </w:rPr>
        <w:t>TB</w:t>
      </w:r>
      <w:r w:rsidRPr="000D2B7F">
        <w:rPr>
          <w:rFonts w:ascii="Franklin Gothic Book" w:hAnsi="Franklin Gothic Book"/>
        </w:rPr>
        <w:t xml:space="preserve"> or leprosy (e.g. </w:t>
      </w:r>
      <w:r w:rsidRPr="000D2B7F">
        <w:rPr>
          <w:rFonts w:ascii="Franklin Gothic Book" w:hAnsi="Franklin Gothic Book"/>
          <w:i/>
        </w:rPr>
        <w:t>M.</w:t>
      </w:r>
      <w:r w:rsidRPr="000D2B7F">
        <w:rPr>
          <w:rFonts w:ascii="Franklin Gothic Book" w:hAnsi="Franklin Gothic Book"/>
        </w:rPr>
        <w:t xml:space="preserve"> </w:t>
      </w:r>
      <w:proofErr w:type="spellStart"/>
      <w:r w:rsidRPr="000D2B7F">
        <w:rPr>
          <w:rFonts w:ascii="Franklin Gothic Book" w:hAnsi="Franklin Gothic Book"/>
          <w:i/>
        </w:rPr>
        <w:t>abscessus</w:t>
      </w:r>
      <w:proofErr w:type="spellEnd"/>
      <w:r w:rsidRPr="000D2B7F">
        <w:rPr>
          <w:rFonts w:ascii="Franklin Gothic Book" w:hAnsi="Franklin Gothic Book"/>
          <w:i/>
        </w:rPr>
        <w:t>,</w:t>
      </w:r>
      <w:r w:rsidRPr="000D2B7F">
        <w:rPr>
          <w:rFonts w:ascii="Franklin Gothic Book" w:hAnsi="Franklin Gothic Book"/>
        </w:rPr>
        <w:t xml:space="preserve"> </w:t>
      </w:r>
      <w:r w:rsidRPr="000D2B7F">
        <w:rPr>
          <w:rFonts w:ascii="Franklin Gothic Book" w:hAnsi="Franklin Gothic Book"/>
          <w:i/>
        </w:rPr>
        <w:t>M. avium-</w:t>
      </w:r>
      <w:proofErr w:type="spellStart"/>
      <w:r w:rsidRPr="000D2B7F">
        <w:rPr>
          <w:rFonts w:ascii="Franklin Gothic Book" w:hAnsi="Franklin Gothic Book"/>
          <w:i/>
        </w:rPr>
        <w:t>intracellulare</w:t>
      </w:r>
      <w:proofErr w:type="spellEnd"/>
      <w:r w:rsidRPr="000D2B7F">
        <w:rPr>
          <w:rFonts w:ascii="Franklin Gothic Book" w:hAnsi="Franklin Gothic Book"/>
          <w:i/>
        </w:rPr>
        <w:t xml:space="preserve">; M. </w:t>
      </w:r>
      <w:proofErr w:type="spellStart"/>
      <w:r w:rsidRPr="000D2B7F">
        <w:rPr>
          <w:rFonts w:ascii="Franklin Gothic Book" w:hAnsi="Franklin Gothic Book"/>
          <w:i/>
        </w:rPr>
        <w:t>kansasii</w:t>
      </w:r>
      <w:proofErr w:type="spellEnd"/>
      <w:r w:rsidRPr="000D2B7F">
        <w:rPr>
          <w:rFonts w:ascii="Franklin Gothic Book" w:hAnsi="Franklin Gothic Book"/>
          <w:i/>
        </w:rPr>
        <w:t xml:space="preserve">, M. </w:t>
      </w:r>
      <w:proofErr w:type="spellStart"/>
      <w:r w:rsidRPr="000D2B7F">
        <w:rPr>
          <w:rFonts w:ascii="Franklin Gothic Book" w:hAnsi="Franklin Gothic Book"/>
          <w:i/>
        </w:rPr>
        <w:t>scrofulaceum</w:t>
      </w:r>
      <w:proofErr w:type="spellEnd"/>
      <w:r w:rsidRPr="000D2B7F">
        <w:rPr>
          <w:rFonts w:ascii="Franklin Gothic Book" w:hAnsi="Franklin Gothic Book"/>
          <w:i/>
        </w:rPr>
        <w:t xml:space="preserve">, M. </w:t>
      </w:r>
      <w:proofErr w:type="spellStart"/>
      <w:r w:rsidRPr="000D2B7F">
        <w:rPr>
          <w:rFonts w:ascii="Franklin Gothic Book" w:hAnsi="Franklin Gothic Book"/>
          <w:i/>
        </w:rPr>
        <w:t>fortuitum</w:t>
      </w:r>
      <w:proofErr w:type="spellEnd"/>
      <w:r w:rsidRPr="000D2B7F">
        <w:rPr>
          <w:rFonts w:ascii="Franklin Gothic Book" w:hAnsi="Franklin Gothic Book"/>
          <w:i/>
        </w:rPr>
        <w:t xml:space="preserve">, M. </w:t>
      </w:r>
      <w:proofErr w:type="spellStart"/>
      <w:r w:rsidRPr="000D2B7F">
        <w:rPr>
          <w:rFonts w:ascii="Franklin Gothic Book" w:hAnsi="Franklin Gothic Book"/>
          <w:i/>
        </w:rPr>
        <w:t>marinum</w:t>
      </w:r>
      <w:proofErr w:type="spellEnd"/>
      <w:r w:rsidRPr="000D2B7F">
        <w:rPr>
          <w:rFonts w:ascii="Franklin Gothic Book" w:hAnsi="Franklin Gothic Book"/>
          <w:i/>
        </w:rPr>
        <w:t xml:space="preserve">, M. </w:t>
      </w:r>
      <w:proofErr w:type="spellStart"/>
      <w:r w:rsidRPr="000D2B7F">
        <w:rPr>
          <w:rFonts w:ascii="Franklin Gothic Book" w:hAnsi="Franklin Gothic Book"/>
          <w:i/>
        </w:rPr>
        <w:t>chelonae</w:t>
      </w:r>
      <w:proofErr w:type="spellEnd"/>
      <w:r w:rsidRPr="000D2B7F">
        <w:rPr>
          <w:rFonts w:ascii="Franklin Gothic Book" w:hAnsi="Franklin Gothic Book"/>
          <w:i/>
        </w:rPr>
        <w:t xml:space="preserve"> </w:t>
      </w:r>
      <w:r w:rsidRPr="000D2B7F">
        <w:rPr>
          <w:rFonts w:ascii="Franklin Gothic Book" w:hAnsi="Franklin Gothic Book"/>
        </w:rPr>
        <w:t xml:space="preserve">or </w:t>
      </w:r>
      <w:r w:rsidRPr="000D2B7F">
        <w:rPr>
          <w:rFonts w:ascii="Franklin Gothic Book" w:hAnsi="Franklin Gothic Book"/>
          <w:i/>
        </w:rPr>
        <w:t xml:space="preserve">M. </w:t>
      </w:r>
      <w:proofErr w:type="spellStart"/>
      <w:r w:rsidRPr="000D2B7F">
        <w:rPr>
          <w:rFonts w:ascii="Franklin Gothic Book" w:hAnsi="Franklin Gothic Book"/>
          <w:i/>
        </w:rPr>
        <w:t>ulcerans</w:t>
      </w:r>
      <w:proofErr w:type="spellEnd"/>
      <w:r w:rsidRPr="000D2B7F">
        <w:rPr>
          <w:rFonts w:ascii="Franklin Gothic Book" w:hAnsi="Franklin Gothic Book"/>
          <w:i/>
        </w:rPr>
        <w:t xml:space="preserve">.); </w:t>
      </w:r>
      <w:r w:rsidRPr="000D2B7F">
        <w:rPr>
          <w:rFonts w:ascii="Franklin Gothic Book" w:hAnsi="Franklin Gothic Book"/>
        </w:rPr>
        <w:t xml:space="preserve">and </w:t>
      </w:r>
    </w:p>
    <w:p w14:paraId="4D546B2A" w14:textId="77777777" w:rsidR="003869F4" w:rsidRPr="000D2B7F" w:rsidRDefault="003869F4" w:rsidP="003869F4">
      <w:pPr>
        <w:pStyle w:val="NormalBeforeBullet0"/>
        <w:numPr>
          <w:ilvl w:val="0"/>
          <w:numId w:val="30"/>
        </w:numPr>
        <w:rPr>
          <w:rFonts w:ascii="Franklin Gothic Book" w:hAnsi="Franklin Gothic Book"/>
          <w:i/>
        </w:rPr>
      </w:pPr>
      <w:r w:rsidRPr="000D2B7F">
        <w:rPr>
          <w:rFonts w:ascii="Franklin Gothic Book" w:hAnsi="Franklin Gothic Book"/>
          <w:i/>
        </w:rPr>
        <w:t>M. leprae</w:t>
      </w:r>
      <w:r w:rsidRPr="000D2B7F">
        <w:rPr>
          <w:rFonts w:ascii="Franklin Gothic Book" w:hAnsi="Franklin Gothic Book"/>
        </w:rPr>
        <w:t xml:space="preserve"> complex </w:t>
      </w:r>
      <w:r w:rsidRPr="000D2B7F">
        <w:rPr>
          <w:rFonts w:ascii="Franklin Gothic Book" w:hAnsi="Franklin Gothic Book"/>
          <w:i/>
        </w:rPr>
        <w:t xml:space="preserve">(M. leprae </w:t>
      </w:r>
      <w:r w:rsidRPr="000D2B7F">
        <w:rPr>
          <w:rFonts w:ascii="Franklin Gothic Book" w:hAnsi="Franklin Gothic Book"/>
        </w:rPr>
        <w:t>or</w:t>
      </w:r>
      <w:r w:rsidRPr="000D2B7F">
        <w:rPr>
          <w:rFonts w:ascii="Franklin Gothic Book" w:hAnsi="Franklin Gothic Book"/>
          <w:i/>
        </w:rPr>
        <w:t xml:space="preserve"> M. </w:t>
      </w:r>
      <w:proofErr w:type="spellStart"/>
      <w:r w:rsidRPr="000D2B7F">
        <w:rPr>
          <w:rFonts w:ascii="Franklin Gothic Book" w:hAnsi="Franklin Gothic Book"/>
          <w:i/>
        </w:rPr>
        <w:t>lepromatosis</w:t>
      </w:r>
      <w:proofErr w:type="spellEnd"/>
      <w:r w:rsidRPr="000D2B7F">
        <w:rPr>
          <w:rFonts w:ascii="Franklin Gothic Book" w:hAnsi="Franklin Gothic Book"/>
          <w:i/>
        </w:rPr>
        <w:t xml:space="preserve">) </w:t>
      </w:r>
      <w:r w:rsidRPr="000D2B7F">
        <w:rPr>
          <w:rFonts w:ascii="Franklin Gothic Book" w:hAnsi="Franklin Gothic Book"/>
        </w:rPr>
        <w:t>responsible for leprosy</w:t>
      </w:r>
      <w:r w:rsidRPr="000D2B7F">
        <w:rPr>
          <w:rFonts w:ascii="Franklin Gothic Book" w:hAnsi="Franklin Gothic Book"/>
          <w:i/>
        </w:rPr>
        <w:t>.</w:t>
      </w:r>
    </w:p>
    <w:p w14:paraId="3A9FFFD4" w14:textId="77777777" w:rsidR="003869F4" w:rsidRPr="003869F4" w:rsidRDefault="003869F4" w:rsidP="003869F4">
      <w:pPr>
        <w:spacing w:after="240"/>
        <w:rPr>
          <w:rFonts w:ascii="Franklin Gothic Book" w:hAnsi="Franklin Gothic Book"/>
          <w:iCs/>
          <w:sz w:val="22"/>
          <w:szCs w:val="22"/>
        </w:rPr>
      </w:pPr>
      <w:r w:rsidRPr="003869F4">
        <w:rPr>
          <w:rFonts w:ascii="Franklin Gothic Book" w:hAnsi="Franklin Gothic Book"/>
          <w:iCs/>
          <w:sz w:val="22"/>
          <w:szCs w:val="22"/>
        </w:rPr>
        <w:t xml:space="preserve">Although the applicants do not expect that pathogen WGS will be used to test patients with NTM or </w:t>
      </w:r>
      <w:r w:rsidRPr="003869F4">
        <w:rPr>
          <w:rFonts w:ascii="Franklin Gothic Book" w:hAnsi="Franklin Gothic Book"/>
          <w:i/>
          <w:sz w:val="22"/>
          <w:szCs w:val="22"/>
        </w:rPr>
        <w:t>M. leprae</w:t>
      </w:r>
      <w:r w:rsidRPr="003869F4">
        <w:rPr>
          <w:rFonts w:ascii="Franklin Gothic Book" w:hAnsi="Franklin Gothic Book"/>
          <w:iCs/>
          <w:sz w:val="22"/>
          <w:szCs w:val="22"/>
        </w:rPr>
        <w:t xml:space="preserve"> complex infections in the near future, the item descriptor is non-specific to MTBC. Information regarding the different mycobacteria have therefore been provided.  </w:t>
      </w:r>
    </w:p>
    <w:p w14:paraId="27262C21" w14:textId="07016909" w:rsidR="003869F4" w:rsidRPr="003869F4" w:rsidRDefault="003869F4" w:rsidP="003869F4">
      <w:pPr>
        <w:spacing w:after="240"/>
        <w:rPr>
          <w:rFonts w:ascii="Franklin Gothic Book" w:hAnsi="Franklin Gothic Book"/>
          <w:iCs/>
          <w:sz w:val="22"/>
          <w:szCs w:val="22"/>
        </w:rPr>
      </w:pPr>
      <w:r w:rsidRPr="003869F4">
        <w:rPr>
          <w:rFonts w:ascii="Franklin Gothic Book" w:hAnsi="Franklin Gothic Book"/>
          <w:iCs/>
          <w:sz w:val="22"/>
          <w:szCs w:val="22"/>
        </w:rPr>
        <w:t>In 2018, 1</w:t>
      </w:r>
      <w:r w:rsidR="00895B7B">
        <w:rPr>
          <w:rFonts w:ascii="Franklin Gothic Book" w:hAnsi="Franklin Gothic Book"/>
          <w:iCs/>
          <w:sz w:val="22"/>
          <w:szCs w:val="22"/>
        </w:rPr>
        <w:t>,</w:t>
      </w:r>
      <w:r w:rsidRPr="003869F4">
        <w:rPr>
          <w:rFonts w:ascii="Franklin Gothic Book" w:hAnsi="Franklin Gothic Book"/>
          <w:iCs/>
          <w:sz w:val="22"/>
          <w:szCs w:val="22"/>
        </w:rPr>
        <w:t>259 new or relapsed cases of TB were confirmed to have mycobacteria (5-6 per 100,000</w:t>
      </w:r>
      <w:r w:rsidRPr="008D1C4A">
        <w:rPr>
          <w:rFonts w:ascii="Franklin Gothic Book" w:hAnsi="Franklin Gothic Book"/>
          <w:iCs/>
          <w:sz w:val="22"/>
          <w:szCs w:val="22"/>
          <w:vertAlign w:val="superscript"/>
        </w:rPr>
        <w:footnoteReference w:id="1"/>
      </w:r>
      <w:r w:rsidRPr="003869F4">
        <w:rPr>
          <w:rFonts w:ascii="Franklin Gothic Book" w:hAnsi="Franklin Gothic Book"/>
          <w:iCs/>
          <w:sz w:val="22"/>
          <w:szCs w:val="22"/>
        </w:rPr>
        <w:t>). The incidence of clinically significant NTM in 2000 was 1.8 per 100,000</w:t>
      </w:r>
      <w:r w:rsidRPr="008D1C4A">
        <w:rPr>
          <w:rFonts w:ascii="Franklin Gothic Book" w:hAnsi="Franklin Gothic Book"/>
          <w:iCs/>
          <w:sz w:val="22"/>
          <w:szCs w:val="22"/>
          <w:vertAlign w:val="superscript"/>
        </w:rPr>
        <w:footnoteReference w:id="2"/>
      </w:r>
      <w:r w:rsidRPr="003869F4">
        <w:rPr>
          <w:rFonts w:ascii="Franklin Gothic Book" w:hAnsi="Franklin Gothic Book"/>
          <w:iCs/>
          <w:sz w:val="22"/>
          <w:szCs w:val="22"/>
        </w:rPr>
        <w:t xml:space="preserve">, and the incidence of </w:t>
      </w:r>
      <w:r w:rsidRPr="008C01F4">
        <w:rPr>
          <w:rFonts w:ascii="Franklin Gothic Book" w:hAnsi="Franklin Gothic Book"/>
          <w:i/>
          <w:sz w:val="22"/>
          <w:szCs w:val="22"/>
        </w:rPr>
        <w:t>M. leprae</w:t>
      </w:r>
      <w:r w:rsidRPr="003869F4">
        <w:rPr>
          <w:rFonts w:ascii="Franklin Gothic Book" w:hAnsi="Franklin Gothic Book"/>
          <w:iCs/>
          <w:sz w:val="22"/>
          <w:szCs w:val="22"/>
        </w:rPr>
        <w:t xml:space="preserve"> is 0-0.1 per 100,000</w:t>
      </w:r>
      <w:r w:rsidRPr="008D1C4A">
        <w:rPr>
          <w:rFonts w:ascii="Franklin Gothic Book" w:hAnsi="Franklin Gothic Book"/>
          <w:iCs/>
          <w:sz w:val="22"/>
          <w:szCs w:val="22"/>
          <w:vertAlign w:val="superscript"/>
        </w:rPr>
        <w:t>1</w:t>
      </w:r>
      <w:r w:rsidRPr="003869F4">
        <w:rPr>
          <w:rFonts w:ascii="Franklin Gothic Book" w:hAnsi="Franklin Gothic Book"/>
          <w:iCs/>
          <w:sz w:val="22"/>
          <w:szCs w:val="22"/>
        </w:rPr>
        <w:t>.</w:t>
      </w:r>
    </w:p>
    <w:p w14:paraId="7E77A5BB" w14:textId="1425BE47" w:rsidR="003869F4" w:rsidRPr="003869F4" w:rsidRDefault="003869F4" w:rsidP="003869F4">
      <w:pPr>
        <w:spacing w:after="240"/>
        <w:rPr>
          <w:rFonts w:ascii="Franklin Gothic Book" w:hAnsi="Franklin Gothic Book"/>
          <w:iCs/>
          <w:sz w:val="22"/>
          <w:szCs w:val="22"/>
        </w:rPr>
      </w:pPr>
      <w:r w:rsidRPr="003869F4">
        <w:rPr>
          <w:rFonts w:ascii="Franklin Gothic Book" w:hAnsi="Franklin Gothic Book"/>
          <w:iCs/>
          <w:sz w:val="22"/>
          <w:szCs w:val="22"/>
        </w:rPr>
        <w:t>It is estimated that 2</w:t>
      </w:r>
      <w:r w:rsidR="00895B7B">
        <w:rPr>
          <w:rFonts w:ascii="Franklin Gothic Book" w:hAnsi="Franklin Gothic Book"/>
          <w:iCs/>
          <w:sz w:val="22"/>
          <w:szCs w:val="22"/>
        </w:rPr>
        <w:t>%</w:t>
      </w:r>
      <w:r w:rsidRPr="003869F4">
        <w:rPr>
          <w:rFonts w:ascii="Franklin Gothic Book" w:hAnsi="Franklin Gothic Book"/>
          <w:iCs/>
          <w:sz w:val="22"/>
          <w:szCs w:val="22"/>
        </w:rPr>
        <w:t xml:space="preserve"> of patients with TB fail to respond to either initial or subsequent treatment (n=25), and would be retested due to persistence of symptoms. In addition, a small number of patients would be identified with other types of mycobacterial infection. The applicants therefore estimate that approximately 1</w:t>
      </w:r>
      <w:r w:rsidR="00895B7B">
        <w:rPr>
          <w:rFonts w:ascii="Franklin Gothic Book" w:hAnsi="Franklin Gothic Book"/>
          <w:iCs/>
          <w:sz w:val="22"/>
          <w:szCs w:val="22"/>
        </w:rPr>
        <w:t>,</w:t>
      </w:r>
      <w:r w:rsidRPr="003869F4">
        <w:rPr>
          <w:rFonts w:ascii="Franklin Gothic Book" w:hAnsi="Franklin Gothic Book"/>
          <w:iCs/>
          <w:sz w:val="22"/>
          <w:szCs w:val="22"/>
        </w:rPr>
        <w:t xml:space="preserve">300 patients per year would be eligible for the proposed MBS item. </w:t>
      </w:r>
    </w:p>
    <w:p w14:paraId="121F94B6" w14:textId="7367708D" w:rsidR="006F4EBA" w:rsidRPr="003869F4" w:rsidRDefault="003869F4" w:rsidP="003869F4">
      <w:pPr>
        <w:spacing w:after="240"/>
        <w:rPr>
          <w:rFonts w:ascii="Franklin Gothic Book" w:hAnsi="Franklin Gothic Book"/>
          <w:iCs/>
          <w:sz w:val="22"/>
          <w:szCs w:val="22"/>
        </w:rPr>
      </w:pPr>
      <w:r w:rsidRPr="003869F4">
        <w:rPr>
          <w:rFonts w:ascii="Franklin Gothic Book" w:hAnsi="Franklin Gothic Book"/>
          <w:iCs/>
          <w:sz w:val="22"/>
          <w:szCs w:val="22"/>
        </w:rPr>
        <w:t xml:space="preserve">For those with MTBC and NTM, WGS is performed on culture, after diagnosis of TB and confirmation of mycobacteria and initial classification of rifampicin-resistance by GeneXpert. WGS is performed at the same time as phenotypic DST. In most laboratories, the results of WGS are available before </w:t>
      </w:r>
      <w:proofErr w:type="spellStart"/>
      <w:r w:rsidRPr="003869F4">
        <w:rPr>
          <w:rFonts w:ascii="Franklin Gothic Book" w:hAnsi="Franklin Gothic Book"/>
          <w:iCs/>
          <w:sz w:val="22"/>
          <w:szCs w:val="22"/>
        </w:rPr>
        <w:t>pDST</w:t>
      </w:r>
      <w:proofErr w:type="spellEnd"/>
      <w:r w:rsidRPr="003869F4">
        <w:rPr>
          <w:rFonts w:ascii="Franklin Gothic Book" w:hAnsi="Franklin Gothic Book"/>
          <w:iCs/>
          <w:sz w:val="22"/>
          <w:szCs w:val="22"/>
        </w:rPr>
        <w:t xml:space="preserve"> results, which allows earlier amendments to the treatment regimen, if required. For those with leprosy, </w:t>
      </w:r>
      <w:r w:rsidRPr="008D1C4A">
        <w:rPr>
          <w:rFonts w:ascii="Franklin Gothic Book" w:hAnsi="Franklin Gothic Book"/>
          <w:i/>
          <w:sz w:val="22"/>
          <w:szCs w:val="22"/>
        </w:rPr>
        <w:t>M. leprae</w:t>
      </w:r>
      <w:r w:rsidRPr="003869F4">
        <w:rPr>
          <w:rFonts w:ascii="Franklin Gothic Book" w:hAnsi="Franklin Gothic Book"/>
          <w:iCs/>
          <w:sz w:val="22"/>
          <w:szCs w:val="22"/>
        </w:rPr>
        <w:t xml:space="preserve"> complex cannot be cultured</w:t>
      </w:r>
      <w:r w:rsidR="00D82558" w:rsidRPr="00D82558">
        <w:rPr>
          <w:rFonts w:ascii="Franklin Gothic Book" w:eastAsia="Calibri" w:hAnsi="Franklin Gothic Book"/>
          <w:sz w:val="22"/>
          <w:szCs w:val="22"/>
          <w:lang w:eastAsia="en-US"/>
        </w:rPr>
        <w:t xml:space="preserve"> </w:t>
      </w:r>
      <w:r w:rsidR="00D82558" w:rsidRPr="003869F4">
        <w:rPr>
          <w:rFonts w:ascii="Franklin Gothic Book" w:eastAsia="Calibri" w:hAnsi="Franklin Gothic Book"/>
          <w:sz w:val="22"/>
          <w:szCs w:val="22"/>
          <w:lang w:eastAsia="en-US"/>
        </w:rPr>
        <w:t>outside of animal models</w:t>
      </w:r>
      <w:r w:rsidRPr="003869F4">
        <w:rPr>
          <w:rFonts w:ascii="Franklin Gothic Book" w:hAnsi="Franklin Gothic Book"/>
          <w:iCs/>
          <w:sz w:val="22"/>
          <w:szCs w:val="22"/>
        </w:rPr>
        <w:t>, and current methods of DST use polymerase chain reaction (PCR) methods.</w:t>
      </w:r>
    </w:p>
    <w:p w14:paraId="66AC37AB" w14:textId="0FD2A41A" w:rsidR="006F4EBA" w:rsidRPr="00A436C5" w:rsidRDefault="006F4EBA" w:rsidP="00E06036">
      <w:pPr>
        <w:pStyle w:val="Heading1"/>
      </w:pPr>
      <w:r w:rsidRPr="006F4EBA">
        <w:t>Comparator</w:t>
      </w:r>
      <w:r w:rsidRPr="00A436C5">
        <w:t xml:space="preserve"> </w:t>
      </w:r>
    </w:p>
    <w:p w14:paraId="26231667" w14:textId="0BAEE48C" w:rsidR="003869F4" w:rsidRPr="003869F4" w:rsidRDefault="003869F4" w:rsidP="003869F4">
      <w:pPr>
        <w:rPr>
          <w:rFonts w:ascii="Franklin Gothic Book" w:eastAsia="Calibri" w:hAnsi="Franklin Gothic Book"/>
          <w:sz w:val="22"/>
          <w:szCs w:val="22"/>
          <w:lang w:eastAsia="en-US"/>
        </w:rPr>
      </w:pPr>
      <w:bookmarkStart w:id="7" w:name="_Toc69491421"/>
      <w:r w:rsidRPr="003869F4">
        <w:rPr>
          <w:rFonts w:ascii="Franklin Gothic Book" w:eastAsia="Calibri" w:hAnsi="Franklin Gothic Book"/>
          <w:sz w:val="22"/>
          <w:szCs w:val="22"/>
          <w:lang w:eastAsia="en-US"/>
        </w:rPr>
        <w:t xml:space="preserve">For those with MTBC, the PASC-ratified comparator is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which analyses the bacterial susceptibility of antimicrobial agents. It is MBS-listed (items 69324, 69327 and 69330), and uses well-proven methods, such as agar and broth microdilution or disc diffusion, followed by interpretation according to agreed guidelines. However,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is time consuming, with long turnaround times for slow-growing organisms such as mycobacteria. The results of a full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workup for first-line antibiotics can take several weeks, and if resistance is identified, classification of second-line or third line antibiotics takes even longer. In the interim, patients are treated empirically based on the phenotype and GeneXpert platform test</w:t>
      </w:r>
      <w:r w:rsidR="00C876DC">
        <w:rPr>
          <w:rFonts w:ascii="Franklin Gothic Book" w:eastAsia="Calibri" w:hAnsi="Franklin Gothic Book"/>
          <w:sz w:val="22"/>
          <w:szCs w:val="22"/>
          <w:lang w:eastAsia="en-US"/>
        </w:rPr>
        <w:t xml:space="preserve"> result</w:t>
      </w:r>
      <w:r w:rsidRPr="003869F4">
        <w:rPr>
          <w:rFonts w:ascii="Franklin Gothic Book" w:eastAsia="Calibri" w:hAnsi="Franklin Gothic Book"/>
          <w:sz w:val="22"/>
          <w:szCs w:val="22"/>
          <w:lang w:eastAsia="en-US"/>
        </w:rPr>
        <w:t xml:space="preserve">. The GeneXpert </w:t>
      </w:r>
      <w:r w:rsidRPr="008C01F4">
        <w:rPr>
          <w:rFonts w:ascii="Franklin Gothic Book" w:eastAsia="Calibri" w:hAnsi="Franklin Gothic Book"/>
          <w:i/>
          <w:iCs/>
          <w:sz w:val="22"/>
          <w:szCs w:val="22"/>
          <w:lang w:eastAsia="en-US"/>
        </w:rPr>
        <w:t>M. tuberculosis</w:t>
      </w:r>
      <w:r w:rsidRPr="003869F4">
        <w:rPr>
          <w:rFonts w:ascii="Franklin Gothic Book" w:eastAsia="Calibri" w:hAnsi="Franklin Gothic Book"/>
          <w:sz w:val="22"/>
          <w:szCs w:val="22"/>
          <w:lang w:eastAsia="en-US"/>
        </w:rPr>
        <w:t xml:space="preserve">/rifampicin (MTB/RIF) assay is a rapid test for TB (returning results within 2 hours), that confirms the presence of </w:t>
      </w:r>
      <w:r w:rsidRPr="008C01F4">
        <w:rPr>
          <w:rFonts w:ascii="Franklin Gothic Book" w:eastAsia="Calibri" w:hAnsi="Franklin Gothic Book"/>
          <w:i/>
          <w:iCs/>
          <w:sz w:val="22"/>
          <w:szCs w:val="22"/>
          <w:lang w:eastAsia="en-US"/>
        </w:rPr>
        <w:t>M. tuberculosis</w:t>
      </w:r>
      <w:r w:rsidRPr="003869F4">
        <w:rPr>
          <w:rFonts w:ascii="Franklin Gothic Book" w:eastAsia="Calibri" w:hAnsi="Franklin Gothic Book"/>
          <w:sz w:val="22"/>
          <w:szCs w:val="22"/>
          <w:lang w:eastAsia="en-US"/>
        </w:rPr>
        <w:t xml:space="preserve">, and tests whether the isolate is susceptible to rifampicin, one of the first-line treatments for TB. </w:t>
      </w:r>
    </w:p>
    <w:p w14:paraId="56C91552" w14:textId="1E030D26" w:rsidR="003869F4" w:rsidRDefault="003869F4" w:rsidP="003869F4">
      <w:pPr>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 xml:space="preserve">Note that the term used to describe the comparator is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 contrasting with DST, which is used to describe the overall process and could be </w:t>
      </w:r>
      <w:r w:rsidR="00D82558">
        <w:rPr>
          <w:rFonts w:ascii="Franklin Gothic Book" w:eastAsia="Calibri" w:hAnsi="Franklin Gothic Book"/>
          <w:sz w:val="22"/>
          <w:szCs w:val="22"/>
          <w:lang w:eastAsia="en-US"/>
        </w:rPr>
        <w:t>performed</w:t>
      </w:r>
      <w:r w:rsidRPr="003869F4">
        <w:rPr>
          <w:rFonts w:ascii="Franklin Gothic Book" w:eastAsia="Calibri" w:hAnsi="Franklin Gothic Book"/>
          <w:sz w:val="22"/>
          <w:szCs w:val="22"/>
          <w:lang w:eastAsia="en-US"/>
        </w:rPr>
        <w:t xml:space="preserve"> using</w:t>
      </w:r>
      <w:r w:rsidR="00D82558">
        <w:rPr>
          <w:rFonts w:ascii="Franklin Gothic Book" w:eastAsia="Calibri" w:hAnsi="Franklin Gothic Book"/>
          <w:sz w:val="22"/>
          <w:szCs w:val="22"/>
          <w:lang w:eastAsia="en-US"/>
        </w:rPr>
        <w:t>:</w:t>
      </w:r>
      <w:r w:rsidRPr="003869F4">
        <w:rPr>
          <w:rFonts w:ascii="Franklin Gothic Book" w:eastAsia="Calibri" w:hAnsi="Franklin Gothic Book"/>
          <w:sz w:val="22"/>
          <w:szCs w:val="22"/>
          <w:lang w:eastAsia="en-US"/>
        </w:rPr>
        <w:t xml:space="preserve">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alone,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and WGS, or WGS alone. </w:t>
      </w:r>
    </w:p>
    <w:p w14:paraId="7B43BE55" w14:textId="2B1F320E" w:rsidR="003869F4" w:rsidRDefault="003869F4" w:rsidP="00644745">
      <w:pPr>
        <w:spacing w:before="240"/>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 xml:space="preserve">The PASC-ratified PICO confirmation did not describe the comparator for those with NTM or leprosy. For NTM, the relevant comparator would also be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as per MTBC. </w:t>
      </w:r>
    </w:p>
    <w:p w14:paraId="6E4BAAB1" w14:textId="761C2D30" w:rsidR="003869F4" w:rsidRPr="003869F4" w:rsidRDefault="003869F4" w:rsidP="00644745">
      <w:pPr>
        <w:spacing w:before="240"/>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 xml:space="preserve">Phenotypic DST is not possible on </w:t>
      </w:r>
      <w:r w:rsidRPr="008C01F4">
        <w:rPr>
          <w:rFonts w:ascii="Franklin Gothic Book" w:eastAsia="Calibri" w:hAnsi="Franklin Gothic Book"/>
          <w:i/>
          <w:iCs/>
          <w:sz w:val="22"/>
          <w:szCs w:val="22"/>
          <w:lang w:eastAsia="en-US"/>
        </w:rPr>
        <w:t xml:space="preserve">M. leprae </w:t>
      </w:r>
      <w:r w:rsidRPr="003869F4">
        <w:rPr>
          <w:rFonts w:ascii="Franklin Gothic Book" w:eastAsia="Calibri" w:hAnsi="Franklin Gothic Book"/>
          <w:sz w:val="22"/>
          <w:szCs w:val="22"/>
          <w:lang w:eastAsia="en-US"/>
        </w:rPr>
        <w:t xml:space="preserve">complex, as it cannot be cultured. The comparator is therefore direct sequencing of clinical samples using PCR-based methods. This is not currently </w:t>
      </w:r>
      <w:r w:rsidRPr="003869F4">
        <w:rPr>
          <w:rFonts w:ascii="Franklin Gothic Book" w:eastAsia="Calibri" w:hAnsi="Franklin Gothic Book"/>
          <w:sz w:val="22"/>
          <w:szCs w:val="22"/>
          <w:lang w:eastAsia="en-US"/>
        </w:rPr>
        <w:lastRenderedPageBreak/>
        <w:t xml:space="preserve">funded on the MBS. There is no evidence comparing the clinical utility of PCR versus WGS in this population. It is unclear whether WGS methods would replace PCR methods in the future, if available for </w:t>
      </w:r>
      <w:r w:rsidRPr="003869F4">
        <w:rPr>
          <w:rFonts w:ascii="Franklin Gothic Book" w:eastAsia="Calibri" w:hAnsi="Franklin Gothic Book"/>
          <w:i/>
          <w:iCs/>
          <w:sz w:val="22"/>
          <w:szCs w:val="22"/>
          <w:lang w:eastAsia="en-US"/>
        </w:rPr>
        <w:t>M. leprae</w:t>
      </w:r>
      <w:r w:rsidRPr="003869F4">
        <w:rPr>
          <w:rFonts w:ascii="Franklin Gothic Book" w:eastAsia="Calibri" w:hAnsi="Franklin Gothic Book"/>
          <w:sz w:val="22"/>
          <w:szCs w:val="22"/>
          <w:lang w:eastAsia="en-US"/>
        </w:rPr>
        <w:t xml:space="preserve"> complex. </w:t>
      </w:r>
    </w:p>
    <w:p w14:paraId="1F919C17" w14:textId="78870159" w:rsidR="00065623" w:rsidRPr="006F4EBA" w:rsidRDefault="006F4EBA" w:rsidP="00E06036">
      <w:pPr>
        <w:pStyle w:val="Heading1"/>
      </w:pPr>
      <w:r w:rsidRPr="00986EC1">
        <w:t>Summary of public consultation input</w:t>
      </w:r>
      <w:bookmarkEnd w:id="7"/>
    </w:p>
    <w:p w14:paraId="1BD249C0" w14:textId="77777777" w:rsidR="002957BA" w:rsidRPr="002957BA" w:rsidRDefault="002957BA" w:rsidP="00071D98">
      <w:pPr>
        <w:rPr>
          <w:rFonts w:ascii="Franklin Gothic Book" w:hAnsi="Franklin Gothic Book"/>
          <w:iCs/>
          <w:sz w:val="22"/>
          <w:szCs w:val="22"/>
        </w:rPr>
      </w:pPr>
      <w:r w:rsidRPr="002957BA">
        <w:rPr>
          <w:rFonts w:ascii="Franklin Gothic Book" w:hAnsi="Franklin Gothic Book"/>
          <w:iCs/>
          <w:sz w:val="22"/>
          <w:szCs w:val="22"/>
        </w:rPr>
        <w:t xml:space="preserve">Prior to ESC consideration (and subsequent to PASC), consultation feedback was received from 2 organisations, both of which were overall supportive of the proposed intervention: </w:t>
      </w:r>
    </w:p>
    <w:p w14:paraId="6D641E71" w14:textId="77777777" w:rsidR="002957BA" w:rsidRPr="002957BA" w:rsidRDefault="002957BA" w:rsidP="002957BA">
      <w:pPr>
        <w:pStyle w:val="ListParagraph"/>
        <w:numPr>
          <w:ilvl w:val="0"/>
          <w:numId w:val="33"/>
        </w:numPr>
        <w:spacing w:after="240"/>
        <w:rPr>
          <w:rFonts w:ascii="Franklin Gothic Book" w:hAnsi="Franklin Gothic Book"/>
          <w:iCs/>
          <w:sz w:val="22"/>
          <w:szCs w:val="22"/>
        </w:rPr>
      </w:pPr>
      <w:bookmarkStart w:id="8" w:name="_Hlk86737577"/>
      <w:r w:rsidRPr="002957BA">
        <w:rPr>
          <w:rFonts w:ascii="Franklin Gothic Book" w:hAnsi="Franklin Gothic Book"/>
          <w:iCs/>
          <w:sz w:val="22"/>
          <w:szCs w:val="22"/>
        </w:rPr>
        <w:t xml:space="preserve">Australian Commission on Safety and Quality in Health Care (ACSQHC) </w:t>
      </w:r>
    </w:p>
    <w:bookmarkEnd w:id="8"/>
    <w:p w14:paraId="34F0D122" w14:textId="77777777" w:rsidR="002957BA" w:rsidRPr="002957BA" w:rsidRDefault="002957BA" w:rsidP="002957BA">
      <w:pPr>
        <w:pStyle w:val="ListParagraph"/>
        <w:numPr>
          <w:ilvl w:val="0"/>
          <w:numId w:val="33"/>
        </w:numPr>
        <w:spacing w:after="240"/>
        <w:rPr>
          <w:rFonts w:ascii="Franklin Gothic Book" w:hAnsi="Franklin Gothic Book"/>
          <w:iCs/>
          <w:sz w:val="22"/>
          <w:szCs w:val="22"/>
        </w:rPr>
      </w:pPr>
      <w:r w:rsidRPr="002957BA">
        <w:rPr>
          <w:rFonts w:ascii="Franklin Gothic Book" w:hAnsi="Franklin Gothic Book"/>
          <w:iCs/>
          <w:sz w:val="22"/>
          <w:szCs w:val="22"/>
        </w:rPr>
        <w:t xml:space="preserve">Thoracic Society of Australia and New Zealand (TSANZ) </w:t>
      </w:r>
    </w:p>
    <w:p w14:paraId="63BB39EC" w14:textId="77777777" w:rsidR="002957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Note that post-PASC consultation feedback largely addressed the PICO, which included five separate disease indications (each with an exemplar indication), though the 1646 DCAR examines only the first of these.</w:t>
      </w:r>
    </w:p>
    <w:p w14:paraId="32D14A78" w14:textId="2AC019A9" w:rsidR="002957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 xml:space="preserve">A key point raised in comments from the ACSQHC was that the evidence for pathogens other than </w:t>
      </w:r>
      <w:r w:rsidRPr="00D44670">
        <w:rPr>
          <w:rFonts w:ascii="Franklin Gothic Book" w:hAnsi="Franklin Gothic Book"/>
          <w:i/>
          <w:sz w:val="22"/>
          <w:szCs w:val="22"/>
        </w:rPr>
        <w:t>M. tuberculosis</w:t>
      </w:r>
      <w:r w:rsidRPr="002957BA">
        <w:rPr>
          <w:rFonts w:ascii="Franklin Gothic Book" w:hAnsi="Franklin Gothic Book"/>
          <w:iCs/>
          <w:sz w:val="22"/>
          <w:szCs w:val="22"/>
        </w:rPr>
        <w:t xml:space="preserve"> is less clear. As such, it considered that the generic proposed MBS item descriptor is not justified. The ACSQHC advised that the request should be refined to ensure that apart from HIV, the claim for use of WGS for other species is not considered to be supported or warranted at this time, and specific conditions for use should be applied and for the selected pathogens: </w:t>
      </w:r>
      <w:r w:rsidRPr="002957BA">
        <w:rPr>
          <w:rFonts w:ascii="Franklin Gothic Book" w:hAnsi="Franklin Gothic Book"/>
          <w:i/>
          <w:sz w:val="22"/>
          <w:szCs w:val="22"/>
        </w:rPr>
        <w:t>M. tuberculosis</w:t>
      </w:r>
      <w:r w:rsidRPr="002957BA">
        <w:rPr>
          <w:rFonts w:ascii="Franklin Gothic Book" w:hAnsi="Franklin Gothic Book"/>
          <w:iCs/>
          <w:sz w:val="22"/>
          <w:szCs w:val="22"/>
        </w:rPr>
        <w:t xml:space="preserve">, </w:t>
      </w:r>
      <w:r w:rsidRPr="002957BA">
        <w:rPr>
          <w:rFonts w:ascii="Franklin Gothic Book" w:hAnsi="Franklin Gothic Book"/>
          <w:i/>
          <w:sz w:val="22"/>
          <w:szCs w:val="22"/>
        </w:rPr>
        <w:t>Helicobacter</w:t>
      </w:r>
      <w:r w:rsidRPr="002957BA">
        <w:rPr>
          <w:rFonts w:ascii="Franklin Gothic Book" w:hAnsi="Franklin Gothic Book"/>
          <w:iCs/>
          <w:sz w:val="22"/>
          <w:szCs w:val="22"/>
        </w:rPr>
        <w:t xml:space="preserve">, and </w:t>
      </w:r>
      <w:r>
        <w:rPr>
          <w:rFonts w:ascii="Franklin Gothic Book" w:hAnsi="Franklin Gothic Book"/>
          <w:iCs/>
          <w:sz w:val="22"/>
          <w:szCs w:val="22"/>
        </w:rPr>
        <w:t>cytomegalovirus (CMV)</w:t>
      </w:r>
      <w:r w:rsidRPr="002957BA">
        <w:rPr>
          <w:rFonts w:ascii="Franklin Gothic Book" w:hAnsi="Franklin Gothic Book"/>
          <w:iCs/>
          <w:sz w:val="22"/>
          <w:szCs w:val="22"/>
        </w:rPr>
        <w:t>.</w:t>
      </w:r>
    </w:p>
    <w:p w14:paraId="29EC631A" w14:textId="77777777" w:rsidR="002957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 xml:space="preserve">Comments highlighted the importance of WGS of antimicrobial-resistant pathogens in enabling targeted antimicrobial treatment, guiding appropriate initial therapeutic choices in a more timely manner, and ensuring better antimicrobial stewardship. TSANZ emphasised that treatment of resistant pathogens without WGS may place patients at risk of </w:t>
      </w:r>
      <w:bookmarkStart w:id="9" w:name="_Hlk90289492"/>
      <w:r w:rsidRPr="002957BA">
        <w:rPr>
          <w:rFonts w:ascii="Franklin Gothic Book" w:hAnsi="Franklin Gothic Book"/>
          <w:iCs/>
          <w:sz w:val="22"/>
          <w:szCs w:val="22"/>
        </w:rPr>
        <w:t xml:space="preserve">a multidrug resistant TB </w:t>
      </w:r>
      <w:bookmarkEnd w:id="9"/>
      <w:r w:rsidRPr="002957BA">
        <w:rPr>
          <w:rFonts w:ascii="Franklin Gothic Book" w:hAnsi="Franklin Gothic Book"/>
          <w:iCs/>
          <w:sz w:val="22"/>
          <w:szCs w:val="22"/>
        </w:rPr>
        <w:t xml:space="preserve">and render the treatment ineffective or impossible. Both organisations expressed that MBS funding of this intervention would provide patients with equitable access to early identification and appropriate targeted treatment of drug resistant strains, therefore reducing community transmission by improving outbreak detection and prevention. </w:t>
      </w:r>
    </w:p>
    <w:p w14:paraId="65A71F44" w14:textId="1E624CA4" w:rsidR="002957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 xml:space="preserve">The ACSQHC believed that there are no disadvantages in the utilisation of WGS, however, noted the possibility of a potential risk of its excessive use by clinicians for diseases or indications where the specific benefits of WGS over current technologies are limited, or absent, given the generic nature of the use </w:t>
      </w:r>
      <w:r w:rsidR="00D44670">
        <w:rPr>
          <w:rFonts w:ascii="Franklin Gothic Book" w:hAnsi="Franklin Gothic Book"/>
          <w:iCs/>
          <w:sz w:val="22"/>
          <w:szCs w:val="22"/>
        </w:rPr>
        <w:t xml:space="preserve">proposed in the application form </w:t>
      </w:r>
      <w:r w:rsidRPr="002957BA">
        <w:rPr>
          <w:rFonts w:ascii="Franklin Gothic Book" w:hAnsi="Franklin Gothic Book"/>
          <w:iCs/>
          <w:sz w:val="22"/>
          <w:szCs w:val="22"/>
        </w:rPr>
        <w:t>(bacterial, mycobacterial, fungal or parasitic). TSANZ was also concerned that WGS may be expensive and require expert interpretation. TSANZ also noted that there is a risk of failure for WGS to identify a phenotypic drug resistant strain if the causative gene variant is not contained in the databases utilised. However, the condition is likely to be identified in the fullness of time with treatment failure, as is it is with the current diagnostic algorithms.</w:t>
      </w:r>
    </w:p>
    <w:p w14:paraId="3261304C" w14:textId="3CC1D757" w:rsidR="002957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 xml:space="preserve">Consultation feedback from both organisations supported the proposed population. TSANZ supported the intervention and proposed item descriptors, though the ACSQHC, while overall supportive of the proposed intervention, did not support the non-specific use of WGS. </w:t>
      </w:r>
    </w:p>
    <w:p w14:paraId="289F5EA3" w14:textId="328894D1" w:rsidR="002957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TSANZ agreed that phenotypic drug sensitivity testing (DST) by culture is an appropriate comparator. Further, TSANZ considered that there is still a need for the capacity for DST to be conducted (at least by reference laboratories), as the proposal has described that new resistance will continue to arise for which the genetic mutation has yet to be described, or is not included in the genetic resistance database consulted. TSANZ advised that diagnostic reports of pathogen WGS should include a comment to highlight this limitation.</w:t>
      </w:r>
    </w:p>
    <w:p w14:paraId="06E1843C" w14:textId="04FE499E" w:rsidR="006F4EBA" w:rsidRPr="002957BA" w:rsidRDefault="002957BA" w:rsidP="002957BA">
      <w:pPr>
        <w:spacing w:after="240"/>
        <w:rPr>
          <w:rFonts w:ascii="Franklin Gothic Book" w:hAnsi="Franklin Gothic Book"/>
          <w:iCs/>
          <w:sz w:val="22"/>
          <w:szCs w:val="22"/>
        </w:rPr>
      </w:pPr>
      <w:r w:rsidRPr="002957BA">
        <w:rPr>
          <w:rFonts w:ascii="Franklin Gothic Book" w:hAnsi="Franklin Gothic Book"/>
          <w:iCs/>
          <w:sz w:val="22"/>
          <w:szCs w:val="22"/>
        </w:rPr>
        <w:t>TSANZ agreed with the clinical claim that WGS is likely to be non-inferior to DST, and the ACSQHC commented that only TB was discussed yet the clinical claim is much broader.</w:t>
      </w:r>
    </w:p>
    <w:p w14:paraId="7A3D7EDC" w14:textId="44243825" w:rsidR="006F4EBA" w:rsidRPr="00986EC1" w:rsidRDefault="006F4EBA" w:rsidP="00E06036">
      <w:pPr>
        <w:pStyle w:val="Heading1"/>
      </w:pPr>
      <w:bookmarkStart w:id="10" w:name="_Toc69491422"/>
      <w:r w:rsidRPr="00986EC1">
        <w:lastRenderedPageBreak/>
        <w:t>Characteristics of the evidence base</w:t>
      </w:r>
      <w:bookmarkEnd w:id="10"/>
    </w:p>
    <w:p w14:paraId="26D64CC8" w14:textId="74D1CE67" w:rsidR="008D1C4A" w:rsidRPr="00DC304B" w:rsidRDefault="008D1C4A" w:rsidP="00DC304B">
      <w:pPr>
        <w:spacing w:after="240"/>
        <w:rPr>
          <w:rFonts w:ascii="Franklin Gothic Book" w:hAnsi="Franklin Gothic Book"/>
          <w:iCs/>
          <w:sz w:val="22"/>
          <w:szCs w:val="22"/>
        </w:rPr>
      </w:pPr>
      <w:r w:rsidRPr="00DC304B">
        <w:rPr>
          <w:rFonts w:ascii="Franklin Gothic Book" w:hAnsi="Franklin Gothic Book"/>
          <w:iCs/>
          <w:sz w:val="22"/>
          <w:szCs w:val="22"/>
        </w:rPr>
        <w:t xml:space="preserve">Overall, there was relatively limited evidence for every component of the assessment report, with the exception of concordance between WGS and </w:t>
      </w:r>
      <w:proofErr w:type="spellStart"/>
      <w:r w:rsidRPr="00DC304B">
        <w:rPr>
          <w:rFonts w:ascii="Franklin Gothic Book" w:hAnsi="Franklin Gothic Book"/>
          <w:iCs/>
          <w:sz w:val="22"/>
          <w:szCs w:val="22"/>
        </w:rPr>
        <w:t>pDST</w:t>
      </w:r>
      <w:proofErr w:type="spellEnd"/>
      <w:r w:rsidRPr="00DC304B">
        <w:rPr>
          <w:rFonts w:ascii="Franklin Gothic Book" w:hAnsi="Franklin Gothic Book"/>
          <w:iCs/>
          <w:sz w:val="22"/>
          <w:szCs w:val="22"/>
        </w:rPr>
        <w:t xml:space="preserve">, and information on the turnaround time for WGS and </w:t>
      </w:r>
      <w:proofErr w:type="spellStart"/>
      <w:r w:rsidRPr="00DC304B">
        <w:rPr>
          <w:rFonts w:ascii="Franklin Gothic Book" w:hAnsi="Franklin Gothic Book"/>
          <w:iCs/>
          <w:sz w:val="22"/>
          <w:szCs w:val="22"/>
        </w:rPr>
        <w:t>pDST</w:t>
      </w:r>
      <w:proofErr w:type="spellEnd"/>
      <w:r w:rsidRPr="00DC304B">
        <w:rPr>
          <w:rFonts w:ascii="Franklin Gothic Book" w:hAnsi="Franklin Gothic Book"/>
          <w:iCs/>
          <w:sz w:val="22"/>
          <w:szCs w:val="22"/>
        </w:rPr>
        <w:t xml:space="preserve">. However, a single study with low risk of bias for a relatively applicable population was identified reporting on the accuracy of WGS and </w:t>
      </w:r>
      <w:proofErr w:type="spellStart"/>
      <w:r w:rsidRPr="00DC304B">
        <w:rPr>
          <w:rFonts w:ascii="Franklin Gothic Book" w:hAnsi="Franklin Gothic Book"/>
          <w:iCs/>
          <w:sz w:val="22"/>
          <w:szCs w:val="22"/>
        </w:rPr>
        <w:t>pDST</w:t>
      </w:r>
      <w:proofErr w:type="spellEnd"/>
      <w:r w:rsidRPr="00DC304B">
        <w:rPr>
          <w:rFonts w:ascii="Franklin Gothic Book" w:hAnsi="Franklin Gothic Book"/>
          <w:iCs/>
          <w:sz w:val="22"/>
          <w:szCs w:val="22"/>
        </w:rPr>
        <w:t xml:space="preserve"> separately, compared to a reference standard of information from the two types of tests combined. A small but highly applicable study from New South Wales was identified on the turnaround time of both tests, with international data to support the direction of effect. The evidence was most limited when it came to how the addition of WGS impacts the management of patients. One or two small case series (the amount of overlap is unclear) in a highly select group of patients from London suspected of having extensively drug resistant TB (XDR-TB, defined as multi-drug resistant TB (MDR-TB) strains that are resistant to fluoroquinolones and second-line injectable drugs), reported on the impact of WGS on management. Two articles from one institution in Germany (with a possible overlap of patients) retrospectively documented what management for MDR-TB (defined as TB resistant to isoniazid and rifampicin) patients would occur based only on WGS or </w:t>
      </w:r>
      <w:proofErr w:type="spellStart"/>
      <w:r w:rsidRPr="00DC304B">
        <w:rPr>
          <w:rFonts w:ascii="Franklin Gothic Book" w:hAnsi="Franklin Gothic Book"/>
          <w:iCs/>
          <w:sz w:val="22"/>
          <w:szCs w:val="22"/>
        </w:rPr>
        <w:t>pDST</w:t>
      </w:r>
      <w:proofErr w:type="spellEnd"/>
      <w:r w:rsidRPr="00DC304B">
        <w:rPr>
          <w:rFonts w:ascii="Franklin Gothic Book" w:hAnsi="Franklin Gothic Book"/>
          <w:iCs/>
          <w:sz w:val="22"/>
          <w:szCs w:val="22"/>
        </w:rPr>
        <w:t xml:space="preserve"> (i.e. providing a within-patient retrospective cohort study). The likely impact of the addition of WGS on the management of patients in Australia has therefore had to be hypothesised using treatment guidelines. The evidence supporting the use of drugs consistent with what their DST results say they should be susceptible to is consistent, and likely applicable to the small proportion of patients in whom WGS would alter treatment. A summary of the key features of the evidence is shown in </w:t>
      </w:r>
      <w:r w:rsidRPr="00DC304B">
        <w:rPr>
          <w:rFonts w:ascii="Franklin Gothic Book" w:hAnsi="Franklin Gothic Book"/>
          <w:iCs/>
          <w:sz w:val="22"/>
          <w:szCs w:val="22"/>
        </w:rPr>
        <w:fldChar w:fldCharType="begin"/>
      </w:r>
      <w:r w:rsidRPr="00DC304B">
        <w:rPr>
          <w:rFonts w:ascii="Franklin Gothic Book" w:hAnsi="Franklin Gothic Book"/>
          <w:iCs/>
          <w:sz w:val="22"/>
          <w:szCs w:val="22"/>
        </w:rPr>
        <w:instrText xml:space="preserve"> REF _Ref69725659 \h  \* MERGEFORMAT </w:instrText>
      </w:r>
      <w:r w:rsidRPr="00DC304B">
        <w:rPr>
          <w:rFonts w:ascii="Franklin Gothic Book" w:hAnsi="Franklin Gothic Book"/>
          <w:iCs/>
          <w:sz w:val="22"/>
          <w:szCs w:val="22"/>
        </w:rPr>
      </w:r>
      <w:r w:rsidRPr="00DC304B">
        <w:rPr>
          <w:rFonts w:ascii="Franklin Gothic Book" w:hAnsi="Franklin Gothic Book"/>
          <w:iCs/>
          <w:sz w:val="22"/>
          <w:szCs w:val="22"/>
        </w:rPr>
        <w:fldChar w:fldCharType="separate"/>
      </w:r>
      <w:r w:rsidR="004C2B2A" w:rsidRPr="004C2B2A">
        <w:rPr>
          <w:rFonts w:ascii="Franklin Gothic Book" w:hAnsi="Franklin Gothic Book"/>
          <w:iCs/>
          <w:sz w:val="22"/>
          <w:szCs w:val="22"/>
        </w:rPr>
        <w:t>Table 3</w:t>
      </w:r>
      <w:r w:rsidRPr="00DC304B">
        <w:rPr>
          <w:rFonts w:ascii="Franklin Gothic Book" w:hAnsi="Franklin Gothic Book"/>
          <w:iCs/>
          <w:sz w:val="22"/>
          <w:szCs w:val="22"/>
        </w:rPr>
        <w:fldChar w:fldCharType="end"/>
      </w:r>
      <w:r w:rsidRPr="00DC304B">
        <w:rPr>
          <w:rFonts w:ascii="Franklin Gothic Book" w:hAnsi="Franklin Gothic Book"/>
          <w:iCs/>
          <w:sz w:val="22"/>
          <w:szCs w:val="22"/>
        </w:rPr>
        <w:t>.</w:t>
      </w:r>
    </w:p>
    <w:p w14:paraId="064C6CDA" w14:textId="73424638" w:rsidR="008D1C4A" w:rsidRPr="00CE28E3" w:rsidRDefault="008D1C4A" w:rsidP="00644745">
      <w:pPr>
        <w:pStyle w:val="Caption"/>
        <w:rPr>
          <w:sz w:val="16"/>
          <w:szCs w:val="16"/>
        </w:rPr>
      </w:pPr>
      <w:bookmarkStart w:id="11" w:name="_Ref69725659"/>
      <w:r w:rsidRPr="00CE28E3">
        <w:t>Table</w:t>
      </w:r>
      <w:r>
        <w:t> </w:t>
      </w:r>
      <w:fldSimple w:instr=" SEQ Table \* ARABIC ">
        <w:r w:rsidR="004C2B2A">
          <w:rPr>
            <w:noProof/>
          </w:rPr>
          <w:t>3</w:t>
        </w:r>
      </w:fldSimple>
      <w:bookmarkEnd w:id="11"/>
      <w:r w:rsidRPr="00CE28E3">
        <w:tab/>
        <w:t>Key fe</w:t>
      </w:r>
      <w:r>
        <w:t>atures of the included evidence</w:t>
      </w:r>
    </w:p>
    <w:tbl>
      <w:tblPr>
        <w:tblStyle w:val="TableGrid2"/>
        <w:tblW w:w="5000" w:type="pct"/>
        <w:tblLook w:val="04A0" w:firstRow="1" w:lastRow="0" w:firstColumn="1" w:lastColumn="0" w:noHBand="0" w:noVBand="1"/>
        <w:tblDescription w:val="Key features of the included evidence"/>
      </w:tblPr>
      <w:tblGrid>
        <w:gridCol w:w="1816"/>
        <w:gridCol w:w="3325"/>
        <w:gridCol w:w="1800"/>
        <w:gridCol w:w="2075"/>
      </w:tblGrid>
      <w:tr w:rsidR="008D1C4A" w:rsidRPr="00CE28E3" w14:paraId="73CBC4A2" w14:textId="77777777" w:rsidTr="005766AB">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3CF892A7" w14:textId="77777777" w:rsidR="008D1C4A" w:rsidRPr="00CE28E3" w:rsidRDefault="008D1C4A" w:rsidP="005766AB">
            <w:pPr>
              <w:pStyle w:val="TableText1"/>
              <w:keepNext/>
              <w:rPr>
                <w:b/>
              </w:rPr>
            </w:pPr>
            <w:bookmarkStart w:id="12" w:name="ColumnTitle_Table4"/>
            <w:bookmarkStart w:id="13" w:name="_Hlk68276288"/>
            <w:bookmarkEnd w:id="12"/>
            <w:r>
              <w:rPr>
                <w:b/>
              </w:rPr>
              <w:t>Criterion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271EF7FF" w14:textId="77777777" w:rsidR="008D1C4A" w:rsidRPr="00CE28E3" w:rsidRDefault="008D1C4A" w:rsidP="005766AB">
            <w:pPr>
              <w:pStyle w:val="TableText1"/>
              <w:keepNext/>
              <w:rPr>
                <w:b/>
              </w:rPr>
            </w:pPr>
            <w:r w:rsidRPr="00CE28E3">
              <w:rPr>
                <w:b/>
              </w:rPr>
              <w:t>Type of evidence supplied</w:t>
            </w:r>
          </w:p>
        </w:tc>
        <w:tc>
          <w:tcPr>
            <w:tcW w:w="998" w:type="pct"/>
            <w:tcBorders>
              <w:top w:val="single" w:sz="4" w:space="0" w:color="auto"/>
              <w:left w:val="single" w:sz="4" w:space="0" w:color="auto"/>
              <w:bottom w:val="single" w:sz="4" w:space="0" w:color="auto"/>
              <w:right w:val="single" w:sz="4" w:space="0" w:color="auto"/>
            </w:tcBorders>
            <w:vAlign w:val="bottom"/>
            <w:hideMark/>
          </w:tcPr>
          <w:p w14:paraId="6A1CB79E" w14:textId="77777777" w:rsidR="008D1C4A" w:rsidRPr="00CE28E3" w:rsidRDefault="008D1C4A" w:rsidP="005766AB">
            <w:pPr>
              <w:pStyle w:val="TableText1"/>
              <w:keepNext/>
              <w:rPr>
                <w:b/>
              </w:rPr>
            </w:pPr>
            <w:r w:rsidRPr="00CE28E3">
              <w:rPr>
                <w:b/>
              </w:rPr>
              <w:t>Extent of evidence supplied</w:t>
            </w:r>
          </w:p>
        </w:tc>
        <w:tc>
          <w:tcPr>
            <w:tcW w:w="1151" w:type="pct"/>
            <w:tcBorders>
              <w:top w:val="single" w:sz="4" w:space="0" w:color="auto"/>
              <w:left w:val="single" w:sz="4" w:space="0" w:color="auto"/>
              <w:bottom w:val="single" w:sz="4" w:space="0" w:color="auto"/>
              <w:right w:val="single" w:sz="4" w:space="0" w:color="auto"/>
            </w:tcBorders>
            <w:vAlign w:val="bottom"/>
            <w:hideMark/>
          </w:tcPr>
          <w:p w14:paraId="6ABD1B43" w14:textId="77777777" w:rsidR="008D1C4A" w:rsidRPr="00CE28E3" w:rsidRDefault="008D1C4A" w:rsidP="005766AB">
            <w:pPr>
              <w:pStyle w:val="TableText1"/>
              <w:keepNext/>
              <w:rPr>
                <w:b/>
              </w:rPr>
            </w:pPr>
            <w:r w:rsidRPr="00CE28E3">
              <w:rPr>
                <w:b/>
              </w:rPr>
              <w:t>Overall risk of bias in evidence base</w:t>
            </w:r>
          </w:p>
        </w:tc>
      </w:tr>
      <w:tr w:rsidR="008D1C4A" w:rsidRPr="00CE28E3" w14:paraId="76703DE2" w14:textId="77777777" w:rsidTr="005766AB">
        <w:tc>
          <w:tcPr>
            <w:tcW w:w="1007" w:type="pct"/>
            <w:vMerge w:val="restart"/>
            <w:tcBorders>
              <w:top w:val="single" w:sz="4" w:space="0" w:color="auto"/>
              <w:left w:val="single" w:sz="4" w:space="0" w:color="auto"/>
              <w:right w:val="single" w:sz="4" w:space="0" w:color="auto"/>
            </w:tcBorders>
            <w:hideMark/>
          </w:tcPr>
          <w:p w14:paraId="6B437F3F" w14:textId="77777777" w:rsidR="008D1C4A" w:rsidRPr="003B1B41" w:rsidRDefault="008D1C4A" w:rsidP="005766AB">
            <w:pPr>
              <w:pStyle w:val="TableText1"/>
              <w:keepNext/>
            </w:pPr>
            <w:r w:rsidRPr="003B1B41">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17759298" w14:textId="77777777" w:rsidR="008D1C4A" w:rsidRPr="003B1B41" w:rsidRDefault="008D1C4A" w:rsidP="005766AB">
            <w:pPr>
              <w:pStyle w:val="TableText1"/>
              <w:keepNext/>
            </w:pPr>
            <w:r>
              <w:t>A</w:t>
            </w:r>
            <w:r w:rsidRPr="003B1B41">
              <w:t xml:space="preserve">ccuracy of WGS vs </w:t>
            </w:r>
            <w:proofErr w:type="spellStart"/>
            <w:r w:rsidRPr="003B1B41">
              <w:t>pDST</w:t>
            </w:r>
            <w:proofErr w:type="spellEnd"/>
            <w:r w:rsidRPr="003B1B41">
              <w:t xml:space="preserve"> against</w:t>
            </w:r>
            <w:r>
              <w:t xml:space="preserve"> a composite reference standard</w:t>
            </w:r>
          </w:p>
        </w:tc>
        <w:tc>
          <w:tcPr>
            <w:tcW w:w="998" w:type="pct"/>
            <w:tcBorders>
              <w:top w:val="single" w:sz="4" w:space="0" w:color="auto"/>
              <w:left w:val="single" w:sz="4" w:space="0" w:color="auto"/>
              <w:bottom w:val="single" w:sz="4" w:space="0" w:color="auto"/>
              <w:right w:val="single" w:sz="4" w:space="0" w:color="auto"/>
            </w:tcBorders>
            <w:hideMark/>
          </w:tcPr>
          <w:p w14:paraId="14858AB1" w14:textId="77777777" w:rsidR="008D1C4A" w:rsidRPr="00CE28E3" w:rsidRDefault="00EA0116" w:rsidP="005766AB">
            <w:pPr>
              <w:pStyle w:val="TableText1"/>
              <w:keepNext/>
            </w:pPr>
            <w:sdt>
              <w:sdtPr>
                <w:id w:val="1454910707"/>
                <w14:checkbox>
                  <w14:checked w14:val="1"/>
                  <w14:checkedState w14:val="2612" w14:font="MS Gothic"/>
                  <w14:uncheckedState w14:val="2610" w14:font="MS Gothic"/>
                </w14:checkbox>
              </w:sdtPr>
              <w:sdtEndPr/>
              <w:sdtContent>
                <w:r w:rsidR="008D1C4A">
                  <w:rPr>
                    <w:rFonts w:ascii="MS Gothic" w:eastAsia="MS Gothic" w:hAnsi="MS Gothic" w:hint="eastAsia"/>
                  </w:rPr>
                  <w:t>☒</w:t>
                </w:r>
              </w:sdtContent>
            </w:sdt>
            <w:r w:rsidR="008D1C4A" w:rsidRPr="00CE28E3">
              <w:tab/>
              <w:t>k=</w:t>
            </w:r>
            <w:r w:rsidR="008D1C4A">
              <w:t>1</w:t>
            </w:r>
            <w:r w:rsidR="008D1C4A" w:rsidRPr="00CE28E3">
              <w:tab/>
              <w:t>n=</w:t>
            </w:r>
            <w:r w:rsidR="008D1C4A">
              <w:t>1098</w:t>
            </w:r>
          </w:p>
        </w:tc>
        <w:tc>
          <w:tcPr>
            <w:tcW w:w="1151" w:type="pct"/>
            <w:tcBorders>
              <w:top w:val="single" w:sz="4" w:space="0" w:color="auto"/>
              <w:left w:val="single" w:sz="4" w:space="0" w:color="auto"/>
              <w:bottom w:val="single" w:sz="4" w:space="0" w:color="auto"/>
              <w:right w:val="single" w:sz="4" w:space="0" w:color="auto"/>
            </w:tcBorders>
            <w:hideMark/>
          </w:tcPr>
          <w:p w14:paraId="622667FD" w14:textId="77777777" w:rsidR="008D1C4A" w:rsidRPr="00CE28E3" w:rsidRDefault="008D1C4A" w:rsidP="005766AB">
            <w:pPr>
              <w:pStyle w:val="TableText1"/>
              <w:keepNext/>
            </w:pPr>
            <w:r>
              <w:t>Low risk of bias (QUADAS 2)</w:t>
            </w:r>
          </w:p>
        </w:tc>
      </w:tr>
      <w:tr w:rsidR="008D1C4A" w:rsidRPr="00CE28E3" w14:paraId="0CBD07EF" w14:textId="77777777" w:rsidTr="005766AB">
        <w:tc>
          <w:tcPr>
            <w:tcW w:w="1007" w:type="pct"/>
            <w:vMerge/>
            <w:tcBorders>
              <w:left w:val="single" w:sz="4" w:space="0" w:color="auto"/>
              <w:bottom w:val="single" w:sz="4" w:space="0" w:color="auto"/>
              <w:right w:val="single" w:sz="4" w:space="0" w:color="auto"/>
            </w:tcBorders>
          </w:tcPr>
          <w:p w14:paraId="4B02F34C" w14:textId="77777777" w:rsidR="008D1C4A" w:rsidRPr="003B1B41" w:rsidRDefault="008D1C4A" w:rsidP="005766AB">
            <w:pPr>
              <w:pStyle w:val="TableText1"/>
              <w:keepNext/>
            </w:pPr>
          </w:p>
        </w:tc>
        <w:tc>
          <w:tcPr>
            <w:tcW w:w="1844" w:type="pct"/>
            <w:tcBorders>
              <w:top w:val="single" w:sz="4" w:space="0" w:color="auto"/>
              <w:left w:val="single" w:sz="4" w:space="0" w:color="auto"/>
              <w:bottom w:val="single" w:sz="4" w:space="0" w:color="auto"/>
              <w:right w:val="single" w:sz="4" w:space="0" w:color="auto"/>
            </w:tcBorders>
          </w:tcPr>
          <w:p w14:paraId="4B3C8F8A" w14:textId="77777777" w:rsidR="008D1C4A" w:rsidRDefault="008D1C4A" w:rsidP="005766AB">
            <w:pPr>
              <w:pStyle w:val="TableText1"/>
              <w:keepNext/>
            </w:pPr>
            <w:r w:rsidRPr="003B1B41">
              <w:t xml:space="preserve">Concordance studies of WGS vs </w:t>
            </w:r>
            <w:proofErr w:type="spellStart"/>
            <w:r w:rsidRPr="003B1B41">
              <w:t>pDST</w:t>
            </w:r>
            <w:proofErr w:type="spellEnd"/>
          </w:p>
        </w:tc>
        <w:tc>
          <w:tcPr>
            <w:tcW w:w="998" w:type="pct"/>
            <w:tcBorders>
              <w:top w:val="single" w:sz="4" w:space="0" w:color="auto"/>
              <w:left w:val="single" w:sz="4" w:space="0" w:color="auto"/>
              <w:bottom w:val="single" w:sz="4" w:space="0" w:color="auto"/>
              <w:right w:val="single" w:sz="4" w:space="0" w:color="auto"/>
            </w:tcBorders>
          </w:tcPr>
          <w:p w14:paraId="6D5B6E4E" w14:textId="77777777" w:rsidR="008D1C4A" w:rsidRDefault="00EA0116" w:rsidP="005766AB">
            <w:pPr>
              <w:pStyle w:val="TableText1"/>
              <w:keepNext/>
            </w:pPr>
            <w:sdt>
              <w:sdtPr>
                <w:id w:val="2068916728"/>
                <w14:checkbox>
                  <w14:checked w14:val="1"/>
                  <w14:checkedState w14:val="2612" w14:font="MS Gothic"/>
                  <w14:uncheckedState w14:val="2610" w14:font="MS Gothic"/>
                </w14:checkbox>
              </w:sdtPr>
              <w:sdtEndPr/>
              <w:sdtContent>
                <w:r w:rsidR="008D1C4A">
                  <w:rPr>
                    <w:rFonts w:ascii="MS Gothic" w:eastAsia="MS Gothic" w:hAnsi="MS Gothic" w:hint="eastAsia"/>
                  </w:rPr>
                  <w:t>☒</w:t>
                </w:r>
              </w:sdtContent>
            </w:sdt>
            <w:r w:rsidR="008D1C4A" w:rsidRPr="00CE28E3">
              <w:tab/>
              <w:t>k=</w:t>
            </w:r>
            <w:r w:rsidR="008D1C4A">
              <w:t>21</w:t>
            </w:r>
            <w:r w:rsidR="008D1C4A" w:rsidRPr="00CE28E3">
              <w:tab/>
            </w:r>
            <w:r w:rsidR="008D1C4A" w:rsidRPr="00C66422">
              <w:t>n=</w:t>
            </w:r>
            <w:r w:rsidR="008D1C4A" w:rsidRPr="00B3446C">
              <w:t>20,881</w:t>
            </w:r>
          </w:p>
        </w:tc>
        <w:tc>
          <w:tcPr>
            <w:tcW w:w="1151" w:type="pct"/>
            <w:tcBorders>
              <w:top w:val="single" w:sz="4" w:space="0" w:color="auto"/>
              <w:left w:val="single" w:sz="4" w:space="0" w:color="auto"/>
              <w:bottom w:val="single" w:sz="4" w:space="0" w:color="auto"/>
              <w:right w:val="single" w:sz="4" w:space="0" w:color="auto"/>
            </w:tcBorders>
          </w:tcPr>
          <w:p w14:paraId="67A3A9FC" w14:textId="77777777" w:rsidR="008D1C4A" w:rsidRPr="00CE28E3" w:rsidRDefault="008D1C4A" w:rsidP="005766AB">
            <w:pPr>
              <w:pStyle w:val="TableText1"/>
              <w:keepNext/>
            </w:pPr>
            <w:r>
              <w:t>Moderate risk of bias (QUADAS 2)</w:t>
            </w:r>
          </w:p>
        </w:tc>
      </w:tr>
      <w:tr w:rsidR="008D1C4A" w:rsidRPr="00CE28E3" w14:paraId="25F6F57A" w14:textId="77777777" w:rsidTr="005766AB">
        <w:tc>
          <w:tcPr>
            <w:tcW w:w="1007" w:type="pct"/>
            <w:vMerge w:val="restart"/>
            <w:tcBorders>
              <w:top w:val="single" w:sz="4" w:space="0" w:color="auto"/>
              <w:left w:val="single" w:sz="4" w:space="0" w:color="auto"/>
              <w:right w:val="single" w:sz="4" w:space="0" w:color="auto"/>
            </w:tcBorders>
            <w:hideMark/>
          </w:tcPr>
          <w:p w14:paraId="4AE61811" w14:textId="77777777" w:rsidR="008D1C4A" w:rsidRPr="00CE28E3" w:rsidRDefault="008D1C4A" w:rsidP="005766AB">
            <w:pPr>
              <w:pStyle w:val="TableText1"/>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78361F83" w14:textId="77777777" w:rsidR="008D1C4A" w:rsidRPr="00CE28E3" w:rsidRDefault="008D1C4A" w:rsidP="005766AB">
            <w:pPr>
              <w:pStyle w:val="TableText1"/>
              <w:keepNext/>
            </w:pPr>
            <w:r w:rsidRPr="00671E2E">
              <w:t xml:space="preserve">Evidence that WGS impacts </w:t>
            </w:r>
            <w:r>
              <w:t>timing of results</w:t>
            </w:r>
          </w:p>
        </w:tc>
        <w:tc>
          <w:tcPr>
            <w:tcW w:w="998" w:type="pct"/>
            <w:tcBorders>
              <w:top w:val="single" w:sz="4" w:space="0" w:color="auto"/>
              <w:left w:val="single" w:sz="4" w:space="0" w:color="auto"/>
              <w:bottom w:val="single" w:sz="4" w:space="0" w:color="auto"/>
              <w:right w:val="single" w:sz="4" w:space="0" w:color="auto"/>
            </w:tcBorders>
            <w:hideMark/>
          </w:tcPr>
          <w:p w14:paraId="4F63CE8A" w14:textId="77777777" w:rsidR="008D1C4A" w:rsidRPr="00CE28E3" w:rsidRDefault="00EA0116" w:rsidP="005766AB">
            <w:pPr>
              <w:pStyle w:val="TableText1"/>
              <w:keepNext/>
            </w:pPr>
            <w:sdt>
              <w:sdtPr>
                <w:id w:val="-1943214893"/>
                <w14:checkbox>
                  <w14:checked w14:val="1"/>
                  <w14:checkedState w14:val="2612" w14:font="MS Gothic"/>
                  <w14:uncheckedState w14:val="2610" w14:font="MS Gothic"/>
                </w14:checkbox>
              </w:sdtPr>
              <w:sdtEndPr/>
              <w:sdtContent>
                <w:r w:rsidR="008D1C4A">
                  <w:rPr>
                    <w:rFonts w:ascii="MS Gothic" w:eastAsia="MS Gothic" w:hAnsi="MS Gothic" w:hint="eastAsia"/>
                  </w:rPr>
                  <w:t>☒</w:t>
                </w:r>
              </w:sdtContent>
            </w:sdt>
            <w:r w:rsidR="008D1C4A" w:rsidRPr="00CE28E3">
              <w:tab/>
              <w:t>k=</w:t>
            </w:r>
            <w:r w:rsidR="008D1C4A">
              <w:t>8</w:t>
            </w:r>
            <w:r w:rsidR="008D1C4A" w:rsidRPr="00CE28E3">
              <w:tab/>
              <w:t>n=</w:t>
            </w:r>
            <w:r w:rsidR="008D1C4A">
              <w:t xml:space="preserve"> 1993</w:t>
            </w:r>
          </w:p>
        </w:tc>
        <w:tc>
          <w:tcPr>
            <w:tcW w:w="1151" w:type="pct"/>
            <w:tcBorders>
              <w:top w:val="single" w:sz="4" w:space="0" w:color="auto"/>
              <w:left w:val="single" w:sz="4" w:space="0" w:color="auto"/>
              <w:bottom w:val="single" w:sz="4" w:space="0" w:color="auto"/>
              <w:right w:val="single" w:sz="4" w:space="0" w:color="auto"/>
            </w:tcBorders>
          </w:tcPr>
          <w:p w14:paraId="42F757FA" w14:textId="77777777" w:rsidR="008D1C4A" w:rsidRPr="00CE28E3" w:rsidRDefault="008D1C4A" w:rsidP="005766AB">
            <w:pPr>
              <w:pStyle w:val="TableText1"/>
              <w:keepNext/>
            </w:pPr>
            <w:r>
              <w:t>Moderate risk of bias (SIGN cohort studies)</w:t>
            </w:r>
          </w:p>
        </w:tc>
      </w:tr>
      <w:tr w:rsidR="008D1C4A" w:rsidRPr="00CE28E3" w14:paraId="7A395913" w14:textId="77777777" w:rsidTr="005766AB">
        <w:tc>
          <w:tcPr>
            <w:tcW w:w="1007" w:type="pct"/>
            <w:vMerge/>
            <w:tcBorders>
              <w:left w:val="single" w:sz="4" w:space="0" w:color="auto"/>
              <w:bottom w:val="single" w:sz="4" w:space="0" w:color="auto"/>
              <w:right w:val="single" w:sz="4" w:space="0" w:color="auto"/>
            </w:tcBorders>
          </w:tcPr>
          <w:p w14:paraId="0E341321" w14:textId="77777777" w:rsidR="008D1C4A" w:rsidRPr="00CE28E3" w:rsidRDefault="008D1C4A" w:rsidP="005766AB">
            <w:pPr>
              <w:pStyle w:val="TableText1"/>
              <w:keepNext/>
            </w:pPr>
          </w:p>
        </w:tc>
        <w:tc>
          <w:tcPr>
            <w:tcW w:w="1844" w:type="pct"/>
            <w:tcBorders>
              <w:top w:val="single" w:sz="4" w:space="0" w:color="auto"/>
              <w:left w:val="single" w:sz="4" w:space="0" w:color="auto"/>
              <w:bottom w:val="single" w:sz="4" w:space="0" w:color="auto"/>
              <w:right w:val="single" w:sz="4" w:space="0" w:color="auto"/>
            </w:tcBorders>
          </w:tcPr>
          <w:p w14:paraId="7ECE893D" w14:textId="77777777" w:rsidR="008D1C4A" w:rsidRPr="00671E2E" w:rsidRDefault="008D1C4A" w:rsidP="005766AB">
            <w:pPr>
              <w:pStyle w:val="TableText1"/>
              <w:keepNext/>
            </w:pPr>
            <w:r w:rsidRPr="00671E2E">
              <w:t>Evidence that WGS impacts management</w:t>
            </w:r>
          </w:p>
        </w:tc>
        <w:tc>
          <w:tcPr>
            <w:tcW w:w="998" w:type="pct"/>
            <w:tcBorders>
              <w:top w:val="single" w:sz="4" w:space="0" w:color="auto"/>
              <w:left w:val="single" w:sz="4" w:space="0" w:color="auto"/>
              <w:bottom w:val="single" w:sz="4" w:space="0" w:color="auto"/>
              <w:right w:val="single" w:sz="4" w:space="0" w:color="auto"/>
            </w:tcBorders>
          </w:tcPr>
          <w:p w14:paraId="5473E876" w14:textId="77777777" w:rsidR="008D1C4A" w:rsidRDefault="00EA0116" w:rsidP="005766AB">
            <w:pPr>
              <w:pStyle w:val="TableText1"/>
              <w:keepNext/>
            </w:pPr>
            <w:sdt>
              <w:sdtPr>
                <w:id w:val="361092712"/>
                <w14:checkbox>
                  <w14:checked w14:val="1"/>
                  <w14:checkedState w14:val="2612" w14:font="MS Gothic"/>
                  <w14:uncheckedState w14:val="2610" w14:font="MS Gothic"/>
                </w14:checkbox>
              </w:sdtPr>
              <w:sdtEndPr/>
              <w:sdtContent>
                <w:r w:rsidR="008D1C4A">
                  <w:rPr>
                    <w:rFonts w:ascii="MS Gothic" w:eastAsia="MS Gothic" w:hAnsi="MS Gothic" w:hint="eastAsia"/>
                  </w:rPr>
                  <w:t>☒</w:t>
                </w:r>
              </w:sdtContent>
            </w:sdt>
            <w:r w:rsidR="008D1C4A" w:rsidRPr="00CE28E3">
              <w:tab/>
              <w:t>k=</w:t>
            </w:r>
            <w:r w:rsidR="008D1C4A">
              <w:t>1-2</w:t>
            </w:r>
            <w:r w:rsidR="008D1C4A" w:rsidRPr="00CE28E3">
              <w:tab/>
              <w:t>n=</w:t>
            </w:r>
            <w:r w:rsidR="008D1C4A">
              <w:t>6-12</w:t>
            </w:r>
          </w:p>
        </w:tc>
        <w:tc>
          <w:tcPr>
            <w:tcW w:w="1151" w:type="pct"/>
            <w:tcBorders>
              <w:top w:val="single" w:sz="4" w:space="0" w:color="auto"/>
              <w:left w:val="single" w:sz="4" w:space="0" w:color="auto"/>
              <w:bottom w:val="single" w:sz="4" w:space="0" w:color="auto"/>
              <w:right w:val="single" w:sz="4" w:space="0" w:color="auto"/>
            </w:tcBorders>
          </w:tcPr>
          <w:p w14:paraId="7DA9E815" w14:textId="77777777" w:rsidR="008D1C4A" w:rsidRPr="00CE28E3" w:rsidRDefault="008D1C4A" w:rsidP="005766AB">
            <w:pPr>
              <w:pStyle w:val="TableText1"/>
              <w:keepNext/>
            </w:pPr>
            <w:r>
              <w:t>Case series data with very limited applicability</w:t>
            </w:r>
          </w:p>
        </w:tc>
      </w:tr>
      <w:tr w:rsidR="008D1C4A" w:rsidRPr="00CE28E3" w14:paraId="26E268CC" w14:textId="77777777" w:rsidTr="005766AB">
        <w:tc>
          <w:tcPr>
            <w:tcW w:w="1007" w:type="pct"/>
            <w:tcBorders>
              <w:top w:val="single" w:sz="4" w:space="0" w:color="auto"/>
              <w:left w:val="single" w:sz="4" w:space="0" w:color="auto"/>
              <w:bottom w:val="single" w:sz="4" w:space="0" w:color="auto"/>
              <w:right w:val="single" w:sz="4" w:space="0" w:color="auto"/>
            </w:tcBorders>
            <w:hideMark/>
          </w:tcPr>
          <w:p w14:paraId="051B1A07" w14:textId="77777777" w:rsidR="008D1C4A" w:rsidRPr="00CE28E3" w:rsidRDefault="008D1C4A" w:rsidP="005766AB">
            <w:pPr>
              <w:pStyle w:val="TableText1"/>
              <w:keepNext/>
            </w:pPr>
            <w:r w:rsidRPr="00CE28E3">
              <w:t xml:space="preserve">Health outcomes  </w:t>
            </w:r>
          </w:p>
        </w:tc>
        <w:tc>
          <w:tcPr>
            <w:tcW w:w="1844" w:type="pct"/>
            <w:tcBorders>
              <w:top w:val="single" w:sz="4" w:space="0" w:color="auto"/>
              <w:left w:val="single" w:sz="4" w:space="0" w:color="auto"/>
              <w:bottom w:val="single" w:sz="4" w:space="0" w:color="auto"/>
              <w:right w:val="single" w:sz="4" w:space="0" w:color="auto"/>
            </w:tcBorders>
          </w:tcPr>
          <w:p w14:paraId="7BC23636" w14:textId="77777777" w:rsidR="008D1C4A" w:rsidRPr="00CE28E3" w:rsidRDefault="008D1C4A" w:rsidP="005766AB">
            <w:pPr>
              <w:pStyle w:val="TableText1"/>
              <w:keepNext/>
            </w:pPr>
            <w:r w:rsidRPr="003D775B">
              <w:t xml:space="preserve">Evidence that treatment targeted to </w:t>
            </w:r>
            <w:r>
              <w:t>the infection</w:t>
            </w:r>
            <w:r w:rsidRPr="003D775B">
              <w:t xml:space="preserve">’s </w:t>
            </w:r>
            <w:proofErr w:type="spellStart"/>
            <w:r w:rsidRPr="003D775B">
              <w:t>resistome</w:t>
            </w:r>
            <w:proofErr w:type="spellEnd"/>
            <w:r w:rsidRPr="003D775B">
              <w:t xml:space="preserve"> is superior to treatment not targeted, or with fewer targeted therapies</w:t>
            </w:r>
          </w:p>
        </w:tc>
        <w:tc>
          <w:tcPr>
            <w:tcW w:w="998" w:type="pct"/>
            <w:tcBorders>
              <w:top w:val="single" w:sz="4" w:space="0" w:color="auto"/>
              <w:left w:val="single" w:sz="4" w:space="0" w:color="auto"/>
              <w:bottom w:val="single" w:sz="4" w:space="0" w:color="auto"/>
              <w:right w:val="single" w:sz="4" w:space="0" w:color="auto"/>
            </w:tcBorders>
          </w:tcPr>
          <w:p w14:paraId="64A6B43E" w14:textId="77777777" w:rsidR="008D1C4A" w:rsidRPr="00CE28E3" w:rsidRDefault="00EA0116" w:rsidP="005766AB">
            <w:pPr>
              <w:pStyle w:val="TableText1"/>
              <w:keepNext/>
            </w:pPr>
            <w:sdt>
              <w:sdtPr>
                <w:id w:val="-605892943"/>
                <w14:checkbox>
                  <w14:checked w14:val="1"/>
                  <w14:checkedState w14:val="2612" w14:font="MS Gothic"/>
                  <w14:uncheckedState w14:val="2610" w14:font="MS Gothic"/>
                </w14:checkbox>
              </w:sdtPr>
              <w:sdtEndPr/>
              <w:sdtContent>
                <w:r w:rsidR="008D1C4A">
                  <w:rPr>
                    <w:rFonts w:ascii="MS Gothic" w:eastAsia="MS Gothic" w:hAnsi="MS Gothic" w:hint="eastAsia"/>
                  </w:rPr>
                  <w:t>☒</w:t>
                </w:r>
              </w:sdtContent>
            </w:sdt>
            <w:r w:rsidR="008D1C4A" w:rsidRPr="00CE28E3">
              <w:tab/>
              <w:t>k=</w:t>
            </w:r>
            <w:r w:rsidR="008D1C4A">
              <w:t>6</w:t>
            </w:r>
            <w:r w:rsidR="008D1C4A">
              <w:tab/>
            </w:r>
            <w:r w:rsidR="008D1C4A" w:rsidRPr="009F698F">
              <w:t>n=13</w:t>
            </w:r>
            <w:r w:rsidR="008D1C4A">
              <w:t>,817</w:t>
            </w:r>
          </w:p>
        </w:tc>
        <w:tc>
          <w:tcPr>
            <w:tcW w:w="1151" w:type="pct"/>
            <w:tcBorders>
              <w:top w:val="single" w:sz="4" w:space="0" w:color="auto"/>
              <w:left w:val="single" w:sz="4" w:space="0" w:color="auto"/>
              <w:bottom w:val="single" w:sz="4" w:space="0" w:color="auto"/>
              <w:right w:val="single" w:sz="4" w:space="0" w:color="auto"/>
            </w:tcBorders>
          </w:tcPr>
          <w:p w14:paraId="6A5DADD3" w14:textId="77777777" w:rsidR="008D1C4A" w:rsidRPr="00CE28E3" w:rsidRDefault="008D1C4A" w:rsidP="005766AB">
            <w:pPr>
              <w:pStyle w:val="TableText1"/>
              <w:keepNext/>
            </w:pPr>
            <w:r>
              <w:t>Moderate to high risk of bias (SIGN cohort studies/AMSTAR 2)</w:t>
            </w:r>
          </w:p>
        </w:tc>
      </w:tr>
    </w:tbl>
    <w:p w14:paraId="56DB1839" w14:textId="77777777" w:rsidR="008D1C4A" w:rsidRPr="00CE28E3" w:rsidRDefault="008D1C4A" w:rsidP="008D1C4A">
      <w:pPr>
        <w:pStyle w:val="TableFigureFooter"/>
      </w:pPr>
      <w:bookmarkStart w:id="14" w:name="_Hlk68276301"/>
      <w:bookmarkEnd w:id="13"/>
      <w:r>
        <w:t xml:space="preserve">AMSTAR = assessing the methodological quality of systematic reviews; </w:t>
      </w:r>
      <w:r w:rsidRPr="00CE28E3">
        <w:t>k=number of studies, n=number of patients</w:t>
      </w:r>
      <w:r>
        <w:t xml:space="preserve">; </w:t>
      </w:r>
      <w:proofErr w:type="spellStart"/>
      <w:r>
        <w:t>pDST</w:t>
      </w:r>
      <w:proofErr w:type="spellEnd"/>
      <w:r>
        <w:t xml:space="preserve"> = phenotypic drug susceptibility testing; QUADAS = quality of diagnostic accuracy studies; SIGN = Scottish Intercollegiate Guidelines Network; WGS = whole genome sequencing</w:t>
      </w:r>
    </w:p>
    <w:bookmarkEnd w:id="14"/>
    <w:p w14:paraId="129DD6F8" w14:textId="332B42F1" w:rsidR="005922DB" w:rsidRPr="00E72E00" w:rsidRDefault="00065623" w:rsidP="00E06036">
      <w:pPr>
        <w:pStyle w:val="Heading1"/>
      </w:pPr>
      <w:r w:rsidRPr="00E72E00">
        <w:t>Comparative safety</w:t>
      </w:r>
    </w:p>
    <w:p w14:paraId="12B25AAD" w14:textId="261A24B6" w:rsidR="009F0065" w:rsidRPr="00E72E00"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The addition of WGS testing itself has no safety impact compared to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alone, as it does not require any additional samples from the patient. </w:t>
      </w:r>
    </w:p>
    <w:p w14:paraId="5F4D692D" w14:textId="77777777"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The downstream effects of WGS should result in slightly superior safety outcomes overall. </w:t>
      </w:r>
    </w:p>
    <w:p w14:paraId="37C8C461" w14:textId="69A28613" w:rsidR="009F0065" w:rsidRPr="00E72E00"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The following comments regarding safety are based on data on the accuracy of WGS, and on assumptions regarding changes in management based on treatment guidelines, rather than direct evidence that WGS reduces adverse events. In patients whose infections do not have resistance-conferring variants to first-line treatments (and are therefore classified as pan-susceptible), WGS allows patients to stop ethambutol earlier, reducing the likelihood of any ethambutol-related side-effects. However, the absolute risk of adverse events occurring in the time period between when WGS results are provided,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results are provided </w:t>
      </w:r>
      <w:r w:rsidRPr="00E72E00">
        <w:rPr>
          <w:rFonts w:ascii="Franklin Gothic Book" w:eastAsia="Calibri" w:hAnsi="Franklin Gothic Book"/>
          <w:sz w:val="22"/>
          <w:szCs w:val="22"/>
          <w:lang w:eastAsia="en-US"/>
        </w:rPr>
        <w:lastRenderedPageBreak/>
        <w:t>(approximately 5 days</w:t>
      </w:r>
      <w:r w:rsidRPr="008C01F4">
        <w:rPr>
          <w:rFonts w:ascii="Franklin Gothic Book" w:eastAsia="Calibri" w:hAnsi="Franklin Gothic Book"/>
          <w:sz w:val="22"/>
          <w:szCs w:val="22"/>
          <w:vertAlign w:val="superscript"/>
          <w:lang w:eastAsia="en-US"/>
        </w:rPr>
        <w:footnoteReference w:id="3"/>
      </w:r>
      <w:r w:rsidRPr="00E72E00">
        <w:rPr>
          <w:rFonts w:ascii="Franklin Gothic Book" w:eastAsia="Calibri" w:hAnsi="Franklin Gothic Book"/>
          <w:sz w:val="22"/>
          <w:szCs w:val="22"/>
          <w:lang w:eastAsia="en-US"/>
        </w:rPr>
        <w:t xml:space="preserve"> for first-line antibiotics) is very low, so the likelihood that any adverse events are prevented is also low. </w:t>
      </w:r>
    </w:p>
    <w:p w14:paraId="2C229FB2" w14:textId="1B097448"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The assumption is made that a</w:t>
      </w:r>
      <w:r w:rsidR="007A3787">
        <w:rPr>
          <w:rFonts w:ascii="Franklin Gothic Book" w:eastAsia="Calibri" w:hAnsi="Franklin Gothic Book"/>
          <w:sz w:val="22"/>
          <w:szCs w:val="22"/>
          <w:lang w:eastAsia="en-US"/>
        </w:rPr>
        <w:t>n appropriate</w:t>
      </w:r>
      <w:r w:rsidRPr="00E72E00">
        <w:rPr>
          <w:rFonts w:ascii="Franklin Gothic Book" w:eastAsia="Calibri" w:hAnsi="Franklin Gothic Book"/>
          <w:sz w:val="22"/>
          <w:szCs w:val="22"/>
          <w:lang w:eastAsia="en-US"/>
        </w:rPr>
        <w:t xml:space="preserve"> treatment regimen that a patient is likely to respond to will result in the same number of adverse</w:t>
      </w:r>
      <w:r w:rsidR="008C01F4">
        <w:rPr>
          <w:rFonts w:ascii="Franklin Gothic Book" w:eastAsia="Calibri" w:hAnsi="Franklin Gothic Book"/>
          <w:sz w:val="22"/>
          <w:szCs w:val="22"/>
          <w:lang w:eastAsia="en-US"/>
        </w:rPr>
        <w:t xml:space="preserve"> </w:t>
      </w:r>
      <w:r w:rsidRPr="00E72E00">
        <w:rPr>
          <w:rFonts w:ascii="Franklin Gothic Book" w:eastAsia="Calibri" w:hAnsi="Franklin Gothic Book"/>
          <w:sz w:val="22"/>
          <w:szCs w:val="22"/>
          <w:lang w:eastAsia="en-US"/>
        </w:rPr>
        <w:t xml:space="preserve">events, regardless of whether the patient is on this regimen early versus late. However, use of an inappropriate treatment regimen would delay the starting of an appropriate regimen, which may result in a worsening of disease in the interval. Furthermore, the rate of adverse events incurred while the patient is on an inappropriate treatment regimen should be considered.  </w:t>
      </w:r>
    </w:p>
    <w:p w14:paraId="47553D11" w14:textId="749B28EE"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For patients in whom WGS detects resistance, it is expected that they will be switched to an appropriate treatment regimen (if switching is required) at an earlier time point than they would be if waiting for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results. This should also result in slightly superior safety results. The individuals impacted to the largest degree, are those in whom WGS detects resistance, who would otherwise be classified as susceptible by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In the absence of WGS, these patients would likely stay on a treatment regimen which includes at least one drug they are unlikely to respond to, for a period of 3-4 months (until defined as not responding, and retested). </w:t>
      </w:r>
    </w:p>
    <w:p w14:paraId="2C148101" w14:textId="77777777"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Given the lack of evidence regarding how WGS changes the management of patients, these statements are all highly uncertain. </w:t>
      </w:r>
    </w:p>
    <w:p w14:paraId="56F2AE84" w14:textId="2274FF1A" w:rsidR="00206760" w:rsidRPr="00A436C5" w:rsidRDefault="00065623" w:rsidP="00E06036">
      <w:pPr>
        <w:pStyle w:val="Heading1"/>
      </w:pPr>
      <w:r w:rsidRPr="00A436C5">
        <w:t>Comparative effectiveness</w:t>
      </w:r>
    </w:p>
    <w:p w14:paraId="524D465C" w14:textId="681686B5" w:rsidR="009F0065" w:rsidRPr="00E72E00"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No direct from test to health outcomes evidence was identified comparing the effectiveness of WGS plus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versus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alone. </w:t>
      </w:r>
    </w:p>
    <w:p w14:paraId="2F78A807" w14:textId="0DC06A08" w:rsidR="00E72E00"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A linked evidence assessment was therefore used, linking the accuracy of WGS versus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data on the turnaround time of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clinical guidelines to suggest how management of patients would likely change based on the accuracy and turnaround time, and data on how appropriate versus inappropriate treatment changes health outcomes. The incremental benefit of WGS can be inferred from these studies.</w:t>
      </w:r>
    </w:p>
    <w:p w14:paraId="4C3EF54C" w14:textId="77777777" w:rsidR="009F0065" w:rsidRDefault="009F0065" w:rsidP="00E72E00">
      <w:pPr>
        <w:pStyle w:val="Heading2"/>
      </w:pPr>
      <w:bookmarkStart w:id="15" w:name="_Toc90153896"/>
      <w:r w:rsidRPr="00E72E00">
        <w:t>Accuracy</w:t>
      </w:r>
      <w:bookmarkEnd w:id="15"/>
    </w:p>
    <w:p w14:paraId="265545F1" w14:textId="6D4ED856" w:rsidR="009F0065" w:rsidRPr="00E72E00"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A single study was identified that compared the accuracy of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for determining resistance to first-line drugs against a composite reference standard of information from the two tests combined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_Ref90285521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4</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xml:space="preserve">). </w:t>
      </w:r>
      <w:proofErr w:type="spellStart"/>
      <w:r w:rsidRPr="00E72E00">
        <w:rPr>
          <w:rFonts w:ascii="Franklin Gothic Book" w:eastAsia="Calibri" w:hAnsi="Franklin Gothic Book"/>
          <w:sz w:val="22"/>
          <w:szCs w:val="22"/>
          <w:lang w:eastAsia="en-US"/>
        </w:rPr>
        <w:t>Jajou</w:t>
      </w:r>
      <w:proofErr w:type="spellEnd"/>
      <w:r w:rsidRPr="00E72E00">
        <w:rPr>
          <w:rFonts w:ascii="Franklin Gothic Book" w:eastAsia="Calibri" w:hAnsi="Franklin Gothic Book"/>
          <w:sz w:val="22"/>
          <w:szCs w:val="22"/>
          <w:lang w:eastAsia="en-US"/>
        </w:rPr>
        <w:t xml:space="preserve"> et al. (2019)</w:t>
      </w:r>
      <w:r w:rsidR="008C01F4">
        <w:rPr>
          <w:rStyle w:val="FootnoteReference"/>
          <w:rFonts w:ascii="Franklin Gothic Book" w:eastAsia="Calibri" w:hAnsi="Franklin Gothic Book"/>
          <w:sz w:val="22"/>
          <w:szCs w:val="22"/>
          <w:lang w:eastAsia="en-US"/>
        </w:rPr>
        <w:footnoteReference w:id="4"/>
      </w:r>
      <w:r w:rsidRPr="00E72E00">
        <w:rPr>
          <w:rFonts w:ascii="Franklin Gothic Book" w:eastAsia="Calibri" w:hAnsi="Franklin Gothic Book"/>
          <w:sz w:val="22"/>
          <w:szCs w:val="22"/>
          <w:lang w:eastAsia="en-US"/>
        </w:rPr>
        <w:t xml:space="preserve"> performed a retrospective cohort study on patients with MTBC from the Netherlands (with a very similar rate of drug resistance to Australia). WGS detected more cases of resistance to rifampicin, isoniazid and ethambutol than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with a slight loss of specificity. It is therefore logical that WGS ±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would be more accurate than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alone, although conflicting results between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can make it difficult to interpret</w:t>
      </w:r>
      <w:r w:rsidR="008D1C4A">
        <w:rPr>
          <w:rFonts w:ascii="Franklin Gothic Book" w:eastAsia="Calibri" w:hAnsi="Franklin Gothic Book"/>
          <w:sz w:val="22"/>
          <w:szCs w:val="22"/>
          <w:lang w:eastAsia="en-US"/>
        </w:rPr>
        <w:t xml:space="preserve"> </w:t>
      </w:r>
      <w:r w:rsidRPr="00E72E00">
        <w:rPr>
          <w:rFonts w:ascii="Franklin Gothic Book" w:eastAsia="Calibri" w:hAnsi="Franklin Gothic Book"/>
          <w:sz w:val="22"/>
          <w:szCs w:val="22"/>
          <w:lang w:eastAsia="en-US"/>
        </w:rPr>
        <w:t xml:space="preserve">the patients’ </w:t>
      </w:r>
      <w:proofErr w:type="spellStart"/>
      <w:r w:rsidRPr="00E72E00">
        <w:rPr>
          <w:rFonts w:ascii="Franklin Gothic Book" w:eastAsia="Calibri" w:hAnsi="Franklin Gothic Book"/>
          <w:sz w:val="22"/>
          <w:szCs w:val="22"/>
          <w:lang w:eastAsia="en-US"/>
        </w:rPr>
        <w:t>resistome</w:t>
      </w:r>
      <w:proofErr w:type="spellEnd"/>
      <w:r w:rsidRPr="00E72E00">
        <w:rPr>
          <w:rFonts w:ascii="Franklin Gothic Book" w:eastAsia="Calibri" w:hAnsi="Franklin Gothic Book"/>
          <w:sz w:val="22"/>
          <w:szCs w:val="22"/>
          <w:lang w:eastAsia="en-US"/>
        </w:rPr>
        <w:t xml:space="preserve"> profile appropriately.</w:t>
      </w:r>
      <w:r w:rsidRPr="008C01F4">
        <w:rPr>
          <w:rFonts w:ascii="Franklin Gothic Book" w:eastAsia="Calibri" w:hAnsi="Franklin Gothic Book"/>
          <w:sz w:val="22"/>
          <w:szCs w:val="22"/>
          <w:vertAlign w:val="superscript"/>
          <w:lang w:eastAsia="en-US"/>
        </w:rPr>
        <w:footnoteReference w:id="5"/>
      </w:r>
      <w:r w:rsidRPr="00E72E00">
        <w:rPr>
          <w:rFonts w:ascii="Franklin Gothic Book" w:eastAsia="Calibri" w:hAnsi="Franklin Gothic Book"/>
          <w:sz w:val="22"/>
          <w:szCs w:val="22"/>
          <w:lang w:eastAsia="en-US"/>
        </w:rPr>
        <w:t xml:space="preserve"> WGS relies heavily on the availability of good quality genetic databases being used to infer resistance from the reported genetic sequences. </w:t>
      </w:r>
    </w:p>
    <w:p w14:paraId="30690685" w14:textId="0800AA1B" w:rsidR="009F0065" w:rsidRDefault="009F0065" w:rsidP="00644745">
      <w:pPr>
        <w:pStyle w:val="Caption"/>
        <w:spacing w:before="240"/>
      </w:pPr>
      <w:bookmarkStart w:id="16" w:name="_Ref90285521"/>
      <w:r>
        <w:lastRenderedPageBreak/>
        <w:t xml:space="preserve">Table </w:t>
      </w:r>
      <w:fldSimple w:instr=" SEQ Table \* ARABIC ">
        <w:r w:rsidR="004C2B2A">
          <w:rPr>
            <w:noProof/>
          </w:rPr>
          <w:t>4</w:t>
        </w:r>
      </w:fldSimple>
      <w:bookmarkEnd w:id="16"/>
      <w:r>
        <w:tab/>
        <w:t xml:space="preserve">Accuracy of WGS and </w:t>
      </w:r>
      <w:proofErr w:type="spellStart"/>
      <w:r>
        <w:t>pDST</w:t>
      </w:r>
      <w:proofErr w:type="spellEnd"/>
      <w:r>
        <w:t xml:space="preserve"> predictions compared to composite reference standard (WGS plus </w:t>
      </w:r>
      <w:proofErr w:type="spellStart"/>
      <w:r>
        <w:t>pDST</w:t>
      </w:r>
      <w:proofErr w:type="spellEnd"/>
      <w:r>
        <w:t xml:space="preserve">) </w:t>
      </w:r>
    </w:p>
    <w:tbl>
      <w:tblPr>
        <w:tblStyle w:val="TableGrid"/>
        <w:tblW w:w="0" w:type="auto"/>
        <w:tblLook w:val="04A0" w:firstRow="1" w:lastRow="0" w:firstColumn="1" w:lastColumn="0" w:noHBand="0" w:noVBand="1"/>
        <w:tblCaption w:val="Accuracy of WGS and pDST predictions compared to composite reference standard"/>
        <w:tblDescription w:val="WGS is more sensitive than pDST for rifampicin, isoniazid and ethambutol, although slightly less specific (when compared against a composite reference standard)"/>
      </w:tblPr>
      <w:tblGrid>
        <w:gridCol w:w="1309"/>
        <w:gridCol w:w="1124"/>
        <w:gridCol w:w="1379"/>
        <w:gridCol w:w="955"/>
        <w:gridCol w:w="961"/>
        <w:gridCol w:w="1096"/>
        <w:gridCol w:w="1096"/>
        <w:gridCol w:w="1096"/>
      </w:tblGrid>
      <w:tr w:rsidR="009F0065" w:rsidRPr="00261757" w14:paraId="1937D59F" w14:textId="77777777" w:rsidTr="006F4EBA">
        <w:trPr>
          <w:trHeight w:val="312"/>
          <w:tblHeader/>
        </w:trPr>
        <w:tc>
          <w:tcPr>
            <w:tcW w:w="1309" w:type="dxa"/>
            <w:vAlign w:val="center"/>
            <w:hideMark/>
          </w:tcPr>
          <w:p w14:paraId="482BD93C" w14:textId="77777777" w:rsidR="009F0065" w:rsidRPr="00261757" w:rsidRDefault="009F0065" w:rsidP="006F4EBA">
            <w:pPr>
              <w:pStyle w:val="Tablenotes0"/>
              <w:jc w:val="left"/>
              <w:rPr>
                <w:b/>
                <w:bCs/>
                <w:snapToGrid w:val="0"/>
                <w:lang w:eastAsia="en-AU"/>
              </w:rPr>
            </w:pPr>
            <w:r w:rsidRPr="00261757">
              <w:rPr>
                <w:b/>
                <w:bCs/>
                <w:snapToGrid w:val="0"/>
                <w:lang w:val="en-US" w:eastAsia="en-AU"/>
              </w:rPr>
              <w:t>Study</w:t>
            </w:r>
          </w:p>
        </w:tc>
        <w:tc>
          <w:tcPr>
            <w:tcW w:w="1124" w:type="dxa"/>
            <w:vAlign w:val="center"/>
            <w:hideMark/>
          </w:tcPr>
          <w:p w14:paraId="5539A01F" w14:textId="77777777" w:rsidR="009F0065" w:rsidRPr="00261757" w:rsidRDefault="009F0065" w:rsidP="006F4EBA">
            <w:pPr>
              <w:pStyle w:val="Tablenotes0"/>
              <w:jc w:val="left"/>
              <w:rPr>
                <w:b/>
                <w:bCs/>
                <w:snapToGrid w:val="0"/>
                <w:lang w:eastAsia="en-AU"/>
              </w:rPr>
            </w:pPr>
            <w:r w:rsidRPr="00261757">
              <w:rPr>
                <w:b/>
                <w:bCs/>
                <w:snapToGrid w:val="0"/>
                <w:lang w:val="en-US" w:eastAsia="en-AU"/>
              </w:rPr>
              <w:t>Test</w:t>
            </w:r>
          </w:p>
        </w:tc>
        <w:tc>
          <w:tcPr>
            <w:tcW w:w="1379" w:type="dxa"/>
            <w:vAlign w:val="center"/>
            <w:hideMark/>
          </w:tcPr>
          <w:p w14:paraId="1EC0B07D" w14:textId="77777777" w:rsidR="009F0065" w:rsidRPr="00261757" w:rsidRDefault="009F0065" w:rsidP="006F4EBA">
            <w:pPr>
              <w:pStyle w:val="Tablenotes0"/>
              <w:jc w:val="left"/>
              <w:rPr>
                <w:b/>
                <w:bCs/>
                <w:snapToGrid w:val="0"/>
                <w:lang w:eastAsia="en-AU"/>
              </w:rPr>
            </w:pPr>
            <w:r w:rsidRPr="00261757">
              <w:rPr>
                <w:b/>
                <w:bCs/>
                <w:snapToGrid w:val="0"/>
                <w:lang w:val="en-US" w:eastAsia="en-AU"/>
              </w:rPr>
              <w:t>Drug</w:t>
            </w:r>
          </w:p>
        </w:tc>
        <w:tc>
          <w:tcPr>
            <w:tcW w:w="955" w:type="dxa"/>
            <w:vAlign w:val="center"/>
            <w:hideMark/>
          </w:tcPr>
          <w:p w14:paraId="613F5C1D" w14:textId="77777777" w:rsidR="009F0065" w:rsidRPr="00261757" w:rsidRDefault="009F0065" w:rsidP="006F4EBA">
            <w:pPr>
              <w:pStyle w:val="Tablenotes0"/>
              <w:jc w:val="left"/>
              <w:rPr>
                <w:b/>
                <w:bCs/>
                <w:snapToGrid w:val="0"/>
                <w:lang w:eastAsia="en-AU"/>
              </w:rPr>
            </w:pPr>
            <w:r w:rsidRPr="00261757">
              <w:rPr>
                <w:b/>
                <w:bCs/>
                <w:snapToGrid w:val="0"/>
                <w:lang w:val="en-US" w:eastAsia="en-AU"/>
              </w:rPr>
              <w:t>Sensitivity (%)</w:t>
            </w:r>
          </w:p>
        </w:tc>
        <w:tc>
          <w:tcPr>
            <w:tcW w:w="961" w:type="dxa"/>
            <w:vAlign w:val="center"/>
            <w:hideMark/>
          </w:tcPr>
          <w:p w14:paraId="56BDA0EC" w14:textId="77777777" w:rsidR="009F0065" w:rsidRPr="00261757" w:rsidRDefault="009F0065" w:rsidP="006F4EBA">
            <w:pPr>
              <w:pStyle w:val="Tablenotes0"/>
              <w:jc w:val="left"/>
              <w:rPr>
                <w:b/>
                <w:bCs/>
                <w:snapToGrid w:val="0"/>
                <w:lang w:eastAsia="en-AU"/>
              </w:rPr>
            </w:pPr>
            <w:r w:rsidRPr="00261757">
              <w:rPr>
                <w:b/>
                <w:bCs/>
                <w:snapToGrid w:val="0"/>
                <w:lang w:val="en-US" w:eastAsia="en-AU"/>
              </w:rPr>
              <w:t>Specificity (%)</w:t>
            </w:r>
          </w:p>
        </w:tc>
        <w:tc>
          <w:tcPr>
            <w:tcW w:w="1096" w:type="dxa"/>
            <w:noWrap/>
            <w:vAlign w:val="center"/>
            <w:hideMark/>
          </w:tcPr>
          <w:p w14:paraId="43D35626" w14:textId="77777777" w:rsidR="009F0065" w:rsidRPr="00261757" w:rsidRDefault="009F0065" w:rsidP="006F4EBA">
            <w:pPr>
              <w:pStyle w:val="Tablenotes0"/>
              <w:jc w:val="left"/>
              <w:rPr>
                <w:b/>
                <w:bCs/>
                <w:snapToGrid w:val="0"/>
                <w:lang w:eastAsia="en-AU"/>
              </w:rPr>
            </w:pPr>
            <w:r w:rsidRPr="00261757">
              <w:rPr>
                <w:b/>
                <w:bCs/>
                <w:snapToGrid w:val="0"/>
                <w:lang w:val="en-US" w:eastAsia="en-AU"/>
              </w:rPr>
              <w:t xml:space="preserve">Australian </w:t>
            </w:r>
            <w:proofErr w:type="spellStart"/>
            <w:r w:rsidRPr="00261757">
              <w:rPr>
                <w:b/>
                <w:bCs/>
                <w:snapToGrid w:val="0"/>
                <w:lang w:val="en-US" w:eastAsia="en-AU"/>
              </w:rPr>
              <w:t>prevalence</w:t>
            </w:r>
            <w:r w:rsidRPr="00261757">
              <w:rPr>
                <w:b/>
                <w:bCs/>
                <w:snapToGrid w:val="0"/>
                <w:vertAlign w:val="superscript"/>
                <w:lang w:val="en-US" w:eastAsia="en-AU"/>
              </w:rPr>
              <w:t>a</w:t>
            </w:r>
            <w:proofErr w:type="spellEnd"/>
          </w:p>
        </w:tc>
        <w:tc>
          <w:tcPr>
            <w:tcW w:w="1096" w:type="dxa"/>
            <w:vAlign w:val="center"/>
            <w:hideMark/>
          </w:tcPr>
          <w:p w14:paraId="1D9CD689" w14:textId="77777777" w:rsidR="009F0065" w:rsidRPr="00261757" w:rsidRDefault="009F0065" w:rsidP="006F4EBA">
            <w:pPr>
              <w:pStyle w:val="Tablenotes0"/>
              <w:jc w:val="left"/>
              <w:rPr>
                <w:b/>
                <w:bCs/>
                <w:snapToGrid w:val="0"/>
                <w:lang w:eastAsia="en-AU"/>
              </w:rPr>
            </w:pPr>
            <w:r w:rsidRPr="00261757">
              <w:rPr>
                <w:b/>
                <w:bCs/>
                <w:snapToGrid w:val="0"/>
                <w:lang w:val="en-US" w:eastAsia="en-AU"/>
              </w:rPr>
              <w:t>Translated PPV (%)</w:t>
            </w:r>
          </w:p>
        </w:tc>
        <w:tc>
          <w:tcPr>
            <w:tcW w:w="1096" w:type="dxa"/>
            <w:vAlign w:val="center"/>
            <w:hideMark/>
          </w:tcPr>
          <w:p w14:paraId="24DEFA5F" w14:textId="77777777" w:rsidR="009F0065" w:rsidRPr="00261757" w:rsidRDefault="009F0065" w:rsidP="006F4EBA">
            <w:pPr>
              <w:pStyle w:val="Tablenotes0"/>
              <w:jc w:val="left"/>
              <w:rPr>
                <w:b/>
                <w:bCs/>
                <w:snapToGrid w:val="0"/>
                <w:lang w:eastAsia="en-AU"/>
              </w:rPr>
            </w:pPr>
            <w:r w:rsidRPr="00261757">
              <w:rPr>
                <w:b/>
                <w:bCs/>
                <w:snapToGrid w:val="0"/>
                <w:lang w:val="en-US" w:eastAsia="en-AU"/>
              </w:rPr>
              <w:t>Translated NPV (%)</w:t>
            </w:r>
          </w:p>
        </w:tc>
      </w:tr>
      <w:tr w:rsidR="009F0065" w:rsidRPr="00261757" w14:paraId="751889D7" w14:textId="77777777" w:rsidTr="006F4EBA">
        <w:trPr>
          <w:trHeight w:val="288"/>
        </w:trPr>
        <w:tc>
          <w:tcPr>
            <w:tcW w:w="1309" w:type="dxa"/>
            <w:vMerge w:val="restart"/>
            <w:vAlign w:val="center"/>
            <w:hideMark/>
          </w:tcPr>
          <w:p w14:paraId="0E0AF6B4" w14:textId="77777777" w:rsidR="009F0065" w:rsidRPr="00261757" w:rsidRDefault="009F0065" w:rsidP="006F4EBA">
            <w:pPr>
              <w:pStyle w:val="Tablenotes0"/>
              <w:jc w:val="left"/>
              <w:rPr>
                <w:snapToGrid w:val="0"/>
                <w:lang w:eastAsia="en-AU"/>
              </w:rPr>
            </w:pPr>
            <w:r>
              <w:rPr>
                <w:snapToGrid w:val="0"/>
                <w:lang w:eastAsia="en-AU"/>
              </w:rPr>
              <w:fldChar w:fldCharType="begin">
                <w:fldData xml:space="preserve">PEVuZE5vdGU+PENpdGU+PEF1dGhvcj5KYWpvdTwvQXV0aG9yPjxZZWFyPjIwMTk8L1llYXI+PFJl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</w:fldData>
              </w:fldChar>
            </w:r>
            <w:r>
              <w:rPr>
                <w:snapToGrid w:val="0"/>
                <w:lang w:eastAsia="en-AU"/>
              </w:rPr>
              <w:instrText xml:space="preserve"> ADDIN EN.CITE </w:instrText>
            </w:r>
            <w:r>
              <w:rPr>
                <w:snapToGrid w:val="0"/>
                <w:lang w:eastAsia="en-AU"/>
              </w:rPr>
              <w:fldChar w:fldCharType="begin">
                <w:fldData xml:space="preserve">PEVuZE5vdGU+PENpdGU+PEF1dGhvcj5KYWpvdTwvQXV0aG9yPjxZZWFyPjIwMTk8L1llYXI+PFJl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</w:fldData>
              </w:fldChar>
            </w:r>
            <w:r>
              <w:rPr>
                <w:snapToGrid w:val="0"/>
                <w:lang w:eastAsia="en-AU"/>
              </w:rPr>
              <w:instrText xml:space="preserve"> ADDIN EN.CITE.DATA </w:instrText>
            </w:r>
            <w:r>
              <w:rPr>
                <w:snapToGrid w:val="0"/>
                <w:lang w:eastAsia="en-AU"/>
              </w:rPr>
            </w:r>
            <w:r>
              <w:rPr>
                <w:snapToGrid w:val="0"/>
                <w:lang w:eastAsia="en-AU"/>
              </w:rPr>
              <w:fldChar w:fldCharType="end"/>
            </w:r>
            <w:r>
              <w:rPr>
                <w:snapToGrid w:val="0"/>
                <w:lang w:eastAsia="en-AU"/>
              </w:rPr>
            </w:r>
            <w:r>
              <w:rPr>
                <w:snapToGrid w:val="0"/>
                <w:lang w:eastAsia="en-AU"/>
              </w:rPr>
              <w:fldChar w:fldCharType="separate"/>
            </w:r>
            <w:r>
              <w:rPr>
                <w:noProof/>
                <w:snapToGrid w:val="0"/>
                <w:lang w:eastAsia="en-AU"/>
              </w:rPr>
              <w:t>(Jajou et al. 2019)</w:t>
            </w:r>
            <w:r>
              <w:rPr>
                <w:snapToGrid w:val="0"/>
                <w:lang w:eastAsia="en-AU"/>
              </w:rPr>
              <w:fldChar w:fldCharType="end"/>
            </w:r>
          </w:p>
        </w:tc>
        <w:tc>
          <w:tcPr>
            <w:tcW w:w="1124" w:type="dxa"/>
            <w:vMerge w:val="restart"/>
            <w:vAlign w:val="center"/>
            <w:hideMark/>
          </w:tcPr>
          <w:p w14:paraId="55A704DF" w14:textId="77777777" w:rsidR="009F0065" w:rsidRPr="00261757" w:rsidRDefault="009F0065" w:rsidP="006F4EBA">
            <w:pPr>
              <w:pStyle w:val="Tablenotes0"/>
              <w:jc w:val="left"/>
              <w:rPr>
                <w:snapToGrid w:val="0"/>
                <w:lang w:eastAsia="en-AU"/>
              </w:rPr>
            </w:pPr>
            <w:r w:rsidRPr="00261757">
              <w:rPr>
                <w:snapToGrid w:val="0"/>
                <w:lang w:eastAsia="en-AU"/>
              </w:rPr>
              <w:t>WGS</w:t>
            </w:r>
          </w:p>
        </w:tc>
        <w:tc>
          <w:tcPr>
            <w:tcW w:w="1379" w:type="dxa"/>
            <w:vAlign w:val="center"/>
            <w:hideMark/>
          </w:tcPr>
          <w:p w14:paraId="0372C2AC" w14:textId="77777777" w:rsidR="009F0065" w:rsidRPr="00261757" w:rsidRDefault="009F0065" w:rsidP="006F4EBA">
            <w:pPr>
              <w:pStyle w:val="Tablenotes0"/>
              <w:jc w:val="left"/>
              <w:rPr>
                <w:snapToGrid w:val="0"/>
                <w:lang w:eastAsia="en-AU"/>
              </w:rPr>
            </w:pPr>
            <w:r w:rsidRPr="00261757">
              <w:rPr>
                <w:snapToGrid w:val="0"/>
                <w:lang w:eastAsia="en-AU"/>
              </w:rPr>
              <w:t>Rifampicin</w:t>
            </w:r>
          </w:p>
        </w:tc>
        <w:tc>
          <w:tcPr>
            <w:tcW w:w="955" w:type="dxa"/>
            <w:vAlign w:val="center"/>
            <w:hideMark/>
          </w:tcPr>
          <w:p w14:paraId="64A2E3EC"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96.9</w:t>
            </w:r>
          </w:p>
        </w:tc>
        <w:tc>
          <w:tcPr>
            <w:tcW w:w="961" w:type="dxa"/>
            <w:vAlign w:val="center"/>
            <w:hideMark/>
          </w:tcPr>
          <w:p w14:paraId="580ED1B7"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99.7</w:t>
            </w:r>
          </w:p>
        </w:tc>
        <w:tc>
          <w:tcPr>
            <w:tcW w:w="1096" w:type="dxa"/>
            <w:vAlign w:val="center"/>
            <w:hideMark/>
          </w:tcPr>
          <w:p w14:paraId="4B90326C"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2.3%</w:t>
            </w:r>
          </w:p>
        </w:tc>
        <w:tc>
          <w:tcPr>
            <w:tcW w:w="1096" w:type="dxa"/>
            <w:vAlign w:val="center"/>
            <w:hideMark/>
          </w:tcPr>
          <w:p w14:paraId="75EB2403"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88.6</w:t>
            </w:r>
          </w:p>
        </w:tc>
        <w:tc>
          <w:tcPr>
            <w:tcW w:w="1096" w:type="dxa"/>
            <w:vAlign w:val="center"/>
            <w:hideMark/>
          </w:tcPr>
          <w:p w14:paraId="58D16B91"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99.9</w:t>
            </w:r>
          </w:p>
        </w:tc>
      </w:tr>
      <w:tr w:rsidR="009F0065" w:rsidRPr="00261757" w14:paraId="329A7EFC" w14:textId="77777777" w:rsidTr="006F4EBA">
        <w:trPr>
          <w:trHeight w:val="288"/>
        </w:trPr>
        <w:tc>
          <w:tcPr>
            <w:tcW w:w="1309" w:type="dxa"/>
            <w:vMerge/>
            <w:vAlign w:val="center"/>
            <w:hideMark/>
          </w:tcPr>
          <w:p w14:paraId="496CFA16" w14:textId="77777777" w:rsidR="009F0065" w:rsidRPr="00261757" w:rsidRDefault="009F0065" w:rsidP="006F4EBA">
            <w:pPr>
              <w:pStyle w:val="Tablenotes0"/>
              <w:jc w:val="left"/>
              <w:rPr>
                <w:snapToGrid w:val="0"/>
                <w:lang w:eastAsia="en-AU"/>
              </w:rPr>
            </w:pPr>
          </w:p>
        </w:tc>
        <w:tc>
          <w:tcPr>
            <w:tcW w:w="1124" w:type="dxa"/>
            <w:vMerge/>
            <w:vAlign w:val="center"/>
            <w:hideMark/>
          </w:tcPr>
          <w:p w14:paraId="74C2F6EE" w14:textId="77777777" w:rsidR="009F0065" w:rsidRPr="00261757" w:rsidRDefault="009F0065" w:rsidP="006F4EBA">
            <w:pPr>
              <w:pStyle w:val="Tablenotes0"/>
              <w:jc w:val="left"/>
              <w:rPr>
                <w:snapToGrid w:val="0"/>
                <w:lang w:eastAsia="en-AU"/>
              </w:rPr>
            </w:pPr>
          </w:p>
        </w:tc>
        <w:tc>
          <w:tcPr>
            <w:tcW w:w="1379" w:type="dxa"/>
            <w:vAlign w:val="center"/>
            <w:hideMark/>
          </w:tcPr>
          <w:p w14:paraId="7687F99A" w14:textId="77777777" w:rsidR="009F0065" w:rsidRPr="00261757" w:rsidRDefault="009F0065" w:rsidP="006F4EBA">
            <w:pPr>
              <w:pStyle w:val="Tablenotes0"/>
              <w:jc w:val="left"/>
              <w:rPr>
                <w:snapToGrid w:val="0"/>
                <w:lang w:eastAsia="en-AU"/>
              </w:rPr>
            </w:pPr>
            <w:r w:rsidRPr="00261757">
              <w:rPr>
                <w:snapToGrid w:val="0"/>
                <w:lang w:eastAsia="en-AU"/>
              </w:rPr>
              <w:t>Isoniazid</w:t>
            </w:r>
          </w:p>
        </w:tc>
        <w:tc>
          <w:tcPr>
            <w:tcW w:w="955" w:type="dxa"/>
            <w:vAlign w:val="center"/>
            <w:hideMark/>
          </w:tcPr>
          <w:p w14:paraId="597F6D93"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98</w:t>
            </w:r>
          </w:p>
        </w:tc>
        <w:tc>
          <w:tcPr>
            <w:tcW w:w="961" w:type="dxa"/>
            <w:vAlign w:val="center"/>
            <w:hideMark/>
          </w:tcPr>
          <w:p w14:paraId="089B7826"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99.9</w:t>
            </w:r>
          </w:p>
        </w:tc>
        <w:tc>
          <w:tcPr>
            <w:tcW w:w="1096" w:type="dxa"/>
            <w:vAlign w:val="center"/>
            <w:hideMark/>
          </w:tcPr>
          <w:p w14:paraId="4F5CF1D1"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11.3%</w:t>
            </w:r>
          </w:p>
        </w:tc>
        <w:tc>
          <w:tcPr>
            <w:tcW w:w="1096" w:type="dxa"/>
            <w:vAlign w:val="center"/>
            <w:hideMark/>
          </w:tcPr>
          <w:p w14:paraId="3BB5B89E"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99.2</w:t>
            </w:r>
          </w:p>
        </w:tc>
        <w:tc>
          <w:tcPr>
            <w:tcW w:w="1096" w:type="dxa"/>
            <w:vAlign w:val="center"/>
            <w:hideMark/>
          </w:tcPr>
          <w:p w14:paraId="45784922"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99.7</w:t>
            </w:r>
          </w:p>
        </w:tc>
      </w:tr>
      <w:tr w:rsidR="009F0065" w:rsidRPr="00261757" w14:paraId="701744FA" w14:textId="77777777" w:rsidTr="006F4EBA">
        <w:trPr>
          <w:trHeight w:val="288"/>
        </w:trPr>
        <w:tc>
          <w:tcPr>
            <w:tcW w:w="1309" w:type="dxa"/>
            <w:vMerge/>
            <w:vAlign w:val="center"/>
            <w:hideMark/>
          </w:tcPr>
          <w:p w14:paraId="6C065705" w14:textId="77777777" w:rsidR="009F0065" w:rsidRPr="00261757" w:rsidRDefault="009F0065" w:rsidP="006F4EBA">
            <w:pPr>
              <w:pStyle w:val="Tablenotes0"/>
              <w:jc w:val="left"/>
              <w:rPr>
                <w:snapToGrid w:val="0"/>
                <w:lang w:eastAsia="en-AU"/>
              </w:rPr>
            </w:pPr>
          </w:p>
        </w:tc>
        <w:tc>
          <w:tcPr>
            <w:tcW w:w="1124" w:type="dxa"/>
            <w:vMerge/>
            <w:vAlign w:val="center"/>
            <w:hideMark/>
          </w:tcPr>
          <w:p w14:paraId="4A4553FA" w14:textId="77777777" w:rsidR="009F0065" w:rsidRPr="00261757" w:rsidRDefault="009F0065" w:rsidP="006F4EBA">
            <w:pPr>
              <w:pStyle w:val="Tablenotes0"/>
              <w:jc w:val="left"/>
              <w:rPr>
                <w:snapToGrid w:val="0"/>
                <w:lang w:eastAsia="en-AU"/>
              </w:rPr>
            </w:pPr>
          </w:p>
        </w:tc>
        <w:tc>
          <w:tcPr>
            <w:tcW w:w="1379" w:type="dxa"/>
            <w:vAlign w:val="center"/>
            <w:hideMark/>
          </w:tcPr>
          <w:p w14:paraId="60B36CB8" w14:textId="77777777" w:rsidR="009F0065" w:rsidRPr="00261757" w:rsidRDefault="009F0065" w:rsidP="006F4EBA">
            <w:pPr>
              <w:pStyle w:val="Tablenotes0"/>
              <w:jc w:val="left"/>
              <w:rPr>
                <w:snapToGrid w:val="0"/>
                <w:lang w:eastAsia="en-AU"/>
              </w:rPr>
            </w:pPr>
            <w:r w:rsidRPr="00261757">
              <w:rPr>
                <w:snapToGrid w:val="0"/>
                <w:lang w:eastAsia="en-AU"/>
              </w:rPr>
              <w:t>Ethambutol</w:t>
            </w:r>
          </w:p>
        </w:tc>
        <w:tc>
          <w:tcPr>
            <w:tcW w:w="955" w:type="dxa"/>
            <w:vAlign w:val="center"/>
            <w:hideMark/>
          </w:tcPr>
          <w:p w14:paraId="5E5EB2F2"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94.1</w:t>
            </w:r>
          </w:p>
        </w:tc>
        <w:tc>
          <w:tcPr>
            <w:tcW w:w="961" w:type="dxa"/>
            <w:vAlign w:val="center"/>
            <w:hideMark/>
          </w:tcPr>
          <w:p w14:paraId="7203E187"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99.6</w:t>
            </w:r>
          </w:p>
        </w:tc>
        <w:tc>
          <w:tcPr>
            <w:tcW w:w="1096" w:type="dxa"/>
            <w:vAlign w:val="center"/>
            <w:hideMark/>
          </w:tcPr>
          <w:p w14:paraId="19EFDC4D"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1.9%</w:t>
            </w:r>
          </w:p>
        </w:tc>
        <w:tc>
          <w:tcPr>
            <w:tcW w:w="1096" w:type="dxa"/>
            <w:vAlign w:val="center"/>
            <w:hideMark/>
          </w:tcPr>
          <w:p w14:paraId="21E32AF3"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82.2</w:t>
            </w:r>
          </w:p>
        </w:tc>
        <w:tc>
          <w:tcPr>
            <w:tcW w:w="1096" w:type="dxa"/>
            <w:vAlign w:val="center"/>
            <w:hideMark/>
          </w:tcPr>
          <w:p w14:paraId="22F36FDD"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99.9</w:t>
            </w:r>
          </w:p>
        </w:tc>
      </w:tr>
      <w:tr w:rsidR="009F0065" w:rsidRPr="00261757" w14:paraId="74118450" w14:textId="77777777" w:rsidTr="006F4EBA">
        <w:trPr>
          <w:trHeight w:val="312"/>
        </w:trPr>
        <w:tc>
          <w:tcPr>
            <w:tcW w:w="1309" w:type="dxa"/>
            <w:vMerge/>
            <w:vAlign w:val="center"/>
            <w:hideMark/>
          </w:tcPr>
          <w:p w14:paraId="47BE26E7" w14:textId="77777777" w:rsidR="009F0065" w:rsidRPr="00261757" w:rsidRDefault="009F0065" w:rsidP="006F4EBA">
            <w:pPr>
              <w:pStyle w:val="Tablenotes0"/>
              <w:jc w:val="left"/>
              <w:rPr>
                <w:snapToGrid w:val="0"/>
                <w:lang w:eastAsia="en-AU"/>
              </w:rPr>
            </w:pPr>
          </w:p>
        </w:tc>
        <w:tc>
          <w:tcPr>
            <w:tcW w:w="1124" w:type="dxa"/>
            <w:vMerge/>
            <w:vAlign w:val="center"/>
            <w:hideMark/>
          </w:tcPr>
          <w:p w14:paraId="64E73DF6" w14:textId="77777777" w:rsidR="009F0065" w:rsidRPr="00261757" w:rsidRDefault="009F0065" w:rsidP="006F4EBA">
            <w:pPr>
              <w:pStyle w:val="Tablenotes0"/>
              <w:jc w:val="left"/>
              <w:rPr>
                <w:snapToGrid w:val="0"/>
                <w:lang w:eastAsia="en-AU"/>
              </w:rPr>
            </w:pPr>
          </w:p>
        </w:tc>
        <w:tc>
          <w:tcPr>
            <w:tcW w:w="1379" w:type="dxa"/>
            <w:vAlign w:val="center"/>
            <w:hideMark/>
          </w:tcPr>
          <w:p w14:paraId="1641029A" w14:textId="77777777" w:rsidR="009F0065" w:rsidRPr="00261757" w:rsidRDefault="009F0065" w:rsidP="006F4EBA">
            <w:pPr>
              <w:pStyle w:val="Tablenotes0"/>
              <w:jc w:val="left"/>
              <w:rPr>
                <w:snapToGrid w:val="0"/>
                <w:lang w:eastAsia="en-AU"/>
              </w:rPr>
            </w:pPr>
            <w:proofErr w:type="spellStart"/>
            <w:r w:rsidRPr="00261757">
              <w:rPr>
                <w:snapToGrid w:val="0"/>
                <w:lang w:eastAsia="en-AU"/>
              </w:rPr>
              <w:t>Pyrazinamide</w:t>
            </w:r>
            <w:r w:rsidRPr="00261757">
              <w:rPr>
                <w:snapToGrid w:val="0"/>
                <w:vertAlign w:val="superscript"/>
                <w:lang w:eastAsia="en-AU"/>
              </w:rPr>
              <w:t>b</w:t>
            </w:r>
            <w:proofErr w:type="spellEnd"/>
          </w:p>
        </w:tc>
        <w:tc>
          <w:tcPr>
            <w:tcW w:w="955" w:type="dxa"/>
            <w:vAlign w:val="center"/>
            <w:hideMark/>
          </w:tcPr>
          <w:p w14:paraId="570D8790"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85.1</w:t>
            </w:r>
          </w:p>
        </w:tc>
        <w:tc>
          <w:tcPr>
            <w:tcW w:w="961" w:type="dxa"/>
            <w:vAlign w:val="center"/>
            <w:hideMark/>
          </w:tcPr>
          <w:p w14:paraId="3D16934D"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98.8</w:t>
            </w:r>
          </w:p>
        </w:tc>
        <w:tc>
          <w:tcPr>
            <w:tcW w:w="1096" w:type="dxa"/>
            <w:vAlign w:val="center"/>
            <w:hideMark/>
          </w:tcPr>
          <w:p w14:paraId="261DD1B5"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4.5%</w:t>
            </w:r>
          </w:p>
        </w:tc>
        <w:tc>
          <w:tcPr>
            <w:tcW w:w="1096" w:type="dxa"/>
            <w:vAlign w:val="center"/>
            <w:hideMark/>
          </w:tcPr>
          <w:p w14:paraId="6102D356"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77.1</w:t>
            </w:r>
          </w:p>
        </w:tc>
        <w:tc>
          <w:tcPr>
            <w:tcW w:w="1096" w:type="dxa"/>
            <w:vAlign w:val="center"/>
            <w:hideMark/>
          </w:tcPr>
          <w:p w14:paraId="44726821"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99.3</w:t>
            </w:r>
          </w:p>
        </w:tc>
      </w:tr>
      <w:tr w:rsidR="009F0065" w:rsidRPr="00261757" w14:paraId="0C44CD3A" w14:textId="77777777" w:rsidTr="006F4EBA">
        <w:trPr>
          <w:trHeight w:val="288"/>
        </w:trPr>
        <w:tc>
          <w:tcPr>
            <w:tcW w:w="1309" w:type="dxa"/>
            <w:vMerge/>
            <w:vAlign w:val="center"/>
            <w:hideMark/>
          </w:tcPr>
          <w:p w14:paraId="5F0DF875" w14:textId="77777777" w:rsidR="009F0065" w:rsidRPr="00261757" w:rsidRDefault="009F0065" w:rsidP="006F4EBA">
            <w:pPr>
              <w:pStyle w:val="Tablenotes0"/>
              <w:jc w:val="left"/>
              <w:rPr>
                <w:snapToGrid w:val="0"/>
                <w:lang w:eastAsia="en-AU"/>
              </w:rPr>
            </w:pPr>
          </w:p>
        </w:tc>
        <w:tc>
          <w:tcPr>
            <w:tcW w:w="1124" w:type="dxa"/>
            <w:vMerge w:val="restart"/>
            <w:vAlign w:val="center"/>
            <w:hideMark/>
          </w:tcPr>
          <w:p w14:paraId="36018309" w14:textId="77777777" w:rsidR="009F0065" w:rsidRPr="00261757" w:rsidRDefault="009F0065" w:rsidP="006F4EBA">
            <w:pPr>
              <w:pStyle w:val="Tablenotes0"/>
              <w:jc w:val="left"/>
              <w:rPr>
                <w:snapToGrid w:val="0"/>
                <w:lang w:eastAsia="en-AU"/>
              </w:rPr>
            </w:pPr>
            <w:proofErr w:type="spellStart"/>
            <w:r w:rsidRPr="00261757">
              <w:rPr>
                <w:snapToGrid w:val="0"/>
                <w:lang w:eastAsia="en-AU"/>
              </w:rPr>
              <w:t>pDST</w:t>
            </w:r>
            <w:proofErr w:type="spellEnd"/>
          </w:p>
        </w:tc>
        <w:tc>
          <w:tcPr>
            <w:tcW w:w="1379" w:type="dxa"/>
            <w:vAlign w:val="center"/>
            <w:hideMark/>
          </w:tcPr>
          <w:p w14:paraId="730CC4A3" w14:textId="77777777" w:rsidR="009F0065" w:rsidRPr="00261757" w:rsidRDefault="009F0065" w:rsidP="006F4EBA">
            <w:pPr>
              <w:pStyle w:val="Tablenotes0"/>
              <w:jc w:val="left"/>
              <w:rPr>
                <w:snapToGrid w:val="0"/>
                <w:lang w:eastAsia="en-AU"/>
              </w:rPr>
            </w:pPr>
            <w:r w:rsidRPr="00261757">
              <w:rPr>
                <w:snapToGrid w:val="0"/>
                <w:lang w:eastAsia="en-AU"/>
              </w:rPr>
              <w:t>Rifampicin</w:t>
            </w:r>
          </w:p>
        </w:tc>
        <w:tc>
          <w:tcPr>
            <w:tcW w:w="955" w:type="dxa"/>
            <w:vAlign w:val="center"/>
            <w:hideMark/>
          </w:tcPr>
          <w:p w14:paraId="4BE08F49"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78.1</w:t>
            </w:r>
          </w:p>
        </w:tc>
        <w:tc>
          <w:tcPr>
            <w:tcW w:w="961" w:type="dxa"/>
            <w:vAlign w:val="center"/>
            <w:hideMark/>
          </w:tcPr>
          <w:p w14:paraId="00E5B6EB"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w:t>
            </w:r>
          </w:p>
        </w:tc>
        <w:tc>
          <w:tcPr>
            <w:tcW w:w="1096" w:type="dxa"/>
            <w:vAlign w:val="center"/>
            <w:hideMark/>
          </w:tcPr>
          <w:p w14:paraId="07A70F38"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2.3%</w:t>
            </w:r>
          </w:p>
        </w:tc>
        <w:tc>
          <w:tcPr>
            <w:tcW w:w="1096" w:type="dxa"/>
            <w:vAlign w:val="center"/>
            <w:hideMark/>
          </w:tcPr>
          <w:p w14:paraId="2EFF9384"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100.0</w:t>
            </w:r>
          </w:p>
        </w:tc>
        <w:tc>
          <w:tcPr>
            <w:tcW w:w="1096" w:type="dxa"/>
            <w:vAlign w:val="center"/>
            <w:hideMark/>
          </w:tcPr>
          <w:p w14:paraId="1DCAE877"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99.5</w:t>
            </w:r>
          </w:p>
        </w:tc>
      </w:tr>
      <w:tr w:rsidR="009F0065" w:rsidRPr="00261757" w14:paraId="54E94865" w14:textId="77777777" w:rsidTr="006F4EBA">
        <w:trPr>
          <w:trHeight w:val="288"/>
        </w:trPr>
        <w:tc>
          <w:tcPr>
            <w:tcW w:w="1309" w:type="dxa"/>
            <w:vMerge/>
            <w:vAlign w:val="center"/>
            <w:hideMark/>
          </w:tcPr>
          <w:p w14:paraId="4681D770" w14:textId="77777777" w:rsidR="009F0065" w:rsidRPr="00261757" w:rsidRDefault="009F0065" w:rsidP="006F4EBA">
            <w:pPr>
              <w:pStyle w:val="Tablenotes0"/>
              <w:jc w:val="left"/>
              <w:rPr>
                <w:snapToGrid w:val="0"/>
                <w:lang w:eastAsia="en-AU"/>
              </w:rPr>
            </w:pPr>
          </w:p>
        </w:tc>
        <w:tc>
          <w:tcPr>
            <w:tcW w:w="1124" w:type="dxa"/>
            <w:vMerge/>
            <w:vAlign w:val="center"/>
            <w:hideMark/>
          </w:tcPr>
          <w:p w14:paraId="7E32D011" w14:textId="77777777" w:rsidR="009F0065" w:rsidRPr="00261757" w:rsidRDefault="009F0065" w:rsidP="006F4EBA">
            <w:pPr>
              <w:pStyle w:val="Tablenotes0"/>
              <w:jc w:val="left"/>
              <w:rPr>
                <w:snapToGrid w:val="0"/>
                <w:lang w:eastAsia="en-AU"/>
              </w:rPr>
            </w:pPr>
          </w:p>
        </w:tc>
        <w:tc>
          <w:tcPr>
            <w:tcW w:w="1379" w:type="dxa"/>
            <w:vAlign w:val="center"/>
            <w:hideMark/>
          </w:tcPr>
          <w:p w14:paraId="7E6525BE" w14:textId="77777777" w:rsidR="009F0065" w:rsidRPr="00261757" w:rsidRDefault="009F0065" w:rsidP="006F4EBA">
            <w:pPr>
              <w:pStyle w:val="Tablenotes0"/>
              <w:jc w:val="left"/>
              <w:rPr>
                <w:snapToGrid w:val="0"/>
                <w:lang w:eastAsia="en-AU"/>
              </w:rPr>
            </w:pPr>
            <w:r w:rsidRPr="00261757">
              <w:rPr>
                <w:snapToGrid w:val="0"/>
                <w:lang w:eastAsia="en-AU"/>
              </w:rPr>
              <w:t>Isoniazid</w:t>
            </w:r>
          </w:p>
        </w:tc>
        <w:tc>
          <w:tcPr>
            <w:tcW w:w="955" w:type="dxa"/>
            <w:vAlign w:val="center"/>
            <w:hideMark/>
          </w:tcPr>
          <w:p w14:paraId="0965D6C0"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93</w:t>
            </w:r>
          </w:p>
        </w:tc>
        <w:tc>
          <w:tcPr>
            <w:tcW w:w="961" w:type="dxa"/>
            <w:vAlign w:val="center"/>
            <w:hideMark/>
          </w:tcPr>
          <w:p w14:paraId="22EC2672"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w:t>
            </w:r>
          </w:p>
        </w:tc>
        <w:tc>
          <w:tcPr>
            <w:tcW w:w="1096" w:type="dxa"/>
            <w:vAlign w:val="center"/>
            <w:hideMark/>
          </w:tcPr>
          <w:p w14:paraId="588B9AB6"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11.3%</w:t>
            </w:r>
          </w:p>
        </w:tc>
        <w:tc>
          <w:tcPr>
            <w:tcW w:w="1096" w:type="dxa"/>
            <w:vAlign w:val="center"/>
            <w:hideMark/>
          </w:tcPr>
          <w:p w14:paraId="7EBB13E7"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100.0</w:t>
            </w:r>
          </w:p>
        </w:tc>
        <w:tc>
          <w:tcPr>
            <w:tcW w:w="1096" w:type="dxa"/>
            <w:vAlign w:val="center"/>
            <w:hideMark/>
          </w:tcPr>
          <w:p w14:paraId="69F77250"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99.1</w:t>
            </w:r>
          </w:p>
        </w:tc>
      </w:tr>
      <w:tr w:rsidR="009F0065" w:rsidRPr="00261757" w14:paraId="0A950D03" w14:textId="77777777" w:rsidTr="006F4EBA">
        <w:trPr>
          <w:trHeight w:val="288"/>
        </w:trPr>
        <w:tc>
          <w:tcPr>
            <w:tcW w:w="1309" w:type="dxa"/>
            <w:vMerge/>
            <w:vAlign w:val="center"/>
            <w:hideMark/>
          </w:tcPr>
          <w:p w14:paraId="148B22A9" w14:textId="77777777" w:rsidR="009F0065" w:rsidRPr="00261757" w:rsidRDefault="009F0065" w:rsidP="006F4EBA">
            <w:pPr>
              <w:pStyle w:val="Tablenotes0"/>
              <w:jc w:val="left"/>
              <w:rPr>
                <w:snapToGrid w:val="0"/>
                <w:lang w:eastAsia="en-AU"/>
              </w:rPr>
            </w:pPr>
          </w:p>
        </w:tc>
        <w:tc>
          <w:tcPr>
            <w:tcW w:w="1124" w:type="dxa"/>
            <w:vMerge/>
            <w:vAlign w:val="center"/>
            <w:hideMark/>
          </w:tcPr>
          <w:p w14:paraId="38BD6A50" w14:textId="77777777" w:rsidR="009F0065" w:rsidRPr="00261757" w:rsidRDefault="009F0065" w:rsidP="006F4EBA">
            <w:pPr>
              <w:pStyle w:val="Tablenotes0"/>
              <w:jc w:val="left"/>
              <w:rPr>
                <w:snapToGrid w:val="0"/>
                <w:lang w:eastAsia="en-AU"/>
              </w:rPr>
            </w:pPr>
          </w:p>
        </w:tc>
        <w:tc>
          <w:tcPr>
            <w:tcW w:w="1379" w:type="dxa"/>
            <w:vAlign w:val="center"/>
            <w:hideMark/>
          </w:tcPr>
          <w:p w14:paraId="55A44C63" w14:textId="77777777" w:rsidR="009F0065" w:rsidRPr="00261757" w:rsidRDefault="009F0065" w:rsidP="006F4EBA">
            <w:pPr>
              <w:pStyle w:val="Tablenotes0"/>
              <w:jc w:val="left"/>
              <w:rPr>
                <w:snapToGrid w:val="0"/>
                <w:lang w:eastAsia="en-AU"/>
              </w:rPr>
            </w:pPr>
            <w:r w:rsidRPr="00261757">
              <w:rPr>
                <w:snapToGrid w:val="0"/>
                <w:lang w:eastAsia="en-AU"/>
              </w:rPr>
              <w:t>Ethambutol</w:t>
            </w:r>
          </w:p>
        </w:tc>
        <w:tc>
          <w:tcPr>
            <w:tcW w:w="955" w:type="dxa"/>
            <w:vAlign w:val="center"/>
            <w:hideMark/>
          </w:tcPr>
          <w:p w14:paraId="1B135D31"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29.4</w:t>
            </w:r>
          </w:p>
        </w:tc>
        <w:tc>
          <w:tcPr>
            <w:tcW w:w="961" w:type="dxa"/>
            <w:vAlign w:val="center"/>
            <w:hideMark/>
          </w:tcPr>
          <w:p w14:paraId="50EAD181"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w:t>
            </w:r>
          </w:p>
        </w:tc>
        <w:tc>
          <w:tcPr>
            <w:tcW w:w="1096" w:type="dxa"/>
            <w:vAlign w:val="center"/>
            <w:hideMark/>
          </w:tcPr>
          <w:p w14:paraId="5B741E40"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1.9%</w:t>
            </w:r>
          </w:p>
        </w:tc>
        <w:tc>
          <w:tcPr>
            <w:tcW w:w="1096" w:type="dxa"/>
            <w:vAlign w:val="center"/>
            <w:hideMark/>
          </w:tcPr>
          <w:p w14:paraId="10B955AB"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100.0</w:t>
            </w:r>
          </w:p>
        </w:tc>
        <w:tc>
          <w:tcPr>
            <w:tcW w:w="1096" w:type="dxa"/>
            <w:vAlign w:val="center"/>
            <w:hideMark/>
          </w:tcPr>
          <w:p w14:paraId="3118417C"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98.6</w:t>
            </w:r>
          </w:p>
        </w:tc>
      </w:tr>
      <w:tr w:rsidR="009F0065" w:rsidRPr="00261757" w14:paraId="323C28A1" w14:textId="77777777" w:rsidTr="006F4EBA">
        <w:trPr>
          <w:trHeight w:val="312"/>
        </w:trPr>
        <w:tc>
          <w:tcPr>
            <w:tcW w:w="1309" w:type="dxa"/>
            <w:vMerge/>
            <w:vAlign w:val="center"/>
            <w:hideMark/>
          </w:tcPr>
          <w:p w14:paraId="1320F333" w14:textId="77777777" w:rsidR="009F0065" w:rsidRPr="00261757" w:rsidRDefault="009F0065" w:rsidP="006F4EBA">
            <w:pPr>
              <w:pStyle w:val="Tablenotes0"/>
              <w:jc w:val="left"/>
              <w:rPr>
                <w:snapToGrid w:val="0"/>
                <w:lang w:eastAsia="en-AU"/>
              </w:rPr>
            </w:pPr>
          </w:p>
        </w:tc>
        <w:tc>
          <w:tcPr>
            <w:tcW w:w="1124" w:type="dxa"/>
            <w:vMerge/>
            <w:vAlign w:val="center"/>
            <w:hideMark/>
          </w:tcPr>
          <w:p w14:paraId="721EAD76" w14:textId="77777777" w:rsidR="009F0065" w:rsidRPr="00261757" w:rsidRDefault="009F0065" w:rsidP="006F4EBA">
            <w:pPr>
              <w:pStyle w:val="Tablenotes0"/>
              <w:jc w:val="left"/>
              <w:rPr>
                <w:snapToGrid w:val="0"/>
                <w:lang w:eastAsia="en-AU"/>
              </w:rPr>
            </w:pPr>
          </w:p>
        </w:tc>
        <w:tc>
          <w:tcPr>
            <w:tcW w:w="1379" w:type="dxa"/>
            <w:vAlign w:val="center"/>
            <w:hideMark/>
          </w:tcPr>
          <w:p w14:paraId="1DF18214" w14:textId="77777777" w:rsidR="009F0065" w:rsidRPr="00261757" w:rsidRDefault="009F0065" w:rsidP="006F4EBA">
            <w:pPr>
              <w:pStyle w:val="Tablenotes0"/>
              <w:jc w:val="left"/>
              <w:rPr>
                <w:i/>
                <w:iCs/>
                <w:snapToGrid w:val="0"/>
                <w:lang w:eastAsia="en-AU"/>
              </w:rPr>
            </w:pPr>
            <w:proofErr w:type="spellStart"/>
            <w:r w:rsidRPr="00261757">
              <w:rPr>
                <w:i/>
                <w:iCs/>
                <w:snapToGrid w:val="0"/>
                <w:lang w:eastAsia="en-AU"/>
              </w:rPr>
              <w:t>Pyrazinamide</w:t>
            </w:r>
            <w:r w:rsidRPr="00261757">
              <w:rPr>
                <w:i/>
                <w:iCs/>
                <w:snapToGrid w:val="0"/>
                <w:vertAlign w:val="superscript"/>
                <w:lang w:eastAsia="en-AU"/>
              </w:rPr>
              <w:t>b</w:t>
            </w:r>
            <w:proofErr w:type="spellEnd"/>
          </w:p>
        </w:tc>
        <w:tc>
          <w:tcPr>
            <w:tcW w:w="955" w:type="dxa"/>
            <w:vAlign w:val="center"/>
            <w:hideMark/>
          </w:tcPr>
          <w:p w14:paraId="5517F6A2" w14:textId="77777777" w:rsidR="009F0065" w:rsidRPr="00261757" w:rsidRDefault="009F0065" w:rsidP="006F4EBA">
            <w:pPr>
              <w:pStyle w:val="Tablenotes0"/>
              <w:spacing w:before="40" w:after="40"/>
              <w:jc w:val="left"/>
              <w:rPr>
                <w:i/>
                <w:iCs/>
                <w:snapToGrid w:val="0"/>
                <w:lang w:eastAsia="en-AU"/>
              </w:rPr>
            </w:pPr>
            <w:r w:rsidRPr="00261757">
              <w:rPr>
                <w:i/>
                <w:iCs/>
                <w:snapToGrid w:val="0"/>
                <w:lang w:eastAsia="en-AU"/>
              </w:rPr>
              <w:t>100</w:t>
            </w:r>
          </w:p>
        </w:tc>
        <w:tc>
          <w:tcPr>
            <w:tcW w:w="961" w:type="dxa"/>
            <w:vAlign w:val="center"/>
            <w:hideMark/>
          </w:tcPr>
          <w:p w14:paraId="135D75A1" w14:textId="77777777" w:rsidR="009F0065" w:rsidRPr="00261757" w:rsidRDefault="009F0065" w:rsidP="006F4EBA">
            <w:pPr>
              <w:pStyle w:val="Tablenotes0"/>
              <w:spacing w:before="40" w:after="40"/>
              <w:jc w:val="left"/>
              <w:rPr>
                <w:i/>
                <w:iCs/>
                <w:snapToGrid w:val="0"/>
                <w:lang w:eastAsia="en-AU"/>
              </w:rPr>
            </w:pPr>
            <w:r w:rsidRPr="00261757">
              <w:rPr>
                <w:i/>
                <w:iCs/>
                <w:snapToGrid w:val="0"/>
                <w:lang w:eastAsia="en-AU"/>
              </w:rPr>
              <w:t>100</w:t>
            </w:r>
          </w:p>
        </w:tc>
        <w:tc>
          <w:tcPr>
            <w:tcW w:w="1096" w:type="dxa"/>
            <w:vAlign w:val="center"/>
            <w:hideMark/>
          </w:tcPr>
          <w:p w14:paraId="03764DA0"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4.5%</w:t>
            </w:r>
          </w:p>
        </w:tc>
        <w:tc>
          <w:tcPr>
            <w:tcW w:w="1096" w:type="dxa"/>
            <w:vAlign w:val="center"/>
            <w:hideMark/>
          </w:tcPr>
          <w:p w14:paraId="6C8CA613"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100.0</w:t>
            </w:r>
          </w:p>
        </w:tc>
        <w:tc>
          <w:tcPr>
            <w:tcW w:w="1096" w:type="dxa"/>
            <w:vAlign w:val="center"/>
            <w:hideMark/>
          </w:tcPr>
          <w:p w14:paraId="6ACC1485" w14:textId="77777777" w:rsidR="009F0065" w:rsidRPr="00261757" w:rsidRDefault="009F0065" w:rsidP="006F4EBA">
            <w:pPr>
              <w:pStyle w:val="Tablenotes0"/>
              <w:spacing w:before="40" w:after="40"/>
              <w:jc w:val="left"/>
              <w:rPr>
                <w:snapToGrid w:val="0"/>
                <w:lang w:eastAsia="en-AU"/>
              </w:rPr>
            </w:pPr>
            <w:r w:rsidRPr="00261757">
              <w:rPr>
                <w:snapToGrid w:val="0"/>
                <w:lang w:eastAsia="en-AU"/>
              </w:rPr>
              <w:t>100.0</w:t>
            </w:r>
          </w:p>
        </w:tc>
      </w:tr>
    </w:tbl>
    <w:p w14:paraId="48EF7B22" w14:textId="77777777" w:rsidR="009F0065" w:rsidRPr="00177923" w:rsidRDefault="009F0065" w:rsidP="009F0065">
      <w:pPr>
        <w:contextualSpacing/>
        <w:jc w:val="both"/>
        <w:rPr>
          <w:rFonts w:ascii="Arial Narrow" w:hAnsi="Arial Narrow" w:cs="Arial"/>
          <w:sz w:val="18"/>
        </w:rPr>
      </w:pPr>
      <w:proofErr w:type="spellStart"/>
      <w:r w:rsidRPr="00177923">
        <w:rPr>
          <w:rFonts w:ascii="Arial Narrow" w:hAnsi="Arial Narrow" w:cs="Arial"/>
          <w:sz w:val="18"/>
          <w:vertAlign w:val="superscript"/>
        </w:rPr>
        <w:t>a</w:t>
      </w:r>
      <w:r w:rsidRPr="00177923">
        <w:rPr>
          <w:rFonts w:ascii="Arial Narrow" w:hAnsi="Arial Narrow" w:cs="Arial"/>
          <w:sz w:val="18"/>
        </w:rPr>
        <w:t>Prevalence</w:t>
      </w:r>
      <w:proofErr w:type="spellEnd"/>
      <w:r w:rsidRPr="00177923">
        <w:rPr>
          <w:rFonts w:ascii="Arial Narrow" w:hAnsi="Arial Narrow" w:cs="Arial"/>
          <w:sz w:val="18"/>
        </w:rPr>
        <w:t xml:space="preserve"> based on data from the Australian Mycobacterium Laboratory Reference Network, covering SA, VIC, and NT for 2020</w:t>
      </w:r>
    </w:p>
    <w:p w14:paraId="2653AE9B" w14:textId="77777777" w:rsidR="009F0065" w:rsidRDefault="009F0065" w:rsidP="009F0065">
      <w:pPr>
        <w:pStyle w:val="Tablenotes0"/>
        <w:spacing w:before="0" w:after="0" w:line="240" w:lineRule="auto"/>
      </w:pPr>
      <w:proofErr w:type="spellStart"/>
      <w:r>
        <w:rPr>
          <w:vertAlign w:val="superscript"/>
        </w:rPr>
        <w:t>b</w:t>
      </w:r>
      <w:r>
        <w:t>Reference</w:t>
      </w:r>
      <w:proofErr w:type="spellEnd"/>
      <w:r>
        <w:t xml:space="preserve"> standard was </w:t>
      </w:r>
      <w:proofErr w:type="spellStart"/>
      <w:r>
        <w:t>pDST</w:t>
      </w:r>
      <w:proofErr w:type="spellEnd"/>
      <w:r>
        <w:t xml:space="preserve"> (</w:t>
      </w:r>
      <w:r w:rsidRPr="003251C2">
        <w:t xml:space="preserve">as </w:t>
      </w:r>
      <w:r>
        <w:t>recommended by World Health Organization)</w:t>
      </w:r>
    </w:p>
    <w:p w14:paraId="735E2F52" w14:textId="77777777" w:rsidR="009F0065" w:rsidRDefault="009F0065" w:rsidP="009F0065">
      <w:pPr>
        <w:pStyle w:val="Tablenotes0"/>
        <w:spacing w:before="0" w:after="0" w:line="240" w:lineRule="auto"/>
      </w:pPr>
      <w:r>
        <w:t xml:space="preserve">NPV = negative predictive value; </w:t>
      </w:r>
      <w:proofErr w:type="spellStart"/>
      <w:r>
        <w:t>pDST</w:t>
      </w:r>
      <w:proofErr w:type="spellEnd"/>
      <w:r>
        <w:t xml:space="preserve"> = phenotypic drug susceptibility testing; PPV = positive predictive value; WGS = whole genome sequencing</w:t>
      </w:r>
    </w:p>
    <w:p w14:paraId="7F4A53C6" w14:textId="2B36E0D3" w:rsidR="009F0065"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Given the limited data on the accuracy of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concordance data were also included. The most directly relevant data were by Lam et al. (2021), reporting on the concordance of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from 3 years of testing from the NSW mycobacteria reference laboratory (2016 to 2019).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were moderately concordant, with both tests providing additional information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_Ref90285504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5</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xml:space="preserve">). The vast majority of patients were susceptible to all first-line drugs, as determined by both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WGS did identify 21 extra cases of resistance, which would have been missed in the absence of WGS. It is hypothesised that this corresponds to 19 patients</w:t>
      </w:r>
      <w:r w:rsidRPr="008C01F4">
        <w:rPr>
          <w:rFonts w:ascii="Franklin Gothic Book" w:eastAsia="Calibri" w:hAnsi="Franklin Gothic Book"/>
          <w:sz w:val="22"/>
          <w:szCs w:val="22"/>
          <w:vertAlign w:val="superscript"/>
          <w:lang w:eastAsia="en-US"/>
        </w:rPr>
        <w:footnoteReference w:id="6"/>
      </w:r>
      <w:r w:rsidRPr="00E72E00">
        <w:rPr>
          <w:rFonts w:ascii="Franklin Gothic Book" w:eastAsia="Calibri" w:hAnsi="Franklin Gothic Book"/>
          <w:sz w:val="22"/>
          <w:szCs w:val="22"/>
          <w:lang w:eastAsia="en-US"/>
        </w:rPr>
        <w:t xml:space="preserve"> out of 1107 patients tested. Therefore, from the Australian population data, 1.7 per cent of those tested for first-line drug resistance are likely to have significant benefit from the addition of WGS. Lam et al. (2021) did not report on the concordance of resistance to later-line drugs. </w:t>
      </w:r>
    </w:p>
    <w:p w14:paraId="617CBDDA" w14:textId="12F1DA36" w:rsidR="009F0065" w:rsidRDefault="009F0065" w:rsidP="00644745">
      <w:pPr>
        <w:pStyle w:val="Caption"/>
        <w:spacing w:before="240"/>
      </w:pPr>
      <w:bookmarkStart w:id="17" w:name="_Ref90285504"/>
      <w:r>
        <w:t xml:space="preserve">Table </w:t>
      </w:r>
      <w:fldSimple w:instr=" SEQ Table \* ARABIC ">
        <w:r w:rsidR="004C2B2A">
          <w:rPr>
            <w:noProof/>
          </w:rPr>
          <w:t>5</w:t>
        </w:r>
      </w:fldSimple>
      <w:bookmarkEnd w:id="17"/>
      <w:r>
        <w:tab/>
        <w:t xml:space="preserve">Concordance data reported by Lam et al. (2021) </w:t>
      </w:r>
    </w:p>
    <w:tbl>
      <w:tblPr>
        <w:tblStyle w:val="TableGrid"/>
        <w:tblW w:w="0" w:type="auto"/>
        <w:tblLook w:val="04A0" w:firstRow="1" w:lastRow="0" w:firstColumn="1" w:lastColumn="0" w:noHBand="0" w:noVBand="1"/>
        <w:tblCaption w:val="Concordance data reported by Lam et al. (2021) "/>
        <w:tblDescription w:val="Table showing how WGS and pDST compare on their categorisation of resistance, per drug"/>
      </w:tblPr>
      <w:tblGrid>
        <w:gridCol w:w="1210"/>
        <w:gridCol w:w="1479"/>
        <w:gridCol w:w="1559"/>
        <w:gridCol w:w="1134"/>
        <w:gridCol w:w="1276"/>
        <w:gridCol w:w="1221"/>
        <w:gridCol w:w="1137"/>
      </w:tblGrid>
      <w:tr w:rsidR="009F0065" w14:paraId="5882FB25" w14:textId="77777777" w:rsidTr="006F4EBA">
        <w:trPr>
          <w:trHeight w:val="555"/>
          <w:tblHeader/>
        </w:trPr>
        <w:tc>
          <w:tcPr>
            <w:tcW w:w="0" w:type="auto"/>
          </w:tcPr>
          <w:p w14:paraId="098C35D5" w14:textId="77777777" w:rsidR="009F0065" w:rsidRDefault="009F0065" w:rsidP="006F4EBA">
            <w:pPr>
              <w:pStyle w:val="TableHeading0"/>
            </w:pPr>
            <w:r>
              <w:t>Drug</w:t>
            </w:r>
          </w:p>
        </w:tc>
        <w:tc>
          <w:tcPr>
            <w:tcW w:w="1479" w:type="dxa"/>
          </w:tcPr>
          <w:p w14:paraId="62F9D37D" w14:textId="77777777" w:rsidR="009F0065" w:rsidRDefault="009F0065" w:rsidP="006F4EBA">
            <w:pPr>
              <w:pStyle w:val="TableHeading0"/>
            </w:pPr>
            <w:r>
              <w:t>PPA (95%CI)</w:t>
            </w:r>
          </w:p>
        </w:tc>
        <w:tc>
          <w:tcPr>
            <w:tcW w:w="1559" w:type="dxa"/>
          </w:tcPr>
          <w:p w14:paraId="25335B92" w14:textId="77777777" w:rsidR="009F0065" w:rsidRDefault="009F0065" w:rsidP="006F4EBA">
            <w:pPr>
              <w:pStyle w:val="TableHeading0"/>
            </w:pPr>
            <w:r>
              <w:t>NPA (95%CI)</w:t>
            </w:r>
          </w:p>
        </w:tc>
        <w:tc>
          <w:tcPr>
            <w:tcW w:w="1134" w:type="dxa"/>
          </w:tcPr>
          <w:p w14:paraId="3E4CBEDD" w14:textId="77777777" w:rsidR="009F0065" w:rsidRDefault="009F0065" w:rsidP="006F4EBA">
            <w:pPr>
              <w:pStyle w:val="TableHeading0"/>
            </w:pPr>
            <w:r>
              <w:t xml:space="preserve">Resistant on both WGS and </w:t>
            </w:r>
            <w:proofErr w:type="spellStart"/>
            <w:r>
              <w:t>pDST</w:t>
            </w:r>
            <w:proofErr w:type="spellEnd"/>
          </w:p>
        </w:tc>
        <w:tc>
          <w:tcPr>
            <w:tcW w:w="1276" w:type="dxa"/>
          </w:tcPr>
          <w:p w14:paraId="2143016C" w14:textId="77777777" w:rsidR="009F0065" w:rsidRDefault="009F0065" w:rsidP="006F4EBA">
            <w:pPr>
              <w:pStyle w:val="TableHeading0"/>
            </w:pPr>
            <w:r>
              <w:t xml:space="preserve">Resistant on WGS, susceptible on </w:t>
            </w:r>
            <w:proofErr w:type="spellStart"/>
            <w:r>
              <w:t>pDST</w:t>
            </w:r>
            <w:proofErr w:type="spellEnd"/>
          </w:p>
        </w:tc>
        <w:tc>
          <w:tcPr>
            <w:tcW w:w="1221" w:type="dxa"/>
          </w:tcPr>
          <w:p w14:paraId="229A5D9C" w14:textId="77777777" w:rsidR="009F0065" w:rsidRDefault="009F0065" w:rsidP="006F4EBA">
            <w:pPr>
              <w:pStyle w:val="TableHeading0"/>
            </w:pPr>
            <w:r>
              <w:t xml:space="preserve">Susceptible on WGS, resistant on </w:t>
            </w:r>
            <w:proofErr w:type="spellStart"/>
            <w:r>
              <w:t>pDST</w:t>
            </w:r>
            <w:proofErr w:type="spellEnd"/>
          </w:p>
        </w:tc>
        <w:tc>
          <w:tcPr>
            <w:tcW w:w="1137" w:type="dxa"/>
          </w:tcPr>
          <w:p w14:paraId="1705E731" w14:textId="77777777" w:rsidR="009F0065" w:rsidRDefault="009F0065" w:rsidP="006F4EBA">
            <w:pPr>
              <w:pStyle w:val="TableHeading0"/>
            </w:pPr>
            <w:r>
              <w:t xml:space="preserve">Susceptible on both WGS and </w:t>
            </w:r>
            <w:proofErr w:type="spellStart"/>
            <w:r>
              <w:t>pDST</w:t>
            </w:r>
            <w:proofErr w:type="spellEnd"/>
          </w:p>
        </w:tc>
      </w:tr>
      <w:tr w:rsidR="009F0065" w:rsidRPr="00DB0B5C" w14:paraId="7F78E802" w14:textId="77777777" w:rsidTr="006F4EBA">
        <w:tc>
          <w:tcPr>
            <w:tcW w:w="0" w:type="auto"/>
          </w:tcPr>
          <w:p w14:paraId="33E9AB0F" w14:textId="77777777" w:rsidR="009F0065" w:rsidRDefault="009F0065" w:rsidP="006F4EBA">
            <w:pPr>
              <w:pStyle w:val="TableText1"/>
            </w:pPr>
            <w:r>
              <w:t>Isoniazid</w:t>
            </w:r>
          </w:p>
        </w:tc>
        <w:tc>
          <w:tcPr>
            <w:tcW w:w="1479" w:type="dxa"/>
          </w:tcPr>
          <w:p w14:paraId="26543884" w14:textId="77777777" w:rsidR="009F0065" w:rsidRDefault="009F0065" w:rsidP="006F4EBA">
            <w:pPr>
              <w:pStyle w:val="TableText1"/>
            </w:pPr>
            <w:r>
              <w:t>0.93 (0.88, 0.97)</w:t>
            </w:r>
          </w:p>
        </w:tc>
        <w:tc>
          <w:tcPr>
            <w:tcW w:w="1559" w:type="dxa"/>
          </w:tcPr>
          <w:p w14:paraId="0808E02C" w14:textId="77777777" w:rsidR="009F0065" w:rsidRDefault="009F0065" w:rsidP="006F4EBA">
            <w:pPr>
              <w:pStyle w:val="TableText1"/>
            </w:pPr>
            <w:r>
              <w:t>0.90 (0.98, 1.00)</w:t>
            </w:r>
          </w:p>
        </w:tc>
        <w:tc>
          <w:tcPr>
            <w:tcW w:w="1134" w:type="dxa"/>
          </w:tcPr>
          <w:p w14:paraId="578C9EA5" w14:textId="77777777" w:rsidR="009F0065" w:rsidRPr="005D07A5" w:rsidRDefault="009F0065" w:rsidP="006F4EBA">
            <w:pPr>
              <w:pStyle w:val="TableText1"/>
            </w:pPr>
            <w:r w:rsidRPr="005D07A5">
              <w:t>117</w:t>
            </w:r>
          </w:p>
        </w:tc>
        <w:tc>
          <w:tcPr>
            <w:tcW w:w="1276" w:type="dxa"/>
          </w:tcPr>
          <w:p w14:paraId="48AF15A7" w14:textId="77777777" w:rsidR="009F0065" w:rsidRPr="005D07A5" w:rsidRDefault="009F0065" w:rsidP="006F4EBA">
            <w:pPr>
              <w:pStyle w:val="TableText1"/>
            </w:pPr>
            <w:r w:rsidRPr="005D07A5">
              <w:t>12</w:t>
            </w:r>
          </w:p>
        </w:tc>
        <w:tc>
          <w:tcPr>
            <w:tcW w:w="1221" w:type="dxa"/>
          </w:tcPr>
          <w:p w14:paraId="7FDE8F37" w14:textId="77777777" w:rsidR="009F0065" w:rsidRPr="005D07A5" w:rsidRDefault="009F0065" w:rsidP="006F4EBA">
            <w:pPr>
              <w:pStyle w:val="TableText1"/>
            </w:pPr>
            <w:r w:rsidRPr="005D07A5">
              <w:t>8</w:t>
            </w:r>
          </w:p>
        </w:tc>
        <w:tc>
          <w:tcPr>
            <w:tcW w:w="1137" w:type="dxa"/>
          </w:tcPr>
          <w:p w14:paraId="1829323C" w14:textId="77777777" w:rsidR="009F0065" w:rsidRPr="005D07A5" w:rsidRDefault="009F0065" w:rsidP="006F4EBA">
            <w:pPr>
              <w:pStyle w:val="TableText1"/>
            </w:pPr>
            <w:r w:rsidRPr="005D07A5">
              <w:t>966</w:t>
            </w:r>
          </w:p>
        </w:tc>
      </w:tr>
      <w:tr w:rsidR="009F0065" w:rsidRPr="00DB0B5C" w14:paraId="7862A547" w14:textId="77777777" w:rsidTr="006F4EBA">
        <w:tc>
          <w:tcPr>
            <w:tcW w:w="0" w:type="auto"/>
          </w:tcPr>
          <w:p w14:paraId="5C69881D" w14:textId="77777777" w:rsidR="009F0065" w:rsidRDefault="009F0065" w:rsidP="006F4EBA">
            <w:pPr>
              <w:pStyle w:val="TableText1"/>
            </w:pPr>
            <w:r>
              <w:t>Rifampicin</w:t>
            </w:r>
          </w:p>
        </w:tc>
        <w:tc>
          <w:tcPr>
            <w:tcW w:w="1479" w:type="dxa"/>
          </w:tcPr>
          <w:p w14:paraId="5797B63F" w14:textId="77777777" w:rsidR="009F0065" w:rsidRDefault="009F0065" w:rsidP="006F4EBA">
            <w:pPr>
              <w:pStyle w:val="TableText1"/>
            </w:pPr>
            <w:r>
              <w:t>1.00 (0.89, 1.00)</w:t>
            </w:r>
          </w:p>
        </w:tc>
        <w:tc>
          <w:tcPr>
            <w:tcW w:w="1559" w:type="dxa"/>
          </w:tcPr>
          <w:p w14:paraId="7237766F" w14:textId="77777777" w:rsidR="009F0065" w:rsidRDefault="009F0065" w:rsidP="006F4EBA">
            <w:pPr>
              <w:pStyle w:val="TableText1"/>
            </w:pPr>
            <w:r>
              <w:t>1.00 (1.00, 1.00)</w:t>
            </w:r>
          </w:p>
        </w:tc>
        <w:tc>
          <w:tcPr>
            <w:tcW w:w="1134" w:type="dxa"/>
          </w:tcPr>
          <w:p w14:paraId="54C78193" w14:textId="77777777" w:rsidR="009F0065" w:rsidRPr="005D07A5" w:rsidRDefault="009F0065" w:rsidP="006F4EBA">
            <w:pPr>
              <w:pStyle w:val="TableText1"/>
            </w:pPr>
            <w:r w:rsidRPr="005D07A5">
              <w:t>31</w:t>
            </w:r>
          </w:p>
        </w:tc>
        <w:tc>
          <w:tcPr>
            <w:tcW w:w="1276" w:type="dxa"/>
          </w:tcPr>
          <w:p w14:paraId="04C2CAFC" w14:textId="77777777" w:rsidR="009F0065" w:rsidRPr="005D07A5" w:rsidRDefault="009F0065" w:rsidP="006F4EBA">
            <w:pPr>
              <w:pStyle w:val="TableText1"/>
            </w:pPr>
            <w:r w:rsidRPr="005D07A5">
              <w:t>0</w:t>
            </w:r>
          </w:p>
        </w:tc>
        <w:tc>
          <w:tcPr>
            <w:tcW w:w="1221" w:type="dxa"/>
          </w:tcPr>
          <w:p w14:paraId="3FF1CC36" w14:textId="77777777" w:rsidR="009F0065" w:rsidRPr="005D07A5" w:rsidRDefault="009F0065" w:rsidP="006F4EBA">
            <w:pPr>
              <w:pStyle w:val="TableText1"/>
            </w:pPr>
            <w:r w:rsidRPr="005D07A5">
              <w:t>0</w:t>
            </w:r>
          </w:p>
        </w:tc>
        <w:tc>
          <w:tcPr>
            <w:tcW w:w="1137" w:type="dxa"/>
          </w:tcPr>
          <w:p w14:paraId="3A3402F8" w14:textId="77777777" w:rsidR="009F0065" w:rsidRPr="005D07A5" w:rsidRDefault="009F0065" w:rsidP="006F4EBA">
            <w:pPr>
              <w:pStyle w:val="TableText1"/>
            </w:pPr>
            <w:r w:rsidRPr="005D07A5">
              <w:t>1072</w:t>
            </w:r>
          </w:p>
        </w:tc>
      </w:tr>
      <w:tr w:rsidR="009F0065" w:rsidRPr="00DB0B5C" w14:paraId="6194A64F" w14:textId="77777777" w:rsidTr="006F4EBA">
        <w:tc>
          <w:tcPr>
            <w:tcW w:w="0" w:type="auto"/>
          </w:tcPr>
          <w:p w14:paraId="7B6B960A" w14:textId="77777777" w:rsidR="009F0065" w:rsidRDefault="009F0065" w:rsidP="006F4EBA">
            <w:pPr>
              <w:pStyle w:val="TableText1"/>
            </w:pPr>
            <w:r>
              <w:t>Ethambutol</w:t>
            </w:r>
          </w:p>
        </w:tc>
        <w:tc>
          <w:tcPr>
            <w:tcW w:w="1479" w:type="dxa"/>
          </w:tcPr>
          <w:p w14:paraId="69680A92" w14:textId="77777777" w:rsidR="009F0065" w:rsidRDefault="009F0065" w:rsidP="006F4EBA">
            <w:pPr>
              <w:pStyle w:val="TableText1"/>
            </w:pPr>
            <w:r>
              <w:t>1.00 (0.81, 1.00)</w:t>
            </w:r>
          </w:p>
        </w:tc>
        <w:tc>
          <w:tcPr>
            <w:tcW w:w="1559" w:type="dxa"/>
          </w:tcPr>
          <w:p w14:paraId="576A7681" w14:textId="77777777" w:rsidR="009F0065" w:rsidRDefault="009F0065" w:rsidP="006F4EBA">
            <w:pPr>
              <w:pStyle w:val="TableText1"/>
            </w:pPr>
            <w:r>
              <w:t>1.00 (0.99, 1.00)</w:t>
            </w:r>
          </w:p>
        </w:tc>
        <w:tc>
          <w:tcPr>
            <w:tcW w:w="1134" w:type="dxa"/>
          </w:tcPr>
          <w:p w14:paraId="2A51092F" w14:textId="77777777" w:rsidR="009F0065" w:rsidRPr="005D07A5" w:rsidRDefault="009F0065" w:rsidP="006F4EBA">
            <w:pPr>
              <w:pStyle w:val="TableText1"/>
            </w:pPr>
            <w:r w:rsidRPr="005D07A5">
              <w:t>18</w:t>
            </w:r>
          </w:p>
        </w:tc>
        <w:tc>
          <w:tcPr>
            <w:tcW w:w="1276" w:type="dxa"/>
          </w:tcPr>
          <w:p w14:paraId="01DA0D25" w14:textId="77777777" w:rsidR="009F0065" w:rsidRPr="005D07A5" w:rsidRDefault="009F0065" w:rsidP="006F4EBA">
            <w:pPr>
              <w:pStyle w:val="TableText1"/>
            </w:pPr>
            <w:r w:rsidRPr="005D07A5">
              <w:t>3</w:t>
            </w:r>
          </w:p>
        </w:tc>
        <w:tc>
          <w:tcPr>
            <w:tcW w:w="1221" w:type="dxa"/>
          </w:tcPr>
          <w:p w14:paraId="2536F958" w14:textId="77777777" w:rsidR="009F0065" w:rsidRPr="005D07A5" w:rsidRDefault="009F0065" w:rsidP="006F4EBA">
            <w:pPr>
              <w:pStyle w:val="TableText1"/>
            </w:pPr>
            <w:r w:rsidRPr="005D07A5">
              <w:t>0</w:t>
            </w:r>
          </w:p>
        </w:tc>
        <w:tc>
          <w:tcPr>
            <w:tcW w:w="1137" w:type="dxa"/>
          </w:tcPr>
          <w:p w14:paraId="49086196" w14:textId="77777777" w:rsidR="009F0065" w:rsidRPr="005D07A5" w:rsidRDefault="009F0065" w:rsidP="006F4EBA">
            <w:pPr>
              <w:pStyle w:val="TableText1"/>
            </w:pPr>
            <w:r w:rsidRPr="005D07A5">
              <w:t>1082</w:t>
            </w:r>
          </w:p>
        </w:tc>
      </w:tr>
      <w:tr w:rsidR="009F0065" w:rsidRPr="00DB0B5C" w14:paraId="1E423A47" w14:textId="77777777" w:rsidTr="006F4EBA">
        <w:tc>
          <w:tcPr>
            <w:tcW w:w="0" w:type="auto"/>
          </w:tcPr>
          <w:p w14:paraId="1EBD1758" w14:textId="77777777" w:rsidR="009F0065" w:rsidRDefault="009F0065" w:rsidP="006F4EBA">
            <w:pPr>
              <w:pStyle w:val="TableText1"/>
            </w:pPr>
            <w:r>
              <w:t>Pyrazinamide</w:t>
            </w:r>
          </w:p>
        </w:tc>
        <w:tc>
          <w:tcPr>
            <w:tcW w:w="1479" w:type="dxa"/>
          </w:tcPr>
          <w:p w14:paraId="57353AFF" w14:textId="77777777" w:rsidR="009F0065" w:rsidRDefault="009F0065" w:rsidP="006F4EBA">
            <w:pPr>
              <w:pStyle w:val="TableText1"/>
            </w:pPr>
            <w:r>
              <w:t>0.86 (0.64, 0.97)</w:t>
            </w:r>
          </w:p>
        </w:tc>
        <w:tc>
          <w:tcPr>
            <w:tcW w:w="1559" w:type="dxa"/>
          </w:tcPr>
          <w:p w14:paraId="30253309" w14:textId="77777777" w:rsidR="009F0065" w:rsidRDefault="009F0065" w:rsidP="006F4EBA">
            <w:pPr>
              <w:pStyle w:val="TableText1"/>
            </w:pPr>
            <w:r>
              <w:t>0.99 (0.98, 0.99)</w:t>
            </w:r>
          </w:p>
        </w:tc>
        <w:tc>
          <w:tcPr>
            <w:tcW w:w="1134" w:type="dxa"/>
          </w:tcPr>
          <w:p w14:paraId="1E23B76A" w14:textId="77777777" w:rsidR="009F0065" w:rsidRPr="005D07A5" w:rsidRDefault="009F0065" w:rsidP="006F4EBA">
            <w:pPr>
              <w:pStyle w:val="TableText1"/>
            </w:pPr>
            <w:r w:rsidRPr="005D07A5">
              <w:t>18</w:t>
            </w:r>
          </w:p>
        </w:tc>
        <w:tc>
          <w:tcPr>
            <w:tcW w:w="1276" w:type="dxa"/>
          </w:tcPr>
          <w:p w14:paraId="5B401A80" w14:textId="77777777" w:rsidR="009F0065" w:rsidRPr="005D07A5" w:rsidRDefault="009F0065" w:rsidP="006F4EBA">
            <w:pPr>
              <w:pStyle w:val="TableText1"/>
            </w:pPr>
            <w:r w:rsidRPr="005D07A5">
              <w:t>6</w:t>
            </w:r>
          </w:p>
        </w:tc>
        <w:tc>
          <w:tcPr>
            <w:tcW w:w="1221" w:type="dxa"/>
          </w:tcPr>
          <w:p w14:paraId="454574CB" w14:textId="77777777" w:rsidR="009F0065" w:rsidRPr="005D07A5" w:rsidRDefault="009F0065" w:rsidP="006F4EBA">
            <w:pPr>
              <w:pStyle w:val="TableText1"/>
            </w:pPr>
            <w:r w:rsidRPr="005D07A5">
              <w:t>3</w:t>
            </w:r>
          </w:p>
        </w:tc>
        <w:tc>
          <w:tcPr>
            <w:tcW w:w="1137" w:type="dxa"/>
          </w:tcPr>
          <w:p w14:paraId="149E76DA" w14:textId="77777777" w:rsidR="009F0065" w:rsidRPr="005D07A5" w:rsidRDefault="009F0065" w:rsidP="006F4EBA">
            <w:pPr>
              <w:pStyle w:val="TableText1"/>
              <w:keepNext/>
            </w:pPr>
            <w:r w:rsidRPr="005D07A5">
              <w:t>1076</w:t>
            </w:r>
          </w:p>
        </w:tc>
      </w:tr>
    </w:tbl>
    <w:p w14:paraId="6DC2684B" w14:textId="77777777" w:rsidR="009F0065" w:rsidRDefault="009F0065" w:rsidP="009F0065">
      <w:pPr>
        <w:pStyle w:val="Tablenotes0"/>
      </w:pPr>
      <w:r>
        <w:t>NPA =</w:t>
      </w:r>
      <w:r w:rsidRPr="003251C2">
        <w:t xml:space="preserve"> </w:t>
      </w:r>
      <w:r>
        <w:t>nega</w:t>
      </w:r>
      <w:r w:rsidRPr="00B04CB1">
        <w:t xml:space="preserve">tive </w:t>
      </w:r>
      <w:r>
        <w:t xml:space="preserve">per cent agreement (equivalent to specificity); </w:t>
      </w:r>
      <w:proofErr w:type="spellStart"/>
      <w:r>
        <w:t>pDST</w:t>
      </w:r>
      <w:proofErr w:type="spellEnd"/>
      <w:r>
        <w:t xml:space="preserve"> = phenotypic drug susceptibility testing; PPA = positive per cent agreement (equivalent to sensitivity); WGS = whole genome sequencing</w:t>
      </w:r>
    </w:p>
    <w:p w14:paraId="5627EF6B" w14:textId="22538B62" w:rsidR="009F0065"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Data from all studies identified as providing concordance data synthesised per drug in a 2x2 format was meta-analysed to derive the positive percent agreement and negative percent agreement, and translated back into 2x2 data applicable to the prevalence of resistance in patients with TB in Australia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_Ref90285478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6</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Per 1000 patients tested, WGS would result in 77 additional cases of resistance to isoniazid, ethambutol or pyrazinamide being identified. It is assumed this corresponds to 70 patients (7%), with the number needed to test to identify one additional patient with resistance being 14.</w:t>
      </w:r>
    </w:p>
    <w:p w14:paraId="5518C48C" w14:textId="378D6939" w:rsidR="009F0065" w:rsidRDefault="009F0065" w:rsidP="00644745">
      <w:pPr>
        <w:pStyle w:val="Caption"/>
        <w:spacing w:before="240"/>
      </w:pPr>
      <w:bookmarkStart w:id="18" w:name="_Ref90285478"/>
      <w:r>
        <w:lastRenderedPageBreak/>
        <w:t xml:space="preserve">Table </w:t>
      </w:r>
      <w:fldSimple w:instr=" SEQ Table \* ARABIC ">
        <w:r w:rsidR="004C2B2A">
          <w:rPr>
            <w:noProof/>
          </w:rPr>
          <w:t>6</w:t>
        </w:r>
      </w:fldSimple>
      <w:bookmarkEnd w:id="18"/>
      <w:r>
        <w:tab/>
        <w:t xml:space="preserve">Summary of concordance studies between WGS and </w:t>
      </w:r>
      <w:proofErr w:type="spellStart"/>
      <w:r>
        <w:t>pDST</w:t>
      </w:r>
      <w:proofErr w:type="spellEnd"/>
      <w:r>
        <w:t xml:space="preserve"> for first-line drugs (applying SA, NT and Vic prevalence of resistance)</w:t>
      </w:r>
    </w:p>
    <w:tbl>
      <w:tblPr>
        <w:tblStyle w:val="TableGrid"/>
        <w:tblW w:w="0" w:type="auto"/>
        <w:tblLook w:val="04A0" w:firstRow="1" w:lastRow="0" w:firstColumn="1" w:lastColumn="0" w:noHBand="0" w:noVBand="1"/>
        <w:tblCaption w:val="Summary of concordance studies between WGS and pDST for first-line drugs (applying SA, NT and Vic prevalence of resistance)"/>
        <w:tblDescription w:val="Summary table of the concordance data between WGS and pDST (across all included studies)"/>
      </w:tblPr>
      <w:tblGrid>
        <w:gridCol w:w="1210"/>
        <w:gridCol w:w="399"/>
        <w:gridCol w:w="908"/>
        <w:gridCol w:w="909"/>
        <w:gridCol w:w="1242"/>
        <w:gridCol w:w="1457"/>
        <w:gridCol w:w="1467"/>
        <w:gridCol w:w="1424"/>
      </w:tblGrid>
      <w:tr w:rsidR="009F0065" w14:paraId="307B459A" w14:textId="77777777" w:rsidTr="006F4EBA">
        <w:trPr>
          <w:trHeight w:val="315"/>
          <w:tblHeader/>
        </w:trPr>
        <w:tc>
          <w:tcPr>
            <w:tcW w:w="0" w:type="auto"/>
            <w:vMerge w:val="restart"/>
          </w:tcPr>
          <w:p w14:paraId="3238FF2F" w14:textId="77777777" w:rsidR="009F0065" w:rsidRDefault="009F0065" w:rsidP="006F4EBA">
            <w:pPr>
              <w:pStyle w:val="TableHeading0"/>
            </w:pPr>
            <w:r>
              <w:t>Drug</w:t>
            </w:r>
          </w:p>
        </w:tc>
        <w:tc>
          <w:tcPr>
            <w:tcW w:w="0" w:type="auto"/>
            <w:vMerge w:val="restart"/>
          </w:tcPr>
          <w:p w14:paraId="4FA27D1F" w14:textId="77777777" w:rsidR="009F0065" w:rsidRDefault="009F0065" w:rsidP="006F4EBA">
            <w:pPr>
              <w:pStyle w:val="TableHeading0"/>
            </w:pPr>
            <w:r>
              <w:t>K</w:t>
            </w:r>
          </w:p>
        </w:tc>
        <w:tc>
          <w:tcPr>
            <w:tcW w:w="0" w:type="auto"/>
            <w:vMerge w:val="restart"/>
          </w:tcPr>
          <w:p w14:paraId="27A7004E" w14:textId="77777777" w:rsidR="009F0065" w:rsidRDefault="009F0065" w:rsidP="006F4EBA">
            <w:pPr>
              <w:pStyle w:val="TableHeading0"/>
            </w:pPr>
            <w:r>
              <w:t>PPA (95%CI)</w:t>
            </w:r>
          </w:p>
        </w:tc>
        <w:tc>
          <w:tcPr>
            <w:tcW w:w="0" w:type="auto"/>
            <w:vMerge w:val="restart"/>
          </w:tcPr>
          <w:p w14:paraId="4CC37558" w14:textId="77777777" w:rsidR="009F0065" w:rsidRDefault="009F0065" w:rsidP="006F4EBA">
            <w:pPr>
              <w:pStyle w:val="TableHeading0"/>
            </w:pPr>
            <w:r>
              <w:t>NPA (95%CI)</w:t>
            </w:r>
          </w:p>
        </w:tc>
        <w:tc>
          <w:tcPr>
            <w:tcW w:w="0" w:type="auto"/>
            <w:gridSpan w:val="4"/>
          </w:tcPr>
          <w:p w14:paraId="017995FA" w14:textId="77777777" w:rsidR="009F0065" w:rsidRDefault="009F0065" w:rsidP="006F4EBA">
            <w:pPr>
              <w:pStyle w:val="TableHeading0"/>
            </w:pPr>
            <w:r>
              <w:t>Results per 1000 patients tested</w:t>
            </w:r>
          </w:p>
        </w:tc>
      </w:tr>
      <w:tr w:rsidR="009F0065" w14:paraId="2AE859F0" w14:textId="77777777" w:rsidTr="006F4EBA">
        <w:trPr>
          <w:trHeight w:val="555"/>
          <w:tblHeader/>
        </w:trPr>
        <w:tc>
          <w:tcPr>
            <w:tcW w:w="0" w:type="auto"/>
            <w:vMerge/>
          </w:tcPr>
          <w:p w14:paraId="0429FE1D" w14:textId="77777777" w:rsidR="009F0065" w:rsidRDefault="009F0065" w:rsidP="006F4EBA">
            <w:pPr>
              <w:pStyle w:val="TableHeading0"/>
            </w:pPr>
          </w:p>
        </w:tc>
        <w:tc>
          <w:tcPr>
            <w:tcW w:w="0" w:type="auto"/>
            <w:vMerge/>
          </w:tcPr>
          <w:p w14:paraId="5A06635B" w14:textId="77777777" w:rsidR="009F0065" w:rsidRDefault="009F0065" w:rsidP="006F4EBA">
            <w:pPr>
              <w:pStyle w:val="TableHeading0"/>
            </w:pPr>
          </w:p>
        </w:tc>
        <w:tc>
          <w:tcPr>
            <w:tcW w:w="0" w:type="auto"/>
            <w:vMerge/>
          </w:tcPr>
          <w:p w14:paraId="421E80D3" w14:textId="77777777" w:rsidR="009F0065" w:rsidRDefault="009F0065" w:rsidP="006F4EBA">
            <w:pPr>
              <w:pStyle w:val="TableHeading0"/>
            </w:pPr>
          </w:p>
        </w:tc>
        <w:tc>
          <w:tcPr>
            <w:tcW w:w="0" w:type="auto"/>
            <w:vMerge/>
          </w:tcPr>
          <w:p w14:paraId="2740E9E2" w14:textId="77777777" w:rsidR="009F0065" w:rsidRDefault="009F0065" w:rsidP="006F4EBA">
            <w:pPr>
              <w:pStyle w:val="TableHeading0"/>
            </w:pPr>
          </w:p>
        </w:tc>
        <w:tc>
          <w:tcPr>
            <w:tcW w:w="0" w:type="auto"/>
          </w:tcPr>
          <w:p w14:paraId="005944AB" w14:textId="77777777" w:rsidR="009F0065" w:rsidRDefault="009F0065" w:rsidP="006F4EBA">
            <w:pPr>
              <w:pStyle w:val="TableHeading0"/>
            </w:pPr>
            <w:r>
              <w:t xml:space="preserve">Resistant on both WGS and </w:t>
            </w:r>
            <w:proofErr w:type="spellStart"/>
            <w:r>
              <w:t>pDST</w:t>
            </w:r>
            <w:proofErr w:type="spellEnd"/>
          </w:p>
        </w:tc>
        <w:tc>
          <w:tcPr>
            <w:tcW w:w="0" w:type="auto"/>
          </w:tcPr>
          <w:p w14:paraId="7BAC051F" w14:textId="77777777" w:rsidR="009F0065" w:rsidRDefault="009F0065" w:rsidP="006F4EBA">
            <w:pPr>
              <w:pStyle w:val="TableHeading0"/>
            </w:pPr>
            <w:r>
              <w:t xml:space="preserve">Resistant on WGS, susceptible on </w:t>
            </w:r>
            <w:proofErr w:type="spellStart"/>
            <w:r>
              <w:t>pDST</w:t>
            </w:r>
            <w:proofErr w:type="spellEnd"/>
          </w:p>
        </w:tc>
        <w:tc>
          <w:tcPr>
            <w:tcW w:w="0" w:type="auto"/>
          </w:tcPr>
          <w:p w14:paraId="114D6E87" w14:textId="77777777" w:rsidR="009F0065" w:rsidRDefault="009F0065" w:rsidP="006F4EBA">
            <w:pPr>
              <w:pStyle w:val="TableHeading0"/>
            </w:pPr>
            <w:r>
              <w:t xml:space="preserve">Susceptible on WGS, resistant on </w:t>
            </w:r>
            <w:proofErr w:type="spellStart"/>
            <w:r>
              <w:t>pDST</w:t>
            </w:r>
            <w:proofErr w:type="spellEnd"/>
          </w:p>
        </w:tc>
        <w:tc>
          <w:tcPr>
            <w:tcW w:w="0" w:type="auto"/>
          </w:tcPr>
          <w:p w14:paraId="6295E112" w14:textId="77777777" w:rsidR="009F0065" w:rsidRDefault="009F0065" w:rsidP="006F4EBA">
            <w:pPr>
              <w:pStyle w:val="TableHeading0"/>
            </w:pPr>
            <w:r>
              <w:t xml:space="preserve">Susceptible on both WGS and </w:t>
            </w:r>
            <w:proofErr w:type="spellStart"/>
            <w:r>
              <w:t>pDST</w:t>
            </w:r>
            <w:proofErr w:type="spellEnd"/>
          </w:p>
        </w:tc>
      </w:tr>
      <w:tr w:rsidR="009F0065" w14:paraId="4AC6461B" w14:textId="77777777" w:rsidTr="006F4EBA">
        <w:tc>
          <w:tcPr>
            <w:tcW w:w="0" w:type="auto"/>
          </w:tcPr>
          <w:p w14:paraId="2ECF2355" w14:textId="77777777" w:rsidR="009F0065" w:rsidRDefault="009F0065" w:rsidP="006F4EBA">
            <w:pPr>
              <w:pStyle w:val="TableText1"/>
            </w:pPr>
            <w:r>
              <w:t>Isoniazid</w:t>
            </w:r>
          </w:p>
        </w:tc>
        <w:tc>
          <w:tcPr>
            <w:tcW w:w="0" w:type="auto"/>
          </w:tcPr>
          <w:p w14:paraId="5B8B30DF" w14:textId="77777777" w:rsidR="009F0065" w:rsidRDefault="009F0065" w:rsidP="006F4EBA">
            <w:pPr>
              <w:pStyle w:val="TableText1"/>
            </w:pPr>
            <w:r>
              <w:t>21</w:t>
            </w:r>
          </w:p>
        </w:tc>
        <w:tc>
          <w:tcPr>
            <w:tcW w:w="0" w:type="auto"/>
          </w:tcPr>
          <w:p w14:paraId="05DEAF4F" w14:textId="77777777" w:rsidR="009F0065" w:rsidRDefault="009F0065" w:rsidP="006F4EBA">
            <w:pPr>
              <w:pStyle w:val="TableText1"/>
            </w:pPr>
            <w:r>
              <w:t>0.95 (0.91, 0.97)</w:t>
            </w:r>
          </w:p>
        </w:tc>
        <w:tc>
          <w:tcPr>
            <w:tcW w:w="0" w:type="auto"/>
          </w:tcPr>
          <w:p w14:paraId="4AF82A70" w14:textId="77777777" w:rsidR="009F0065" w:rsidRDefault="009F0065" w:rsidP="006F4EBA">
            <w:pPr>
              <w:pStyle w:val="TableText1"/>
            </w:pPr>
            <w:r>
              <w:t>0.98 (0.95, 0.99)</w:t>
            </w:r>
          </w:p>
        </w:tc>
        <w:tc>
          <w:tcPr>
            <w:tcW w:w="0" w:type="auto"/>
          </w:tcPr>
          <w:p w14:paraId="2D80E221" w14:textId="77777777" w:rsidR="009F0065" w:rsidRPr="00DB0B5C" w:rsidRDefault="009F0065" w:rsidP="006F4EBA">
            <w:pPr>
              <w:pStyle w:val="TableText1"/>
              <w:rPr>
                <w:highlight w:val="yellow"/>
              </w:rPr>
            </w:pPr>
            <w:r w:rsidRPr="001A53D8">
              <w:t>108</w:t>
            </w:r>
            <w:r w:rsidRPr="00EA539C">
              <w:t xml:space="preserve"> (104 to </w:t>
            </w:r>
            <w:r w:rsidRPr="001A53D8">
              <w:t>111</w:t>
            </w:r>
            <w:r w:rsidRPr="00EA539C">
              <w:t>)</w:t>
            </w:r>
          </w:p>
        </w:tc>
        <w:tc>
          <w:tcPr>
            <w:tcW w:w="0" w:type="auto"/>
          </w:tcPr>
          <w:p w14:paraId="446FE4DA" w14:textId="77777777" w:rsidR="009F0065" w:rsidRPr="00C66422" w:rsidRDefault="009F0065" w:rsidP="006F4EBA">
            <w:pPr>
              <w:pStyle w:val="TableText1"/>
            </w:pPr>
            <w:r w:rsidRPr="00BD5B86">
              <w:t>18 (9 to 44)</w:t>
            </w:r>
          </w:p>
        </w:tc>
        <w:tc>
          <w:tcPr>
            <w:tcW w:w="0" w:type="auto"/>
          </w:tcPr>
          <w:p w14:paraId="13AB695F" w14:textId="77777777" w:rsidR="009F0065" w:rsidRPr="00C66422" w:rsidRDefault="009F0065" w:rsidP="006F4EBA">
            <w:pPr>
              <w:pStyle w:val="TableText1"/>
            </w:pPr>
            <w:r w:rsidRPr="00BD5B86">
              <w:t>6 (3 to 10)</w:t>
            </w:r>
          </w:p>
        </w:tc>
        <w:tc>
          <w:tcPr>
            <w:tcW w:w="0" w:type="auto"/>
          </w:tcPr>
          <w:p w14:paraId="31F623C0" w14:textId="77777777" w:rsidR="009F0065" w:rsidRPr="00C66422" w:rsidRDefault="009F0065" w:rsidP="006F4EBA">
            <w:pPr>
              <w:pStyle w:val="TableText1"/>
            </w:pPr>
            <w:r w:rsidRPr="001A53D8">
              <w:t>868 (842</w:t>
            </w:r>
            <w:r w:rsidRPr="00EA539C">
              <w:t xml:space="preserve"> to </w:t>
            </w:r>
            <w:r w:rsidRPr="001A53D8">
              <w:t>877</w:t>
            </w:r>
            <w:r w:rsidRPr="00EA539C">
              <w:t>)</w:t>
            </w:r>
          </w:p>
        </w:tc>
      </w:tr>
      <w:tr w:rsidR="009F0065" w14:paraId="6C398BD0" w14:textId="77777777" w:rsidTr="006F4EBA">
        <w:tc>
          <w:tcPr>
            <w:tcW w:w="0" w:type="auto"/>
          </w:tcPr>
          <w:p w14:paraId="337C4CFB" w14:textId="77777777" w:rsidR="009F0065" w:rsidRDefault="009F0065" w:rsidP="006F4EBA">
            <w:pPr>
              <w:pStyle w:val="TableText1"/>
            </w:pPr>
            <w:r>
              <w:t>Rifampicin</w:t>
            </w:r>
          </w:p>
        </w:tc>
        <w:tc>
          <w:tcPr>
            <w:tcW w:w="0" w:type="auto"/>
          </w:tcPr>
          <w:p w14:paraId="42A2047D" w14:textId="77777777" w:rsidR="009F0065" w:rsidRDefault="009F0065" w:rsidP="006F4EBA">
            <w:pPr>
              <w:pStyle w:val="TableText1"/>
            </w:pPr>
            <w:r>
              <w:t>20</w:t>
            </w:r>
          </w:p>
        </w:tc>
        <w:tc>
          <w:tcPr>
            <w:tcW w:w="0" w:type="auto"/>
          </w:tcPr>
          <w:p w14:paraId="5C92F7F0" w14:textId="77777777" w:rsidR="009F0065" w:rsidRDefault="009F0065" w:rsidP="006F4EBA">
            <w:pPr>
              <w:pStyle w:val="TableText1"/>
            </w:pPr>
            <w:r>
              <w:t>0.98 (0.96, 0.99)</w:t>
            </w:r>
          </w:p>
        </w:tc>
        <w:tc>
          <w:tcPr>
            <w:tcW w:w="0" w:type="auto"/>
          </w:tcPr>
          <w:p w14:paraId="0D3EABCD" w14:textId="77777777" w:rsidR="009F0065" w:rsidRDefault="009F0065" w:rsidP="006F4EBA">
            <w:pPr>
              <w:pStyle w:val="TableText1"/>
            </w:pPr>
            <w:r>
              <w:t>0.98 (0.96, 0.99)</w:t>
            </w:r>
          </w:p>
        </w:tc>
        <w:tc>
          <w:tcPr>
            <w:tcW w:w="0" w:type="auto"/>
          </w:tcPr>
          <w:p w14:paraId="38518362" w14:textId="77777777" w:rsidR="009F0065" w:rsidRPr="00DB0B5C" w:rsidRDefault="009F0065" w:rsidP="006F4EBA">
            <w:pPr>
              <w:pStyle w:val="TableText1"/>
              <w:rPr>
                <w:highlight w:val="yellow"/>
              </w:rPr>
            </w:pPr>
            <w:r w:rsidRPr="00EA539C">
              <w:t>27 (27 to 28)</w:t>
            </w:r>
          </w:p>
        </w:tc>
        <w:tc>
          <w:tcPr>
            <w:tcW w:w="0" w:type="auto"/>
          </w:tcPr>
          <w:p w14:paraId="2A2A0B03" w14:textId="77777777" w:rsidR="009F0065" w:rsidRPr="00C66422" w:rsidRDefault="009F0065" w:rsidP="006F4EBA">
            <w:pPr>
              <w:pStyle w:val="TableText1"/>
            </w:pPr>
            <w:r w:rsidRPr="00BD5B86">
              <w:t>19 (10 to 39)</w:t>
            </w:r>
          </w:p>
        </w:tc>
        <w:tc>
          <w:tcPr>
            <w:tcW w:w="0" w:type="auto"/>
          </w:tcPr>
          <w:p w14:paraId="29F545B6" w14:textId="77777777" w:rsidR="009F0065" w:rsidRPr="00C66422" w:rsidRDefault="009F0065" w:rsidP="006F4EBA">
            <w:pPr>
              <w:pStyle w:val="TableText1"/>
            </w:pPr>
            <w:r w:rsidRPr="00BD5B86">
              <w:t>1 (0 to 1)</w:t>
            </w:r>
          </w:p>
        </w:tc>
        <w:tc>
          <w:tcPr>
            <w:tcW w:w="0" w:type="auto"/>
          </w:tcPr>
          <w:p w14:paraId="418025DE" w14:textId="77777777" w:rsidR="009F0065" w:rsidRPr="00C66422" w:rsidRDefault="009F0065" w:rsidP="006F4EBA">
            <w:pPr>
              <w:pStyle w:val="TableText1"/>
            </w:pPr>
            <w:r w:rsidRPr="001A53D8">
              <w:t>953 (933</w:t>
            </w:r>
            <w:r w:rsidRPr="00EA539C">
              <w:t xml:space="preserve"> to </w:t>
            </w:r>
            <w:r w:rsidRPr="001A53D8">
              <w:t>962</w:t>
            </w:r>
            <w:r w:rsidRPr="00EA539C">
              <w:t>)</w:t>
            </w:r>
          </w:p>
        </w:tc>
      </w:tr>
      <w:tr w:rsidR="009F0065" w14:paraId="399CE67E" w14:textId="77777777" w:rsidTr="006F4EBA">
        <w:tc>
          <w:tcPr>
            <w:tcW w:w="0" w:type="auto"/>
          </w:tcPr>
          <w:p w14:paraId="76B5A66A" w14:textId="77777777" w:rsidR="009F0065" w:rsidRDefault="009F0065" w:rsidP="006F4EBA">
            <w:pPr>
              <w:pStyle w:val="TableText1"/>
            </w:pPr>
            <w:r>
              <w:t>Ethambutol</w:t>
            </w:r>
          </w:p>
        </w:tc>
        <w:tc>
          <w:tcPr>
            <w:tcW w:w="0" w:type="auto"/>
          </w:tcPr>
          <w:p w14:paraId="31BE3A74" w14:textId="77777777" w:rsidR="009F0065" w:rsidRDefault="009F0065" w:rsidP="006F4EBA">
            <w:pPr>
              <w:pStyle w:val="TableText1"/>
            </w:pPr>
            <w:r>
              <w:t>20</w:t>
            </w:r>
          </w:p>
        </w:tc>
        <w:tc>
          <w:tcPr>
            <w:tcW w:w="0" w:type="auto"/>
          </w:tcPr>
          <w:p w14:paraId="69D5370D" w14:textId="77777777" w:rsidR="009F0065" w:rsidRDefault="009F0065" w:rsidP="006F4EBA">
            <w:pPr>
              <w:pStyle w:val="TableText1"/>
            </w:pPr>
            <w:r>
              <w:t>0.91 (0.84, 0.95)</w:t>
            </w:r>
          </w:p>
        </w:tc>
        <w:tc>
          <w:tcPr>
            <w:tcW w:w="0" w:type="auto"/>
          </w:tcPr>
          <w:p w14:paraId="33ADCF6E" w14:textId="77777777" w:rsidR="009F0065" w:rsidRDefault="009F0065" w:rsidP="006F4EBA">
            <w:pPr>
              <w:pStyle w:val="TableText1"/>
            </w:pPr>
            <w:r>
              <w:t>0.95 (0.89, 0.98)</w:t>
            </w:r>
          </w:p>
        </w:tc>
        <w:tc>
          <w:tcPr>
            <w:tcW w:w="0" w:type="auto"/>
          </w:tcPr>
          <w:p w14:paraId="2DFB8368" w14:textId="77777777" w:rsidR="009F0065" w:rsidRPr="00DB0B5C" w:rsidRDefault="009F0065" w:rsidP="006F4EBA">
            <w:pPr>
              <w:pStyle w:val="TableText1"/>
              <w:rPr>
                <w:highlight w:val="yellow"/>
              </w:rPr>
            </w:pPr>
            <w:r w:rsidRPr="00EA539C">
              <w:t xml:space="preserve">15 </w:t>
            </w:r>
            <w:r w:rsidRPr="001A53D8">
              <w:t xml:space="preserve">(14 </w:t>
            </w:r>
            <w:r w:rsidRPr="00EA539C">
              <w:t>to 16)</w:t>
            </w:r>
          </w:p>
        </w:tc>
        <w:tc>
          <w:tcPr>
            <w:tcW w:w="0" w:type="auto"/>
          </w:tcPr>
          <w:p w14:paraId="24ECFB75" w14:textId="77777777" w:rsidR="009F0065" w:rsidRPr="00C66422" w:rsidRDefault="009F0065" w:rsidP="006F4EBA">
            <w:pPr>
              <w:pStyle w:val="TableText1"/>
            </w:pPr>
            <w:r w:rsidRPr="00BD5B86">
              <w:t>49 (20 to 108)</w:t>
            </w:r>
          </w:p>
        </w:tc>
        <w:tc>
          <w:tcPr>
            <w:tcW w:w="0" w:type="auto"/>
          </w:tcPr>
          <w:p w14:paraId="327786B4" w14:textId="77777777" w:rsidR="009F0065" w:rsidRPr="00C66422" w:rsidRDefault="009F0065" w:rsidP="006F4EBA">
            <w:pPr>
              <w:pStyle w:val="TableText1"/>
            </w:pPr>
            <w:r w:rsidRPr="00BD5B86">
              <w:t>2 (1 to 3)</w:t>
            </w:r>
          </w:p>
        </w:tc>
        <w:tc>
          <w:tcPr>
            <w:tcW w:w="0" w:type="auto"/>
          </w:tcPr>
          <w:p w14:paraId="2E778102" w14:textId="77777777" w:rsidR="009F0065" w:rsidRPr="00C66422" w:rsidRDefault="009F0065" w:rsidP="006F4EBA">
            <w:pPr>
              <w:pStyle w:val="TableText1"/>
            </w:pPr>
            <w:r w:rsidRPr="001A53D8">
              <w:t>934 (875</w:t>
            </w:r>
            <w:r w:rsidRPr="00EA539C">
              <w:t xml:space="preserve"> to </w:t>
            </w:r>
            <w:r w:rsidRPr="001A53D8">
              <w:t>963</w:t>
            </w:r>
            <w:r w:rsidRPr="00EA539C">
              <w:t>)</w:t>
            </w:r>
          </w:p>
        </w:tc>
      </w:tr>
      <w:tr w:rsidR="009F0065" w14:paraId="4DC04204" w14:textId="77777777" w:rsidTr="006F4EBA">
        <w:tc>
          <w:tcPr>
            <w:tcW w:w="0" w:type="auto"/>
          </w:tcPr>
          <w:p w14:paraId="53435586" w14:textId="77777777" w:rsidR="009F0065" w:rsidRDefault="009F0065" w:rsidP="006F4EBA">
            <w:pPr>
              <w:pStyle w:val="TableText1"/>
            </w:pPr>
            <w:r>
              <w:t>Pyrazinamide</w:t>
            </w:r>
          </w:p>
        </w:tc>
        <w:tc>
          <w:tcPr>
            <w:tcW w:w="0" w:type="auto"/>
          </w:tcPr>
          <w:p w14:paraId="5934E925" w14:textId="77777777" w:rsidR="009F0065" w:rsidRDefault="009F0065" w:rsidP="006F4EBA">
            <w:pPr>
              <w:pStyle w:val="TableText1"/>
            </w:pPr>
            <w:r>
              <w:t>13</w:t>
            </w:r>
          </w:p>
        </w:tc>
        <w:tc>
          <w:tcPr>
            <w:tcW w:w="0" w:type="auto"/>
          </w:tcPr>
          <w:p w14:paraId="5DE106C2" w14:textId="77777777" w:rsidR="009F0065" w:rsidRDefault="009F0065" w:rsidP="006F4EBA">
            <w:pPr>
              <w:pStyle w:val="TableText1"/>
            </w:pPr>
            <w:r>
              <w:t>0.85 (0.74, 0.92)</w:t>
            </w:r>
          </w:p>
        </w:tc>
        <w:tc>
          <w:tcPr>
            <w:tcW w:w="0" w:type="auto"/>
          </w:tcPr>
          <w:p w14:paraId="1CCD23E9" w14:textId="77777777" w:rsidR="009F0065" w:rsidRDefault="009F0065" w:rsidP="006F4EBA">
            <w:pPr>
              <w:pStyle w:val="TableText1"/>
            </w:pPr>
            <w:r>
              <w:t>0.99 (0.97, 1.00)</w:t>
            </w:r>
          </w:p>
        </w:tc>
        <w:tc>
          <w:tcPr>
            <w:tcW w:w="0" w:type="auto"/>
          </w:tcPr>
          <w:p w14:paraId="04E7568C" w14:textId="77777777" w:rsidR="009F0065" w:rsidRPr="00B91F4A" w:rsidRDefault="009F0065" w:rsidP="006F4EBA">
            <w:pPr>
              <w:pStyle w:val="TableText1"/>
            </w:pPr>
            <w:r w:rsidRPr="00B91F4A">
              <w:t>17 (15 to 18)</w:t>
            </w:r>
          </w:p>
        </w:tc>
        <w:tc>
          <w:tcPr>
            <w:tcW w:w="0" w:type="auto"/>
          </w:tcPr>
          <w:p w14:paraId="39EFF57A" w14:textId="77777777" w:rsidR="009F0065" w:rsidRPr="00BD5B86" w:rsidRDefault="009F0065" w:rsidP="006F4EBA">
            <w:pPr>
              <w:pStyle w:val="TableText1"/>
              <w:keepNext/>
            </w:pPr>
            <w:r w:rsidRPr="00BD5B86">
              <w:t>10 (0 to 29)</w:t>
            </w:r>
          </w:p>
        </w:tc>
        <w:tc>
          <w:tcPr>
            <w:tcW w:w="0" w:type="auto"/>
          </w:tcPr>
          <w:p w14:paraId="45A92123" w14:textId="77777777" w:rsidR="009F0065" w:rsidRPr="00C66422" w:rsidRDefault="009F0065" w:rsidP="006F4EBA">
            <w:pPr>
              <w:pStyle w:val="TableText1"/>
              <w:keepNext/>
            </w:pPr>
            <w:r w:rsidRPr="00BD5B86">
              <w:t>3 (2 to 5)</w:t>
            </w:r>
          </w:p>
        </w:tc>
        <w:tc>
          <w:tcPr>
            <w:tcW w:w="0" w:type="auto"/>
          </w:tcPr>
          <w:p w14:paraId="04691110" w14:textId="77777777" w:rsidR="009F0065" w:rsidRPr="001A53D8" w:rsidRDefault="009F0065" w:rsidP="006F4EBA">
            <w:pPr>
              <w:pStyle w:val="TableText1"/>
              <w:keepNext/>
              <w:rPr>
                <w:highlight w:val="yellow"/>
              </w:rPr>
            </w:pPr>
            <w:r w:rsidRPr="001A53D8">
              <w:t>970 (951</w:t>
            </w:r>
            <w:r w:rsidRPr="00EA539C">
              <w:t xml:space="preserve"> to </w:t>
            </w:r>
            <w:r w:rsidRPr="001A53D8">
              <w:t>980</w:t>
            </w:r>
            <w:r w:rsidRPr="00EA539C">
              <w:t>)</w:t>
            </w:r>
          </w:p>
        </w:tc>
      </w:tr>
    </w:tbl>
    <w:p w14:paraId="63B17DED" w14:textId="77777777" w:rsidR="009F0065" w:rsidRDefault="009F0065" w:rsidP="009F0065">
      <w:pPr>
        <w:pStyle w:val="Tablenotes0"/>
      </w:pPr>
      <w:r>
        <w:t xml:space="preserve">K = number of studies; NPA = negative percent agreement (specificity); NT = Northern Territory; </w:t>
      </w:r>
      <w:proofErr w:type="spellStart"/>
      <w:r>
        <w:t>pDST</w:t>
      </w:r>
      <w:proofErr w:type="spellEnd"/>
      <w:r>
        <w:t xml:space="preserve"> = phenotypic drug susceptibility testing; PPA = positive percent agreement (sensitivity); SA = South Australian; Vic = Victorian; WGS = whole genome sequencing</w:t>
      </w:r>
    </w:p>
    <w:p w14:paraId="2B38CB36" w14:textId="080C874C" w:rsidR="009F0065"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Up to 10 per cent of patients who had their mycobacterial infection tested for resistance to second- or later-line drugs had isolates with resistance-conferring variants to at least one antibiotic (103/1000 for ethionamide), which was not detected by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_Ref90285458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7</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However, from South Australian data, none of the 5/75 (6.7%) patients whose infection had ethionamide resistance-conferring variants would be considered for this treatment (as they were all likely to respond to at least three first-line drugs). The clinical impact of this discordance is therefore negligible.</w:t>
      </w:r>
    </w:p>
    <w:p w14:paraId="3CD88F7D" w14:textId="0537B0B5" w:rsidR="009F0065" w:rsidRDefault="009F0065" w:rsidP="00644745">
      <w:pPr>
        <w:pStyle w:val="Caption"/>
        <w:spacing w:before="240"/>
      </w:pPr>
      <w:bookmarkStart w:id="19" w:name="_Ref90285458"/>
      <w:r>
        <w:t xml:space="preserve">Table </w:t>
      </w:r>
      <w:fldSimple w:instr=" SEQ Table \* ARABIC ">
        <w:r w:rsidR="004C2B2A">
          <w:rPr>
            <w:noProof/>
          </w:rPr>
          <w:t>7</w:t>
        </w:r>
      </w:fldSimple>
      <w:bookmarkEnd w:id="19"/>
      <w:r>
        <w:tab/>
        <w:t xml:space="preserve">Summary of concordance studies between WGS and </w:t>
      </w:r>
      <w:proofErr w:type="spellStart"/>
      <w:r>
        <w:t>pDST</w:t>
      </w:r>
      <w:proofErr w:type="spellEnd"/>
      <w:r>
        <w:t xml:space="preserve"> for later-line drugs (applying SA prevalence of resistance)</w:t>
      </w:r>
    </w:p>
    <w:tbl>
      <w:tblPr>
        <w:tblStyle w:val="TableGrid"/>
        <w:tblW w:w="8926" w:type="dxa"/>
        <w:tblLayout w:type="fixed"/>
        <w:tblLook w:val="04A0" w:firstRow="1" w:lastRow="0" w:firstColumn="1" w:lastColumn="0" w:noHBand="0" w:noVBand="1"/>
        <w:tblCaption w:val="Summary of concordance studies between WGS and pDST for later-line drugs (applying SA prevalence of resistance)"/>
        <w:tblDescription w:val="Concordance of WGS and pDST for later-line treatments"/>
      </w:tblPr>
      <w:tblGrid>
        <w:gridCol w:w="1271"/>
        <w:gridCol w:w="425"/>
        <w:gridCol w:w="851"/>
        <w:gridCol w:w="992"/>
        <w:gridCol w:w="1346"/>
        <w:gridCol w:w="1347"/>
        <w:gridCol w:w="1347"/>
        <w:gridCol w:w="1347"/>
      </w:tblGrid>
      <w:tr w:rsidR="009F0065" w14:paraId="097A0FB7" w14:textId="77777777" w:rsidTr="006F4EBA">
        <w:trPr>
          <w:trHeight w:val="315"/>
          <w:tblHeader/>
        </w:trPr>
        <w:tc>
          <w:tcPr>
            <w:tcW w:w="1271" w:type="dxa"/>
            <w:vMerge w:val="restart"/>
          </w:tcPr>
          <w:p w14:paraId="5B058314" w14:textId="77777777" w:rsidR="009F0065" w:rsidRDefault="009F0065" w:rsidP="00E06036">
            <w:pPr>
              <w:pStyle w:val="TableHeading0"/>
              <w:spacing w:before="0" w:after="0"/>
            </w:pPr>
            <w:r>
              <w:t>Drug</w:t>
            </w:r>
          </w:p>
        </w:tc>
        <w:tc>
          <w:tcPr>
            <w:tcW w:w="425" w:type="dxa"/>
            <w:vMerge w:val="restart"/>
          </w:tcPr>
          <w:p w14:paraId="7D8279D8" w14:textId="77777777" w:rsidR="009F0065" w:rsidRDefault="009F0065" w:rsidP="00E06036">
            <w:pPr>
              <w:pStyle w:val="TableHeading0"/>
              <w:spacing w:before="0" w:after="0"/>
            </w:pPr>
            <w:r>
              <w:t>K</w:t>
            </w:r>
          </w:p>
        </w:tc>
        <w:tc>
          <w:tcPr>
            <w:tcW w:w="851" w:type="dxa"/>
            <w:vMerge w:val="restart"/>
          </w:tcPr>
          <w:p w14:paraId="11893CAC" w14:textId="77777777" w:rsidR="009F0065" w:rsidRDefault="009F0065" w:rsidP="00E06036">
            <w:pPr>
              <w:pStyle w:val="TableHeading0"/>
              <w:spacing w:before="0" w:after="0"/>
            </w:pPr>
            <w:r>
              <w:t>PPA (95%CI)</w:t>
            </w:r>
          </w:p>
        </w:tc>
        <w:tc>
          <w:tcPr>
            <w:tcW w:w="992" w:type="dxa"/>
            <w:vMerge w:val="restart"/>
          </w:tcPr>
          <w:p w14:paraId="58E946DC" w14:textId="77777777" w:rsidR="009F0065" w:rsidRDefault="009F0065" w:rsidP="00E06036">
            <w:pPr>
              <w:pStyle w:val="TableHeading0"/>
              <w:spacing w:before="0" w:after="0"/>
            </w:pPr>
            <w:r>
              <w:t>NPA (95%CI)</w:t>
            </w:r>
          </w:p>
        </w:tc>
        <w:tc>
          <w:tcPr>
            <w:tcW w:w="5387" w:type="dxa"/>
            <w:gridSpan w:val="4"/>
          </w:tcPr>
          <w:p w14:paraId="08503E7E" w14:textId="77777777" w:rsidR="009F0065" w:rsidRDefault="009F0065" w:rsidP="00E06036">
            <w:pPr>
              <w:pStyle w:val="TableHeading0"/>
              <w:spacing w:before="0" w:after="0"/>
            </w:pPr>
            <w:r>
              <w:t>Results per 1000 patients tested</w:t>
            </w:r>
          </w:p>
        </w:tc>
      </w:tr>
      <w:tr w:rsidR="009F0065" w14:paraId="18786175" w14:textId="77777777" w:rsidTr="006F4EBA">
        <w:trPr>
          <w:trHeight w:val="555"/>
          <w:tblHeader/>
        </w:trPr>
        <w:tc>
          <w:tcPr>
            <w:tcW w:w="1271" w:type="dxa"/>
            <w:vMerge/>
          </w:tcPr>
          <w:p w14:paraId="2AB98BD7" w14:textId="77777777" w:rsidR="009F0065" w:rsidRDefault="009F0065" w:rsidP="00E06036">
            <w:pPr>
              <w:pStyle w:val="TableHeading0"/>
              <w:spacing w:before="0" w:after="0"/>
            </w:pPr>
          </w:p>
        </w:tc>
        <w:tc>
          <w:tcPr>
            <w:tcW w:w="425" w:type="dxa"/>
            <w:vMerge/>
          </w:tcPr>
          <w:p w14:paraId="2B367EF7" w14:textId="77777777" w:rsidR="009F0065" w:rsidRDefault="009F0065" w:rsidP="00E06036">
            <w:pPr>
              <w:pStyle w:val="TableHeading0"/>
              <w:spacing w:before="0" w:after="0"/>
            </w:pPr>
          </w:p>
        </w:tc>
        <w:tc>
          <w:tcPr>
            <w:tcW w:w="851" w:type="dxa"/>
            <w:vMerge/>
          </w:tcPr>
          <w:p w14:paraId="64B1849F" w14:textId="77777777" w:rsidR="009F0065" w:rsidRDefault="009F0065" w:rsidP="00E06036">
            <w:pPr>
              <w:pStyle w:val="TableHeading0"/>
              <w:spacing w:before="0" w:after="0"/>
            </w:pPr>
          </w:p>
        </w:tc>
        <w:tc>
          <w:tcPr>
            <w:tcW w:w="992" w:type="dxa"/>
            <w:vMerge/>
          </w:tcPr>
          <w:p w14:paraId="0939BF20" w14:textId="77777777" w:rsidR="009F0065" w:rsidRDefault="009F0065" w:rsidP="00E06036">
            <w:pPr>
              <w:pStyle w:val="TableHeading0"/>
              <w:spacing w:before="0" w:after="0"/>
            </w:pPr>
          </w:p>
        </w:tc>
        <w:tc>
          <w:tcPr>
            <w:tcW w:w="1346" w:type="dxa"/>
          </w:tcPr>
          <w:p w14:paraId="0765EFAB" w14:textId="77777777" w:rsidR="009F0065" w:rsidRDefault="009F0065" w:rsidP="00E06036">
            <w:pPr>
              <w:pStyle w:val="TableHeading0"/>
              <w:spacing w:before="0" w:after="0"/>
            </w:pPr>
            <w:r>
              <w:t xml:space="preserve">Resistant on both WGS and </w:t>
            </w:r>
            <w:proofErr w:type="spellStart"/>
            <w:r>
              <w:t>pDST</w:t>
            </w:r>
            <w:proofErr w:type="spellEnd"/>
          </w:p>
        </w:tc>
        <w:tc>
          <w:tcPr>
            <w:tcW w:w="1347" w:type="dxa"/>
          </w:tcPr>
          <w:p w14:paraId="6CA819B5" w14:textId="77777777" w:rsidR="009F0065" w:rsidRDefault="009F0065" w:rsidP="00E06036">
            <w:pPr>
              <w:pStyle w:val="TableHeading0"/>
              <w:spacing w:before="0" w:after="0"/>
            </w:pPr>
            <w:r>
              <w:t xml:space="preserve">Resistant on WGS, susceptible on </w:t>
            </w:r>
            <w:proofErr w:type="spellStart"/>
            <w:r>
              <w:t>pDST</w:t>
            </w:r>
            <w:proofErr w:type="spellEnd"/>
          </w:p>
        </w:tc>
        <w:tc>
          <w:tcPr>
            <w:tcW w:w="1347" w:type="dxa"/>
          </w:tcPr>
          <w:p w14:paraId="07EF2380" w14:textId="77777777" w:rsidR="009F0065" w:rsidRDefault="009F0065" w:rsidP="00E06036">
            <w:pPr>
              <w:pStyle w:val="TableHeading0"/>
              <w:spacing w:before="0" w:after="0"/>
            </w:pPr>
            <w:r>
              <w:t xml:space="preserve">Susceptible on WGS, resistant on </w:t>
            </w:r>
            <w:proofErr w:type="spellStart"/>
            <w:r>
              <w:t>pDST</w:t>
            </w:r>
            <w:proofErr w:type="spellEnd"/>
          </w:p>
        </w:tc>
        <w:tc>
          <w:tcPr>
            <w:tcW w:w="1347" w:type="dxa"/>
          </w:tcPr>
          <w:p w14:paraId="7C31AAF5" w14:textId="77777777" w:rsidR="009F0065" w:rsidRDefault="009F0065" w:rsidP="00E06036">
            <w:pPr>
              <w:pStyle w:val="TableHeading0"/>
              <w:spacing w:before="0" w:after="0"/>
            </w:pPr>
            <w:r>
              <w:t xml:space="preserve">Susceptible on both WGS and </w:t>
            </w:r>
            <w:proofErr w:type="spellStart"/>
            <w:r>
              <w:t>pDST</w:t>
            </w:r>
            <w:proofErr w:type="spellEnd"/>
          </w:p>
        </w:tc>
      </w:tr>
      <w:tr w:rsidR="009F0065" w:rsidRPr="00E74AD5" w14:paraId="5C7D9472" w14:textId="77777777" w:rsidTr="006F4EBA">
        <w:tc>
          <w:tcPr>
            <w:tcW w:w="1271" w:type="dxa"/>
          </w:tcPr>
          <w:p w14:paraId="5D3F8112" w14:textId="77777777" w:rsidR="009F0065" w:rsidRDefault="009F0065" w:rsidP="00E06036">
            <w:pPr>
              <w:pStyle w:val="TableText1"/>
              <w:spacing w:before="0" w:after="0"/>
            </w:pPr>
            <w:r>
              <w:t>Amikacin</w:t>
            </w:r>
          </w:p>
        </w:tc>
        <w:tc>
          <w:tcPr>
            <w:tcW w:w="425" w:type="dxa"/>
          </w:tcPr>
          <w:p w14:paraId="684778E3" w14:textId="77777777" w:rsidR="009F0065" w:rsidRDefault="009F0065" w:rsidP="00E06036">
            <w:pPr>
              <w:pStyle w:val="TableText1"/>
              <w:spacing w:before="0" w:after="0"/>
            </w:pPr>
            <w:r>
              <w:t>13</w:t>
            </w:r>
          </w:p>
        </w:tc>
        <w:tc>
          <w:tcPr>
            <w:tcW w:w="851" w:type="dxa"/>
          </w:tcPr>
          <w:p w14:paraId="18F58524" w14:textId="77777777" w:rsidR="009F0065" w:rsidRDefault="009F0065" w:rsidP="00E06036">
            <w:pPr>
              <w:pStyle w:val="TableText1"/>
              <w:spacing w:before="0" w:after="0"/>
            </w:pPr>
            <w:r>
              <w:t>0.82 (0.60, 0.94)</w:t>
            </w:r>
          </w:p>
        </w:tc>
        <w:tc>
          <w:tcPr>
            <w:tcW w:w="992" w:type="dxa"/>
          </w:tcPr>
          <w:p w14:paraId="1E018667" w14:textId="77777777" w:rsidR="009F0065" w:rsidRDefault="009F0065" w:rsidP="00E06036">
            <w:pPr>
              <w:pStyle w:val="TableText1"/>
              <w:spacing w:before="0" w:after="0"/>
            </w:pPr>
            <w:r>
              <w:t>1.00 (0.98, 1.00)</w:t>
            </w:r>
          </w:p>
        </w:tc>
        <w:tc>
          <w:tcPr>
            <w:tcW w:w="1346" w:type="dxa"/>
          </w:tcPr>
          <w:p w14:paraId="3B8DEC78" w14:textId="77777777" w:rsidR="009F0065" w:rsidRPr="00E74AD5" w:rsidRDefault="009F0065" w:rsidP="00E06036">
            <w:pPr>
              <w:pStyle w:val="TableText1"/>
              <w:spacing w:before="0" w:after="0"/>
            </w:pPr>
            <w:r>
              <w:t>1 to 8 (1 to 9)</w:t>
            </w:r>
          </w:p>
        </w:tc>
        <w:tc>
          <w:tcPr>
            <w:tcW w:w="1347" w:type="dxa"/>
          </w:tcPr>
          <w:p w14:paraId="4EB58345" w14:textId="77777777" w:rsidR="009F0065" w:rsidRPr="00E74AD5" w:rsidRDefault="009F0065" w:rsidP="00E06036">
            <w:pPr>
              <w:pStyle w:val="TableText1"/>
              <w:spacing w:before="0" w:after="0"/>
            </w:pPr>
            <w:r>
              <w:t>0 (0 to 20)</w:t>
            </w:r>
          </w:p>
        </w:tc>
        <w:tc>
          <w:tcPr>
            <w:tcW w:w="1347" w:type="dxa"/>
          </w:tcPr>
          <w:p w14:paraId="2479D971" w14:textId="77777777" w:rsidR="009F0065" w:rsidRPr="00E74AD5" w:rsidRDefault="009F0065" w:rsidP="00E06036">
            <w:pPr>
              <w:pStyle w:val="TableText1"/>
              <w:spacing w:before="0" w:after="0"/>
            </w:pPr>
            <w:r>
              <w:t>0 to 2 (0 to 4)</w:t>
            </w:r>
          </w:p>
        </w:tc>
        <w:tc>
          <w:tcPr>
            <w:tcW w:w="1347" w:type="dxa"/>
          </w:tcPr>
          <w:p w14:paraId="719782B0" w14:textId="77777777" w:rsidR="009F0065" w:rsidRPr="00E74AD5" w:rsidRDefault="009F0065" w:rsidP="00E06036">
            <w:pPr>
              <w:pStyle w:val="TableText1"/>
              <w:keepNext/>
              <w:spacing w:before="0" w:after="0"/>
            </w:pPr>
            <w:r>
              <w:t>990 to 999 (970 to 999)</w:t>
            </w:r>
          </w:p>
        </w:tc>
      </w:tr>
      <w:tr w:rsidR="009F0065" w:rsidRPr="00E74AD5" w14:paraId="1FEC7A20" w14:textId="77777777" w:rsidTr="006F4EBA">
        <w:tc>
          <w:tcPr>
            <w:tcW w:w="1271" w:type="dxa"/>
          </w:tcPr>
          <w:p w14:paraId="58B4B2A7" w14:textId="77777777" w:rsidR="009F0065" w:rsidRDefault="009F0065" w:rsidP="00E06036">
            <w:pPr>
              <w:pStyle w:val="TableText1"/>
              <w:spacing w:before="0" w:after="0"/>
            </w:pPr>
            <w:r>
              <w:t>Capreomycin</w:t>
            </w:r>
          </w:p>
        </w:tc>
        <w:tc>
          <w:tcPr>
            <w:tcW w:w="425" w:type="dxa"/>
          </w:tcPr>
          <w:p w14:paraId="27369752" w14:textId="77777777" w:rsidR="009F0065" w:rsidRDefault="009F0065" w:rsidP="00E06036">
            <w:pPr>
              <w:pStyle w:val="TableText1"/>
              <w:spacing w:before="0" w:after="0"/>
            </w:pPr>
            <w:r>
              <w:t>4</w:t>
            </w:r>
          </w:p>
        </w:tc>
        <w:tc>
          <w:tcPr>
            <w:tcW w:w="851" w:type="dxa"/>
          </w:tcPr>
          <w:p w14:paraId="7457F8C8" w14:textId="77777777" w:rsidR="009F0065" w:rsidRDefault="009F0065" w:rsidP="00E06036">
            <w:pPr>
              <w:pStyle w:val="TableText1"/>
              <w:spacing w:before="0" w:after="0"/>
            </w:pPr>
            <w:r>
              <w:t>0.92 (0.80, 0.97)</w:t>
            </w:r>
          </w:p>
        </w:tc>
        <w:tc>
          <w:tcPr>
            <w:tcW w:w="992" w:type="dxa"/>
          </w:tcPr>
          <w:p w14:paraId="6DF0023F" w14:textId="77777777" w:rsidR="009F0065" w:rsidRDefault="009F0065" w:rsidP="00E06036">
            <w:pPr>
              <w:pStyle w:val="TableText1"/>
              <w:spacing w:before="0" w:after="0"/>
            </w:pPr>
            <w:r>
              <w:t>1.00 (0.94, 1.00)</w:t>
            </w:r>
          </w:p>
        </w:tc>
        <w:tc>
          <w:tcPr>
            <w:tcW w:w="1346" w:type="dxa"/>
          </w:tcPr>
          <w:p w14:paraId="2B9312D0" w14:textId="77777777" w:rsidR="009F0065" w:rsidRPr="00E74AD5" w:rsidRDefault="009F0065" w:rsidP="00E06036">
            <w:pPr>
              <w:pStyle w:val="TableText1"/>
              <w:spacing w:before="0" w:after="0"/>
            </w:pPr>
            <w:r>
              <w:t>1 to 9 (1 to 10)</w:t>
            </w:r>
          </w:p>
        </w:tc>
        <w:tc>
          <w:tcPr>
            <w:tcW w:w="1347" w:type="dxa"/>
          </w:tcPr>
          <w:p w14:paraId="44458D01" w14:textId="77777777" w:rsidR="009F0065" w:rsidRPr="00E74AD5" w:rsidRDefault="009F0065" w:rsidP="00E06036">
            <w:pPr>
              <w:pStyle w:val="TableText1"/>
              <w:spacing w:before="0" w:after="0"/>
            </w:pPr>
            <w:r>
              <w:t>0 (0 to 60)</w:t>
            </w:r>
          </w:p>
        </w:tc>
        <w:tc>
          <w:tcPr>
            <w:tcW w:w="1347" w:type="dxa"/>
          </w:tcPr>
          <w:p w14:paraId="3B3F383B" w14:textId="77777777" w:rsidR="009F0065" w:rsidRPr="00E74AD5" w:rsidRDefault="009F0065" w:rsidP="00E06036">
            <w:pPr>
              <w:pStyle w:val="TableText1"/>
              <w:spacing w:before="0" w:after="0"/>
            </w:pPr>
            <w:r>
              <w:t>0 to 1 (0 to 2)</w:t>
            </w:r>
          </w:p>
        </w:tc>
        <w:tc>
          <w:tcPr>
            <w:tcW w:w="1347" w:type="dxa"/>
          </w:tcPr>
          <w:p w14:paraId="035CF33F" w14:textId="77777777" w:rsidR="009F0065" w:rsidRPr="00E74AD5" w:rsidRDefault="009F0065" w:rsidP="00E06036">
            <w:pPr>
              <w:pStyle w:val="TableText1"/>
              <w:keepNext/>
              <w:spacing w:before="0" w:after="0"/>
            </w:pPr>
            <w:r>
              <w:t>990 to 999 (931 to 999)</w:t>
            </w:r>
          </w:p>
        </w:tc>
      </w:tr>
      <w:tr w:rsidR="009F0065" w:rsidRPr="00E74AD5" w14:paraId="1434329E" w14:textId="77777777" w:rsidTr="006F4EBA">
        <w:tc>
          <w:tcPr>
            <w:tcW w:w="1271" w:type="dxa"/>
          </w:tcPr>
          <w:p w14:paraId="4E15E6FB" w14:textId="77777777" w:rsidR="009F0065" w:rsidRDefault="009F0065" w:rsidP="00E06036">
            <w:pPr>
              <w:pStyle w:val="TableText1"/>
              <w:spacing w:before="0" w:after="0"/>
            </w:pPr>
            <w:r>
              <w:t>Ethionamide</w:t>
            </w:r>
          </w:p>
        </w:tc>
        <w:tc>
          <w:tcPr>
            <w:tcW w:w="425" w:type="dxa"/>
          </w:tcPr>
          <w:p w14:paraId="394AFE5B" w14:textId="77777777" w:rsidR="009F0065" w:rsidRDefault="009F0065" w:rsidP="00E06036">
            <w:pPr>
              <w:pStyle w:val="TableText1"/>
              <w:spacing w:before="0" w:after="0"/>
            </w:pPr>
            <w:r>
              <w:t>4</w:t>
            </w:r>
          </w:p>
        </w:tc>
        <w:tc>
          <w:tcPr>
            <w:tcW w:w="851" w:type="dxa"/>
          </w:tcPr>
          <w:p w14:paraId="0D0CB45D" w14:textId="77777777" w:rsidR="009F0065" w:rsidRDefault="009F0065" w:rsidP="00E06036">
            <w:pPr>
              <w:pStyle w:val="TableText1"/>
              <w:spacing w:before="0" w:after="0"/>
            </w:pPr>
            <w:r>
              <w:t>0.70 (0.51, 0.84)</w:t>
            </w:r>
          </w:p>
        </w:tc>
        <w:tc>
          <w:tcPr>
            <w:tcW w:w="992" w:type="dxa"/>
          </w:tcPr>
          <w:p w14:paraId="3B701C51" w14:textId="77777777" w:rsidR="009F0065" w:rsidRDefault="009F0065" w:rsidP="00E06036">
            <w:pPr>
              <w:pStyle w:val="TableText1"/>
              <w:spacing w:before="0" w:after="0"/>
            </w:pPr>
            <w:r>
              <w:t>0.89 (0.79, 0.94)</w:t>
            </w:r>
          </w:p>
        </w:tc>
        <w:tc>
          <w:tcPr>
            <w:tcW w:w="1346" w:type="dxa"/>
          </w:tcPr>
          <w:p w14:paraId="56FB22AC" w14:textId="77777777" w:rsidR="009F0065" w:rsidRPr="00E74AD5" w:rsidRDefault="009F0065" w:rsidP="00E06036">
            <w:pPr>
              <w:pStyle w:val="TableText1"/>
              <w:spacing w:before="0" w:after="0"/>
            </w:pPr>
            <w:r w:rsidRPr="00E74AD5">
              <w:t>47 (34 to 56)</w:t>
            </w:r>
          </w:p>
        </w:tc>
        <w:tc>
          <w:tcPr>
            <w:tcW w:w="1347" w:type="dxa"/>
          </w:tcPr>
          <w:p w14:paraId="7B6DF2C1" w14:textId="77777777" w:rsidR="009F0065" w:rsidRPr="00E74AD5" w:rsidRDefault="009F0065" w:rsidP="00E06036">
            <w:pPr>
              <w:pStyle w:val="TableText1"/>
              <w:spacing w:before="0" w:after="0"/>
            </w:pPr>
            <w:r w:rsidRPr="00E74AD5">
              <w:t>103 (56 to 196)</w:t>
            </w:r>
          </w:p>
        </w:tc>
        <w:tc>
          <w:tcPr>
            <w:tcW w:w="1347" w:type="dxa"/>
          </w:tcPr>
          <w:p w14:paraId="4406C0E3" w14:textId="77777777" w:rsidR="009F0065" w:rsidRPr="00E74AD5" w:rsidRDefault="009F0065" w:rsidP="00E06036">
            <w:pPr>
              <w:pStyle w:val="TableText1"/>
              <w:spacing w:before="0" w:after="0"/>
            </w:pPr>
            <w:r w:rsidRPr="00E74AD5">
              <w:t>20 (11 to 33)</w:t>
            </w:r>
          </w:p>
        </w:tc>
        <w:tc>
          <w:tcPr>
            <w:tcW w:w="1347" w:type="dxa"/>
          </w:tcPr>
          <w:p w14:paraId="52229829" w14:textId="77777777" w:rsidR="009F0065" w:rsidRPr="00E74AD5" w:rsidRDefault="009F0065" w:rsidP="00E06036">
            <w:pPr>
              <w:pStyle w:val="TableText1"/>
              <w:keepNext/>
              <w:spacing w:before="0" w:after="0"/>
            </w:pPr>
            <w:r w:rsidRPr="00E74AD5">
              <w:t>830 (737 to 877)</w:t>
            </w:r>
          </w:p>
        </w:tc>
      </w:tr>
      <w:tr w:rsidR="009F0065" w:rsidRPr="00E74AD5" w14:paraId="1AF7C054" w14:textId="77777777" w:rsidTr="006F4EBA">
        <w:tc>
          <w:tcPr>
            <w:tcW w:w="1271" w:type="dxa"/>
          </w:tcPr>
          <w:p w14:paraId="31868315" w14:textId="77777777" w:rsidR="009F0065" w:rsidRDefault="009F0065" w:rsidP="00E06036">
            <w:pPr>
              <w:pStyle w:val="TableText1"/>
              <w:spacing w:before="0" w:after="0"/>
            </w:pPr>
            <w:r>
              <w:t>Kanamycin</w:t>
            </w:r>
          </w:p>
        </w:tc>
        <w:tc>
          <w:tcPr>
            <w:tcW w:w="425" w:type="dxa"/>
          </w:tcPr>
          <w:p w14:paraId="105F9280" w14:textId="77777777" w:rsidR="009F0065" w:rsidRDefault="009F0065" w:rsidP="00E06036">
            <w:pPr>
              <w:pStyle w:val="TableText1"/>
              <w:spacing w:before="0" w:after="0"/>
            </w:pPr>
            <w:r>
              <w:t>9</w:t>
            </w:r>
          </w:p>
        </w:tc>
        <w:tc>
          <w:tcPr>
            <w:tcW w:w="851" w:type="dxa"/>
          </w:tcPr>
          <w:p w14:paraId="3D83F21F" w14:textId="77777777" w:rsidR="009F0065" w:rsidRDefault="009F0065" w:rsidP="00E06036">
            <w:pPr>
              <w:pStyle w:val="TableText1"/>
              <w:spacing w:before="0" w:after="0"/>
            </w:pPr>
            <w:r>
              <w:t>0.92 (0.45, 0.99)</w:t>
            </w:r>
          </w:p>
        </w:tc>
        <w:tc>
          <w:tcPr>
            <w:tcW w:w="992" w:type="dxa"/>
          </w:tcPr>
          <w:p w14:paraId="09EC5CE4" w14:textId="77777777" w:rsidR="009F0065" w:rsidRDefault="009F0065" w:rsidP="00E06036">
            <w:pPr>
              <w:pStyle w:val="TableText1"/>
              <w:spacing w:before="0" w:after="0"/>
            </w:pPr>
            <w:r>
              <w:t>0.99 (0.96, 1.00)</w:t>
            </w:r>
          </w:p>
        </w:tc>
        <w:tc>
          <w:tcPr>
            <w:tcW w:w="1346" w:type="dxa"/>
          </w:tcPr>
          <w:p w14:paraId="4BB45132" w14:textId="77777777" w:rsidR="009F0065" w:rsidRPr="00E74AD5" w:rsidRDefault="009F0065" w:rsidP="00E06036">
            <w:pPr>
              <w:pStyle w:val="TableText1"/>
              <w:spacing w:before="0" w:after="0"/>
            </w:pPr>
            <w:r>
              <w:t>1 to 9 (0 to 10)</w:t>
            </w:r>
          </w:p>
        </w:tc>
        <w:tc>
          <w:tcPr>
            <w:tcW w:w="1347" w:type="dxa"/>
          </w:tcPr>
          <w:p w14:paraId="5F9BD81C" w14:textId="77777777" w:rsidR="009F0065" w:rsidRPr="00E74AD5" w:rsidRDefault="009F0065" w:rsidP="00E06036">
            <w:pPr>
              <w:pStyle w:val="TableText1"/>
              <w:spacing w:before="0" w:after="0"/>
            </w:pPr>
            <w:r>
              <w:t>10 (0 to 40)</w:t>
            </w:r>
          </w:p>
        </w:tc>
        <w:tc>
          <w:tcPr>
            <w:tcW w:w="1347" w:type="dxa"/>
          </w:tcPr>
          <w:p w14:paraId="78BE880E" w14:textId="77777777" w:rsidR="009F0065" w:rsidRPr="00E74AD5" w:rsidRDefault="009F0065" w:rsidP="00E06036">
            <w:pPr>
              <w:pStyle w:val="TableText1"/>
              <w:spacing w:before="0" w:after="0"/>
            </w:pPr>
            <w:r>
              <w:t>0 to 1 (0 to 5)</w:t>
            </w:r>
          </w:p>
        </w:tc>
        <w:tc>
          <w:tcPr>
            <w:tcW w:w="1347" w:type="dxa"/>
          </w:tcPr>
          <w:p w14:paraId="407671C7" w14:textId="77777777" w:rsidR="009F0065" w:rsidRPr="00E74AD5" w:rsidRDefault="009F0065" w:rsidP="00E06036">
            <w:pPr>
              <w:pStyle w:val="TableText1"/>
              <w:keepNext/>
              <w:spacing w:before="0" w:after="0"/>
            </w:pPr>
            <w:r>
              <w:t>980 to 989 (950 to 999)</w:t>
            </w:r>
          </w:p>
        </w:tc>
      </w:tr>
      <w:tr w:rsidR="009F0065" w:rsidRPr="00E74AD5" w14:paraId="4162AEEC" w14:textId="77777777" w:rsidTr="006F4EBA">
        <w:tc>
          <w:tcPr>
            <w:tcW w:w="1271" w:type="dxa"/>
          </w:tcPr>
          <w:p w14:paraId="2D9A129C" w14:textId="77777777" w:rsidR="009F0065" w:rsidRDefault="009F0065" w:rsidP="00E06036">
            <w:pPr>
              <w:pStyle w:val="TableText1"/>
              <w:spacing w:before="0" w:after="0"/>
            </w:pPr>
            <w:r>
              <w:t>Levofloxacin</w:t>
            </w:r>
          </w:p>
        </w:tc>
        <w:tc>
          <w:tcPr>
            <w:tcW w:w="425" w:type="dxa"/>
          </w:tcPr>
          <w:p w14:paraId="0AC8B814" w14:textId="77777777" w:rsidR="009F0065" w:rsidRDefault="009F0065" w:rsidP="00E06036">
            <w:pPr>
              <w:pStyle w:val="TableText1"/>
              <w:spacing w:before="0" w:after="0"/>
            </w:pPr>
            <w:r>
              <w:t xml:space="preserve">7 </w:t>
            </w:r>
          </w:p>
        </w:tc>
        <w:tc>
          <w:tcPr>
            <w:tcW w:w="851" w:type="dxa"/>
          </w:tcPr>
          <w:p w14:paraId="514A7CBB" w14:textId="77777777" w:rsidR="009F0065" w:rsidRDefault="009F0065" w:rsidP="00E06036">
            <w:pPr>
              <w:pStyle w:val="TableText1"/>
              <w:spacing w:before="0" w:after="0"/>
            </w:pPr>
            <w:r>
              <w:t>0.87 (0.75, 0.94)</w:t>
            </w:r>
          </w:p>
        </w:tc>
        <w:tc>
          <w:tcPr>
            <w:tcW w:w="992" w:type="dxa"/>
          </w:tcPr>
          <w:p w14:paraId="319FE4E1" w14:textId="77777777" w:rsidR="009F0065" w:rsidRDefault="009F0065" w:rsidP="00E06036">
            <w:pPr>
              <w:pStyle w:val="TableText1"/>
              <w:spacing w:before="0" w:after="0"/>
            </w:pPr>
            <w:r>
              <w:t>0.99 (0.93, 1.00)</w:t>
            </w:r>
          </w:p>
        </w:tc>
        <w:tc>
          <w:tcPr>
            <w:tcW w:w="1346" w:type="dxa"/>
          </w:tcPr>
          <w:p w14:paraId="5E1C687F" w14:textId="77777777" w:rsidR="009F0065" w:rsidRPr="00E74AD5" w:rsidRDefault="009F0065" w:rsidP="00E06036">
            <w:pPr>
              <w:pStyle w:val="TableText1"/>
              <w:spacing w:before="0" w:after="0"/>
            </w:pPr>
            <w:r w:rsidRPr="00E74AD5">
              <w:t>35 (30 to 38)</w:t>
            </w:r>
          </w:p>
        </w:tc>
        <w:tc>
          <w:tcPr>
            <w:tcW w:w="1347" w:type="dxa"/>
          </w:tcPr>
          <w:p w14:paraId="02E1CB66" w14:textId="77777777" w:rsidR="009F0065" w:rsidRPr="00E74AD5" w:rsidRDefault="009F0065" w:rsidP="00E06036">
            <w:pPr>
              <w:pStyle w:val="TableText1"/>
              <w:spacing w:before="0" w:after="0"/>
            </w:pPr>
            <w:r w:rsidRPr="00E74AD5">
              <w:t>10 (0 to 67)</w:t>
            </w:r>
          </w:p>
        </w:tc>
        <w:tc>
          <w:tcPr>
            <w:tcW w:w="1347" w:type="dxa"/>
          </w:tcPr>
          <w:p w14:paraId="2B44B3D0" w14:textId="77777777" w:rsidR="009F0065" w:rsidRPr="00E74AD5" w:rsidRDefault="009F0065" w:rsidP="00E06036">
            <w:pPr>
              <w:pStyle w:val="TableText1"/>
              <w:spacing w:before="0" w:after="0"/>
            </w:pPr>
            <w:r w:rsidRPr="00E74AD5">
              <w:t>5 (2 to 10)</w:t>
            </w:r>
          </w:p>
        </w:tc>
        <w:tc>
          <w:tcPr>
            <w:tcW w:w="1347" w:type="dxa"/>
          </w:tcPr>
          <w:p w14:paraId="05B30F68" w14:textId="77777777" w:rsidR="009F0065" w:rsidRPr="00E74AD5" w:rsidRDefault="009F0065" w:rsidP="00E06036">
            <w:pPr>
              <w:pStyle w:val="TableText1"/>
              <w:keepNext/>
              <w:spacing w:before="0" w:after="0"/>
            </w:pPr>
            <w:r w:rsidRPr="00E74AD5">
              <w:t>950 (893 to 960)</w:t>
            </w:r>
          </w:p>
        </w:tc>
      </w:tr>
      <w:tr w:rsidR="009F0065" w:rsidRPr="00E74AD5" w14:paraId="1C8BD0C3" w14:textId="77777777" w:rsidTr="006F4EBA">
        <w:tc>
          <w:tcPr>
            <w:tcW w:w="1271" w:type="dxa"/>
          </w:tcPr>
          <w:p w14:paraId="01DD58AC" w14:textId="77777777" w:rsidR="009F0065" w:rsidRDefault="009F0065" w:rsidP="00E06036">
            <w:pPr>
              <w:pStyle w:val="TableText1"/>
              <w:spacing w:before="0" w:after="0"/>
            </w:pPr>
            <w:r>
              <w:t>Moxifloxacin</w:t>
            </w:r>
          </w:p>
        </w:tc>
        <w:tc>
          <w:tcPr>
            <w:tcW w:w="425" w:type="dxa"/>
          </w:tcPr>
          <w:p w14:paraId="239F7628" w14:textId="77777777" w:rsidR="009F0065" w:rsidRDefault="009F0065" w:rsidP="00E06036">
            <w:pPr>
              <w:pStyle w:val="TableText1"/>
              <w:spacing w:before="0" w:after="0"/>
            </w:pPr>
            <w:r>
              <w:t>8</w:t>
            </w:r>
          </w:p>
        </w:tc>
        <w:tc>
          <w:tcPr>
            <w:tcW w:w="851" w:type="dxa"/>
          </w:tcPr>
          <w:p w14:paraId="3784B4CD" w14:textId="77777777" w:rsidR="009F0065" w:rsidRDefault="009F0065" w:rsidP="00E06036">
            <w:pPr>
              <w:pStyle w:val="TableText1"/>
              <w:spacing w:before="0" w:after="0"/>
            </w:pPr>
            <w:r>
              <w:t>0.82 (0.66, 0.91)</w:t>
            </w:r>
          </w:p>
        </w:tc>
        <w:tc>
          <w:tcPr>
            <w:tcW w:w="992" w:type="dxa"/>
          </w:tcPr>
          <w:p w14:paraId="7918E5E6" w14:textId="77777777" w:rsidR="009F0065" w:rsidRDefault="009F0065" w:rsidP="00E06036">
            <w:pPr>
              <w:pStyle w:val="TableText1"/>
              <w:spacing w:before="0" w:after="0"/>
            </w:pPr>
            <w:r>
              <w:t>0.96 (0.89, 0.98)</w:t>
            </w:r>
          </w:p>
        </w:tc>
        <w:tc>
          <w:tcPr>
            <w:tcW w:w="1346" w:type="dxa"/>
          </w:tcPr>
          <w:p w14:paraId="4B38A90E" w14:textId="77777777" w:rsidR="009F0065" w:rsidRPr="00E74AD5" w:rsidRDefault="009F0065" w:rsidP="00E06036">
            <w:pPr>
              <w:pStyle w:val="TableText1"/>
              <w:spacing w:before="0" w:after="0"/>
            </w:pPr>
            <w:r w:rsidRPr="00E74AD5">
              <w:t>33 (26 to 36)</w:t>
            </w:r>
          </w:p>
        </w:tc>
        <w:tc>
          <w:tcPr>
            <w:tcW w:w="1347" w:type="dxa"/>
          </w:tcPr>
          <w:p w14:paraId="57BA6BB4" w14:textId="77777777" w:rsidR="009F0065" w:rsidRPr="00E74AD5" w:rsidRDefault="009F0065" w:rsidP="00E06036">
            <w:pPr>
              <w:pStyle w:val="TableText1"/>
              <w:spacing w:before="0" w:after="0"/>
            </w:pPr>
            <w:r w:rsidRPr="00E74AD5">
              <w:t>38 (19 to 106)</w:t>
            </w:r>
          </w:p>
        </w:tc>
        <w:tc>
          <w:tcPr>
            <w:tcW w:w="1347" w:type="dxa"/>
          </w:tcPr>
          <w:p w14:paraId="25C2CEA1" w14:textId="77777777" w:rsidR="009F0065" w:rsidRPr="00E74AD5" w:rsidRDefault="009F0065" w:rsidP="00E06036">
            <w:pPr>
              <w:pStyle w:val="TableText1"/>
              <w:spacing w:before="0" w:after="0"/>
            </w:pPr>
            <w:r w:rsidRPr="00E74AD5">
              <w:t>7 (4 to 14)</w:t>
            </w:r>
          </w:p>
        </w:tc>
        <w:tc>
          <w:tcPr>
            <w:tcW w:w="1347" w:type="dxa"/>
          </w:tcPr>
          <w:p w14:paraId="3D7DC217" w14:textId="77777777" w:rsidR="009F0065" w:rsidRPr="00E74AD5" w:rsidRDefault="009F0065" w:rsidP="00E06036">
            <w:pPr>
              <w:pStyle w:val="TableText1"/>
              <w:keepNext/>
              <w:spacing w:before="0" w:after="0"/>
            </w:pPr>
            <w:r w:rsidRPr="00E74AD5">
              <w:t>922 (854 to 941)</w:t>
            </w:r>
          </w:p>
        </w:tc>
      </w:tr>
      <w:tr w:rsidR="009F0065" w:rsidRPr="00E74AD5" w14:paraId="27C16A20" w14:textId="77777777" w:rsidTr="006F4EBA">
        <w:tc>
          <w:tcPr>
            <w:tcW w:w="1271" w:type="dxa"/>
          </w:tcPr>
          <w:p w14:paraId="3AD48B9A" w14:textId="77777777" w:rsidR="009F0065" w:rsidRDefault="009F0065" w:rsidP="00E06036">
            <w:pPr>
              <w:pStyle w:val="TableText1"/>
              <w:spacing w:before="0" w:after="0"/>
            </w:pPr>
            <w:r>
              <w:lastRenderedPageBreak/>
              <w:t>All fluoro-quinolones</w:t>
            </w:r>
          </w:p>
        </w:tc>
        <w:tc>
          <w:tcPr>
            <w:tcW w:w="425" w:type="dxa"/>
          </w:tcPr>
          <w:p w14:paraId="06FC66B8" w14:textId="77777777" w:rsidR="009F0065" w:rsidRDefault="009F0065" w:rsidP="00E06036">
            <w:pPr>
              <w:pStyle w:val="TableText1"/>
              <w:spacing w:before="0" w:after="0"/>
            </w:pPr>
            <w:r>
              <w:t>4</w:t>
            </w:r>
          </w:p>
        </w:tc>
        <w:tc>
          <w:tcPr>
            <w:tcW w:w="851" w:type="dxa"/>
          </w:tcPr>
          <w:p w14:paraId="1BFD572B" w14:textId="77777777" w:rsidR="009F0065" w:rsidRDefault="009F0065" w:rsidP="00E06036">
            <w:pPr>
              <w:pStyle w:val="TableText1"/>
              <w:spacing w:before="0" w:after="0"/>
            </w:pPr>
            <w:r>
              <w:t>0.89 (0.70, 0.96)</w:t>
            </w:r>
          </w:p>
        </w:tc>
        <w:tc>
          <w:tcPr>
            <w:tcW w:w="992" w:type="dxa"/>
          </w:tcPr>
          <w:p w14:paraId="6105DA8B" w14:textId="77777777" w:rsidR="009F0065" w:rsidRDefault="009F0065" w:rsidP="00E06036">
            <w:pPr>
              <w:pStyle w:val="TableText1"/>
              <w:spacing w:before="0" w:after="0"/>
            </w:pPr>
            <w:r>
              <w:t>1.00 (0.87, 1.00)</w:t>
            </w:r>
          </w:p>
        </w:tc>
        <w:tc>
          <w:tcPr>
            <w:tcW w:w="1346" w:type="dxa"/>
          </w:tcPr>
          <w:p w14:paraId="389E031A" w14:textId="77777777" w:rsidR="009F0065" w:rsidRPr="00E74AD5" w:rsidRDefault="009F0065" w:rsidP="00E06036">
            <w:pPr>
              <w:pStyle w:val="TableText1"/>
              <w:spacing w:before="0" w:after="0"/>
            </w:pPr>
            <w:r w:rsidRPr="00E74AD5">
              <w:t>36 (28 to 38)</w:t>
            </w:r>
          </w:p>
        </w:tc>
        <w:tc>
          <w:tcPr>
            <w:tcW w:w="1347" w:type="dxa"/>
          </w:tcPr>
          <w:p w14:paraId="20E9D8E9" w14:textId="77777777" w:rsidR="009F0065" w:rsidRPr="00E74AD5" w:rsidRDefault="009F0065" w:rsidP="00E06036">
            <w:pPr>
              <w:pStyle w:val="TableText1"/>
              <w:spacing w:before="0" w:after="0"/>
            </w:pPr>
            <w:r w:rsidRPr="00E74AD5">
              <w:t>4 (2 to 12)</w:t>
            </w:r>
          </w:p>
        </w:tc>
        <w:tc>
          <w:tcPr>
            <w:tcW w:w="1347" w:type="dxa"/>
          </w:tcPr>
          <w:p w14:paraId="46331BAA" w14:textId="77777777" w:rsidR="009F0065" w:rsidRPr="00E74AD5" w:rsidRDefault="009F0065" w:rsidP="00E06036">
            <w:pPr>
              <w:pStyle w:val="TableText1"/>
              <w:keepNext/>
              <w:spacing w:before="0" w:after="0"/>
            </w:pPr>
            <w:r w:rsidRPr="00E74AD5">
              <w:t>0 (0 to 125)</w:t>
            </w:r>
          </w:p>
        </w:tc>
        <w:tc>
          <w:tcPr>
            <w:tcW w:w="1347" w:type="dxa"/>
          </w:tcPr>
          <w:p w14:paraId="31B92B5D" w14:textId="77777777" w:rsidR="009F0065" w:rsidRPr="00E74AD5" w:rsidRDefault="009F0065" w:rsidP="00E06036">
            <w:pPr>
              <w:pStyle w:val="TableText1"/>
              <w:spacing w:before="0" w:after="0"/>
            </w:pPr>
            <w:r w:rsidRPr="00E74AD5">
              <w:t>960 (835 to 960)</w:t>
            </w:r>
          </w:p>
        </w:tc>
      </w:tr>
    </w:tbl>
    <w:p w14:paraId="42111136" w14:textId="77777777" w:rsidR="009F0065" w:rsidRDefault="009F0065" w:rsidP="009F0065">
      <w:pPr>
        <w:pStyle w:val="Tablenotes0"/>
      </w:pPr>
      <w:r>
        <w:t xml:space="preserve">K = number of studies; NPA = negative percent agreement (specificity); </w:t>
      </w:r>
      <w:proofErr w:type="spellStart"/>
      <w:r>
        <w:t>pDST</w:t>
      </w:r>
      <w:proofErr w:type="spellEnd"/>
      <w:r>
        <w:t xml:space="preserve"> = phenotypic drug susceptibility testing; PPA = positive percent agreement (sensitivity); SA = South Australian; WGS = whole genome sequencing</w:t>
      </w:r>
    </w:p>
    <w:p w14:paraId="23CE1850" w14:textId="77777777" w:rsidR="009F0065" w:rsidRDefault="009F0065" w:rsidP="009F0065">
      <w:pPr>
        <w:pStyle w:val="Tablenotes0"/>
      </w:pPr>
      <w:r>
        <w:t xml:space="preserve">Note: where no patients tested within SA dataset had resistance to the particular drug, a range of possible values has been included for prevalence, from 0.1 to 1%). </w:t>
      </w:r>
    </w:p>
    <w:p w14:paraId="34878AC8" w14:textId="77777777" w:rsidR="009F0065" w:rsidRDefault="009F0065" w:rsidP="00E72E00">
      <w:pPr>
        <w:pStyle w:val="Heading2"/>
      </w:pPr>
      <w:bookmarkStart w:id="20" w:name="_Toc90153897"/>
      <w:r>
        <w:t xml:space="preserve">Change </w:t>
      </w:r>
      <w:r w:rsidRPr="003251C2">
        <w:t>in management</w:t>
      </w:r>
      <w:bookmarkEnd w:id="20"/>
    </w:p>
    <w:p w14:paraId="4EE3ECB4" w14:textId="5ABB2604" w:rsidR="009F0065" w:rsidRPr="00E72E00" w:rsidRDefault="009F0065" w:rsidP="009F0065">
      <w:pPr>
        <w:rPr>
          <w:rFonts w:ascii="Franklin Gothic Book" w:eastAsia="Calibri" w:hAnsi="Franklin Gothic Book"/>
          <w:sz w:val="22"/>
          <w:szCs w:val="22"/>
          <w:lang w:eastAsia="en-US"/>
        </w:rPr>
      </w:pPr>
      <w:r w:rsidRPr="008C01F4">
        <w:rPr>
          <w:rFonts w:ascii="Franklin Gothic Book" w:eastAsia="Calibri" w:hAnsi="Franklin Gothic Book"/>
          <w:sz w:val="22"/>
          <w:szCs w:val="22"/>
          <w:lang w:eastAsia="en-US"/>
        </w:rPr>
        <w:t>D</w:t>
      </w:r>
      <w:r w:rsidRPr="00E72E00">
        <w:rPr>
          <w:rFonts w:ascii="Franklin Gothic Book" w:eastAsia="Calibri" w:hAnsi="Franklin Gothic Book"/>
          <w:sz w:val="22"/>
          <w:szCs w:val="22"/>
          <w:lang w:eastAsia="en-US"/>
        </w:rPr>
        <w:t xml:space="preserve">espite the majority of patients’ infections having the same antimicrobial resistance results based on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the use of WGS is proposed by the applicants to result in a change in management, due to the faster average turnaround of WGS results compared to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w:t>
      </w:r>
    </w:p>
    <w:p w14:paraId="18FC8B43" w14:textId="751C666E" w:rsidR="009F0065"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NSW data on 32 isolates from Martinez et al. (2016)</w:t>
      </w:r>
      <w:r w:rsidR="00537A41">
        <w:rPr>
          <w:rStyle w:val="FootnoteReference"/>
          <w:rFonts w:ascii="Franklin Gothic Book" w:eastAsia="Calibri" w:hAnsi="Franklin Gothic Book"/>
          <w:sz w:val="22"/>
          <w:szCs w:val="22"/>
          <w:lang w:eastAsia="en-US"/>
        </w:rPr>
        <w:footnoteReference w:id="7"/>
      </w:r>
      <w:r w:rsidRPr="00E72E00">
        <w:rPr>
          <w:rFonts w:ascii="Franklin Gothic Book" w:eastAsia="Calibri" w:hAnsi="Franklin Gothic Book"/>
          <w:sz w:val="22"/>
          <w:szCs w:val="22"/>
          <w:lang w:eastAsia="en-US"/>
        </w:rPr>
        <w:t xml:space="preserve"> reported that WGS results had a median turnaround time of 11 days, compared to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which took a median of 16 days. Personal communication with the authors stated that their WGS results are now being turned around within 8-10 days</w:t>
      </w:r>
      <w:r w:rsidRPr="008C01F4">
        <w:rPr>
          <w:rFonts w:ascii="Franklin Gothic Book" w:eastAsia="Calibri" w:hAnsi="Franklin Gothic Book"/>
          <w:sz w:val="22"/>
          <w:szCs w:val="22"/>
          <w:vertAlign w:val="superscript"/>
          <w:lang w:eastAsia="en-US"/>
        </w:rPr>
        <w:footnoteReference w:id="8"/>
      </w:r>
      <w:r w:rsidRPr="00E72E00">
        <w:rPr>
          <w:rFonts w:ascii="Franklin Gothic Book" w:eastAsia="Calibri" w:hAnsi="Franklin Gothic Book"/>
          <w:sz w:val="22"/>
          <w:szCs w:val="22"/>
          <w:lang w:eastAsia="en-US"/>
        </w:rPr>
        <w:t>. Although not all laboratories in Australia are currently equipped to turnaround WGS results as fast as NSW, the expectation is that in the near future, the other reference laboratories will have similar in-house capacity</w:t>
      </w:r>
      <w:r w:rsidRPr="008C01F4">
        <w:rPr>
          <w:rFonts w:ascii="Franklin Gothic Book" w:eastAsia="Calibri" w:hAnsi="Franklin Gothic Book"/>
          <w:sz w:val="22"/>
          <w:szCs w:val="22"/>
          <w:vertAlign w:val="superscript"/>
          <w:lang w:eastAsia="en-US"/>
        </w:rPr>
        <w:footnoteReference w:id="9"/>
      </w:r>
      <w:r w:rsidRPr="00E72E00">
        <w:rPr>
          <w:rFonts w:ascii="Franklin Gothic Book" w:eastAsia="Calibri" w:hAnsi="Franklin Gothic Book"/>
          <w:sz w:val="22"/>
          <w:szCs w:val="22"/>
          <w:lang w:eastAsia="en-US"/>
        </w:rPr>
        <w:t xml:space="preserve">. Slightly longer turnaround times have been reported in the international literature, with mean turnaround times for WGS ranging from 3 to a mean 15 days, whereas turnaround time for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ranged from 13 to 24 days for first-line drugs, and 21 to 47 days for second-line drugs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_Ref86147492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8</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xml:space="preserve">). </w:t>
      </w:r>
    </w:p>
    <w:p w14:paraId="2B7742F6" w14:textId="3DA8164A" w:rsidR="009F0065" w:rsidRDefault="009F0065" w:rsidP="00644745">
      <w:pPr>
        <w:pStyle w:val="Caption"/>
        <w:spacing w:before="240"/>
      </w:pPr>
      <w:bookmarkStart w:id="21" w:name="_Ref86147492"/>
      <w:r>
        <w:t xml:space="preserve">Table </w:t>
      </w:r>
      <w:fldSimple w:instr=" SEQ Table \* ARABIC ">
        <w:r w:rsidR="004C2B2A">
          <w:rPr>
            <w:noProof/>
          </w:rPr>
          <w:t>8</w:t>
        </w:r>
      </w:fldSimple>
      <w:bookmarkEnd w:id="21"/>
      <w:r>
        <w:tab/>
        <w:t xml:space="preserve">Turnaround times for WGS and </w:t>
      </w:r>
      <w:proofErr w:type="spellStart"/>
      <w:r>
        <w:t>pDST</w:t>
      </w:r>
      <w:proofErr w:type="spellEnd"/>
    </w:p>
    <w:tbl>
      <w:tblPr>
        <w:tblStyle w:val="TableGrid"/>
        <w:tblW w:w="5000" w:type="pct"/>
        <w:tblLook w:val="04A0" w:firstRow="1" w:lastRow="0" w:firstColumn="1" w:lastColumn="0" w:noHBand="0" w:noVBand="1"/>
        <w:tblCaption w:val="Turnaround times for WGS and pDST"/>
        <w:tblDescription w:val="Turnaround times for WGS and pDST (showing that in most institutions, WGS is faster)"/>
      </w:tblPr>
      <w:tblGrid>
        <w:gridCol w:w="1981"/>
        <w:gridCol w:w="930"/>
        <w:gridCol w:w="490"/>
        <w:gridCol w:w="2548"/>
        <w:gridCol w:w="3067"/>
      </w:tblGrid>
      <w:tr w:rsidR="009F0065" w14:paraId="5D1C5552" w14:textId="77777777" w:rsidTr="006F4EBA">
        <w:trPr>
          <w:tblHeader/>
        </w:trPr>
        <w:tc>
          <w:tcPr>
            <w:tcW w:w="1098" w:type="pct"/>
          </w:tcPr>
          <w:p w14:paraId="1950A4FF" w14:textId="77777777" w:rsidR="009F0065" w:rsidRDefault="009F0065" w:rsidP="006F4EBA">
            <w:pPr>
              <w:pStyle w:val="In-tableHeading"/>
            </w:pPr>
            <w:r>
              <w:t>Study</w:t>
            </w:r>
          </w:p>
        </w:tc>
        <w:tc>
          <w:tcPr>
            <w:tcW w:w="516" w:type="pct"/>
          </w:tcPr>
          <w:p w14:paraId="45D68501" w14:textId="77777777" w:rsidR="009F0065" w:rsidRDefault="009F0065" w:rsidP="006F4EBA">
            <w:pPr>
              <w:pStyle w:val="In-tableHeading"/>
            </w:pPr>
            <w:r>
              <w:t>Country</w:t>
            </w:r>
          </w:p>
        </w:tc>
        <w:tc>
          <w:tcPr>
            <w:tcW w:w="272" w:type="pct"/>
          </w:tcPr>
          <w:p w14:paraId="51B9644F" w14:textId="77777777" w:rsidR="009F0065" w:rsidRDefault="009F0065" w:rsidP="006F4EBA">
            <w:pPr>
              <w:pStyle w:val="In-tableHeading"/>
            </w:pPr>
            <w:r>
              <w:t>N</w:t>
            </w:r>
          </w:p>
        </w:tc>
        <w:tc>
          <w:tcPr>
            <w:tcW w:w="1413" w:type="pct"/>
          </w:tcPr>
          <w:p w14:paraId="504A0895" w14:textId="77777777" w:rsidR="009F0065" w:rsidRDefault="009F0065" w:rsidP="006F4EBA">
            <w:pPr>
              <w:pStyle w:val="In-tableHeading"/>
            </w:pPr>
            <w:r>
              <w:t>Mean WGS turnaround time</w:t>
            </w:r>
          </w:p>
        </w:tc>
        <w:tc>
          <w:tcPr>
            <w:tcW w:w="1701" w:type="pct"/>
          </w:tcPr>
          <w:p w14:paraId="43382CD2" w14:textId="77777777" w:rsidR="009F0065" w:rsidRDefault="009F0065" w:rsidP="006F4EBA">
            <w:pPr>
              <w:pStyle w:val="In-tableHeading"/>
            </w:pPr>
            <w:r>
              <w:t xml:space="preserve">Mean </w:t>
            </w:r>
            <w:proofErr w:type="spellStart"/>
            <w:r>
              <w:t>pDST</w:t>
            </w:r>
            <w:proofErr w:type="spellEnd"/>
            <w:r>
              <w:t xml:space="preserve"> turnaround time </w:t>
            </w:r>
          </w:p>
        </w:tc>
      </w:tr>
      <w:tr w:rsidR="009F0065" w14:paraId="2708E792" w14:textId="77777777" w:rsidTr="006F4EBA">
        <w:tc>
          <w:tcPr>
            <w:tcW w:w="1098" w:type="pct"/>
          </w:tcPr>
          <w:p w14:paraId="23020D3F" w14:textId="77777777" w:rsidR="009F0065" w:rsidRDefault="009F0065" w:rsidP="006F4EBA">
            <w:pPr>
              <w:pStyle w:val="Tabletext"/>
            </w:pPr>
            <w:r>
              <w:t>He et al. (2020)</w:t>
            </w:r>
          </w:p>
        </w:tc>
        <w:tc>
          <w:tcPr>
            <w:tcW w:w="516" w:type="pct"/>
          </w:tcPr>
          <w:p w14:paraId="20C2F74A" w14:textId="77777777" w:rsidR="009F0065" w:rsidRDefault="009F0065" w:rsidP="006F4EBA">
            <w:pPr>
              <w:pStyle w:val="Tabletext"/>
            </w:pPr>
            <w:r>
              <w:t>China</w:t>
            </w:r>
          </w:p>
        </w:tc>
        <w:tc>
          <w:tcPr>
            <w:tcW w:w="272" w:type="pct"/>
          </w:tcPr>
          <w:p w14:paraId="72959DB5" w14:textId="77777777" w:rsidR="009F0065" w:rsidRDefault="009F0065" w:rsidP="006F4EBA">
            <w:pPr>
              <w:pStyle w:val="Tabletext"/>
            </w:pPr>
            <w:r>
              <w:t>123</w:t>
            </w:r>
          </w:p>
        </w:tc>
        <w:tc>
          <w:tcPr>
            <w:tcW w:w="1413" w:type="pct"/>
          </w:tcPr>
          <w:p w14:paraId="70D0220F" w14:textId="77777777" w:rsidR="009F0065" w:rsidRDefault="009F0065" w:rsidP="006F4EBA">
            <w:pPr>
              <w:pStyle w:val="Tabletext"/>
            </w:pPr>
            <w:r>
              <w:t>7 days (range not stated)</w:t>
            </w:r>
          </w:p>
        </w:tc>
        <w:tc>
          <w:tcPr>
            <w:tcW w:w="1701" w:type="pct"/>
          </w:tcPr>
          <w:p w14:paraId="7BB79CA5" w14:textId="77777777" w:rsidR="009F0065" w:rsidRDefault="009F0065" w:rsidP="006F4EBA">
            <w:pPr>
              <w:pStyle w:val="Tabletext"/>
            </w:pPr>
            <w:r>
              <w:t>Liquid media: 10 days (range 4 to 13)</w:t>
            </w:r>
          </w:p>
          <w:p w14:paraId="4E01683E" w14:textId="77777777" w:rsidR="009F0065" w:rsidRDefault="009F0065" w:rsidP="006F4EBA">
            <w:pPr>
              <w:pStyle w:val="Tabletext"/>
            </w:pPr>
            <w:r>
              <w:t>Solid media: 30 days (range 26 to 32)</w:t>
            </w:r>
          </w:p>
        </w:tc>
      </w:tr>
      <w:tr w:rsidR="009F0065" w14:paraId="0C7772DA" w14:textId="77777777" w:rsidTr="006F4EBA">
        <w:tc>
          <w:tcPr>
            <w:tcW w:w="1098" w:type="pct"/>
          </w:tcPr>
          <w:p w14:paraId="1BA885BD" w14:textId="77777777" w:rsidR="009F0065" w:rsidRDefault="009F0065" w:rsidP="006F4EBA">
            <w:pPr>
              <w:pStyle w:val="Tabletext"/>
            </w:pPr>
            <w:r>
              <w:t>Shea et al. (2017)</w:t>
            </w:r>
          </w:p>
        </w:tc>
        <w:tc>
          <w:tcPr>
            <w:tcW w:w="516" w:type="pct"/>
          </w:tcPr>
          <w:p w14:paraId="2B1F51E4" w14:textId="77777777" w:rsidR="009F0065" w:rsidRDefault="009F0065" w:rsidP="006F4EBA">
            <w:pPr>
              <w:pStyle w:val="Tabletext"/>
            </w:pPr>
            <w:r>
              <w:t>US</w:t>
            </w:r>
          </w:p>
        </w:tc>
        <w:tc>
          <w:tcPr>
            <w:tcW w:w="272" w:type="pct"/>
          </w:tcPr>
          <w:p w14:paraId="6B957470" w14:textId="77777777" w:rsidR="009F0065" w:rsidRDefault="009F0065" w:rsidP="006F4EBA">
            <w:pPr>
              <w:pStyle w:val="Tabletext"/>
            </w:pPr>
            <w:r>
              <w:t>294</w:t>
            </w:r>
          </w:p>
        </w:tc>
        <w:tc>
          <w:tcPr>
            <w:tcW w:w="1413" w:type="pct"/>
          </w:tcPr>
          <w:p w14:paraId="5FA0DA02" w14:textId="77777777" w:rsidR="009F0065" w:rsidRDefault="009F0065" w:rsidP="006F4EBA">
            <w:pPr>
              <w:pStyle w:val="Tabletext"/>
            </w:pPr>
            <w:r>
              <w:t xml:space="preserve">15 days </w:t>
            </w:r>
          </w:p>
        </w:tc>
        <w:tc>
          <w:tcPr>
            <w:tcW w:w="1701" w:type="pct"/>
          </w:tcPr>
          <w:p w14:paraId="38D8592A" w14:textId="77777777" w:rsidR="009F0065" w:rsidRDefault="009F0065" w:rsidP="006F4EBA">
            <w:pPr>
              <w:pStyle w:val="Tabletext"/>
            </w:pPr>
            <w:r>
              <w:t xml:space="preserve">First-line: 24 days </w:t>
            </w:r>
          </w:p>
          <w:p w14:paraId="5EE18350" w14:textId="77777777" w:rsidR="009F0065" w:rsidRDefault="009F0065" w:rsidP="006F4EBA">
            <w:pPr>
              <w:pStyle w:val="Tabletext"/>
            </w:pPr>
            <w:r>
              <w:t xml:space="preserve">Second-line: 47 days </w:t>
            </w:r>
          </w:p>
        </w:tc>
      </w:tr>
      <w:tr w:rsidR="009F0065" w14:paraId="0024095D" w14:textId="77777777" w:rsidTr="006F4EBA">
        <w:tc>
          <w:tcPr>
            <w:tcW w:w="1098" w:type="pct"/>
          </w:tcPr>
          <w:p w14:paraId="5D7DC00E" w14:textId="77777777" w:rsidR="009F0065" w:rsidRDefault="009F0065" w:rsidP="006F4EBA">
            <w:pPr>
              <w:pStyle w:val="Tabletext"/>
            </w:pPr>
            <w:proofErr w:type="spellStart"/>
            <w:r>
              <w:t>Tafess</w:t>
            </w:r>
            <w:proofErr w:type="spellEnd"/>
            <w:r>
              <w:t xml:space="preserve"> et al. (2020)</w:t>
            </w:r>
          </w:p>
        </w:tc>
        <w:tc>
          <w:tcPr>
            <w:tcW w:w="516" w:type="pct"/>
          </w:tcPr>
          <w:p w14:paraId="3C3DAF07" w14:textId="77777777" w:rsidR="009F0065" w:rsidRDefault="009F0065" w:rsidP="006F4EBA">
            <w:pPr>
              <w:pStyle w:val="Tabletext"/>
            </w:pPr>
            <w:r>
              <w:t>HK / Ethiopia</w:t>
            </w:r>
          </w:p>
        </w:tc>
        <w:tc>
          <w:tcPr>
            <w:tcW w:w="272" w:type="pct"/>
          </w:tcPr>
          <w:p w14:paraId="2570867F" w14:textId="77777777" w:rsidR="009F0065" w:rsidRDefault="009F0065" w:rsidP="006F4EBA">
            <w:pPr>
              <w:pStyle w:val="Tabletext"/>
            </w:pPr>
            <w:r>
              <w:t>163</w:t>
            </w:r>
          </w:p>
        </w:tc>
        <w:tc>
          <w:tcPr>
            <w:tcW w:w="1413" w:type="pct"/>
          </w:tcPr>
          <w:p w14:paraId="68E47FA4" w14:textId="77777777" w:rsidR="009F0065" w:rsidRDefault="009F0065" w:rsidP="006F4EBA">
            <w:pPr>
              <w:pStyle w:val="Tabletext"/>
            </w:pPr>
            <w:proofErr w:type="spellStart"/>
            <w:r>
              <w:t>MiSeq</w:t>
            </w:r>
            <w:proofErr w:type="spellEnd"/>
            <w:r>
              <w:t>: 4 days</w:t>
            </w:r>
          </w:p>
          <w:p w14:paraId="210197B0" w14:textId="77777777" w:rsidR="009F0065" w:rsidRDefault="009F0065" w:rsidP="006F4EBA">
            <w:pPr>
              <w:pStyle w:val="Tabletext"/>
            </w:pPr>
            <w:proofErr w:type="spellStart"/>
            <w:r>
              <w:t>MinION</w:t>
            </w:r>
            <w:proofErr w:type="spellEnd"/>
            <w:r>
              <w:t>: 3 days</w:t>
            </w:r>
          </w:p>
        </w:tc>
        <w:tc>
          <w:tcPr>
            <w:tcW w:w="1701" w:type="pct"/>
          </w:tcPr>
          <w:p w14:paraId="5524FDFF" w14:textId="77777777" w:rsidR="009F0065" w:rsidRDefault="009F0065" w:rsidP="006F4EBA">
            <w:pPr>
              <w:pStyle w:val="Tabletext"/>
            </w:pPr>
            <w:r>
              <w:t>First-line: 13 days</w:t>
            </w:r>
          </w:p>
          <w:p w14:paraId="07310F49" w14:textId="77777777" w:rsidR="009F0065" w:rsidRDefault="009F0065" w:rsidP="006F4EBA">
            <w:pPr>
              <w:pStyle w:val="Tabletext"/>
            </w:pPr>
            <w:r>
              <w:t>Second-line: 21 days</w:t>
            </w:r>
          </w:p>
        </w:tc>
      </w:tr>
      <w:tr w:rsidR="009F0065" w14:paraId="00B4CA88" w14:textId="77777777" w:rsidTr="006F4EBA">
        <w:tc>
          <w:tcPr>
            <w:tcW w:w="1098" w:type="pct"/>
          </w:tcPr>
          <w:p w14:paraId="0187DDDA" w14:textId="77777777" w:rsidR="009F0065" w:rsidRDefault="009F0065" w:rsidP="006F4EBA">
            <w:pPr>
              <w:pStyle w:val="Tabletext"/>
            </w:pPr>
            <w:r>
              <w:t>van Beek et al. (2010)</w:t>
            </w:r>
          </w:p>
        </w:tc>
        <w:tc>
          <w:tcPr>
            <w:tcW w:w="516" w:type="pct"/>
          </w:tcPr>
          <w:p w14:paraId="545695FD" w14:textId="77777777" w:rsidR="009F0065" w:rsidRDefault="009F0065" w:rsidP="006F4EBA">
            <w:pPr>
              <w:pStyle w:val="Tabletext"/>
            </w:pPr>
            <w:r>
              <w:t>Finland</w:t>
            </w:r>
          </w:p>
        </w:tc>
        <w:tc>
          <w:tcPr>
            <w:tcW w:w="272" w:type="pct"/>
          </w:tcPr>
          <w:p w14:paraId="18C4F00E" w14:textId="77777777" w:rsidR="009F0065" w:rsidRDefault="009F0065" w:rsidP="006F4EBA">
            <w:pPr>
              <w:pStyle w:val="Tabletext"/>
            </w:pPr>
            <w:r>
              <w:t>211</w:t>
            </w:r>
          </w:p>
        </w:tc>
        <w:tc>
          <w:tcPr>
            <w:tcW w:w="1413" w:type="pct"/>
          </w:tcPr>
          <w:p w14:paraId="5639F96A" w14:textId="77777777" w:rsidR="009F0065" w:rsidRDefault="009F0065" w:rsidP="006F4EBA">
            <w:pPr>
              <w:pStyle w:val="Tabletext"/>
            </w:pPr>
            <w:r>
              <w:t>5 days (range 3 to7)</w:t>
            </w:r>
          </w:p>
        </w:tc>
        <w:tc>
          <w:tcPr>
            <w:tcW w:w="1701" w:type="pct"/>
          </w:tcPr>
          <w:p w14:paraId="0922376B" w14:textId="77777777" w:rsidR="009F0065" w:rsidRDefault="009F0065" w:rsidP="006F4EBA">
            <w:pPr>
              <w:pStyle w:val="Tabletext"/>
            </w:pPr>
            <w:r>
              <w:t>19 days (range 10 to 50)</w:t>
            </w:r>
          </w:p>
        </w:tc>
      </w:tr>
      <w:tr w:rsidR="009F0065" w14:paraId="0EB07EA5" w14:textId="77777777" w:rsidTr="006F4EBA">
        <w:tc>
          <w:tcPr>
            <w:tcW w:w="1098" w:type="pct"/>
          </w:tcPr>
          <w:p w14:paraId="32CA81E6" w14:textId="77777777" w:rsidR="009F0065" w:rsidRDefault="009F0065" w:rsidP="006F4EBA">
            <w:pPr>
              <w:pStyle w:val="In-tableHeading"/>
            </w:pPr>
            <w:r>
              <w:t>Study</w:t>
            </w:r>
          </w:p>
        </w:tc>
        <w:tc>
          <w:tcPr>
            <w:tcW w:w="516" w:type="pct"/>
          </w:tcPr>
          <w:p w14:paraId="1DE61AC4" w14:textId="77777777" w:rsidR="009F0065" w:rsidRDefault="009F0065" w:rsidP="006F4EBA">
            <w:pPr>
              <w:pStyle w:val="In-tableHeading"/>
            </w:pPr>
            <w:r>
              <w:t>Country</w:t>
            </w:r>
          </w:p>
        </w:tc>
        <w:tc>
          <w:tcPr>
            <w:tcW w:w="272" w:type="pct"/>
          </w:tcPr>
          <w:p w14:paraId="1F9D97C0" w14:textId="77777777" w:rsidR="009F0065" w:rsidRDefault="009F0065" w:rsidP="006F4EBA">
            <w:pPr>
              <w:pStyle w:val="In-tableHeading"/>
            </w:pPr>
          </w:p>
        </w:tc>
        <w:tc>
          <w:tcPr>
            <w:tcW w:w="1413" w:type="pct"/>
          </w:tcPr>
          <w:p w14:paraId="7BD367F7" w14:textId="77777777" w:rsidR="009F0065" w:rsidRDefault="009F0065" w:rsidP="006F4EBA">
            <w:pPr>
              <w:pStyle w:val="In-tableHeading"/>
            </w:pPr>
            <w:r>
              <w:t>Median WGS turnaround time</w:t>
            </w:r>
          </w:p>
        </w:tc>
        <w:tc>
          <w:tcPr>
            <w:tcW w:w="1701" w:type="pct"/>
          </w:tcPr>
          <w:p w14:paraId="784874A9" w14:textId="77777777" w:rsidR="009F0065" w:rsidRDefault="009F0065" w:rsidP="006F4EBA">
            <w:pPr>
              <w:pStyle w:val="In-tableHeading"/>
            </w:pPr>
            <w:r>
              <w:t xml:space="preserve">Median </w:t>
            </w:r>
            <w:proofErr w:type="spellStart"/>
            <w:r>
              <w:t>pDST</w:t>
            </w:r>
            <w:proofErr w:type="spellEnd"/>
            <w:r>
              <w:t xml:space="preserve"> turnaround time </w:t>
            </w:r>
          </w:p>
        </w:tc>
      </w:tr>
      <w:tr w:rsidR="009F0065" w14:paraId="04BCD79E" w14:textId="77777777" w:rsidTr="006F4EBA">
        <w:tc>
          <w:tcPr>
            <w:tcW w:w="1098" w:type="pct"/>
          </w:tcPr>
          <w:p w14:paraId="23F72E2D" w14:textId="77777777" w:rsidR="009F0065" w:rsidRDefault="009F0065" w:rsidP="006F4EBA">
            <w:pPr>
              <w:pStyle w:val="Tabletext"/>
            </w:pPr>
            <w:r>
              <w:t>Martinez et al. (2016)</w:t>
            </w:r>
          </w:p>
        </w:tc>
        <w:tc>
          <w:tcPr>
            <w:tcW w:w="516" w:type="pct"/>
          </w:tcPr>
          <w:p w14:paraId="5CB32A98" w14:textId="77777777" w:rsidR="009F0065" w:rsidRDefault="009F0065" w:rsidP="006F4EBA">
            <w:pPr>
              <w:pStyle w:val="Tabletext"/>
            </w:pPr>
            <w:r>
              <w:t>Australia</w:t>
            </w:r>
          </w:p>
        </w:tc>
        <w:tc>
          <w:tcPr>
            <w:tcW w:w="272" w:type="pct"/>
          </w:tcPr>
          <w:p w14:paraId="6075F68A" w14:textId="77777777" w:rsidR="009F0065" w:rsidRDefault="009F0065" w:rsidP="006F4EBA">
            <w:pPr>
              <w:pStyle w:val="Tabletext"/>
            </w:pPr>
            <w:r>
              <w:t>32</w:t>
            </w:r>
          </w:p>
        </w:tc>
        <w:tc>
          <w:tcPr>
            <w:tcW w:w="1413" w:type="pct"/>
          </w:tcPr>
          <w:p w14:paraId="287FE680" w14:textId="77777777" w:rsidR="009F0065" w:rsidRDefault="009F0065" w:rsidP="006F4EBA">
            <w:pPr>
              <w:pStyle w:val="Tabletext"/>
            </w:pPr>
            <w:r>
              <w:t>11 days</w:t>
            </w:r>
          </w:p>
        </w:tc>
        <w:tc>
          <w:tcPr>
            <w:tcW w:w="1701" w:type="pct"/>
          </w:tcPr>
          <w:p w14:paraId="4DBA7239" w14:textId="77777777" w:rsidR="009F0065" w:rsidRDefault="009F0065" w:rsidP="006F4EBA">
            <w:pPr>
              <w:pStyle w:val="Tabletext"/>
            </w:pPr>
            <w:r>
              <w:t>16 days</w:t>
            </w:r>
          </w:p>
        </w:tc>
      </w:tr>
      <w:tr w:rsidR="009F0065" w14:paraId="159FC69C" w14:textId="77777777" w:rsidTr="006F4EBA">
        <w:tc>
          <w:tcPr>
            <w:tcW w:w="1098" w:type="pct"/>
          </w:tcPr>
          <w:p w14:paraId="5BA872E2" w14:textId="77777777" w:rsidR="009F0065" w:rsidRDefault="009F0065" w:rsidP="006F4EBA">
            <w:pPr>
              <w:pStyle w:val="Tabletext"/>
            </w:pPr>
            <w:r>
              <w:t>Olaru et al. (2018)</w:t>
            </w:r>
          </w:p>
        </w:tc>
        <w:tc>
          <w:tcPr>
            <w:tcW w:w="516" w:type="pct"/>
          </w:tcPr>
          <w:p w14:paraId="684C2190" w14:textId="77777777" w:rsidR="009F0065" w:rsidRDefault="009F0065" w:rsidP="006F4EBA">
            <w:pPr>
              <w:pStyle w:val="Tabletext"/>
            </w:pPr>
            <w:r>
              <w:t>UK</w:t>
            </w:r>
          </w:p>
        </w:tc>
        <w:tc>
          <w:tcPr>
            <w:tcW w:w="272" w:type="pct"/>
          </w:tcPr>
          <w:p w14:paraId="4BB08CDE" w14:textId="77777777" w:rsidR="009F0065" w:rsidRDefault="009F0065" w:rsidP="006F4EBA">
            <w:pPr>
              <w:pStyle w:val="Tabletext"/>
            </w:pPr>
            <w:r>
              <w:t>92</w:t>
            </w:r>
          </w:p>
        </w:tc>
        <w:tc>
          <w:tcPr>
            <w:tcW w:w="1413" w:type="pct"/>
          </w:tcPr>
          <w:p w14:paraId="4F190EA4" w14:textId="77777777" w:rsidR="009F0065" w:rsidRDefault="009F0065" w:rsidP="006F4EBA">
            <w:pPr>
              <w:pStyle w:val="Tabletext"/>
            </w:pPr>
            <w:r>
              <w:t>8 days</w:t>
            </w:r>
          </w:p>
        </w:tc>
        <w:tc>
          <w:tcPr>
            <w:tcW w:w="1701" w:type="pct"/>
          </w:tcPr>
          <w:p w14:paraId="0F539C4C" w14:textId="77777777" w:rsidR="009F0065" w:rsidRDefault="009F0065" w:rsidP="006F4EBA">
            <w:pPr>
              <w:pStyle w:val="Tabletext"/>
            </w:pPr>
            <w:r>
              <w:t>22 days</w:t>
            </w:r>
          </w:p>
        </w:tc>
      </w:tr>
      <w:tr w:rsidR="009F0065" w14:paraId="0072B203" w14:textId="77777777" w:rsidTr="006F4EBA">
        <w:tc>
          <w:tcPr>
            <w:tcW w:w="1098" w:type="pct"/>
          </w:tcPr>
          <w:p w14:paraId="2D930E96" w14:textId="77777777" w:rsidR="009F0065" w:rsidRDefault="009F0065" w:rsidP="006F4EBA">
            <w:pPr>
              <w:pStyle w:val="Tabletext"/>
            </w:pPr>
            <w:r>
              <w:t>Pankhurst et al. (2016)</w:t>
            </w:r>
          </w:p>
        </w:tc>
        <w:tc>
          <w:tcPr>
            <w:tcW w:w="516" w:type="pct"/>
          </w:tcPr>
          <w:p w14:paraId="7DA36801" w14:textId="77777777" w:rsidR="009F0065" w:rsidRDefault="009F0065" w:rsidP="006F4EBA">
            <w:pPr>
              <w:pStyle w:val="Tabletext"/>
            </w:pPr>
            <w:r>
              <w:t>Multiple</w:t>
            </w:r>
          </w:p>
        </w:tc>
        <w:tc>
          <w:tcPr>
            <w:tcW w:w="272" w:type="pct"/>
          </w:tcPr>
          <w:p w14:paraId="00D9F490" w14:textId="77777777" w:rsidR="009F0065" w:rsidRDefault="009F0065" w:rsidP="006F4EBA">
            <w:pPr>
              <w:pStyle w:val="Tabletext"/>
            </w:pPr>
            <w:r>
              <w:t>356</w:t>
            </w:r>
          </w:p>
        </w:tc>
        <w:tc>
          <w:tcPr>
            <w:tcW w:w="1413" w:type="pct"/>
          </w:tcPr>
          <w:p w14:paraId="4487F814" w14:textId="77777777" w:rsidR="009F0065" w:rsidRDefault="009F0065" w:rsidP="006F4EBA">
            <w:pPr>
              <w:pStyle w:val="Tabletext"/>
            </w:pPr>
            <w:r>
              <w:t>31 days (IQR 21, 60)</w:t>
            </w:r>
          </w:p>
        </w:tc>
        <w:tc>
          <w:tcPr>
            <w:tcW w:w="1701" w:type="pct"/>
          </w:tcPr>
          <w:p w14:paraId="2F44E0D9" w14:textId="77777777" w:rsidR="009F0065" w:rsidRDefault="009F0065" w:rsidP="006F4EBA">
            <w:pPr>
              <w:pStyle w:val="Tabletext"/>
            </w:pPr>
            <w:r>
              <w:t>25 days (IQR 14, 32)</w:t>
            </w:r>
          </w:p>
        </w:tc>
      </w:tr>
      <w:tr w:rsidR="009F0065" w14:paraId="49387BF6" w14:textId="77777777" w:rsidTr="006F4EBA">
        <w:tc>
          <w:tcPr>
            <w:tcW w:w="1098" w:type="pct"/>
          </w:tcPr>
          <w:p w14:paraId="4B23D403" w14:textId="77777777" w:rsidR="009F0065" w:rsidRDefault="009F0065" w:rsidP="006F4EBA">
            <w:pPr>
              <w:pStyle w:val="Tabletext"/>
            </w:pPr>
            <w:r>
              <w:t>Quan et al. (2018)</w:t>
            </w:r>
          </w:p>
        </w:tc>
        <w:tc>
          <w:tcPr>
            <w:tcW w:w="516" w:type="pct"/>
          </w:tcPr>
          <w:p w14:paraId="38895667" w14:textId="77777777" w:rsidR="009F0065" w:rsidRDefault="009F0065" w:rsidP="006F4EBA">
            <w:pPr>
              <w:pStyle w:val="Tabletext"/>
            </w:pPr>
            <w:r>
              <w:t>UK</w:t>
            </w:r>
          </w:p>
        </w:tc>
        <w:tc>
          <w:tcPr>
            <w:tcW w:w="272" w:type="pct"/>
          </w:tcPr>
          <w:p w14:paraId="07C46E29" w14:textId="77777777" w:rsidR="009F0065" w:rsidRDefault="009F0065" w:rsidP="006F4EBA">
            <w:pPr>
              <w:pStyle w:val="Tabletext"/>
            </w:pPr>
            <w:r>
              <w:t>722</w:t>
            </w:r>
          </w:p>
        </w:tc>
        <w:tc>
          <w:tcPr>
            <w:tcW w:w="1413" w:type="pct"/>
          </w:tcPr>
          <w:p w14:paraId="15C2CBFA" w14:textId="77777777" w:rsidR="009F0065" w:rsidRDefault="009F0065" w:rsidP="006F4EBA">
            <w:pPr>
              <w:pStyle w:val="Tabletext"/>
            </w:pPr>
            <w:r>
              <w:t>20 days (IQR 15, 31)</w:t>
            </w:r>
          </w:p>
        </w:tc>
        <w:tc>
          <w:tcPr>
            <w:tcW w:w="1701" w:type="pct"/>
          </w:tcPr>
          <w:p w14:paraId="6D17E852" w14:textId="77777777" w:rsidR="009F0065" w:rsidRDefault="009F0065" w:rsidP="006F4EBA">
            <w:pPr>
              <w:pStyle w:val="Tabletext"/>
            </w:pPr>
            <w:r>
              <w:t>21 days (IQR 15, 29)</w:t>
            </w:r>
          </w:p>
        </w:tc>
      </w:tr>
    </w:tbl>
    <w:p w14:paraId="16F8750B" w14:textId="77777777" w:rsidR="009F0065" w:rsidRDefault="009F0065" w:rsidP="009F0065">
      <w:pPr>
        <w:pStyle w:val="Tablenotes"/>
      </w:pPr>
      <w:r>
        <w:t xml:space="preserve">HK = Hong Kong; IQR = inter-quartile range; </w:t>
      </w:r>
      <w:proofErr w:type="spellStart"/>
      <w:r>
        <w:t>pDST</w:t>
      </w:r>
      <w:proofErr w:type="spellEnd"/>
      <w:r>
        <w:t xml:space="preserve"> = phenotypic drug susceptibility testing; UK = United Kingdom; US = United States of America; WGS = whole genome sequencing</w:t>
      </w:r>
    </w:p>
    <w:p w14:paraId="5752D3D6" w14:textId="37191930"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lastRenderedPageBreak/>
        <w:t>Although the change in management resulting from WGS for patients whose isolates are pan-susceptible is expected to be minimal</w:t>
      </w:r>
      <w:r w:rsidRPr="008C01F4">
        <w:rPr>
          <w:rFonts w:ascii="Franklin Gothic Book" w:eastAsia="Calibri" w:hAnsi="Franklin Gothic Book"/>
          <w:sz w:val="22"/>
          <w:szCs w:val="22"/>
          <w:vertAlign w:val="superscript"/>
          <w:lang w:eastAsia="en-US"/>
        </w:rPr>
        <w:footnoteReference w:id="10"/>
      </w:r>
      <w:r w:rsidRPr="00E72E00">
        <w:rPr>
          <w:rFonts w:ascii="Franklin Gothic Book" w:eastAsia="Calibri" w:hAnsi="Franklin Gothic Book"/>
          <w:sz w:val="22"/>
          <w:szCs w:val="22"/>
          <w:lang w:eastAsia="en-US"/>
        </w:rPr>
        <w:t xml:space="preserve">, the more drugs a patient’s isolate is resistant to, the larger the benefit is likely to be from using WGS. </w:t>
      </w:r>
    </w:p>
    <w:p w14:paraId="1F95AAC9" w14:textId="2E6D0CB1"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The only evidence documenting how WGS likely altered management (compared to what patients would have received in the absence of WGS) was one or two small case series of suspected XDR-TB patients from London </w:t>
      </w:r>
      <w:r w:rsidRPr="00E72E00">
        <w:rPr>
          <w:rFonts w:ascii="Franklin Gothic Book" w:eastAsia="Calibri" w:hAnsi="Franklin Gothic Book"/>
          <w:sz w:val="22"/>
          <w:szCs w:val="22"/>
          <w:lang w:eastAsia="en-US"/>
        </w:rPr>
        <w:fldChar w:fldCharType="begin">
          <w:fldData xml:space="preserve">PEVuZE5vdGU+PENpdGU+PEF1dGhvcj5Bcm5vbGQ8L0F1dGhvcj48WWVhcj4yMDE2PC9ZZWFyPjxS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</w:fldData>
        </w:fldChar>
      </w:r>
      <w:r w:rsidRPr="00E72E00">
        <w:rPr>
          <w:rFonts w:ascii="Franklin Gothic Book" w:eastAsia="Calibri" w:hAnsi="Franklin Gothic Book"/>
          <w:sz w:val="22"/>
          <w:szCs w:val="22"/>
          <w:lang w:eastAsia="en-US"/>
        </w:rPr>
        <w:instrText xml:space="preserve"> ADDIN EN.CITE </w:instrText>
      </w:r>
      <w:r w:rsidRPr="00E72E00">
        <w:rPr>
          <w:rFonts w:ascii="Franklin Gothic Book" w:eastAsia="Calibri" w:hAnsi="Franklin Gothic Book"/>
          <w:sz w:val="22"/>
          <w:szCs w:val="22"/>
          <w:lang w:eastAsia="en-US"/>
        </w:rPr>
        <w:fldChar w:fldCharType="begin">
          <w:fldData xml:space="preserve">PEVuZE5vdGU+PENpdGU+PEF1dGhvcj5Bcm5vbGQ8L0F1dGhvcj48WWVhcj4yMDE2PC9ZZWFyPjxS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</w:fldData>
        </w:fldChar>
      </w:r>
      <w:r w:rsidRPr="00E72E00">
        <w:rPr>
          <w:rFonts w:ascii="Franklin Gothic Book" w:eastAsia="Calibri" w:hAnsi="Franklin Gothic Book"/>
          <w:sz w:val="22"/>
          <w:szCs w:val="22"/>
          <w:lang w:eastAsia="en-US"/>
        </w:rPr>
        <w:instrText xml:space="preserve"> ADDIN EN.CITE.DATA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Pr="00E72E00">
        <w:rPr>
          <w:rFonts w:ascii="Franklin Gothic Book" w:eastAsia="Calibri" w:hAnsi="Franklin Gothic Book"/>
          <w:sz w:val="22"/>
          <w:szCs w:val="22"/>
          <w:lang w:eastAsia="en-US"/>
        </w:rPr>
        <w:t>(Arnold et al. 2016; Witney, A, Gould &amp; al 2015)</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In this highly</w:t>
      </w:r>
      <w:r w:rsidR="008D1C4A">
        <w:rPr>
          <w:rFonts w:ascii="Franklin Gothic Book" w:eastAsia="Calibri" w:hAnsi="Franklin Gothic Book"/>
          <w:sz w:val="22"/>
          <w:szCs w:val="22"/>
          <w:lang w:eastAsia="en-US"/>
        </w:rPr>
        <w:t xml:space="preserve"> </w:t>
      </w:r>
      <w:r w:rsidRPr="00E72E00">
        <w:rPr>
          <w:rFonts w:ascii="Franklin Gothic Book" w:eastAsia="Calibri" w:hAnsi="Franklin Gothic Book"/>
          <w:sz w:val="22"/>
          <w:szCs w:val="22"/>
          <w:lang w:eastAsia="en-US"/>
        </w:rPr>
        <w:t xml:space="preserve">selected group, WGS resulted in 2/6 patients being treated with a different regimen than they would have received based on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alone. A further 2/6 patients (33%) were treated for MDR-TB rather than XDR-TB, earlier than they would have been if they had waited for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results. Cases of suspected XDR-TB are rare in Australia (&lt;1</w:t>
      </w:r>
      <w:r w:rsidR="0057686A">
        <w:rPr>
          <w:rFonts w:ascii="Franklin Gothic Book" w:eastAsia="Calibri" w:hAnsi="Franklin Gothic Book"/>
          <w:sz w:val="22"/>
          <w:szCs w:val="22"/>
          <w:lang w:eastAsia="en-US"/>
        </w:rPr>
        <w:t>%</w:t>
      </w:r>
      <w:r w:rsidRPr="00E72E00">
        <w:rPr>
          <w:rFonts w:ascii="Franklin Gothic Book" w:eastAsia="Calibri" w:hAnsi="Franklin Gothic Book"/>
          <w:sz w:val="22"/>
          <w:szCs w:val="22"/>
          <w:lang w:eastAsia="en-US"/>
        </w:rPr>
        <w:t xml:space="preserve"> of TB cases). The applicability of this evidence is therefore very low. </w:t>
      </w:r>
    </w:p>
    <w:p w14:paraId="4BC5A607" w14:textId="1A07F877"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A further two articles reported on what treatments would be recommended, based on a standardised treatment algorithm in patients with rifampicin-resistant TB (RR-TB), MDR-TB or XDR-TB </w:t>
      </w:r>
      <w:r w:rsidRPr="00E72E00">
        <w:rPr>
          <w:rFonts w:ascii="Franklin Gothic Book" w:eastAsia="Calibri" w:hAnsi="Franklin Gothic Book"/>
          <w:sz w:val="22"/>
          <w:szCs w:val="22"/>
          <w:lang w:eastAsia="en-US"/>
        </w:rPr>
        <w:fldChar w:fldCharType="begin">
          <w:fldData xml:space="preserve">PEVuZE5vdGU+PENpdGU+PEF1dGhvcj5Hcm9iYmVsPC9BdXRob3I+PFllYXI+MjAyMTwvWWVhcj48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==
</w:fldData>
        </w:fldChar>
      </w:r>
      <w:r w:rsidRPr="00E72E00">
        <w:rPr>
          <w:rFonts w:ascii="Franklin Gothic Book" w:eastAsia="Calibri" w:hAnsi="Franklin Gothic Book"/>
          <w:sz w:val="22"/>
          <w:szCs w:val="22"/>
          <w:lang w:eastAsia="en-US"/>
        </w:rPr>
        <w:instrText xml:space="preserve"> ADDIN EN.CITE </w:instrText>
      </w:r>
      <w:r w:rsidRPr="00E72E00">
        <w:rPr>
          <w:rFonts w:ascii="Franklin Gothic Book" w:eastAsia="Calibri" w:hAnsi="Franklin Gothic Book"/>
          <w:sz w:val="22"/>
          <w:szCs w:val="22"/>
          <w:lang w:eastAsia="en-US"/>
        </w:rPr>
        <w:fldChar w:fldCharType="begin">
          <w:fldData xml:space="preserve">PEVuZE5vdGU+PENpdGU+PEF1dGhvcj5Hcm9iYmVsPC9BdXRob3I+PFllYXI+MjAyMTwvWWVhcj48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==
</w:fldData>
        </w:fldChar>
      </w:r>
      <w:r w:rsidRPr="00E72E00">
        <w:rPr>
          <w:rFonts w:ascii="Franklin Gothic Book" w:eastAsia="Calibri" w:hAnsi="Franklin Gothic Book"/>
          <w:sz w:val="22"/>
          <w:szCs w:val="22"/>
          <w:lang w:eastAsia="en-US"/>
        </w:rPr>
        <w:instrText xml:space="preserve"> ADDIN EN.CITE.DATA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Pr="00E72E00">
        <w:rPr>
          <w:rFonts w:ascii="Franklin Gothic Book" w:eastAsia="Calibri" w:hAnsi="Franklin Gothic Book"/>
          <w:sz w:val="22"/>
          <w:szCs w:val="22"/>
          <w:lang w:eastAsia="en-US"/>
        </w:rPr>
        <w:t>(Grobbel et al. 2021; Heyckendorf et al. 2018)</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xml:space="preserve">. The two articles were from the same reference laboratory in Germany, and it is unknown to what extent the samples overlap. Only </w:t>
      </w:r>
      <w:proofErr w:type="spellStart"/>
      <w:r w:rsidRPr="00E72E00">
        <w:rPr>
          <w:rFonts w:ascii="Franklin Gothic Book" w:eastAsia="Calibri" w:hAnsi="Franklin Gothic Book"/>
          <w:sz w:val="22"/>
          <w:szCs w:val="22"/>
          <w:lang w:eastAsia="en-US"/>
        </w:rPr>
        <w:t>Grobbel</w:t>
      </w:r>
      <w:proofErr w:type="spellEnd"/>
      <w:r w:rsidRPr="00E72E00">
        <w:rPr>
          <w:rFonts w:ascii="Franklin Gothic Book" w:eastAsia="Calibri" w:hAnsi="Franklin Gothic Book"/>
          <w:sz w:val="22"/>
          <w:szCs w:val="22"/>
          <w:lang w:eastAsia="en-US"/>
        </w:rPr>
        <w:t xml:space="preserve"> et al. (2021) provided per-patient data, and they reported that use of WGS would result in an identical regimen to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in only 54 per cent of cases. They also reported that 4 per cent of patients would receive a drug they had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-classified resistance to, based solely on WGS. It can therefore be inferred that if information from both WGS and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were combined, that this would result in 42 per cent of patients with RR-TB or MDR-TB receiving a different treatment from the addition of WGS than they would with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results alone. Bright et al. report that &lt;1 per cent of cases of TB in Australia have mono-resistance to rifampicin, and 2 per cent have MDR-TB. The proportion of patients in whom WGS is expected to alter the treatment regimen (rather than the timing of any alterations) is therefore very small. </w:t>
      </w:r>
    </w:p>
    <w:p w14:paraId="787F3F8B" w14:textId="4BCB3739" w:rsidR="009F0065" w:rsidRDefault="009F0065" w:rsidP="00644745">
      <w:pPr>
        <w:pStyle w:val="Caption"/>
        <w:spacing w:before="240"/>
      </w:pPr>
      <w:r>
        <w:t xml:space="preserve">Table </w:t>
      </w:r>
      <w:fldSimple w:instr=" SEQ Table \* ARABIC ">
        <w:r w:rsidR="004C2B2A">
          <w:rPr>
            <w:noProof/>
          </w:rPr>
          <w:t>9</w:t>
        </w:r>
      </w:fldSimple>
      <w:r>
        <w:t xml:space="preserve"> Comparison of treatment regimens recommended based on WGS compared to </w:t>
      </w:r>
      <w:proofErr w:type="spellStart"/>
      <w:r>
        <w:t>pDST</w:t>
      </w:r>
      <w:proofErr w:type="spellEnd"/>
    </w:p>
    <w:tbl>
      <w:tblPr>
        <w:tblStyle w:val="TableGrid"/>
        <w:tblW w:w="5000" w:type="pct"/>
        <w:tblLook w:val="04A0" w:firstRow="1" w:lastRow="0" w:firstColumn="1" w:lastColumn="0" w:noHBand="0" w:noVBand="1"/>
        <w:tblCaption w:val="Comparison of treatment regimens recommended based on WGS compared to pDST"/>
        <w:tblDescription w:val="Table showing concordance of treatments based on WGS and pDST"/>
      </w:tblPr>
      <w:tblGrid>
        <w:gridCol w:w="1407"/>
        <w:gridCol w:w="1426"/>
        <w:gridCol w:w="6183"/>
      </w:tblGrid>
      <w:tr w:rsidR="009F0065" w14:paraId="65654493" w14:textId="77777777" w:rsidTr="006F4EBA">
        <w:trPr>
          <w:tblHeader/>
        </w:trPr>
        <w:tc>
          <w:tcPr>
            <w:tcW w:w="780" w:type="pct"/>
          </w:tcPr>
          <w:p w14:paraId="44B5B201" w14:textId="77777777" w:rsidR="009F0065" w:rsidRDefault="009F0065" w:rsidP="006F4EBA">
            <w:pPr>
              <w:pStyle w:val="In-tableHeading"/>
            </w:pPr>
            <w:r>
              <w:t xml:space="preserve">Study </w:t>
            </w:r>
          </w:p>
        </w:tc>
        <w:tc>
          <w:tcPr>
            <w:tcW w:w="791" w:type="pct"/>
          </w:tcPr>
          <w:p w14:paraId="097AA99B" w14:textId="77777777" w:rsidR="009F0065" w:rsidRDefault="009F0065" w:rsidP="006F4EBA">
            <w:pPr>
              <w:pStyle w:val="In-tableHeading"/>
            </w:pPr>
            <w:r>
              <w:t>Population</w:t>
            </w:r>
          </w:p>
        </w:tc>
        <w:tc>
          <w:tcPr>
            <w:tcW w:w="3429" w:type="pct"/>
          </w:tcPr>
          <w:p w14:paraId="41C95F99" w14:textId="77777777" w:rsidR="009F0065" w:rsidRDefault="009F0065" w:rsidP="006F4EBA">
            <w:pPr>
              <w:pStyle w:val="In-tableHeading"/>
            </w:pPr>
            <w:r>
              <w:t xml:space="preserve">Concordance with regimen recommended based on </w:t>
            </w:r>
            <w:proofErr w:type="spellStart"/>
            <w:r>
              <w:t>pDST</w:t>
            </w:r>
            <w:proofErr w:type="spellEnd"/>
            <w:r>
              <w:t xml:space="preserve"> </w:t>
            </w:r>
          </w:p>
        </w:tc>
      </w:tr>
      <w:tr w:rsidR="009F0065" w14:paraId="1C44D0F3" w14:textId="77777777" w:rsidTr="006F4EBA">
        <w:tc>
          <w:tcPr>
            <w:tcW w:w="780" w:type="pct"/>
            <w:tcBorders>
              <w:top w:val="nil"/>
              <w:bottom w:val="single" w:sz="4" w:space="0" w:color="auto"/>
            </w:tcBorders>
          </w:tcPr>
          <w:p w14:paraId="7904ACFE" w14:textId="77777777" w:rsidR="009F0065" w:rsidRDefault="009F0065" w:rsidP="006F4EBA">
            <w:pPr>
              <w:pStyle w:val="Tabletext"/>
            </w:pPr>
            <w:r>
              <w:fldChar w:fldCharType="begin">
                <w:fldData xml:space="preserve">PEVuZE5vdGU+PENpdGU+PEF1dGhvcj5IZXlja2VuZG9yZjwvQXV0aG9yPjxZZWFyPjIwMTg8L1ll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</w:fldData>
              </w:fldChar>
            </w:r>
            <w:r>
              <w:instrText xml:space="preserve"> ADDIN EN.CITE </w:instrText>
            </w:r>
            <w:r>
              <w:fldChar w:fldCharType="begin">
                <w:fldData xml:space="preserve">PEVuZE5vdGU+PENpdGU+PEF1dGhvcj5IZXlja2VuZG9yZjwvQXV0aG9yPjxZZWFyPjIwMTg8L1ll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</w:fldData>
              </w:fldChar>
            </w:r>
            <w:r>
              <w:instrText xml:space="preserve"> ADDIN EN.CITE.DATA </w:instrText>
            </w:r>
            <w:r>
              <w:fldChar w:fldCharType="end"/>
            </w:r>
            <w:r>
              <w:fldChar w:fldCharType="separate"/>
            </w:r>
            <w:r>
              <w:rPr>
                <w:noProof/>
              </w:rPr>
              <w:t>(Heyckendorf et al. 2018)</w:t>
            </w:r>
            <w:r>
              <w:fldChar w:fldCharType="end"/>
            </w:r>
          </w:p>
        </w:tc>
        <w:tc>
          <w:tcPr>
            <w:tcW w:w="791" w:type="pct"/>
            <w:tcBorders>
              <w:top w:val="nil"/>
              <w:bottom w:val="single" w:sz="4" w:space="0" w:color="auto"/>
            </w:tcBorders>
          </w:tcPr>
          <w:p w14:paraId="436D7433" w14:textId="77777777" w:rsidR="009F0065" w:rsidRDefault="009F0065" w:rsidP="006F4EBA">
            <w:pPr>
              <w:pStyle w:val="Tabletext"/>
            </w:pPr>
            <w:r>
              <w:t>25 patients with MDR-TB or XDR-TB</w:t>
            </w:r>
          </w:p>
        </w:tc>
        <w:tc>
          <w:tcPr>
            <w:tcW w:w="3429" w:type="pct"/>
          </w:tcPr>
          <w:p w14:paraId="590F9FF8" w14:textId="77777777" w:rsidR="009F0065" w:rsidRDefault="009F0065" w:rsidP="006F4EBA">
            <w:pPr>
              <w:pStyle w:val="Tabletext"/>
            </w:pPr>
            <w:r>
              <w:t xml:space="preserve">93% (95%CI 88, 98) agreement in individual drugs selected </w:t>
            </w:r>
          </w:p>
          <w:p w14:paraId="4778C5F5" w14:textId="77777777" w:rsidR="009F0065" w:rsidRDefault="009F0065" w:rsidP="006F4EBA">
            <w:pPr>
              <w:pStyle w:val="Tabletext"/>
            </w:pPr>
            <w:r>
              <w:t xml:space="preserve">No drugs recommended using WGS for which </w:t>
            </w:r>
            <w:proofErr w:type="spellStart"/>
            <w:r>
              <w:t>pDST</w:t>
            </w:r>
            <w:proofErr w:type="spellEnd"/>
            <w:r>
              <w:t xml:space="preserve"> showed resistance. </w:t>
            </w:r>
          </w:p>
          <w:p w14:paraId="7F4F322C" w14:textId="77777777" w:rsidR="009F0065" w:rsidRDefault="009F0065" w:rsidP="006F4EBA">
            <w:pPr>
              <w:pStyle w:val="Tabletext"/>
            </w:pPr>
            <w:r>
              <w:t xml:space="preserve">Differences occurred to due to WGS detecting more ethambutol resistance than </w:t>
            </w:r>
            <w:proofErr w:type="spellStart"/>
            <w:r>
              <w:t>pDST</w:t>
            </w:r>
            <w:proofErr w:type="spellEnd"/>
          </w:p>
        </w:tc>
      </w:tr>
      <w:tr w:rsidR="009F0065" w14:paraId="14822720" w14:textId="77777777" w:rsidTr="006F4EBA">
        <w:tc>
          <w:tcPr>
            <w:tcW w:w="780" w:type="pct"/>
            <w:tcBorders>
              <w:top w:val="single" w:sz="4" w:space="0" w:color="auto"/>
            </w:tcBorders>
          </w:tcPr>
          <w:p w14:paraId="1710C3A3" w14:textId="77777777" w:rsidR="009F0065" w:rsidRDefault="009F0065" w:rsidP="006F4EBA">
            <w:pPr>
              <w:pStyle w:val="Tabletext"/>
            </w:pPr>
            <w:r>
              <w:fldChar w:fldCharType="begin">
                <w:fldData xml:space="preserve">PEVuZE5vdGU+PENpdGU+PEF1dGhvcj5Hcm9iYmVsPC9BdXRob3I+PFllYXI+MjAyMTwvWWVhcj48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</w:fldData>
              </w:fldChar>
            </w:r>
            <w:r>
              <w:instrText xml:space="preserve"> ADDIN EN.CITE </w:instrText>
            </w:r>
            <w:r>
              <w:fldChar w:fldCharType="begin">
                <w:fldData xml:space="preserve">PEVuZE5vdGU+PENpdGU+PEF1dGhvcj5Hcm9iYmVsPC9BdXRob3I+PFllYXI+MjAyMTwvWWVhcj48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</w:fldData>
              </w:fldChar>
            </w:r>
            <w:r>
              <w:instrText xml:space="preserve"> ADDIN EN.CITE.DATA </w:instrText>
            </w:r>
            <w:r>
              <w:fldChar w:fldCharType="end"/>
            </w:r>
            <w:r>
              <w:fldChar w:fldCharType="separate"/>
            </w:r>
            <w:r>
              <w:rPr>
                <w:noProof/>
              </w:rPr>
              <w:t>(Grobbel et al. 2021)</w:t>
            </w:r>
            <w:r>
              <w:fldChar w:fldCharType="end"/>
            </w:r>
          </w:p>
        </w:tc>
        <w:tc>
          <w:tcPr>
            <w:tcW w:w="791" w:type="pct"/>
            <w:tcBorders>
              <w:top w:val="single" w:sz="4" w:space="0" w:color="auto"/>
            </w:tcBorders>
          </w:tcPr>
          <w:p w14:paraId="792DF105" w14:textId="77777777" w:rsidR="009F0065" w:rsidRDefault="009F0065" w:rsidP="006F4EBA">
            <w:pPr>
              <w:pStyle w:val="Tabletext"/>
            </w:pPr>
            <w:r>
              <w:t>70 patients with RR-TB or MDR-TB</w:t>
            </w:r>
          </w:p>
        </w:tc>
        <w:tc>
          <w:tcPr>
            <w:tcW w:w="3429" w:type="pct"/>
          </w:tcPr>
          <w:p w14:paraId="72843E7B" w14:textId="77777777" w:rsidR="009F0065" w:rsidRDefault="009F0065" w:rsidP="006F4EBA">
            <w:pPr>
              <w:pStyle w:val="Tabletext"/>
            </w:pPr>
            <w:r>
              <w:t xml:space="preserve">84.9% (248/292 </w:t>
            </w:r>
            <w:proofErr w:type="spellStart"/>
            <w:r>
              <w:t>gDST</w:t>
            </w:r>
            <w:proofErr w:type="spellEnd"/>
            <w:r>
              <w:t>-based treatment decisions) concordant with MGIT</w:t>
            </w:r>
          </w:p>
          <w:p w14:paraId="565DE3A7" w14:textId="77777777" w:rsidR="009F0065" w:rsidRDefault="009F0065" w:rsidP="006F4EBA">
            <w:pPr>
              <w:pStyle w:val="Tabletext"/>
            </w:pPr>
            <w:r>
              <w:t xml:space="preserve">54.3% (38/70) of patients would have received identical drug regimens with WGS and </w:t>
            </w:r>
            <w:proofErr w:type="spellStart"/>
            <w:r>
              <w:t>pDST</w:t>
            </w:r>
            <w:proofErr w:type="spellEnd"/>
            <w:r>
              <w:t xml:space="preserve">. </w:t>
            </w:r>
          </w:p>
          <w:p w14:paraId="6AF357F4" w14:textId="77777777" w:rsidR="009F0065" w:rsidRDefault="009F0065" w:rsidP="006F4EBA">
            <w:pPr>
              <w:pStyle w:val="Tabletext"/>
            </w:pPr>
            <w:r>
              <w:t xml:space="preserve">When variants of unknown significance were conservatively classified as resistance-conferring, only 3/929 cases (1% of drugs), and 3/70 (4.3%) of patients would have received a drug that they had </w:t>
            </w:r>
            <w:proofErr w:type="spellStart"/>
            <w:r>
              <w:t>pDST</w:t>
            </w:r>
            <w:proofErr w:type="spellEnd"/>
            <w:r>
              <w:t xml:space="preserve">-resistance to. </w:t>
            </w:r>
          </w:p>
        </w:tc>
      </w:tr>
    </w:tbl>
    <w:p w14:paraId="6023B749" w14:textId="77777777" w:rsidR="009F0065" w:rsidRDefault="009F0065" w:rsidP="009F0065">
      <w:pPr>
        <w:pStyle w:val="Tablenotes0"/>
      </w:pPr>
      <w:proofErr w:type="spellStart"/>
      <w:r>
        <w:t>gDST</w:t>
      </w:r>
      <w:proofErr w:type="spellEnd"/>
      <w:r>
        <w:t xml:space="preserve"> = genomic drug susceptibility testing (i.e. WGS); </w:t>
      </w:r>
      <w:r w:rsidRPr="00023CA8">
        <w:t xml:space="preserve">MDR = multidrug resistant; </w:t>
      </w:r>
      <w:r>
        <w:t xml:space="preserve">MGIT = mycobacteria growth indicator tube; </w:t>
      </w:r>
      <w:proofErr w:type="spellStart"/>
      <w:r>
        <w:t>pDST</w:t>
      </w:r>
      <w:proofErr w:type="spellEnd"/>
      <w:r>
        <w:t xml:space="preserve"> = phenotypic drug susceptibility testing; RR = rifampicin-resistant; TB = tuberculosis; WGS = whole genome sequencing; </w:t>
      </w:r>
      <w:r w:rsidRPr="00023CA8">
        <w:t>XDR</w:t>
      </w:r>
      <w:r>
        <w:t xml:space="preserve"> </w:t>
      </w:r>
      <w:r w:rsidRPr="00023CA8">
        <w:t>=</w:t>
      </w:r>
      <w:r>
        <w:t xml:space="preserve"> </w:t>
      </w:r>
      <w:r w:rsidRPr="00023CA8">
        <w:t>extensively multidrug resistant</w:t>
      </w:r>
    </w:p>
    <w:p w14:paraId="553B625B" w14:textId="77777777" w:rsidR="009F0065" w:rsidRDefault="009F0065" w:rsidP="00E72E00">
      <w:pPr>
        <w:pStyle w:val="Heading2"/>
      </w:pPr>
      <w:bookmarkStart w:id="22" w:name="_Toc90153898"/>
      <w:r>
        <w:t>Impact of change in management on health outcomes</w:t>
      </w:r>
      <w:bookmarkEnd w:id="22"/>
    </w:p>
    <w:p w14:paraId="62391A0B" w14:textId="328071A4" w:rsidR="009F0065" w:rsidRPr="00E72E00" w:rsidRDefault="009F0065" w:rsidP="009F0065">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Australian guidelines recommend for patients without rifampicin resistance identified by GeneXpert, that initial empiric treatment be with all four first-line antibiotics. Fully susceptible TB can be treated with isoniazid and rifampicin for nine months. The addition of pyrazinamide for the first two months shortens the course of treatment to six months. Ethambutol has the lowest effectiveness of the first-line antibiotics, and is only part of the initial treatment strategy on the chance that the infection has resistance to one of other first-line drugs. On confirmation of pan-</w:t>
      </w:r>
      <w:r w:rsidRPr="00E72E00">
        <w:rPr>
          <w:rFonts w:ascii="Franklin Gothic Book" w:eastAsia="Calibri" w:hAnsi="Franklin Gothic Book"/>
          <w:sz w:val="22"/>
          <w:szCs w:val="22"/>
          <w:lang w:eastAsia="en-US"/>
        </w:rPr>
        <w:lastRenderedPageBreak/>
        <w:t xml:space="preserve">susceptibility, ethambutol treatment can be ceased. WGS is likely to result in this adjustment to treatment regimen happening earlier, and the expectation is that this would result in non-inferior effectiveness. </w:t>
      </w:r>
    </w:p>
    <w:p w14:paraId="43A901CC" w14:textId="4B0D1BE0"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For patients with resistant infection, WGS is likely to 1) decrease the time to appropriate treatment; and 2) increase the number of drugs a person is treated with that are appropriate to their infection’s </w:t>
      </w:r>
      <w:proofErr w:type="spellStart"/>
      <w:r w:rsidRPr="00E72E00">
        <w:rPr>
          <w:rFonts w:ascii="Franklin Gothic Book" w:eastAsia="Calibri" w:hAnsi="Franklin Gothic Book"/>
          <w:sz w:val="22"/>
          <w:szCs w:val="22"/>
          <w:lang w:eastAsia="en-US"/>
        </w:rPr>
        <w:t>resistome</w:t>
      </w:r>
      <w:proofErr w:type="spellEnd"/>
      <w:r w:rsidRPr="00E72E00">
        <w:rPr>
          <w:rFonts w:ascii="Franklin Gothic Book" w:eastAsia="Calibri" w:hAnsi="Franklin Gothic Book"/>
          <w:sz w:val="22"/>
          <w:szCs w:val="22"/>
          <w:lang w:eastAsia="en-US"/>
        </w:rPr>
        <w:t xml:space="preserve">. </w:t>
      </w:r>
    </w:p>
    <w:p w14:paraId="45B6B4DE" w14:textId="05EE5AD4" w:rsidR="009F0065" w:rsidRPr="00E72E00" w:rsidRDefault="009F0065" w:rsidP="00644745">
      <w:pPr>
        <w:spacing w:before="240"/>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 xml:space="preserve">Only one study was identified that reported on how patient outcomes differ by time to appropriate treatment, though for GeneXpert MTB/RIF assay rather than WGS. The study by </w:t>
      </w:r>
      <w:proofErr w:type="spellStart"/>
      <w:r w:rsidRPr="00E72E00">
        <w:rPr>
          <w:rFonts w:ascii="Franklin Gothic Book" w:eastAsia="Calibri" w:hAnsi="Franklin Gothic Book"/>
          <w:sz w:val="22"/>
          <w:szCs w:val="22"/>
          <w:lang w:eastAsia="en-US"/>
        </w:rPr>
        <w:t>Ershova</w:t>
      </w:r>
      <w:proofErr w:type="spellEnd"/>
      <w:r w:rsidRPr="00E72E00">
        <w:rPr>
          <w:rFonts w:ascii="Franklin Gothic Book" w:eastAsia="Calibri" w:hAnsi="Franklin Gothic Book"/>
          <w:sz w:val="22"/>
          <w:szCs w:val="22"/>
          <w:lang w:eastAsia="en-US"/>
        </w:rPr>
        <w:t xml:space="preserve"> et al. (2020) prospectively followed up two cohorts of patients who were treated before and after the introduction of GeneXpert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_Ref89082476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10</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xml:space="preserve">). No significant difference in the proportion of patients who had a successful treatment outcome was reported (OR 0.60, 95%CI 0.23, 2.06), although the study was likely underpowered. </w:t>
      </w:r>
    </w:p>
    <w:p w14:paraId="0D45869D" w14:textId="5FD37E3D" w:rsidR="009F0065" w:rsidRDefault="009F0065" w:rsidP="00644745">
      <w:pPr>
        <w:pStyle w:val="Caption"/>
        <w:spacing w:before="240"/>
      </w:pPr>
      <w:bookmarkStart w:id="23" w:name="_Ref89082476"/>
      <w:r>
        <w:t xml:space="preserve">Table </w:t>
      </w:r>
      <w:fldSimple w:instr=" SEQ Table \* ARABIC ">
        <w:r w:rsidR="004C2B2A">
          <w:rPr>
            <w:noProof/>
          </w:rPr>
          <w:t>10</w:t>
        </w:r>
      </w:fldSimple>
      <w:bookmarkEnd w:id="23"/>
      <w:r>
        <w:tab/>
        <w:t>Association between time to appropriate treatment and health outcomes</w:t>
      </w:r>
    </w:p>
    <w:tbl>
      <w:tblPr>
        <w:tblStyle w:val="TableGrid"/>
        <w:tblW w:w="0" w:type="auto"/>
        <w:tblLook w:val="04A0" w:firstRow="1" w:lastRow="0" w:firstColumn="1" w:lastColumn="0" w:noHBand="0" w:noVBand="1"/>
        <w:tblCaption w:val="Association between time to appropriate treatment and health outcomes"/>
        <w:tblDescription w:val="Table showing that median time to appropriate treatment was shorter in the sample diagnosed after GeneXpert was introduced than before it was introduced. "/>
      </w:tblPr>
      <w:tblGrid>
        <w:gridCol w:w="1003"/>
        <w:gridCol w:w="1294"/>
        <w:gridCol w:w="1854"/>
        <w:gridCol w:w="1557"/>
        <w:gridCol w:w="1847"/>
        <w:gridCol w:w="1461"/>
      </w:tblGrid>
      <w:tr w:rsidR="009F0065" w14:paraId="47C69B6E" w14:textId="77777777" w:rsidTr="006F4EBA">
        <w:trPr>
          <w:tblHeader/>
        </w:trPr>
        <w:tc>
          <w:tcPr>
            <w:tcW w:w="1003" w:type="dxa"/>
          </w:tcPr>
          <w:p w14:paraId="3F49DFF8" w14:textId="77777777" w:rsidR="009F0065" w:rsidRDefault="009F0065" w:rsidP="006F4EBA">
            <w:pPr>
              <w:pStyle w:val="In-tableHeading"/>
            </w:pPr>
            <w:r>
              <w:t>Study</w:t>
            </w:r>
          </w:p>
        </w:tc>
        <w:tc>
          <w:tcPr>
            <w:tcW w:w="1294" w:type="dxa"/>
          </w:tcPr>
          <w:p w14:paraId="10220A02" w14:textId="77777777" w:rsidR="009F0065" w:rsidRDefault="009F0065" w:rsidP="006F4EBA">
            <w:pPr>
              <w:pStyle w:val="In-tableHeading"/>
            </w:pPr>
            <w:r>
              <w:t>Population</w:t>
            </w:r>
          </w:p>
        </w:tc>
        <w:tc>
          <w:tcPr>
            <w:tcW w:w="1854" w:type="dxa"/>
          </w:tcPr>
          <w:p w14:paraId="04E6AB33" w14:textId="77777777" w:rsidR="009F0065" w:rsidRDefault="009F0065" w:rsidP="006F4EBA">
            <w:pPr>
              <w:pStyle w:val="In-tableHeading"/>
            </w:pPr>
            <w:r>
              <w:t>Outcome measure</w:t>
            </w:r>
          </w:p>
        </w:tc>
        <w:tc>
          <w:tcPr>
            <w:tcW w:w="1557" w:type="dxa"/>
          </w:tcPr>
          <w:p w14:paraId="2042670C" w14:textId="77777777" w:rsidR="009F0065" w:rsidRDefault="009F0065" w:rsidP="006F4EBA">
            <w:pPr>
              <w:pStyle w:val="In-tableHeading"/>
            </w:pPr>
            <w:r>
              <w:t>pre-GeneXpert group</w:t>
            </w:r>
          </w:p>
        </w:tc>
        <w:tc>
          <w:tcPr>
            <w:tcW w:w="1847" w:type="dxa"/>
          </w:tcPr>
          <w:p w14:paraId="2E77EE95" w14:textId="77777777" w:rsidR="009F0065" w:rsidRDefault="009F0065" w:rsidP="006F4EBA">
            <w:pPr>
              <w:pStyle w:val="In-tableHeading"/>
            </w:pPr>
            <w:r>
              <w:t>post-GeneXpert group</w:t>
            </w:r>
          </w:p>
        </w:tc>
        <w:tc>
          <w:tcPr>
            <w:tcW w:w="1461" w:type="dxa"/>
          </w:tcPr>
          <w:p w14:paraId="4A089EF3" w14:textId="77777777" w:rsidR="009F0065" w:rsidRDefault="009F0065" w:rsidP="006F4EBA">
            <w:pPr>
              <w:pStyle w:val="In-tableHeading"/>
            </w:pPr>
            <w:r>
              <w:t>Difference</w:t>
            </w:r>
          </w:p>
        </w:tc>
      </w:tr>
      <w:tr w:rsidR="009F0065" w14:paraId="50D320EB" w14:textId="77777777" w:rsidTr="006F4EBA">
        <w:tc>
          <w:tcPr>
            <w:tcW w:w="1003" w:type="dxa"/>
            <w:vMerge w:val="restart"/>
          </w:tcPr>
          <w:p w14:paraId="2945ABEB" w14:textId="77777777" w:rsidR="009F0065" w:rsidRPr="009C6DE4" w:rsidRDefault="009F0065" w:rsidP="006F4EBA">
            <w:pPr>
              <w:pStyle w:val="TableText1"/>
            </w:pPr>
            <w:r>
              <w:fldChar w:fldCharType="begin">
                <w:fldData xml:space="preserve">PEVuZE5vdGU+PENpdGU+PEF1dGhvcj5FcnNob3ZhPC9BdXRob3I+PFllYXI+MjAyMDwvWWVhcj48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=
</w:fldData>
              </w:fldChar>
            </w:r>
            <w:r>
              <w:instrText xml:space="preserve"> ADDIN EN.CITE </w:instrText>
            </w:r>
            <w:r>
              <w:fldChar w:fldCharType="begin">
                <w:fldData xml:space="preserve">PEVuZE5vdGU+PENpdGU+PEF1dGhvcj5FcnNob3ZhPC9BdXRob3I+PFllYXI+MjAyMDwvWWVhcj48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=
</w:fldData>
              </w:fldChar>
            </w:r>
            <w:r>
              <w:instrText xml:space="preserve"> ADDIN EN.CITE.DATA </w:instrText>
            </w:r>
            <w:r>
              <w:fldChar w:fldCharType="end"/>
            </w:r>
            <w:r>
              <w:fldChar w:fldCharType="separate"/>
            </w:r>
            <w:r>
              <w:rPr>
                <w:noProof/>
              </w:rPr>
              <w:t>(Ershova et al. 2020)</w:t>
            </w:r>
            <w:r>
              <w:fldChar w:fldCharType="end"/>
            </w:r>
          </w:p>
        </w:tc>
        <w:tc>
          <w:tcPr>
            <w:tcW w:w="1294" w:type="dxa"/>
            <w:vMerge w:val="restart"/>
          </w:tcPr>
          <w:p w14:paraId="70E131DB" w14:textId="77777777" w:rsidR="009F0065" w:rsidRDefault="009F0065" w:rsidP="006F4EBA">
            <w:pPr>
              <w:pStyle w:val="TableText1"/>
            </w:pPr>
            <w:r>
              <w:t>53 patients with RR-TB</w:t>
            </w:r>
          </w:p>
        </w:tc>
        <w:tc>
          <w:tcPr>
            <w:tcW w:w="1854" w:type="dxa"/>
          </w:tcPr>
          <w:p w14:paraId="0A429673" w14:textId="77777777" w:rsidR="009F0065" w:rsidRDefault="009F0065" w:rsidP="006F4EBA">
            <w:pPr>
              <w:pStyle w:val="TableText1"/>
            </w:pPr>
            <w:r>
              <w:t>Time to appropriate treatment (second-line drugs)</w:t>
            </w:r>
          </w:p>
        </w:tc>
        <w:tc>
          <w:tcPr>
            <w:tcW w:w="1557" w:type="dxa"/>
          </w:tcPr>
          <w:p w14:paraId="37925EDE" w14:textId="77777777" w:rsidR="009F0065" w:rsidRDefault="009F0065" w:rsidP="006F4EBA">
            <w:pPr>
              <w:pStyle w:val="TableText1"/>
            </w:pPr>
            <w:r>
              <w:t>Median: 37 days</w:t>
            </w:r>
          </w:p>
        </w:tc>
        <w:tc>
          <w:tcPr>
            <w:tcW w:w="1847" w:type="dxa"/>
          </w:tcPr>
          <w:p w14:paraId="054E411F" w14:textId="77777777" w:rsidR="009F0065" w:rsidRDefault="009F0065" w:rsidP="006F4EBA">
            <w:pPr>
              <w:pStyle w:val="TableText1"/>
            </w:pPr>
            <w:r>
              <w:t>Median: 11 days</w:t>
            </w:r>
          </w:p>
        </w:tc>
        <w:tc>
          <w:tcPr>
            <w:tcW w:w="1461" w:type="dxa"/>
          </w:tcPr>
          <w:p w14:paraId="2624E6E7" w14:textId="77777777" w:rsidR="009F0065" w:rsidRDefault="009F0065" w:rsidP="006F4EBA">
            <w:pPr>
              <w:pStyle w:val="TableText1"/>
            </w:pPr>
            <w:r>
              <w:t>HR: 2.06 (95%CI 1.09, 3.89)</w:t>
            </w:r>
          </w:p>
          <w:p w14:paraId="70BAFEF0" w14:textId="77777777" w:rsidR="009F0065" w:rsidRDefault="009F0065" w:rsidP="006F4EBA">
            <w:pPr>
              <w:pStyle w:val="TableText1"/>
            </w:pPr>
            <w:r>
              <w:t>Log rank p=0.02</w:t>
            </w:r>
          </w:p>
        </w:tc>
      </w:tr>
      <w:tr w:rsidR="009F0065" w14:paraId="71062422" w14:textId="77777777" w:rsidTr="006F4EBA">
        <w:tc>
          <w:tcPr>
            <w:tcW w:w="1003" w:type="dxa"/>
            <w:vMerge/>
          </w:tcPr>
          <w:p w14:paraId="4EA2A838" w14:textId="77777777" w:rsidR="009F0065" w:rsidRPr="00C34712" w:rsidRDefault="009F0065" w:rsidP="006F4EBA">
            <w:pPr>
              <w:pStyle w:val="TableText1"/>
            </w:pPr>
          </w:p>
        </w:tc>
        <w:tc>
          <w:tcPr>
            <w:tcW w:w="1294" w:type="dxa"/>
            <w:vMerge/>
          </w:tcPr>
          <w:p w14:paraId="511C45CF" w14:textId="77777777" w:rsidR="009F0065" w:rsidRDefault="009F0065" w:rsidP="006F4EBA">
            <w:pPr>
              <w:pStyle w:val="TableText1"/>
            </w:pPr>
          </w:p>
        </w:tc>
        <w:tc>
          <w:tcPr>
            <w:tcW w:w="1854" w:type="dxa"/>
          </w:tcPr>
          <w:p w14:paraId="44AEEB65" w14:textId="77777777" w:rsidR="009F0065" w:rsidRDefault="009F0065" w:rsidP="006F4EBA">
            <w:pPr>
              <w:pStyle w:val="TableText1"/>
            </w:pPr>
            <w:r>
              <w:t>Successful outcome (cured/completed treatment)</w:t>
            </w:r>
          </w:p>
        </w:tc>
        <w:tc>
          <w:tcPr>
            <w:tcW w:w="1557" w:type="dxa"/>
          </w:tcPr>
          <w:p w14:paraId="05894954" w14:textId="77777777" w:rsidR="009F0065" w:rsidRDefault="009F0065" w:rsidP="006F4EBA">
            <w:pPr>
              <w:pStyle w:val="TableText1"/>
            </w:pPr>
            <w:r>
              <w:t>13/27 (48%)</w:t>
            </w:r>
          </w:p>
        </w:tc>
        <w:tc>
          <w:tcPr>
            <w:tcW w:w="1847" w:type="dxa"/>
          </w:tcPr>
          <w:p w14:paraId="7ECEC180" w14:textId="77777777" w:rsidR="009F0065" w:rsidRDefault="009F0065" w:rsidP="006F4EBA">
            <w:pPr>
              <w:pStyle w:val="TableText1"/>
            </w:pPr>
            <w:r>
              <w:t>15/26 (58%)</w:t>
            </w:r>
          </w:p>
        </w:tc>
        <w:tc>
          <w:tcPr>
            <w:tcW w:w="1461" w:type="dxa"/>
          </w:tcPr>
          <w:p w14:paraId="5CE24F39" w14:textId="77777777" w:rsidR="009F0065" w:rsidRDefault="009F0065" w:rsidP="006F4EBA">
            <w:pPr>
              <w:pStyle w:val="TableText1"/>
            </w:pPr>
            <w:r>
              <w:t>OR: 0.60 (95%CI 0.23, 2.06)</w:t>
            </w:r>
          </w:p>
        </w:tc>
      </w:tr>
      <w:tr w:rsidR="009F0065" w14:paraId="7410BAAC" w14:textId="77777777" w:rsidTr="006F4EBA">
        <w:tc>
          <w:tcPr>
            <w:tcW w:w="1003" w:type="dxa"/>
            <w:vMerge/>
          </w:tcPr>
          <w:p w14:paraId="13A511CF" w14:textId="77777777" w:rsidR="009F0065" w:rsidRPr="009C6DE4" w:rsidRDefault="009F0065" w:rsidP="006F4EBA">
            <w:pPr>
              <w:pStyle w:val="TableText1"/>
            </w:pPr>
          </w:p>
        </w:tc>
        <w:tc>
          <w:tcPr>
            <w:tcW w:w="1294" w:type="dxa"/>
            <w:vMerge w:val="restart"/>
          </w:tcPr>
          <w:p w14:paraId="3EA8E394" w14:textId="77777777" w:rsidR="009F0065" w:rsidRDefault="009F0065" w:rsidP="006F4EBA">
            <w:pPr>
              <w:pStyle w:val="TableText1"/>
            </w:pPr>
            <w:r>
              <w:t>252 patients with rifampicin-susceptible TB</w:t>
            </w:r>
          </w:p>
        </w:tc>
        <w:tc>
          <w:tcPr>
            <w:tcW w:w="1854" w:type="dxa"/>
          </w:tcPr>
          <w:p w14:paraId="702F7323" w14:textId="77777777" w:rsidR="009F0065" w:rsidRDefault="009F0065" w:rsidP="006F4EBA">
            <w:pPr>
              <w:pStyle w:val="TableText1"/>
            </w:pPr>
            <w:r>
              <w:t>Time to appropriate treatment (first-line drugs)</w:t>
            </w:r>
          </w:p>
        </w:tc>
        <w:tc>
          <w:tcPr>
            <w:tcW w:w="1557" w:type="dxa"/>
          </w:tcPr>
          <w:p w14:paraId="676105C4" w14:textId="77777777" w:rsidR="009F0065" w:rsidRDefault="009F0065" w:rsidP="006F4EBA">
            <w:pPr>
              <w:pStyle w:val="TableText1"/>
            </w:pPr>
            <w:r>
              <w:t>Median: 3 days</w:t>
            </w:r>
          </w:p>
        </w:tc>
        <w:tc>
          <w:tcPr>
            <w:tcW w:w="1847" w:type="dxa"/>
          </w:tcPr>
          <w:p w14:paraId="10271A61" w14:textId="77777777" w:rsidR="009F0065" w:rsidRDefault="009F0065" w:rsidP="006F4EBA">
            <w:pPr>
              <w:pStyle w:val="TableText1"/>
            </w:pPr>
            <w:r>
              <w:t>Median: 2 days</w:t>
            </w:r>
          </w:p>
        </w:tc>
        <w:tc>
          <w:tcPr>
            <w:tcW w:w="1461" w:type="dxa"/>
          </w:tcPr>
          <w:p w14:paraId="472BBD7A" w14:textId="77777777" w:rsidR="009F0065" w:rsidRDefault="009F0065" w:rsidP="006F4EBA">
            <w:pPr>
              <w:pStyle w:val="TableText1"/>
            </w:pPr>
            <w:r>
              <w:t>Log rank p=0.73</w:t>
            </w:r>
          </w:p>
        </w:tc>
      </w:tr>
      <w:tr w:rsidR="009F0065" w14:paraId="496F09FB" w14:textId="77777777" w:rsidTr="006F4EBA">
        <w:trPr>
          <w:trHeight w:val="639"/>
        </w:trPr>
        <w:tc>
          <w:tcPr>
            <w:tcW w:w="1003" w:type="dxa"/>
            <w:vMerge/>
          </w:tcPr>
          <w:p w14:paraId="40D65205" w14:textId="77777777" w:rsidR="009F0065" w:rsidRPr="009C6DE4" w:rsidRDefault="009F0065" w:rsidP="006F4EBA">
            <w:pPr>
              <w:pStyle w:val="TableText1"/>
            </w:pPr>
          </w:p>
        </w:tc>
        <w:tc>
          <w:tcPr>
            <w:tcW w:w="1294" w:type="dxa"/>
            <w:vMerge/>
          </w:tcPr>
          <w:p w14:paraId="79155544" w14:textId="77777777" w:rsidR="009F0065" w:rsidRDefault="009F0065" w:rsidP="006F4EBA">
            <w:pPr>
              <w:pStyle w:val="TableText1"/>
            </w:pPr>
          </w:p>
        </w:tc>
        <w:tc>
          <w:tcPr>
            <w:tcW w:w="1854" w:type="dxa"/>
          </w:tcPr>
          <w:p w14:paraId="42750E89" w14:textId="77777777" w:rsidR="009F0065" w:rsidRDefault="009F0065" w:rsidP="006F4EBA">
            <w:pPr>
              <w:pStyle w:val="TableText1"/>
            </w:pPr>
            <w:r>
              <w:t>Successful outcome (cured/completed treatment)</w:t>
            </w:r>
          </w:p>
        </w:tc>
        <w:tc>
          <w:tcPr>
            <w:tcW w:w="1557" w:type="dxa"/>
          </w:tcPr>
          <w:p w14:paraId="1FBB68ED" w14:textId="77777777" w:rsidR="009F0065" w:rsidRDefault="009F0065" w:rsidP="006F4EBA">
            <w:pPr>
              <w:pStyle w:val="TableText1"/>
            </w:pPr>
            <w:r>
              <w:t>105/138 (76%)</w:t>
            </w:r>
          </w:p>
        </w:tc>
        <w:tc>
          <w:tcPr>
            <w:tcW w:w="1847" w:type="dxa"/>
          </w:tcPr>
          <w:p w14:paraId="73B506B0" w14:textId="77777777" w:rsidR="009F0065" w:rsidRDefault="009F0065" w:rsidP="006F4EBA">
            <w:pPr>
              <w:pStyle w:val="TableText1"/>
            </w:pPr>
            <w:r>
              <w:t>94/114 (82%)</w:t>
            </w:r>
          </w:p>
        </w:tc>
        <w:tc>
          <w:tcPr>
            <w:tcW w:w="1461" w:type="dxa"/>
          </w:tcPr>
          <w:p w14:paraId="02CE8FCB" w14:textId="77777777" w:rsidR="009F0065" w:rsidRDefault="009F0065" w:rsidP="006F4EBA">
            <w:pPr>
              <w:pStyle w:val="TableText1"/>
            </w:pPr>
            <w:r>
              <w:t>OR: 0.68 (95%CI 0.36, 1.26)</w:t>
            </w:r>
          </w:p>
        </w:tc>
      </w:tr>
    </w:tbl>
    <w:p w14:paraId="43DEB49B" w14:textId="77777777" w:rsidR="009F0065" w:rsidRDefault="009F0065" w:rsidP="009F0065">
      <w:pPr>
        <w:pStyle w:val="TableFooter"/>
      </w:pPr>
      <w:r>
        <w:t>HR = hazard ratio; OR = odds ratio; RR-TB = rifampicin resistant tuberculosis; TB = tuberculosis</w:t>
      </w:r>
    </w:p>
    <w:p w14:paraId="5EB1B2D6" w14:textId="07464805" w:rsidR="00E06036" w:rsidRPr="00E06036" w:rsidRDefault="009F0065" w:rsidP="00E06036">
      <w:pPr>
        <w:rPr>
          <w:rFonts w:ascii="Franklin Gothic Book" w:eastAsia="Calibri" w:hAnsi="Franklin Gothic Book"/>
          <w:sz w:val="22"/>
          <w:szCs w:val="22"/>
          <w:lang w:eastAsia="en-US"/>
        </w:rPr>
      </w:pPr>
      <w:r w:rsidRPr="00E72E00">
        <w:rPr>
          <w:rFonts w:ascii="Franklin Gothic Book" w:eastAsia="Calibri" w:hAnsi="Franklin Gothic Book"/>
          <w:sz w:val="22"/>
          <w:szCs w:val="22"/>
          <w:lang w:eastAsia="en-US"/>
        </w:rPr>
        <w:t>Three articles reported on the association between the number of likely effective drugs that patients with MDR-TB are treated with, and survival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_Ref86239861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11</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or treatment success (</w:t>
      </w:r>
      <w:r w:rsidRPr="00E72E00">
        <w:rPr>
          <w:rFonts w:ascii="Franklin Gothic Book" w:eastAsia="Calibri" w:hAnsi="Franklin Gothic Book"/>
          <w:sz w:val="22"/>
          <w:szCs w:val="22"/>
          <w:lang w:eastAsia="en-US"/>
        </w:rPr>
        <w:fldChar w:fldCharType="begin"/>
      </w:r>
      <w:r w:rsidRPr="00E72E00">
        <w:rPr>
          <w:rFonts w:ascii="Franklin Gothic Book" w:eastAsia="Calibri" w:hAnsi="Franklin Gothic Book"/>
          <w:sz w:val="22"/>
          <w:szCs w:val="22"/>
          <w:lang w:eastAsia="en-US"/>
        </w:rPr>
        <w:instrText xml:space="preserve"> REF _Ref86239866 \h </w:instrText>
      </w:r>
      <w:r w:rsidR="00E72E00">
        <w:rPr>
          <w:rFonts w:ascii="Franklin Gothic Book" w:eastAsia="Calibri" w:hAnsi="Franklin Gothic Book"/>
          <w:sz w:val="22"/>
          <w:szCs w:val="22"/>
          <w:lang w:eastAsia="en-US"/>
        </w:rPr>
        <w:instrText xml:space="preserve"> \* MERGEFORMAT </w:instrText>
      </w:r>
      <w:r w:rsidRPr="00E72E00">
        <w:rPr>
          <w:rFonts w:ascii="Franklin Gothic Book" w:eastAsia="Calibri" w:hAnsi="Franklin Gothic Book"/>
          <w:sz w:val="22"/>
          <w:szCs w:val="22"/>
          <w:lang w:eastAsia="en-US"/>
        </w:rPr>
      </w:r>
      <w:r w:rsidRPr="00E72E00">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12</w:t>
      </w:r>
      <w:r w:rsidRPr="00E72E00">
        <w:rPr>
          <w:rFonts w:ascii="Franklin Gothic Book" w:eastAsia="Calibri" w:hAnsi="Franklin Gothic Book"/>
          <w:sz w:val="22"/>
          <w:szCs w:val="22"/>
          <w:lang w:eastAsia="en-US"/>
        </w:rPr>
        <w:fldChar w:fldCharType="end"/>
      </w:r>
      <w:r w:rsidRPr="00E72E00">
        <w:rPr>
          <w:rFonts w:ascii="Franklin Gothic Book" w:eastAsia="Calibri" w:hAnsi="Franklin Gothic Book"/>
          <w:sz w:val="22"/>
          <w:szCs w:val="22"/>
          <w:lang w:eastAsia="en-US"/>
        </w:rPr>
        <w:t xml:space="preserve">). Although the studies differed in their methodology and cut-offs used for their analyses, they were reasonably consistent that patients on a higher number of likely effective drugs, survived longer and had a higher chance of treatment success than those on fewer likely effective drugs. The addition of WGS is therefore likely superior to </w:t>
      </w:r>
      <w:proofErr w:type="spellStart"/>
      <w:r w:rsidRPr="00E72E00">
        <w:rPr>
          <w:rFonts w:ascii="Franklin Gothic Book" w:eastAsia="Calibri" w:hAnsi="Franklin Gothic Book"/>
          <w:sz w:val="22"/>
          <w:szCs w:val="22"/>
          <w:lang w:eastAsia="en-US"/>
        </w:rPr>
        <w:t>pDST</w:t>
      </w:r>
      <w:proofErr w:type="spellEnd"/>
      <w:r w:rsidRPr="00E72E00">
        <w:rPr>
          <w:rFonts w:ascii="Franklin Gothic Book" w:eastAsia="Calibri" w:hAnsi="Franklin Gothic Book"/>
          <w:sz w:val="22"/>
          <w:szCs w:val="22"/>
          <w:lang w:eastAsia="en-US"/>
        </w:rPr>
        <w:t xml:space="preserve"> alone, as it will detect more cases of resistance, which should result in a higher number of likely effective drugs being used in the treatment regimen, which is associated with superior survival. </w:t>
      </w:r>
      <w:bookmarkStart w:id="24" w:name="_Ref86239861"/>
      <w:r w:rsidR="00E06036">
        <w:br w:type="page"/>
      </w:r>
    </w:p>
    <w:p w14:paraId="553820B5" w14:textId="31D8A153" w:rsidR="009F0065" w:rsidRDefault="009F0065" w:rsidP="009F0065">
      <w:pPr>
        <w:pStyle w:val="Caption"/>
      </w:pPr>
      <w:r>
        <w:lastRenderedPageBreak/>
        <w:t xml:space="preserve">Table </w:t>
      </w:r>
      <w:fldSimple w:instr=" SEQ Table \* ARABIC ">
        <w:r w:rsidR="004C2B2A">
          <w:rPr>
            <w:noProof/>
          </w:rPr>
          <w:t>11</w:t>
        </w:r>
      </w:fldSimple>
      <w:bookmarkEnd w:id="24"/>
      <w:r>
        <w:tab/>
        <w:t xml:space="preserve">Association between number of effective drugs used and survival in patients with MDR-TB </w:t>
      </w:r>
    </w:p>
    <w:tbl>
      <w:tblPr>
        <w:tblStyle w:val="TableGrid"/>
        <w:tblW w:w="0" w:type="auto"/>
        <w:tblLook w:val="04A0" w:firstRow="1" w:lastRow="0" w:firstColumn="1" w:lastColumn="0" w:noHBand="0" w:noVBand="1"/>
        <w:tblCaption w:val="Association between number of effective drugs used and survival in MDR-TB patients"/>
        <w:tblDescription w:val="Studies reporting that survival is superior in those who are on a higher number of &quot;likely appropriate&quot; drugs (those concordant with susceptibility profile)"/>
      </w:tblPr>
      <w:tblGrid>
        <w:gridCol w:w="1210"/>
        <w:gridCol w:w="1195"/>
        <w:gridCol w:w="1418"/>
        <w:gridCol w:w="1701"/>
        <w:gridCol w:w="1842"/>
        <w:gridCol w:w="1650"/>
      </w:tblGrid>
      <w:tr w:rsidR="009F0065" w14:paraId="59AD3479" w14:textId="77777777" w:rsidTr="006F4EBA">
        <w:trPr>
          <w:tblHeader/>
        </w:trPr>
        <w:tc>
          <w:tcPr>
            <w:tcW w:w="1210" w:type="dxa"/>
          </w:tcPr>
          <w:p w14:paraId="654B9013" w14:textId="77777777" w:rsidR="009F0065" w:rsidRDefault="009F0065" w:rsidP="006F4EBA">
            <w:pPr>
              <w:pStyle w:val="In-tableHeading"/>
            </w:pPr>
            <w:r>
              <w:t>Study</w:t>
            </w:r>
          </w:p>
        </w:tc>
        <w:tc>
          <w:tcPr>
            <w:tcW w:w="1195" w:type="dxa"/>
          </w:tcPr>
          <w:p w14:paraId="1EE31E51" w14:textId="77777777" w:rsidR="009F0065" w:rsidRDefault="009F0065" w:rsidP="006F4EBA">
            <w:pPr>
              <w:pStyle w:val="In-tableHeading"/>
            </w:pPr>
            <w:r>
              <w:t>Population</w:t>
            </w:r>
          </w:p>
        </w:tc>
        <w:tc>
          <w:tcPr>
            <w:tcW w:w="1418" w:type="dxa"/>
          </w:tcPr>
          <w:p w14:paraId="0A0ED51B" w14:textId="77777777" w:rsidR="009F0065" w:rsidRDefault="009F0065" w:rsidP="006F4EBA">
            <w:pPr>
              <w:pStyle w:val="In-tableHeading"/>
            </w:pPr>
            <w:r>
              <w:t>Definition of appropriate treatment</w:t>
            </w:r>
          </w:p>
        </w:tc>
        <w:tc>
          <w:tcPr>
            <w:tcW w:w="1701" w:type="dxa"/>
          </w:tcPr>
          <w:p w14:paraId="761231D1" w14:textId="77777777" w:rsidR="009F0065" w:rsidRDefault="009F0065" w:rsidP="006F4EBA">
            <w:pPr>
              <w:pStyle w:val="In-tableHeading"/>
            </w:pPr>
            <w:r>
              <w:t>Outcomes for appropriate treatment</w:t>
            </w:r>
          </w:p>
        </w:tc>
        <w:tc>
          <w:tcPr>
            <w:tcW w:w="1842" w:type="dxa"/>
          </w:tcPr>
          <w:p w14:paraId="330E03EE" w14:textId="77777777" w:rsidR="009F0065" w:rsidRDefault="009F0065" w:rsidP="006F4EBA">
            <w:pPr>
              <w:pStyle w:val="In-tableHeading"/>
            </w:pPr>
            <w:r>
              <w:t>Outcomes for inappropriate treatment</w:t>
            </w:r>
          </w:p>
        </w:tc>
        <w:tc>
          <w:tcPr>
            <w:tcW w:w="1650" w:type="dxa"/>
          </w:tcPr>
          <w:p w14:paraId="3BB9959B" w14:textId="77777777" w:rsidR="009F0065" w:rsidRDefault="009F0065" w:rsidP="006F4EBA">
            <w:pPr>
              <w:pStyle w:val="In-tableHeading"/>
            </w:pPr>
            <w:r>
              <w:t>Comparison</w:t>
            </w:r>
          </w:p>
        </w:tc>
      </w:tr>
      <w:tr w:rsidR="009F0065" w14:paraId="65E3085D" w14:textId="77777777" w:rsidTr="006F4EBA">
        <w:tc>
          <w:tcPr>
            <w:tcW w:w="1210" w:type="dxa"/>
          </w:tcPr>
          <w:p w14:paraId="64C2E5A3" w14:textId="77777777" w:rsidR="009F0065" w:rsidRDefault="009F0065" w:rsidP="006F4EBA">
            <w:pPr>
              <w:pStyle w:val="TableText1"/>
            </w:pPr>
            <w:r>
              <w:fldChar w:fldCharType="begin">
                <w:fldData xml:space="preserve">PEVuZE5vdGU+PENpdGU+PEF1dGhvcj5Ecm9ibmlld3NraTwvQXV0aG9yPjxZZWFyPjIwMDI8L1ll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</w:fldData>
              </w:fldChar>
            </w:r>
            <w:r>
              <w:instrText xml:space="preserve"> ADDIN EN.CITE </w:instrText>
            </w:r>
            <w:r>
              <w:fldChar w:fldCharType="begin">
                <w:fldData xml:space="preserve">PEVuZE5vdGU+PENpdGU+PEF1dGhvcj5Ecm9ibmlld3NraTwvQXV0aG9yPjxZZWFyPjIwMDI8L1ll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</w:fldData>
              </w:fldChar>
            </w:r>
            <w:r>
              <w:instrText xml:space="preserve"> ADDIN EN.CITE.DATA </w:instrText>
            </w:r>
            <w:r>
              <w:fldChar w:fldCharType="end"/>
            </w:r>
            <w:r>
              <w:fldChar w:fldCharType="separate"/>
            </w:r>
            <w:r>
              <w:rPr>
                <w:noProof/>
              </w:rPr>
              <w:t>(Drobniewski et al. 2002)</w:t>
            </w:r>
            <w:r>
              <w:fldChar w:fldCharType="end"/>
            </w:r>
          </w:p>
        </w:tc>
        <w:tc>
          <w:tcPr>
            <w:tcW w:w="1195" w:type="dxa"/>
          </w:tcPr>
          <w:p w14:paraId="23F09CB2" w14:textId="77777777" w:rsidR="009F0065" w:rsidRDefault="009F0065" w:rsidP="006F4EBA">
            <w:pPr>
              <w:pStyle w:val="TableText1"/>
            </w:pPr>
            <w:r>
              <w:t xml:space="preserve">90 patients with MDR-TB </w:t>
            </w:r>
          </w:p>
        </w:tc>
        <w:tc>
          <w:tcPr>
            <w:tcW w:w="1418" w:type="dxa"/>
          </w:tcPr>
          <w:p w14:paraId="60B82384" w14:textId="77777777" w:rsidR="009F0065" w:rsidRDefault="009F0065" w:rsidP="006F4EBA">
            <w:pPr>
              <w:pStyle w:val="TableText1"/>
            </w:pPr>
            <w:r>
              <w:t xml:space="preserve">3 drugs susceptible to </w:t>
            </w:r>
          </w:p>
        </w:tc>
        <w:tc>
          <w:tcPr>
            <w:tcW w:w="1701" w:type="dxa"/>
          </w:tcPr>
          <w:p w14:paraId="13376A67" w14:textId="77777777" w:rsidR="009F0065" w:rsidRDefault="009F0065" w:rsidP="006F4EBA">
            <w:pPr>
              <w:pStyle w:val="TableText1"/>
            </w:pPr>
            <w:r>
              <w:t>n=62</w:t>
            </w:r>
          </w:p>
          <w:p w14:paraId="4FF9B707" w14:textId="77777777" w:rsidR="009F0065" w:rsidRDefault="009F0065" w:rsidP="006F4EBA">
            <w:pPr>
              <w:pStyle w:val="TableText1"/>
            </w:pPr>
            <w:r>
              <w:t>Median survival: 2066 days (5.66 years) (95%CI 1336, 2515 days)</w:t>
            </w:r>
          </w:p>
        </w:tc>
        <w:tc>
          <w:tcPr>
            <w:tcW w:w="1842" w:type="dxa"/>
          </w:tcPr>
          <w:p w14:paraId="39EF5791" w14:textId="77777777" w:rsidR="009F0065" w:rsidRDefault="009F0065" w:rsidP="006F4EBA">
            <w:pPr>
              <w:pStyle w:val="TableText1"/>
            </w:pPr>
            <w:r>
              <w:t>n=13</w:t>
            </w:r>
          </w:p>
          <w:p w14:paraId="2DFF2F37" w14:textId="77777777" w:rsidR="009F0065" w:rsidRDefault="009F0065" w:rsidP="006F4EBA">
            <w:pPr>
              <w:pStyle w:val="TableText1"/>
            </w:pPr>
            <w:r>
              <w:t>Median survival: 599 days (1.64 years) (95%CI 190, 969 days)</w:t>
            </w:r>
          </w:p>
        </w:tc>
        <w:tc>
          <w:tcPr>
            <w:tcW w:w="1650" w:type="dxa"/>
          </w:tcPr>
          <w:p w14:paraId="31C32D25" w14:textId="77777777" w:rsidR="009F0065" w:rsidRDefault="009F0065" w:rsidP="006F4EBA">
            <w:pPr>
              <w:pStyle w:val="TableText1"/>
            </w:pPr>
            <w:r>
              <w:t>Multivariate log-rank test, Cox proportional hazards model</w:t>
            </w:r>
          </w:p>
          <w:p w14:paraId="27A7A7F4" w14:textId="77777777" w:rsidR="009F0065" w:rsidRPr="00F50D11" w:rsidRDefault="009F0065" w:rsidP="006F4EBA">
            <w:pPr>
              <w:pStyle w:val="TableText1"/>
            </w:pPr>
            <w:r>
              <w:t>Χ</w:t>
            </w:r>
            <w:r>
              <w:rPr>
                <w:vertAlign w:val="superscript"/>
              </w:rPr>
              <w:t>2</w:t>
            </w:r>
            <w:r>
              <w:t>=0.0001, RR=0.056 (95%CI 0.01, 0.23)</w:t>
            </w:r>
          </w:p>
        </w:tc>
      </w:tr>
      <w:tr w:rsidR="009F0065" w14:paraId="2B09128A" w14:textId="77777777" w:rsidTr="006F4EBA">
        <w:tc>
          <w:tcPr>
            <w:tcW w:w="1210" w:type="dxa"/>
            <w:tcBorders>
              <w:bottom w:val="nil"/>
            </w:tcBorders>
          </w:tcPr>
          <w:p w14:paraId="51C4D7FD" w14:textId="77777777" w:rsidR="009F0065" w:rsidRDefault="009F0065" w:rsidP="006F4EBA">
            <w:pPr>
              <w:pStyle w:val="TableText1"/>
            </w:pPr>
            <w:r>
              <w:fldChar w:fldCharType="begin">
                <w:fldData xml:space="preserve">PEVuZE5vdGU+PENpdGU+PEF1dGhvcj5UdXJldHQ8L0F1dGhvcj48WWVhcj4xOTk1PC9ZZWFyPjxS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YWw+PGZ1bGwtdGl0bGU+Q2xpbiBJbmZlY3QgRGlzPC9mdWxsLXRpdGxlPjwvcGVyaW9kaWNhbD48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==
</w:fldData>
              </w:fldChar>
            </w:r>
            <w:r>
              <w:instrText xml:space="preserve"> ADDIN EN.CITE </w:instrText>
            </w:r>
            <w:r>
              <w:fldChar w:fldCharType="begin">
                <w:fldData xml:space="preserve">PEVuZE5vdGU+PENpdGU+PEF1dGhvcj5UdXJldHQ8L0F1dGhvcj48WWVhcj4xOTk1PC9ZZWFyPjxS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YWw+PGZ1bGwtdGl0bGU+Q2xpbiBJbmZlY3QgRGlzPC9mdWxsLXRpdGxlPjwvcGVyaW9kaWNhbD48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==
</w:fldData>
              </w:fldChar>
            </w:r>
            <w:r>
              <w:instrText xml:space="preserve"> ADDIN EN.CITE.DATA </w:instrText>
            </w:r>
            <w:r>
              <w:fldChar w:fldCharType="end"/>
            </w:r>
            <w:r>
              <w:fldChar w:fldCharType="separate"/>
            </w:r>
            <w:r>
              <w:rPr>
                <w:noProof/>
              </w:rPr>
              <w:t>(Turett et al. 1995)</w:t>
            </w:r>
            <w:r>
              <w:fldChar w:fldCharType="end"/>
            </w:r>
          </w:p>
        </w:tc>
        <w:tc>
          <w:tcPr>
            <w:tcW w:w="1195" w:type="dxa"/>
            <w:tcBorders>
              <w:bottom w:val="nil"/>
            </w:tcBorders>
          </w:tcPr>
          <w:p w14:paraId="079ED696" w14:textId="77777777" w:rsidR="009F0065" w:rsidRDefault="009F0065" w:rsidP="006F4EBA">
            <w:pPr>
              <w:pStyle w:val="TableText1"/>
            </w:pPr>
            <w:r>
              <w:t>34 HIV-infected patients with MDR-TB</w:t>
            </w:r>
          </w:p>
        </w:tc>
        <w:tc>
          <w:tcPr>
            <w:tcW w:w="1418" w:type="dxa"/>
          </w:tcPr>
          <w:p w14:paraId="739AEB84" w14:textId="77777777" w:rsidR="009F0065" w:rsidRDefault="009F0065" w:rsidP="006F4EBA">
            <w:pPr>
              <w:pStyle w:val="TableText1"/>
            </w:pPr>
            <w:r>
              <w:t>≥2 drugs susceptible to for ≥2 weeks</w:t>
            </w:r>
          </w:p>
        </w:tc>
        <w:tc>
          <w:tcPr>
            <w:tcW w:w="1701" w:type="dxa"/>
          </w:tcPr>
          <w:p w14:paraId="194A1B8B" w14:textId="77777777" w:rsidR="009F0065" w:rsidRDefault="009F0065" w:rsidP="006F4EBA">
            <w:pPr>
              <w:pStyle w:val="TableText1"/>
            </w:pPr>
            <w:r>
              <w:t>Overall response: 17/22</w:t>
            </w:r>
          </w:p>
          <w:p w14:paraId="4B0F6F40" w14:textId="77777777" w:rsidR="009F0065" w:rsidRDefault="009F0065" w:rsidP="006F4EBA">
            <w:pPr>
              <w:pStyle w:val="TableText1"/>
            </w:pPr>
            <w:r>
              <w:t>Cumulative probability of survival: 82% at 6 months and 12 months</w:t>
            </w:r>
          </w:p>
        </w:tc>
        <w:tc>
          <w:tcPr>
            <w:tcW w:w="1842" w:type="dxa"/>
          </w:tcPr>
          <w:p w14:paraId="2A2BB63B" w14:textId="77777777" w:rsidR="009F0065" w:rsidRDefault="009F0065" w:rsidP="006F4EBA">
            <w:pPr>
              <w:pStyle w:val="TableText1"/>
            </w:pPr>
            <w:r>
              <w:t>Overall response: 0/12</w:t>
            </w:r>
          </w:p>
          <w:p w14:paraId="69FAAFF3" w14:textId="77777777" w:rsidR="009F0065" w:rsidRDefault="009F0065" w:rsidP="006F4EBA">
            <w:pPr>
              <w:pStyle w:val="TableText1"/>
            </w:pPr>
            <w:r>
              <w:t>Median survival 16 days</w:t>
            </w:r>
          </w:p>
        </w:tc>
        <w:tc>
          <w:tcPr>
            <w:tcW w:w="1650" w:type="dxa"/>
          </w:tcPr>
          <w:p w14:paraId="513CF829" w14:textId="77777777" w:rsidR="009F0065" w:rsidRDefault="009F0065" w:rsidP="006F4EBA">
            <w:pPr>
              <w:pStyle w:val="TableText1"/>
            </w:pPr>
            <w:r>
              <w:t>p&lt;0.001</w:t>
            </w:r>
          </w:p>
        </w:tc>
      </w:tr>
      <w:tr w:rsidR="009F0065" w14:paraId="220D53DA" w14:textId="77777777" w:rsidTr="006F4EBA">
        <w:tc>
          <w:tcPr>
            <w:tcW w:w="1210" w:type="dxa"/>
            <w:tcBorders>
              <w:top w:val="nil"/>
            </w:tcBorders>
          </w:tcPr>
          <w:p w14:paraId="16190337" w14:textId="77777777" w:rsidR="009F0065" w:rsidRPr="002415B4" w:rsidRDefault="009F0065" w:rsidP="006F4EBA">
            <w:pPr>
              <w:pStyle w:val="TableText1"/>
              <w:rPr>
                <w:color w:val="FFFFFF" w:themeColor="background1"/>
              </w:rPr>
            </w:pPr>
            <w:r>
              <w:rPr>
                <w:color w:val="FFFFFF" w:themeColor="background1"/>
              </w:rPr>
              <w:fldChar w:fldCharType="begin">
                <w:fldData xml:space="preserve">PEVuZE5vdGU+PENpdGU+PEF1dGhvcj5UdXJldHQ8L0F1dGhvcj48WWVhcj4xOTk1PC9ZZWFyPjxS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YWw+PGZ1bGwtdGl0bGU+Q2xpbiBJbmZlY3QgRGlzPC9mdWxsLXRpdGxlPjwvcGVyaW9kaWNhbD48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==
</w:fldData>
              </w:fldChar>
            </w:r>
            <w:r>
              <w:rPr>
                <w:color w:val="FFFFFF" w:themeColor="background1"/>
              </w:rPr>
              <w:instrText xml:space="preserve"> ADDIN EN.CITE </w:instrText>
            </w:r>
            <w:r>
              <w:rPr>
                <w:color w:val="FFFFFF" w:themeColor="background1"/>
              </w:rPr>
              <w:fldChar w:fldCharType="begin">
                <w:fldData xml:space="preserve">PEVuZE5vdGU+PENpdGU+PEF1dGhvcj5UdXJldHQ8L0F1dGhvcj48WWVhcj4xOTk1PC9ZZWFyPjxS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YWw+PGZ1bGwtdGl0bGU+Q2xpbiBJbmZlY3QgRGlzPC9mdWxsLXRpdGxlPjwvcGVyaW9kaWNhbD48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==
</w:fldData>
              </w:fldChar>
            </w:r>
            <w:r>
              <w:rPr>
                <w:color w:val="FFFFFF" w:themeColor="background1"/>
              </w:rPr>
              <w:instrText xml:space="preserve"> ADDIN EN.CITE.DATA </w:instrText>
            </w:r>
            <w:r>
              <w:rPr>
                <w:color w:val="FFFFFF" w:themeColor="background1"/>
              </w:rPr>
            </w:r>
            <w:r>
              <w:rPr>
                <w:color w:val="FFFFFF" w:themeColor="background1"/>
              </w:rPr>
              <w:fldChar w:fldCharType="end"/>
            </w:r>
            <w:r>
              <w:rPr>
                <w:color w:val="FFFFFF" w:themeColor="background1"/>
              </w:rPr>
            </w:r>
            <w:r>
              <w:rPr>
                <w:color w:val="FFFFFF" w:themeColor="background1"/>
              </w:rPr>
              <w:fldChar w:fldCharType="separate"/>
            </w:r>
            <w:r>
              <w:rPr>
                <w:noProof/>
                <w:color w:val="FFFFFF" w:themeColor="background1"/>
              </w:rPr>
              <w:t>(Turett et al. 1995)</w:t>
            </w:r>
            <w:r>
              <w:rPr>
                <w:color w:val="FFFFFF" w:themeColor="background1"/>
              </w:rPr>
              <w:fldChar w:fldCharType="end"/>
            </w:r>
          </w:p>
        </w:tc>
        <w:tc>
          <w:tcPr>
            <w:tcW w:w="1195" w:type="dxa"/>
            <w:tcBorders>
              <w:top w:val="nil"/>
            </w:tcBorders>
          </w:tcPr>
          <w:p w14:paraId="589D089B" w14:textId="77777777" w:rsidR="009F0065" w:rsidRPr="002415B4" w:rsidRDefault="009F0065" w:rsidP="006F4EBA">
            <w:pPr>
              <w:pStyle w:val="TableText1"/>
              <w:rPr>
                <w:color w:val="FFFFFF" w:themeColor="background1"/>
              </w:rPr>
            </w:pPr>
            <w:r w:rsidRPr="002415B4">
              <w:rPr>
                <w:color w:val="FFFFFF" w:themeColor="background1"/>
              </w:rPr>
              <w:t>34 HIV-infected patients with MDR-TB</w:t>
            </w:r>
          </w:p>
        </w:tc>
        <w:tc>
          <w:tcPr>
            <w:tcW w:w="1418" w:type="dxa"/>
          </w:tcPr>
          <w:p w14:paraId="1B6001EB" w14:textId="77777777" w:rsidR="009F0065" w:rsidRDefault="009F0065" w:rsidP="006F4EBA">
            <w:pPr>
              <w:pStyle w:val="TableText1"/>
            </w:pPr>
            <w:r>
              <w:t>≥2 drugs susceptible to within 4 weeks of diagnosis</w:t>
            </w:r>
          </w:p>
        </w:tc>
        <w:tc>
          <w:tcPr>
            <w:tcW w:w="1701" w:type="dxa"/>
          </w:tcPr>
          <w:p w14:paraId="4D366585" w14:textId="77777777" w:rsidR="009F0065" w:rsidRDefault="009F0065" w:rsidP="006F4EBA">
            <w:pPr>
              <w:pStyle w:val="TableText1"/>
            </w:pPr>
            <w:r>
              <w:t>Overall response: 14/21</w:t>
            </w:r>
          </w:p>
          <w:p w14:paraId="3AE16E4B" w14:textId="77777777" w:rsidR="009F0065" w:rsidRDefault="009F0065" w:rsidP="006F4EBA">
            <w:pPr>
              <w:pStyle w:val="TableText1"/>
            </w:pPr>
            <w:r>
              <w:t>Cumulative probability of survival: 71% at 6 months, 65% at 12 months</w:t>
            </w:r>
          </w:p>
        </w:tc>
        <w:tc>
          <w:tcPr>
            <w:tcW w:w="1842" w:type="dxa"/>
          </w:tcPr>
          <w:p w14:paraId="7550F7F4" w14:textId="77777777" w:rsidR="009F0065" w:rsidRDefault="009F0065" w:rsidP="006F4EBA">
            <w:pPr>
              <w:pStyle w:val="TableText1"/>
            </w:pPr>
            <w:r>
              <w:t>Overall response: 2/13</w:t>
            </w:r>
          </w:p>
          <w:p w14:paraId="3E453B22" w14:textId="77777777" w:rsidR="009F0065" w:rsidRDefault="009F0065" w:rsidP="006F4EBA">
            <w:pPr>
              <w:pStyle w:val="TableText1"/>
            </w:pPr>
            <w:r>
              <w:t>Median survival: 19 days</w:t>
            </w:r>
          </w:p>
        </w:tc>
        <w:tc>
          <w:tcPr>
            <w:tcW w:w="1650" w:type="dxa"/>
          </w:tcPr>
          <w:p w14:paraId="00FA6BFC" w14:textId="77777777" w:rsidR="009F0065" w:rsidRDefault="009F0065" w:rsidP="006F4EBA">
            <w:pPr>
              <w:pStyle w:val="TableText1"/>
            </w:pPr>
            <w:r>
              <w:t>p=0.02</w:t>
            </w:r>
          </w:p>
        </w:tc>
      </w:tr>
    </w:tbl>
    <w:p w14:paraId="7456999A" w14:textId="77777777" w:rsidR="009F0065" w:rsidRDefault="009F0065" w:rsidP="009F0065">
      <w:pPr>
        <w:pStyle w:val="TableFooter"/>
      </w:pPr>
      <w:r>
        <w:t>HIV = human immunodeficiency virus; MDR-TB = multidrug resistant tuberculosis; RR = relative risk</w:t>
      </w:r>
    </w:p>
    <w:p w14:paraId="394F9242" w14:textId="3129022E" w:rsidR="009F0065" w:rsidRDefault="009F0065" w:rsidP="009F0065">
      <w:pPr>
        <w:pStyle w:val="Caption"/>
      </w:pPr>
      <w:bookmarkStart w:id="25" w:name="_Ref86239866"/>
      <w:r>
        <w:t xml:space="preserve">Table </w:t>
      </w:r>
      <w:fldSimple w:instr=" SEQ Table \* ARABIC ">
        <w:r w:rsidR="004C2B2A">
          <w:rPr>
            <w:noProof/>
          </w:rPr>
          <w:t>12</w:t>
        </w:r>
      </w:fldSimple>
      <w:bookmarkEnd w:id="25"/>
      <w:r>
        <w:tab/>
        <w:t xml:space="preserve">Association between number of effective drugs used and treatment success (cure or treatment completion) in patients with MDR-TB </w:t>
      </w:r>
    </w:p>
    <w:tbl>
      <w:tblPr>
        <w:tblStyle w:val="TableGrid"/>
        <w:tblpPr w:leftFromText="180" w:rightFromText="180" w:vertAnchor="text" w:tblpY="1"/>
        <w:tblOverlap w:val="never"/>
        <w:tblW w:w="5000" w:type="pct"/>
        <w:tblLook w:val="04A0" w:firstRow="1" w:lastRow="0" w:firstColumn="1" w:lastColumn="0" w:noHBand="0" w:noVBand="1"/>
        <w:tblCaption w:val="Association between number of effective drugs used and treatment success (cure or treatment completion) in MDR-TB patients"/>
        <w:tblDescription w:val="Table showing that 3 or more likely effective drugs are signfiicantly better than 0-2 likely effective drugs (for treatment success)"/>
      </w:tblPr>
      <w:tblGrid>
        <w:gridCol w:w="1499"/>
        <w:gridCol w:w="1191"/>
        <w:gridCol w:w="2564"/>
        <w:gridCol w:w="837"/>
        <w:gridCol w:w="2925"/>
      </w:tblGrid>
      <w:tr w:rsidR="009F0065" w14:paraId="279405B0" w14:textId="77777777" w:rsidTr="006F4EBA">
        <w:trPr>
          <w:tblHeader/>
        </w:trPr>
        <w:tc>
          <w:tcPr>
            <w:tcW w:w="831" w:type="pct"/>
          </w:tcPr>
          <w:p w14:paraId="3CAAC006" w14:textId="77777777" w:rsidR="009F0065" w:rsidRDefault="009F0065" w:rsidP="006F4EBA">
            <w:pPr>
              <w:pStyle w:val="In-tableHeading"/>
            </w:pPr>
            <w:r>
              <w:t>Study</w:t>
            </w:r>
          </w:p>
        </w:tc>
        <w:tc>
          <w:tcPr>
            <w:tcW w:w="660" w:type="pct"/>
          </w:tcPr>
          <w:p w14:paraId="7D957C0B" w14:textId="77777777" w:rsidR="009F0065" w:rsidRDefault="009F0065" w:rsidP="006F4EBA">
            <w:pPr>
              <w:pStyle w:val="In-tableHeading"/>
            </w:pPr>
            <w:r>
              <w:t>Population</w:t>
            </w:r>
          </w:p>
        </w:tc>
        <w:tc>
          <w:tcPr>
            <w:tcW w:w="1422" w:type="pct"/>
          </w:tcPr>
          <w:p w14:paraId="6AC4B857" w14:textId="77777777" w:rsidR="009F0065" w:rsidRDefault="009F0065" w:rsidP="006F4EBA">
            <w:pPr>
              <w:pStyle w:val="In-tableHeading"/>
            </w:pPr>
            <w:r>
              <w:t>No. of likely effective drugs in intensive phase</w:t>
            </w:r>
          </w:p>
        </w:tc>
        <w:tc>
          <w:tcPr>
            <w:tcW w:w="464" w:type="pct"/>
          </w:tcPr>
          <w:p w14:paraId="17E0D5AC" w14:textId="77777777" w:rsidR="009F0065" w:rsidRDefault="009F0065" w:rsidP="006F4EBA">
            <w:pPr>
              <w:pStyle w:val="In-tableHeading"/>
            </w:pPr>
            <w:r>
              <w:t>N</w:t>
            </w:r>
          </w:p>
        </w:tc>
        <w:tc>
          <w:tcPr>
            <w:tcW w:w="1622" w:type="pct"/>
          </w:tcPr>
          <w:p w14:paraId="2771E8E6" w14:textId="77777777" w:rsidR="009F0065" w:rsidRDefault="009F0065" w:rsidP="006F4EBA">
            <w:pPr>
              <w:pStyle w:val="In-tableHeading"/>
            </w:pPr>
            <w:r>
              <w:t xml:space="preserve">Success versus fail/relapse/death </w:t>
            </w:r>
          </w:p>
          <w:p w14:paraId="580088FC" w14:textId="77777777" w:rsidR="009F0065" w:rsidRDefault="009F0065" w:rsidP="006F4EBA">
            <w:pPr>
              <w:pStyle w:val="In-tableHeading"/>
            </w:pPr>
            <w:proofErr w:type="spellStart"/>
            <w:r>
              <w:t>aOR</w:t>
            </w:r>
            <w:proofErr w:type="spellEnd"/>
            <w:r>
              <w:t xml:space="preserve"> (95%CI)</w:t>
            </w:r>
          </w:p>
        </w:tc>
      </w:tr>
      <w:tr w:rsidR="009F0065" w14:paraId="6DB64FBB" w14:textId="77777777" w:rsidTr="006F4EBA">
        <w:tc>
          <w:tcPr>
            <w:tcW w:w="831" w:type="pct"/>
            <w:vMerge w:val="restart"/>
          </w:tcPr>
          <w:p w14:paraId="74AAF81E" w14:textId="77777777" w:rsidR="009F0065" w:rsidRPr="00C34712" w:rsidRDefault="009F0065" w:rsidP="006F4EBA">
            <w:pPr>
              <w:pStyle w:val="TableText1"/>
            </w:pPr>
            <w:r>
              <w:fldChar w:fldCharType="begin">
                <w:fldData xml:space="preserve">PEVuZE5vdGU+PENpdGU+PEF1dGhvcj5BaHVqYTwvQXV0aG9yPjxZZWFyPjIwMTI8L1llYXI+PFJl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</w:fldData>
              </w:fldChar>
            </w:r>
            <w:r>
              <w:instrText xml:space="preserve"> ADDIN EN.CITE </w:instrText>
            </w:r>
            <w:r>
              <w:fldChar w:fldCharType="begin">
                <w:fldData xml:space="preserve">PEVuZE5vdGU+PENpdGU+PEF1dGhvcj5BaHVqYTwvQXV0aG9yPjxZZWFyPjIwMTI8L1llYXI+PFJl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</w:fldData>
              </w:fldChar>
            </w:r>
            <w:r>
              <w:instrText xml:space="preserve"> ADDIN EN.CITE.DATA </w:instrText>
            </w:r>
            <w:r>
              <w:fldChar w:fldCharType="end"/>
            </w:r>
            <w:r>
              <w:fldChar w:fldCharType="separate"/>
            </w:r>
            <w:r>
              <w:rPr>
                <w:noProof/>
              </w:rPr>
              <w:t>(Ahuja et al. 2012)</w:t>
            </w:r>
            <w:r>
              <w:fldChar w:fldCharType="end"/>
            </w:r>
          </w:p>
        </w:tc>
        <w:tc>
          <w:tcPr>
            <w:tcW w:w="660" w:type="pct"/>
            <w:vMerge w:val="restart"/>
          </w:tcPr>
          <w:p w14:paraId="5DFD862A" w14:textId="77777777" w:rsidR="009F0065" w:rsidRDefault="009F0065" w:rsidP="006F4EBA">
            <w:pPr>
              <w:pStyle w:val="TableText1"/>
            </w:pPr>
            <w:r>
              <w:t>9153 patients with MDR-TB</w:t>
            </w:r>
          </w:p>
        </w:tc>
        <w:tc>
          <w:tcPr>
            <w:tcW w:w="1422" w:type="pct"/>
          </w:tcPr>
          <w:p w14:paraId="6210EF6B" w14:textId="77777777" w:rsidR="009F0065" w:rsidRDefault="009F0065" w:rsidP="006F4EBA">
            <w:pPr>
              <w:pStyle w:val="TableText1"/>
            </w:pPr>
            <w:r>
              <w:t xml:space="preserve">0-2 </w:t>
            </w:r>
          </w:p>
        </w:tc>
        <w:tc>
          <w:tcPr>
            <w:tcW w:w="464" w:type="pct"/>
          </w:tcPr>
          <w:p w14:paraId="3EBDC6DE" w14:textId="77777777" w:rsidR="009F0065" w:rsidRDefault="009F0065" w:rsidP="006F4EBA">
            <w:pPr>
              <w:pStyle w:val="TableText1"/>
            </w:pPr>
            <w:r>
              <w:t>227</w:t>
            </w:r>
          </w:p>
        </w:tc>
        <w:tc>
          <w:tcPr>
            <w:tcW w:w="1622" w:type="pct"/>
          </w:tcPr>
          <w:p w14:paraId="11831B2D" w14:textId="77777777" w:rsidR="009F0065" w:rsidRDefault="009F0065" w:rsidP="006F4EBA">
            <w:pPr>
              <w:pStyle w:val="TableText1"/>
            </w:pPr>
            <w:r>
              <w:t>1.0 (reference)</w:t>
            </w:r>
          </w:p>
        </w:tc>
      </w:tr>
      <w:tr w:rsidR="009F0065" w14:paraId="7CAC02F4" w14:textId="77777777" w:rsidTr="006F4EBA">
        <w:tc>
          <w:tcPr>
            <w:tcW w:w="831" w:type="pct"/>
            <w:vMerge/>
          </w:tcPr>
          <w:p w14:paraId="061DB698" w14:textId="77777777" w:rsidR="009F0065" w:rsidRPr="009C6DE4" w:rsidRDefault="009F0065" w:rsidP="006F4EBA">
            <w:pPr>
              <w:pStyle w:val="TableText1"/>
            </w:pPr>
          </w:p>
        </w:tc>
        <w:tc>
          <w:tcPr>
            <w:tcW w:w="660" w:type="pct"/>
            <w:vMerge/>
          </w:tcPr>
          <w:p w14:paraId="3CF289DC" w14:textId="77777777" w:rsidR="009F0065" w:rsidRDefault="009F0065" w:rsidP="006F4EBA">
            <w:pPr>
              <w:pStyle w:val="TableText1"/>
            </w:pPr>
          </w:p>
        </w:tc>
        <w:tc>
          <w:tcPr>
            <w:tcW w:w="1422" w:type="pct"/>
          </w:tcPr>
          <w:p w14:paraId="3F9F8FF1" w14:textId="77777777" w:rsidR="009F0065" w:rsidRDefault="009F0065" w:rsidP="006F4EBA">
            <w:pPr>
              <w:pStyle w:val="TableText1"/>
            </w:pPr>
            <w:r>
              <w:t xml:space="preserve">3 </w:t>
            </w:r>
          </w:p>
        </w:tc>
        <w:tc>
          <w:tcPr>
            <w:tcW w:w="464" w:type="pct"/>
          </w:tcPr>
          <w:p w14:paraId="6761F447" w14:textId="77777777" w:rsidR="009F0065" w:rsidRDefault="009F0065" w:rsidP="006F4EBA">
            <w:pPr>
              <w:pStyle w:val="TableText1"/>
            </w:pPr>
            <w:r>
              <w:t>250</w:t>
            </w:r>
          </w:p>
        </w:tc>
        <w:tc>
          <w:tcPr>
            <w:tcW w:w="1622" w:type="pct"/>
          </w:tcPr>
          <w:p w14:paraId="33E53EEE" w14:textId="77777777" w:rsidR="009F0065" w:rsidRDefault="009F0065" w:rsidP="006F4EBA">
            <w:pPr>
              <w:pStyle w:val="TableText1"/>
            </w:pPr>
            <w:r>
              <w:t>1.7 (1.2, 2.4)</w:t>
            </w:r>
          </w:p>
        </w:tc>
      </w:tr>
      <w:tr w:rsidR="009F0065" w14:paraId="3C5A5AD5" w14:textId="77777777" w:rsidTr="006F4EBA">
        <w:tc>
          <w:tcPr>
            <w:tcW w:w="831" w:type="pct"/>
            <w:vMerge/>
          </w:tcPr>
          <w:p w14:paraId="6DFA4A51" w14:textId="77777777" w:rsidR="009F0065" w:rsidRPr="009C6DE4" w:rsidRDefault="009F0065" w:rsidP="006F4EBA">
            <w:pPr>
              <w:pStyle w:val="TableText1"/>
            </w:pPr>
          </w:p>
        </w:tc>
        <w:tc>
          <w:tcPr>
            <w:tcW w:w="660" w:type="pct"/>
            <w:vMerge/>
          </w:tcPr>
          <w:p w14:paraId="3601F30C" w14:textId="77777777" w:rsidR="009F0065" w:rsidRDefault="009F0065" w:rsidP="006F4EBA">
            <w:pPr>
              <w:pStyle w:val="TableText1"/>
            </w:pPr>
          </w:p>
        </w:tc>
        <w:tc>
          <w:tcPr>
            <w:tcW w:w="1422" w:type="pct"/>
          </w:tcPr>
          <w:p w14:paraId="03D5E350" w14:textId="77777777" w:rsidR="009F0065" w:rsidRDefault="009F0065" w:rsidP="006F4EBA">
            <w:pPr>
              <w:pStyle w:val="TableText1"/>
            </w:pPr>
            <w:r>
              <w:t xml:space="preserve">4 </w:t>
            </w:r>
          </w:p>
        </w:tc>
        <w:tc>
          <w:tcPr>
            <w:tcW w:w="464" w:type="pct"/>
          </w:tcPr>
          <w:p w14:paraId="3F7E2045" w14:textId="77777777" w:rsidR="009F0065" w:rsidRDefault="009F0065" w:rsidP="006F4EBA">
            <w:pPr>
              <w:pStyle w:val="TableText1"/>
            </w:pPr>
            <w:r>
              <w:t>542</w:t>
            </w:r>
          </w:p>
        </w:tc>
        <w:tc>
          <w:tcPr>
            <w:tcW w:w="1622" w:type="pct"/>
          </w:tcPr>
          <w:p w14:paraId="64A8D759" w14:textId="77777777" w:rsidR="009F0065" w:rsidRPr="00DB51E0" w:rsidRDefault="009F0065" w:rsidP="006F4EBA">
            <w:pPr>
              <w:pStyle w:val="TableText1"/>
              <w:rPr>
                <w:b/>
              </w:rPr>
            </w:pPr>
            <w:r w:rsidRPr="00DB51E0">
              <w:rPr>
                <w:b/>
              </w:rPr>
              <w:t>2.7 (1.9, 3.9)</w:t>
            </w:r>
          </w:p>
        </w:tc>
      </w:tr>
      <w:tr w:rsidR="009F0065" w14:paraId="0E1DA03C" w14:textId="77777777" w:rsidTr="006F4EBA">
        <w:tc>
          <w:tcPr>
            <w:tcW w:w="831" w:type="pct"/>
            <w:vMerge/>
          </w:tcPr>
          <w:p w14:paraId="715B6DA0" w14:textId="77777777" w:rsidR="009F0065" w:rsidRPr="009C6DE4" w:rsidRDefault="009F0065" w:rsidP="006F4EBA">
            <w:pPr>
              <w:pStyle w:val="TableText1"/>
            </w:pPr>
          </w:p>
        </w:tc>
        <w:tc>
          <w:tcPr>
            <w:tcW w:w="660" w:type="pct"/>
            <w:vMerge/>
          </w:tcPr>
          <w:p w14:paraId="5B898191" w14:textId="77777777" w:rsidR="009F0065" w:rsidRDefault="009F0065" w:rsidP="006F4EBA">
            <w:pPr>
              <w:pStyle w:val="TableText1"/>
            </w:pPr>
          </w:p>
        </w:tc>
        <w:tc>
          <w:tcPr>
            <w:tcW w:w="1422" w:type="pct"/>
          </w:tcPr>
          <w:p w14:paraId="453C8DFD" w14:textId="77777777" w:rsidR="009F0065" w:rsidRDefault="009F0065" w:rsidP="006F4EBA">
            <w:pPr>
              <w:pStyle w:val="TableText1"/>
            </w:pPr>
            <w:r>
              <w:t xml:space="preserve">5 </w:t>
            </w:r>
          </w:p>
        </w:tc>
        <w:tc>
          <w:tcPr>
            <w:tcW w:w="464" w:type="pct"/>
          </w:tcPr>
          <w:p w14:paraId="3F1FF57B" w14:textId="77777777" w:rsidR="009F0065" w:rsidRDefault="009F0065" w:rsidP="006F4EBA">
            <w:pPr>
              <w:pStyle w:val="TableText1"/>
            </w:pPr>
            <w:r>
              <w:t>900</w:t>
            </w:r>
          </w:p>
        </w:tc>
        <w:tc>
          <w:tcPr>
            <w:tcW w:w="1622" w:type="pct"/>
          </w:tcPr>
          <w:p w14:paraId="48194FF7" w14:textId="77777777" w:rsidR="009F0065" w:rsidRPr="00DB51E0" w:rsidRDefault="009F0065" w:rsidP="006F4EBA">
            <w:pPr>
              <w:pStyle w:val="TableText1"/>
              <w:rPr>
                <w:b/>
              </w:rPr>
            </w:pPr>
            <w:r w:rsidRPr="00DB51E0">
              <w:rPr>
                <w:b/>
              </w:rPr>
              <w:t>2.8 (1.7, 4.6)</w:t>
            </w:r>
          </w:p>
        </w:tc>
      </w:tr>
      <w:tr w:rsidR="009F0065" w14:paraId="703E10AD" w14:textId="77777777" w:rsidTr="006F4EBA">
        <w:tc>
          <w:tcPr>
            <w:tcW w:w="831" w:type="pct"/>
            <w:vMerge/>
          </w:tcPr>
          <w:p w14:paraId="2198C7AF" w14:textId="77777777" w:rsidR="009F0065" w:rsidRPr="009C6DE4" w:rsidRDefault="009F0065" w:rsidP="006F4EBA">
            <w:pPr>
              <w:pStyle w:val="TableText1"/>
            </w:pPr>
          </w:p>
        </w:tc>
        <w:tc>
          <w:tcPr>
            <w:tcW w:w="660" w:type="pct"/>
            <w:vMerge/>
          </w:tcPr>
          <w:p w14:paraId="7D314CA7" w14:textId="77777777" w:rsidR="009F0065" w:rsidRDefault="009F0065" w:rsidP="006F4EBA">
            <w:pPr>
              <w:pStyle w:val="TableText1"/>
            </w:pPr>
          </w:p>
        </w:tc>
        <w:tc>
          <w:tcPr>
            <w:tcW w:w="1422" w:type="pct"/>
          </w:tcPr>
          <w:p w14:paraId="675698D4" w14:textId="77777777" w:rsidR="009F0065" w:rsidRDefault="009F0065" w:rsidP="006F4EBA">
            <w:pPr>
              <w:pStyle w:val="TableText1"/>
            </w:pPr>
            <w:r>
              <w:t xml:space="preserve">6+ </w:t>
            </w:r>
          </w:p>
        </w:tc>
        <w:tc>
          <w:tcPr>
            <w:tcW w:w="464" w:type="pct"/>
          </w:tcPr>
          <w:p w14:paraId="0031E818" w14:textId="77777777" w:rsidR="009F0065" w:rsidRDefault="009F0065" w:rsidP="006F4EBA">
            <w:pPr>
              <w:pStyle w:val="TableText1"/>
            </w:pPr>
            <w:r>
              <w:t>977</w:t>
            </w:r>
          </w:p>
        </w:tc>
        <w:tc>
          <w:tcPr>
            <w:tcW w:w="1622" w:type="pct"/>
          </w:tcPr>
          <w:p w14:paraId="15A1837D" w14:textId="77777777" w:rsidR="009F0065" w:rsidRPr="00DB51E0" w:rsidRDefault="009F0065" w:rsidP="006F4EBA">
            <w:pPr>
              <w:pStyle w:val="TableText1"/>
              <w:rPr>
                <w:b/>
              </w:rPr>
            </w:pPr>
            <w:r w:rsidRPr="00DB51E0">
              <w:rPr>
                <w:b/>
              </w:rPr>
              <w:t>2.1 (14, 3.1)</w:t>
            </w:r>
          </w:p>
        </w:tc>
      </w:tr>
      <w:tr w:rsidR="009F0065" w14:paraId="71BA2618" w14:textId="77777777" w:rsidTr="006F4EBA">
        <w:tc>
          <w:tcPr>
            <w:tcW w:w="831" w:type="pct"/>
            <w:vMerge/>
          </w:tcPr>
          <w:p w14:paraId="1812A2E2" w14:textId="77777777" w:rsidR="009F0065" w:rsidRPr="009C6DE4" w:rsidRDefault="009F0065" w:rsidP="006F4EBA">
            <w:pPr>
              <w:pStyle w:val="TableText1"/>
            </w:pPr>
          </w:p>
        </w:tc>
        <w:tc>
          <w:tcPr>
            <w:tcW w:w="660" w:type="pct"/>
            <w:vMerge/>
          </w:tcPr>
          <w:p w14:paraId="1DFF82A8" w14:textId="77777777" w:rsidR="009F0065" w:rsidRDefault="009F0065" w:rsidP="006F4EBA">
            <w:pPr>
              <w:pStyle w:val="TableText1"/>
            </w:pPr>
          </w:p>
        </w:tc>
        <w:tc>
          <w:tcPr>
            <w:tcW w:w="1422" w:type="pct"/>
          </w:tcPr>
          <w:p w14:paraId="6E44369A" w14:textId="77777777" w:rsidR="009F0065" w:rsidRDefault="009F0065" w:rsidP="006F4EBA">
            <w:pPr>
              <w:pStyle w:val="In-tableHeading"/>
            </w:pPr>
            <w:r>
              <w:t>No. of likely effective drugs in continuation phase</w:t>
            </w:r>
          </w:p>
        </w:tc>
        <w:tc>
          <w:tcPr>
            <w:tcW w:w="464" w:type="pct"/>
          </w:tcPr>
          <w:p w14:paraId="49EFAE67" w14:textId="77777777" w:rsidR="009F0065" w:rsidRDefault="009F0065" w:rsidP="006F4EBA">
            <w:pPr>
              <w:pStyle w:val="In-tableHeading"/>
            </w:pPr>
            <w:r>
              <w:t>N</w:t>
            </w:r>
          </w:p>
        </w:tc>
        <w:tc>
          <w:tcPr>
            <w:tcW w:w="1622" w:type="pct"/>
          </w:tcPr>
          <w:p w14:paraId="0B027405" w14:textId="77777777" w:rsidR="009F0065" w:rsidRDefault="009F0065" w:rsidP="006F4EBA">
            <w:pPr>
              <w:pStyle w:val="In-tableHeading"/>
            </w:pPr>
            <w:r>
              <w:t xml:space="preserve">Success versus fail/relapse/death </w:t>
            </w:r>
          </w:p>
          <w:p w14:paraId="7829AC0B" w14:textId="77777777" w:rsidR="009F0065" w:rsidRDefault="009F0065" w:rsidP="006F4EBA">
            <w:pPr>
              <w:pStyle w:val="In-tableHeading"/>
            </w:pPr>
            <w:proofErr w:type="spellStart"/>
            <w:r>
              <w:t>aOR</w:t>
            </w:r>
            <w:proofErr w:type="spellEnd"/>
            <w:r>
              <w:t xml:space="preserve"> (95%CI)</w:t>
            </w:r>
          </w:p>
        </w:tc>
      </w:tr>
      <w:tr w:rsidR="009F0065" w14:paraId="1713C551" w14:textId="77777777" w:rsidTr="006F4EBA">
        <w:tc>
          <w:tcPr>
            <w:tcW w:w="831" w:type="pct"/>
            <w:vMerge/>
          </w:tcPr>
          <w:p w14:paraId="0D54498D" w14:textId="77777777" w:rsidR="009F0065" w:rsidRPr="009C6DE4" w:rsidRDefault="009F0065" w:rsidP="006F4EBA">
            <w:pPr>
              <w:pStyle w:val="TableText1"/>
            </w:pPr>
          </w:p>
        </w:tc>
        <w:tc>
          <w:tcPr>
            <w:tcW w:w="660" w:type="pct"/>
            <w:vMerge/>
          </w:tcPr>
          <w:p w14:paraId="7596702D" w14:textId="77777777" w:rsidR="009F0065" w:rsidRDefault="009F0065" w:rsidP="006F4EBA">
            <w:pPr>
              <w:pStyle w:val="TableText1"/>
            </w:pPr>
          </w:p>
        </w:tc>
        <w:tc>
          <w:tcPr>
            <w:tcW w:w="1422" w:type="pct"/>
          </w:tcPr>
          <w:p w14:paraId="275A52E7" w14:textId="77777777" w:rsidR="009F0065" w:rsidRPr="00B7594D" w:rsidRDefault="009F0065" w:rsidP="006F4EBA">
            <w:pPr>
              <w:pStyle w:val="TableText1"/>
            </w:pPr>
            <w:r w:rsidRPr="00B7594D">
              <w:t xml:space="preserve">0-2 </w:t>
            </w:r>
          </w:p>
        </w:tc>
        <w:tc>
          <w:tcPr>
            <w:tcW w:w="464" w:type="pct"/>
          </w:tcPr>
          <w:p w14:paraId="4F2B38C4" w14:textId="77777777" w:rsidR="009F0065" w:rsidRPr="00B7594D" w:rsidRDefault="009F0065" w:rsidP="006F4EBA">
            <w:pPr>
              <w:pStyle w:val="TableText1"/>
            </w:pPr>
            <w:r>
              <w:t>531</w:t>
            </w:r>
          </w:p>
        </w:tc>
        <w:tc>
          <w:tcPr>
            <w:tcW w:w="1622" w:type="pct"/>
          </w:tcPr>
          <w:p w14:paraId="482D90AB" w14:textId="77777777" w:rsidR="009F0065" w:rsidRPr="00B7594D" w:rsidRDefault="009F0065" w:rsidP="006F4EBA">
            <w:pPr>
              <w:pStyle w:val="TableText1"/>
            </w:pPr>
            <w:r>
              <w:t>1.0 (reference)</w:t>
            </w:r>
          </w:p>
        </w:tc>
      </w:tr>
      <w:tr w:rsidR="009F0065" w14:paraId="29F327A3" w14:textId="77777777" w:rsidTr="006F4EBA">
        <w:tc>
          <w:tcPr>
            <w:tcW w:w="831" w:type="pct"/>
            <w:vMerge/>
          </w:tcPr>
          <w:p w14:paraId="6C857C0E" w14:textId="77777777" w:rsidR="009F0065" w:rsidRPr="009C6DE4" w:rsidRDefault="009F0065" w:rsidP="006F4EBA">
            <w:pPr>
              <w:pStyle w:val="TableText1"/>
            </w:pPr>
          </w:p>
        </w:tc>
        <w:tc>
          <w:tcPr>
            <w:tcW w:w="660" w:type="pct"/>
            <w:vMerge/>
          </w:tcPr>
          <w:p w14:paraId="57F517CD" w14:textId="77777777" w:rsidR="009F0065" w:rsidRDefault="009F0065" w:rsidP="006F4EBA">
            <w:pPr>
              <w:pStyle w:val="TableText1"/>
            </w:pPr>
          </w:p>
        </w:tc>
        <w:tc>
          <w:tcPr>
            <w:tcW w:w="1422" w:type="pct"/>
          </w:tcPr>
          <w:p w14:paraId="709EF0E8" w14:textId="77777777" w:rsidR="009F0065" w:rsidRPr="00B7594D" w:rsidRDefault="009F0065" w:rsidP="006F4EBA">
            <w:pPr>
              <w:pStyle w:val="TableText1"/>
            </w:pPr>
            <w:r w:rsidRPr="00B7594D">
              <w:t xml:space="preserve">3 </w:t>
            </w:r>
          </w:p>
        </w:tc>
        <w:tc>
          <w:tcPr>
            <w:tcW w:w="464" w:type="pct"/>
          </w:tcPr>
          <w:p w14:paraId="1C8CE187" w14:textId="77777777" w:rsidR="009F0065" w:rsidRPr="00B7594D" w:rsidRDefault="009F0065" w:rsidP="006F4EBA">
            <w:pPr>
              <w:pStyle w:val="TableText1"/>
            </w:pPr>
            <w:r>
              <w:t>635</w:t>
            </w:r>
          </w:p>
        </w:tc>
        <w:tc>
          <w:tcPr>
            <w:tcW w:w="1622" w:type="pct"/>
          </w:tcPr>
          <w:p w14:paraId="63B4CB96" w14:textId="77777777" w:rsidR="009F0065" w:rsidRPr="00DB51E0" w:rsidRDefault="009F0065" w:rsidP="006F4EBA">
            <w:pPr>
              <w:pStyle w:val="TableText1"/>
              <w:rPr>
                <w:b/>
              </w:rPr>
            </w:pPr>
            <w:r w:rsidRPr="00DB51E0">
              <w:rPr>
                <w:b/>
              </w:rPr>
              <w:t>5.7 (3.4, 9.7)</w:t>
            </w:r>
          </w:p>
        </w:tc>
      </w:tr>
      <w:tr w:rsidR="009F0065" w14:paraId="566B2525" w14:textId="77777777" w:rsidTr="006F4EBA">
        <w:tc>
          <w:tcPr>
            <w:tcW w:w="831" w:type="pct"/>
            <w:vMerge/>
          </w:tcPr>
          <w:p w14:paraId="70447280" w14:textId="77777777" w:rsidR="009F0065" w:rsidRPr="009C6DE4" w:rsidRDefault="009F0065" w:rsidP="006F4EBA">
            <w:pPr>
              <w:pStyle w:val="TableText1"/>
            </w:pPr>
          </w:p>
        </w:tc>
        <w:tc>
          <w:tcPr>
            <w:tcW w:w="660" w:type="pct"/>
            <w:vMerge/>
          </w:tcPr>
          <w:p w14:paraId="0CE993FC" w14:textId="77777777" w:rsidR="009F0065" w:rsidRDefault="009F0065" w:rsidP="006F4EBA">
            <w:pPr>
              <w:pStyle w:val="TableText1"/>
            </w:pPr>
          </w:p>
        </w:tc>
        <w:tc>
          <w:tcPr>
            <w:tcW w:w="1422" w:type="pct"/>
          </w:tcPr>
          <w:p w14:paraId="77DEEB35" w14:textId="77777777" w:rsidR="009F0065" w:rsidRPr="00B7594D" w:rsidRDefault="009F0065" w:rsidP="006F4EBA">
            <w:pPr>
              <w:pStyle w:val="TableText1"/>
            </w:pPr>
            <w:r w:rsidRPr="00B7594D">
              <w:t xml:space="preserve">4 </w:t>
            </w:r>
          </w:p>
        </w:tc>
        <w:tc>
          <w:tcPr>
            <w:tcW w:w="464" w:type="pct"/>
          </w:tcPr>
          <w:p w14:paraId="3DF24717" w14:textId="77777777" w:rsidR="009F0065" w:rsidRPr="00B7594D" w:rsidRDefault="009F0065" w:rsidP="006F4EBA">
            <w:pPr>
              <w:pStyle w:val="TableText1"/>
            </w:pPr>
            <w:r>
              <w:t>663</w:t>
            </w:r>
          </w:p>
        </w:tc>
        <w:tc>
          <w:tcPr>
            <w:tcW w:w="1622" w:type="pct"/>
          </w:tcPr>
          <w:p w14:paraId="129E1A7F" w14:textId="77777777" w:rsidR="009F0065" w:rsidRPr="00DB51E0" w:rsidRDefault="009F0065" w:rsidP="006F4EBA">
            <w:pPr>
              <w:pStyle w:val="TableText1"/>
              <w:rPr>
                <w:b/>
              </w:rPr>
            </w:pPr>
            <w:r w:rsidRPr="00DB51E0">
              <w:rPr>
                <w:b/>
              </w:rPr>
              <w:t>5.7 (3.2, 10.0)</w:t>
            </w:r>
          </w:p>
        </w:tc>
      </w:tr>
      <w:tr w:rsidR="009F0065" w14:paraId="2BC23B20" w14:textId="77777777" w:rsidTr="006F4EBA">
        <w:tc>
          <w:tcPr>
            <w:tcW w:w="831" w:type="pct"/>
            <w:vMerge/>
          </w:tcPr>
          <w:p w14:paraId="677CE052" w14:textId="77777777" w:rsidR="009F0065" w:rsidRPr="009C6DE4" w:rsidRDefault="009F0065" w:rsidP="006F4EBA">
            <w:pPr>
              <w:pStyle w:val="TableText1"/>
            </w:pPr>
          </w:p>
        </w:tc>
        <w:tc>
          <w:tcPr>
            <w:tcW w:w="660" w:type="pct"/>
            <w:vMerge/>
          </w:tcPr>
          <w:p w14:paraId="3CB68880" w14:textId="77777777" w:rsidR="009F0065" w:rsidRDefault="009F0065" w:rsidP="006F4EBA">
            <w:pPr>
              <w:pStyle w:val="TableText1"/>
            </w:pPr>
          </w:p>
        </w:tc>
        <w:tc>
          <w:tcPr>
            <w:tcW w:w="1422" w:type="pct"/>
          </w:tcPr>
          <w:p w14:paraId="419F60C1" w14:textId="77777777" w:rsidR="009F0065" w:rsidRPr="00B7594D" w:rsidRDefault="009F0065" w:rsidP="006F4EBA">
            <w:pPr>
              <w:pStyle w:val="TableText1"/>
            </w:pPr>
            <w:r w:rsidRPr="00B7594D">
              <w:t>5</w:t>
            </w:r>
            <w:r>
              <w:t>+</w:t>
            </w:r>
            <w:r w:rsidRPr="00B7594D">
              <w:t xml:space="preserve"> </w:t>
            </w:r>
          </w:p>
        </w:tc>
        <w:tc>
          <w:tcPr>
            <w:tcW w:w="464" w:type="pct"/>
          </w:tcPr>
          <w:p w14:paraId="1A4FA62E" w14:textId="77777777" w:rsidR="009F0065" w:rsidRPr="00B7594D" w:rsidRDefault="009F0065" w:rsidP="006F4EBA">
            <w:pPr>
              <w:pStyle w:val="TableText1"/>
            </w:pPr>
            <w:r>
              <w:t>608</w:t>
            </w:r>
          </w:p>
        </w:tc>
        <w:tc>
          <w:tcPr>
            <w:tcW w:w="1622" w:type="pct"/>
          </w:tcPr>
          <w:p w14:paraId="7CA6F2EC" w14:textId="77777777" w:rsidR="009F0065" w:rsidRPr="00DB51E0" w:rsidRDefault="009F0065" w:rsidP="006F4EBA">
            <w:pPr>
              <w:pStyle w:val="TableText1"/>
              <w:rPr>
                <w:b/>
              </w:rPr>
            </w:pPr>
            <w:r w:rsidRPr="00DB51E0">
              <w:rPr>
                <w:b/>
              </w:rPr>
              <w:t>7.0 (5.1, 9.7)</w:t>
            </w:r>
          </w:p>
        </w:tc>
      </w:tr>
    </w:tbl>
    <w:p w14:paraId="53827D02" w14:textId="0220B4F2" w:rsidR="009F0065" w:rsidRDefault="009F0065" w:rsidP="00644745">
      <w:pPr>
        <w:pStyle w:val="Tablenotes0"/>
      </w:pPr>
      <w:proofErr w:type="spellStart"/>
      <w:r>
        <w:t>aOR</w:t>
      </w:r>
      <w:proofErr w:type="spellEnd"/>
      <w:r>
        <w:t xml:space="preserve"> =adjusted odds ratio (adjusted for age, sex, human immunodeficiency virus, past TB treatment, past MDR-TB treatment (treatment for more than 1 month with 2 or more second-line drugs) and extent of disease; MDR-TB = multidrug resistant TB</w:t>
      </w:r>
    </w:p>
    <w:p w14:paraId="5002909D" w14:textId="77777777" w:rsidR="009F0065" w:rsidRPr="006F4EBA" w:rsidRDefault="009F0065" w:rsidP="00644745">
      <w:pPr>
        <w:pStyle w:val="Heading2"/>
      </w:pPr>
      <w:bookmarkStart w:id="26" w:name="_Toc90153899"/>
      <w:r w:rsidRPr="006F4EBA">
        <w:t>Impact of WGS on transmission of infection to other people</w:t>
      </w:r>
      <w:bookmarkEnd w:id="26"/>
    </w:p>
    <w:p w14:paraId="0D72BD8A" w14:textId="77777777" w:rsidR="009F0065" w:rsidRPr="006F4EBA" w:rsidRDefault="009F0065" w:rsidP="009F0065">
      <w:pPr>
        <w:rPr>
          <w:rFonts w:ascii="Franklin Gothic Book" w:hAnsi="Franklin Gothic Book"/>
          <w:sz w:val="22"/>
          <w:szCs w:val="22"/>
        </w:rPr>
      </w:pPr>
      <w:r w:rsidRPr="006F4EBA">
        <w:rPr>
          <w:rFonts w:ascii="Franklin Gothic Book" w:hAnsi="Franklin Gothic Book"/>
          <w:sz w:val="22"/>
          <w:szCs w:val="22"/>
        </w:rPr>
        <w:t xml:space="preserve">No data were found on the impact of WGS on reducing transmission of TB. </w:t>
      </w:r>
    </w:p>
    <w:p w14:paraId="05DE1D32" w14:textId="029B9366" w:rsidR="009F0065" w:rsidRPr="006F4EBA" w:rsidRDefault="009F0065" w:rsidP="009F0065">
      <w:pPr>
        <w:rPr>
          <w:rFonts w:ascii="Franklin Gothic Book" w:hAnsi="Franklin Gothic Book"/>
          <w:sz w:val="22"/>
          <w:szCs w:val="22"/>
        </w:rPr>
      </w:pPr>
      <w:r w:rsidRPr="006F4EBA">
        <w:rPr>
          <w:rFonts w:ascii="Franklin Gothic Book" w:hAnsi="Franklin Gothic Book"/>
          <w:sz w:val="22"/>
          <w:szCs w:val="22"/>
        </w:rPr>
        <w:t xml:space="preserve">Prior to the availability of WGS, the relatedness of cases was determined using 24-locus mycobacterium interspersed repetitive unit (MIRU-24) genotyping. </w:t>
      </w:r>
      <w:proofErr w:type="spellStart"/>
      <w:r w:rsidRPr="006F4EBA">
        <w:rPr>
          <w:rFonts w:ascii="Franklin Gothic Book" w:hAnsi="Franklin Gothic Book"/>
          <w:sz w:val="22"/>
          <w:szCs w:val="22"/>
        </w:rPr>
        <w:t>Gurjav</w:t>
      </w:r>
      <w:proofErr w:type="spellEnd"/>
      <w:r w:rsidRPr="006F4EBA">
        <w:rPr>
          <w:rFonts w:ascii="Franklin Gothic Book" w:hAnsi="Franklin Gothic Book"/>
          <w:sz w:val="22"/>
          <w:szCs w:val="22"/>
        </w:rPr>
        <w:t xml:space="preserve"> et al. (2016) retrospectively assessed all cases with culture confirmed </w:t>
      </w:r>
      <w:r w:rsidRPr="006F4EBA">
        <w:rPr>
          <w:rFonts w:ascii="Franklin Gothic Book" w:hAnsi="Franklin Gothic Book"/>
          <w:i/>
          <w:sz w:val="22"/>
          <w:szCs w:val="22"/>
        </w:rPr>
        <w:t>M. tuberculosis</w:t>
      </w:r>
      <w:r w:rsidRPr="006F4EBA">
        <w:rPr>
          <w:rFonts w:ascii="Franklin Gothic Book" w:hAnsi="Franklin Gothic Book"/>
          <w:sz w:val="22"/>
          <w:szCs w:val="22"/>
        </w:rPr>
        <w:t xml:space="preserve"> from NSW between 2009 and 2013, where demographic and MIRU-24 data were available. From MIRU-24, it was estimated that up to 12.8 per cent of cases were clustered (having the same strain as another case) and may be from recent transmission. However, when WGS was used for single nucleotide </w:t>
      </w:r>
      <w:r w:rsidRPr="006F4EBA">
        <w:rPr>
          <w:rFonts w:ascii="Franklin Gothic Book" w:hAnsi="Franklin Gothic Book"/>
          <w:sz w:val="22"/>
          <w:szCs w:val="22"/>
        </w:rPr>
        <w:lastRenderedPageBreak/>
        <w:t>polymorphism (SNP) analysis of the four largest MIRU-24 clusters (accounting for 71.8% of clustered cases in NSW), only a single case of local transmission (reduced from 26 to 1) was identified. Local transmission of TB within Australia is therefore rare. This is supported by reports of reproduction numbers (R numbers) for TB well below 1 in developed countries, such as 0.55 in the USA and 0.26 in the Netherlands (Ma et al., 2018).</w:t>
      </w:r>
    </w:p>
    <w:p w14:paraId="3512B446" w14:textId="77777777" w:rsidR="009F0065" w:rsidRPr="006F4EBA" w:rsidRDefault="009F0065" w:rsidP="00644745">
      <w:pPr>
        <w:spacing w:before="240"/>
        <w:rPr>
          <w:rFonts w:ascii="Franklin Gothic Book" w:hAnsi="Franklin Gothic Book"/>
          <w:sz w:val="22"/>
          <w:szCs w:val="22"/>
        </w:rPr>
      </w:pPr>
      <w:r w:rsidRPr="006F4EBA">
        <w:rPr>
          <w:rFonts w:ascii="Franklin Gothic Book" w:hAnsi="Franklin Gothic Book"/>
          <w:sz w:val="22"/>
          <w:szCs w:val="22"/>
        </w:rPr>
        <w:t xml:space="preserve">Transmission is most likely to occur prior to diagnosis and initiation of effective treatment. Cases that are potentially infectious (such as those with sputum smear positive, pulmonary TB) are recommended to isolate. If social circumstances in the home do not allow the person to isolate, then hospitalisation (in a negative pressure room) is recommended until discharge criteria are met (a reduction or absence of cough, reduced smear burden or smear negativity, assured treatment and an appropriate discharge plan) </w:t>
      </w:r>
      <w:r w:rsidRPr="006F4EBA">
        <w:rPr>
          <w:rFonts w:ascii="Franklin Gothic Book" w:hAnsi="Franklin Gothic Book"/>
          <w:sz w:val="22"/>
          <w:szCs w:val="22"/>
        </w:rPr>
        <w:fldChar w:fldCharType="begin"/>
      </w:r>
      <w:r w:rsidRPr="006F4EBA">
        <w:rPr>
          <w:rFonts w:ascii="Franklin Gothic Book" w:hAnsi="Franklin Gothic Book"/>
          <w:sz w:val="22"/>
          <w:szCs w:val="22"/>
        </w:rPr>
        <w:instrText xml:space="preserve"> ADDIN EN.CITE &lt;EndNote&gt;&lt;Cite&gt;&lt;Author&gt;Communicable Disease Network Australia&lt;/Author&gt;&lt;Year&gt;2015&lt;/Year&gt;&lt;RecNum&gt;152&lt;/RecNum&gt;&lt;DisplayText&gt;(Communicable Disease Network Australia 2015)&lt;/DisplayText&gt;&lt;record&gt;&lt;rec-number&gt;152&lt;/rec-number&gt;&lt;foreign-keys&gt;&lt;key app="EN" db-id="vdf9px0aurs9vmexfr1xweabwwwr5tevreas" timestamp="1638157286" guid="0faac4e8-74e9-404c-b6b7-92c12abd9017"&gt;152&lt;/key&gt;&lt;/foreign-keys&gt;&lt;ref-type name="Government Document"&gt;46&lt;/ref-type&gt;&lt;contributors&gt;&lt;authors&gt;&lt;author&gt;Communicable Disease Network Australia,&lt;/author&gt;&lt;/authors&gt;&lt;/contributors&gt;&lt;titles&gt;&lt;title&gt;Tuberculosis (TB) CNDA National guidelines for the public health management of TB&lt;/title&gt;&lt;/titles&gt;&lt;dates&gt;&lt;year&gt;2015&lt;/year&gt;&lt;/dates&gt;&lt;urls&gt;&lt;related-urls&gt;&lt;url&gt;https://www1.health.gov.au/internet/main/publishing.nsf/Content/D140EDF48C0A0CEACA257BF0001A3537/$File/TB-2.0-april2015.pdf&lt;/url&gt;&lt;/related-urls&gt;&lt;/urls&gt;&lt;/record&gt;&lt;/Cite&gt;&lt;/EndNote&gt;</w:instrText>
      </w:r>
      <w:r w:rsidRPr="006F4EBA">
        <w:rPr>
          <w:rFonts w:ascii="Franklin Gothic Book" w:hAnsi="Franklin Gothic Book"/>
          <w:sz w:val="22"/>
          <w:szCs w:val="22"/>
        </w:rPr>
        <w:fldChar w:fldCharType="separate"/>
      </w:r>
      <w:r w:rsidRPr="006F4EBA">
        <w:rPr>
          <w:rFonts w:ascii="Franklin Gothic Book" w:hAnsi="Franklin Gothic Book"/>
          <w:noProof/>
          <w:sz w:val="22"/>
          <w:szCs w:val="22"/>
        </w:rPr>
        <w:t>(Communicable Disease Network Australia 2015)</w:t>
      </w:r>
      <w:r w:rsidRPr="006F4EBA">
        <w:rPr>
          <w:rFonts w:ascii="Franklin Gothic Book" w:hAnsi="Franklin Gothic Book"/>
          <w:sz w:val="22"/>
          <w:szCs w:val="22"/>
        </w:rPr>
        <w:fldChar w:fldCharType="end"/>
      </w:r>
      <w:r w:rsidRPr="006F4EBA">
        <w:rPr>
          <w:rFonts w:ascii="Franklin Gothic Book" w:hAnsi="Franklin Gothic Book"/>
          <w:sz w:val="22"/>
          <w:szCs w:val="22"/>
        </w:rPr>
        <w:t xml:space="preserve">. Although there will be a small number of patients in whom the use of WGS results in faster initiation of effective treatment, the target population are those already diagnosed, and who should be isolating until they show signs of improvement. The likelihood of transmission occurring within the window of time between WGS results are returned, and when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results are returned, is therefore negligible.  </w:t>
      </w:r>
    </w:p>
    <w:p w14:paraId="299AA23F" w14:textId="77777777" w:rsidR="009F0065" w:rsidRPr="006F4EBA" w:rsidRDefault="009F0065" w:rsidP="00E72E00">
      <w:pPr>
        <w:pStyle w:val="Heading2"/>
      </w:pPr>
      <w:r w:rsidRPr="006F4EBA">
        <w:t>Clinical claim</w:t>
      </w:r>
    </w:p>
    <w:p w14:paraId="2C4F02EF" w14:textId="3333CC79" w:rsidR="009F0065" w:rsidRDefault="009F0065" w:rsidP="005766AB">
      <w:pPr>
        <w:rPr>
          <w:rFonts w:ascii="Franklin Gothic Book" w:hAnsi="Franklin Gothic Book"/>
          <w:sz w:val="22"/>
          <w:szCs w:val="22"/>
        </w:rPr>
      </w:pPr>
      <w:r w:rsidRPr="005766AB">
        <w:rPr>
          <w:rFonts w:ascii="Franklin Gothic Book" w:hAnsi="Franklin Gothic Book"/>
          <w:sz w:val="22"/>
          <w:szCs w:val="22"/>
        </w:rPr>
        <w:t>Overall (for all patients tested):</w:t>
      </w:r>
    </w:p>
    <w:p w14:paraId="6E305F91" w14:textId="2E41D0FF" w:rsidR="009F0065" w:rsidRPr="006F4EBA" w:rsidRDefault="009F0065" w:rsidP="00644745">
      <w:pPr>
        <w:spacing w:before="240"/>
        <w:rPr>
          <w:rFonts w:ascii="Franklin Gothic Book" w:hAnsi="Franklin Gothic Book"/>
          <w:sz w:val="22"/>
          <w:szCs w:val="22"/>
        </w:rPr>
      </w:pPr>
      <w:r w:rsidRPr="006F4EBA">
        <w:rPr>
          <w:rFonts w:ascii="Franklin Gothic Book" w:hAnsi="Franklin Gothic Book"/>
          <w:sz w:val="22"/>
          <w:szCs w:val="22"/>
        </w:rPr>
        <w:t xml:space="preserve">The use of WGS in addition to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results in superior effectiveness compared with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alone.</w:t>
      </w:r>
    </w:p>
    <w:p w14:paraId="50CF2839" w14:textId="77777777" w:rsidR="009F0065" w:rsidRPr="006F4EBA" w:rsidRDefault="009F0065" w:rsidP="00644745">
      <w:pPr>
        <w:spacing w:before="240"/>
        <w:rPr>
          <w:rFonts w:ascii="Franklin Gothic Book" w:hAnsi="Franklin Gothic Book"/>
          <w:sz w:val="22"/>
          <w:szCs w:val="22"/>
        </w:rPr>
      </w:pPr>
      <w:r w:rsidRPr="006F4EBA">
        <w:rPr>
          <w:rFonts w:ascii="Franklin Gothic Book" w:hAnsi="Franklin Gothic Book"/>
          <w:sz w:val="22"/>
          <w:szCs w:val="22"/>
        </w:rPr>
        <w:t xml:space="preserve">The use of WGS in addition to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results in superior safety compared with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alone.</w:t>
      </w:r>
    </w:p>
    <w:p w14:paraId="1A2CC11E" w14:textId="3E85FB6C" w:rsidR="000632EF" w:rsidRPr="00A436C5" w:rsidRDefault="00065623" w:rsidP="00E06036">
      <w:pPr>
        <w:pStyle w:val="Heading1"/>
      </w:pPr>
      <w:r w:rsidRPr="00A436C5">
        <w:t>Economic evaluation</w:t>
      </w:r>
    </w:p>
    <w:p w14:paraId="7D1E0FEF" w14:textId="688EE91B" w:rsidR="00D46392" w:rsidRPr="00D46392" w:rsidRDefault="00D46392" w:rsidP="00D46392">
      <w:pPr>
        <w:pStyle w:val="Instructionaltext"/>
        <w:spacing w:line="240" w:lineRule="auto"/>
        <w:rPr>
          <w:color w:val="auto"/>
        </w:rPr>
      </w:pPr>
      <w:bookmarkStart w:id="27" w:name="_Hlk68276459"/>
      <w:r w:rsidRPr="00D46392">
        <w:rPr>
          <w:color w:val="auto"/>
        </w:rPr>
        <w:t xml:space="preserve">The clinical evaluation suggested that the use of WGS in addition to </w:t>
      </w:r>
      <w:proofErr w:type="spellStart"/>
      <w:r w:rsidRPr="00D46392">
        <w:rPr>
          <w:color w:val="auto"/>
        </w:rPr>
        <w:t>pDST</w:t>
      </w:r>
      <w:proofErr w:type="spellEnd"/>
      <w:r w:rsidRPr="00D46392">
        <w:rPr>
          <w:color w:val="auto"/>
        </w:rPr>
        <w:t xml:space="preserve"> results in superior effectiveness and safety compared to </w:t>
      </w:r>
      <w:proofErr w:type="spellStart"/>
      <w:r w:rsidRPr="00D46392">
        <w:rPr>
          <w:color w:val="auto"/>
        </w:rPr>
        <w:t>pDST</w:t>
      </w:r>
      <w:proofErr w:type="spellEnd"/>
      <w:r w:rsidRPr="00D46392">
        <w:rPr>
          <w:color w:val="auto"/>
        </w:rPr>
        <w:t xml:space="preserve"> alone. Based on this a cost-effectiveness analysis is presented to assess the effectiveness of adding WGS to </w:t>
      </w:r>
      <w:proofErr w:type="spellStart"/>
      <w:r w:rsidRPr="00D46392">
        <w:rPr>
          <w:color w:val="auto"/>
        </w:rPr>
        <w:t>pDST</w:t>
      </w:r>
      <w:proofErr w:type="spellEnd"/>
      <w:r w:rsidRPr="00D46392">
        <w:rPr>
          <w:color w:val="auto"/>
        </w:rPr>
        <w:t xml:space="preserve">. A summary of the economic evaluation is presented in </w:t>
      </w:r>
      <w:r w:rsidRPr="00D46392">
        <w:rPr>
          <w:color w:val="auto"/>
        </w:rPr>
        <w:fldChar w:fldCharType="begin"/>
      </w:r>
      <w:r w:rsidRPr="00D46392">
        <w:rPr>
          <w:color w:val="auto"/>
        </w:rPr>
        <w:instrText xml:space="preserve"> REF _Ref90045276 \h </w:instrText>
      </w:r>
      <w:r>
        <w:rPr>
          <w:color w:val="auto"/>
        </w:rPr>
        <w:instrText xml:space="preserve"> \* MERGEFORMAT </w:instrText>
      </w:r>
      <w:r w:rsidRPr="00D46392">
        <w:rPr>
          <w:color w:val="auto"/>
        </w:rPr>
      </w:r>
      <w:r w:rsidRPr="00D46392">
        <w:rPr>
          <w:color w:val="auto"/>
        </w:rPr>
        <w:fldChar w:fldCharType="separate"/>
      </w:r>
      <w:r w:rsidR="004C2B2A" w:rsidRPr="004C2B2A">
        <w:rPr>
          <w:color w:val="auto"/>
        </w:rPr>
        <w:t>Table 13</w:t>
      </w:r>
      <w:r w:rsidRPr="00D46392">
        <w:rPr>
          <w:color w:val="auto"/>
        </w:rPr>
        <w:fldChar w:fldCharType="end"/>
      </w:r>
      <w:r w:rsidRPr="00D46392">
        <w:rPr>
          <w:color w:val="auto"/>
        </w:rPr>
        <w:t>.</w:t>
      </w:r>
    </w:p>
    <w:p w14:paraId="05563605" w14:textId="1DE9A561" w:rsidR="00D46392" w:rsidRPr="00CE28E3" w:rsidRDefault="00D46392" w:rsidP="00D46392">
      <w:pPr>
        <w:pStyle w:val="Caption"/>
      </w:pPr>
      <w:bookmarkStart w:id="28" w:name="_Ref90045276"/>
      <w:r w:rsidRPr="00CE28E3">
        <w:lastRenderedPageBreak/>
        <w:t>Table</w:t>
      </w:r>
      <w:r>
        <w:t> </w:t>
      </w:r>
      <w:fldSimple w:instr=" SEQ Table \* ARABIC ">
        <w:r w:rsidR="004C2B2A">
          <w:rPr>
            <w:noProof/>
          </w:rPr>
          <w:t>13</w:t>
        </w:r>
      </w:fldSimple>
      <w:bookmarkEnd w:id="28"/>
      <w:r w:rsidRPr="00CE28E3">
        <w:tab/>
        <w:t xml:space="preserve">Summary of the economic evaluation </w:t>
      </w:r>
    </w:p>
    <w:tbl>
      <w:tblPr>
        <w:tblStyle w:val="TableGrid2"/>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D46392" w:rsidRPr="00CE28E3" w14:paraId="530871D2" w14:textId="77777777" w:rsidTr="005766AB">
        <w:trPr>
          <w:cnfStyle w:val="100000000000" w:firstRow="1" w:lastRow="0" w:firstColumn="0" w:lastColumn="0" w:oddVBand="0" w:evenVBand="0" w:oddHBand="0" w:evenHBand="0" w:firstRowFirstColumn="0" w:firstRowLastColumn="0" w:lastRowFirstColumn="0" w:lastRowLastColumn="0"/>
          <w:tblHeader/>
        </w:trPr>
        <w:tc>
          <w:tcPr>
            <w:tcW w:w="1285" w:type="pct"/>
          </w:tcPr>
          <w:p w14:paraId="57630A66" w14:textId="77777777" w:rsidR="00D46392" w:rsidRPr="000449D1" w:rsidRDefault="00D46392" w:rsidP="005766AB">
            <w:pPr>
              <w:pStyle w:val="TableHeading"/>
              <w:rPr>
                <w:rFonts w:cs="Courier New"/>
              </w:rPr>
            </w:pPr>
            <w:r w:rsidRPr="000449D1">
              <w:rPr>
                <w:rFonts w:cs="Courier New"/>
              </w:rPr>
              <w:t>Component</w:t>
            </w:r>
          </w:p>
        </w:tc>
        <w:tc>
          <w:tcPr>
            <w:tcW w:w="3715" w:type="pct"/>
          </w:tcPr>
          <w:p w14:paraId="0D92C7D2" w14:textId="77777777" w:rsidR="00D46392" w:rsidRPr="000449D1" w:rsidRDefault="00D46392" w:rsidP="005766AB">
            <w:pPr>
              <w:pStyle w:val="TableHeading"/>
              <w:rPr>
                <w:rFonts w:cs="Courier New"/>
              </w:rPr>
            </w:pPr>
            <w:r w:rsidRPr="000449D1">
              <w:rPr>
                <w:rFonts w:cs="Courier New"/>
              </w:rPr>
              <w:t>Description</w:t>
            </w:r>
          </w:p>
        </w:tc>
      </w:tr>
      <w:tr w:rsidR="00D46392" w:rsidRPr="000449D1" w14:paraId="4C00000C" w14:textId="77777777" w:rsidTr="005766AB">
        <w:tc>
          <w:tcPr>
            <w:tcW w:w="1285" w:type="pct"/>
          </w:tcPr>
          <w:p w14:paraId="0603576A" w14:textId="77777777" w:rsidR="00D46392" w:rsidRPr="000449D1" w:rsidRDefault="00D46392" w:rsidP="005766AB">
            <w:pPr>
              <w:pStyle w:val="TableText1"/>
              <w:keepNext/>
              <w:rPr>
                <w:rFonts w:cs="Courier New"/>
                <w:szCs w:val="20"/>
              </w:rPr>
            </w:pPr>
            <w:r w:rsidRPr="000449D1">
              <w:rPr>
                <w:rFonts w:cs="Courier New"/>
                <w:szCs w:val="20"/>
              </w:rPr>
              <w:t>Perspective</w:t>
            </w:r>
          </w:p>
        </w:tc>
        <w:tc>
          <w:tcPr>
            <w:tcW w:w="3715" w:type="pct"/>
          </w:tcPr>
          <w:p w14:paraId="493D33FB" w14:textId="77777777" w:rsidR="00D46392" w:rsidRPr="000449D1" w:rsidRDefault="00D46392" w:rsidP="005766AB">
            <w:pPr>
              <w:pStyle w:val="TableText1"/>
              <w:keepNext/>
              <w:rPr>
                <w:rFonts w:cs="Courier New"/>
                <w:szCs w:val="20"/>
              </w:rPr>
            </w:pPr>
            <w:r>
              <w:rPr>
                <w:rFonts w:cs="Courier New"/>
                <w:szCs w:val="20"/>
              </w:rPr>
              <w:t>Health care system perspective</w:t>
            </w:r>
          </w:p>
        </w:tc>
      </w:tr>
      <w:tr w:rsidR="00D46392" w:rsidRPr="000449D1" w14:paraId="50A05731" w14:textId="77777777" w:rsidTr="005766AB">
        <w:trPr>
          <w:tblHeader/>
        </w:trPr>
        <w:tc>
          <w:tcPr>
            <w:tcW w:w="1285" w:type="pct"/>
          </w:tcPr>
          <w:p w14:paraId="370E9A5C" w14:textId="77777777" w:rsidR="00D46392" w:rsidRPr="000449D1" w:rsidRDefault="00D46392" w:rsidP="005766AB">
            <w:pPr>
              <w:pStyle w:val="TableText1"/>
              <w:keepNext/>
              <w:rPr>
                <w:rFonts w:cs="Courier New"/>
                <w:szCs w:val="20"/>
              </w:rPr>
            </w:pPr>
            <w:r w:rsidRPr="000449D1">
              <w:rPr>
                <w:rFonts w:cs="Courier New"/>
                <w:szCs w:val="20"/>
              </w:rPr>
              <w:t>Population</w:t>
            </w:r>
          </w:p>
        </w:tc>
        <w:tc>
          <w:tcPr>
            <w:tcW w:w="3715" w:type="pct"/>
          </w:tcPr>
          <w:p w14:paraId="464498A2" w14:textId="77777777" w:rsidR="00D46392" w:rsidRPr="00D56DFA" w:rsidRDefault="00D46392" w:rsidP="005766AB">
            <w:pPr>
              <w:pStyle w:val="TableText1"/>
              <w:keepNext/>
              <w:rPr>
                <w:rFonts w:cs="Courier New"/>
                <w:color w:val="258221"/>
                <w:szCs w:val="20"/>
              </w:rPr>
            </w:pPr>
            <w:r>
              <w:t xml:space="preserve">Those who are diagnosed with TB and confirmed to have </w:t>
            </w:r>
            <w:r>
              <w:rPr>
                <w:i/>
              </w:rPr>
              <w:t>M. tuberculosis</w:t>
            </w:r>
          </w:p>
        </w:tc>
      </w:tr>
      <w:tr w:rsidR="00D46392" w:rsidRPr="000449D1" w14:paraId="5285FB00" w14:textId="77777777" w:rsidTr="005766AB">
        <w:tc>
          <w:tcPr>
            <w:tcW w:w="1285" w:type="pct"/>
          </w:tcPr>
          <w:p w14:paraId="323DD28F" w14:textId="77777777" w:rsidR="00D46392" w:rsidRPr="000449D1" w:rsidRDefault="00D46392" w:rsidP="005766AB">
            <w:pPr>
              <w:pStyle w:val="TableText1"/>
              <w:keepNext/>
              <w:rPr>
                <w:rFonts w:cs="Courier New"/>
                <w:szCs w:val="20"/>
              </w:rPr>
            </w:pPr>
            <w:r w:rsidRPr="000449D1">
              <w:rPr>
                <w:rFonts w:cs="Courier New"/>
                <w:szCs w:val="20"/>
              </w:rPr>
              <w:t>Prior testing</w:t>
            </w:r>
          </w:p>
        </w:tc>
        <w:tc>
          <w:tcPr>
            <w:tcW w:w="3715" w:type="pct"/>
          </w:tcPr>
          <w:p w14:paraId="08C39709" w14:textId="77777777" w:rsidR="00D46392" w:rsidRPr="00FB1852" w:rsidRDefault="00D46392" w:rsidP="005766AB">
            <w:pPr>
              <w:pStyle w:val="TableText1"/>
              <w:keepNext/>
              <w:rPr>
                <w:rFonts w:cs="Courier New"/>
                <w:szCs w:val="20"/>
              </w:rPr>
            </w:pPr>
            <w:r>
              <w:rPr>
                <w:rFonts w:cs="Arial"/>
              </w:rPr>
              <w:t>Diagnostic tests for TB, including resistance to rifampicin to guide early empiric treatment</w:t>
            </w:r>
            <w:r>
              <w:rPr>
                <w:rFonts w:cs="Arial"/>
                <w:i/>
              </w:rPr>
              <w:t xml:space="preserve"> </w:t>
            </w:r>
            <w:r w:rsidRPr="00FB1852">
              <w:rPr>
                <w:rFonts w:cs="Arial"/>
              </w:rPr>
              <w:t>and detection of mycobacteria.</w:t>
            </w:r>
            <w:r>
              <w:rPr>
                <w:rFonts w:cs="Arial"/>
              </w:rPr>
              <w:t xml:space="preserve"> This includes sputum microscopy, chest x-ray and GeneXpert</w:t>
            </w:r>
          </w:p>
        </w:tc>
      </w:tr>
      <w:tr w:rsidR="00D46392" w:rsidRPr="000449D1" w14:paraId="55E17E97" w14:textId="77777777" w:rsidTr="005766AB">
        <w:tc>
          <w:tcPr>
            <w:tcW w:w="1285" w:type="pct"/>
          </w:tcPr>
          <w:p w14:paraId="78FB1AD2" w14:textId="77777777" w:rsidR="00D46392" w:rsidRPr="000449D1" w:rsidRDefault="00D46392" w:rsidP="005766AB">
            <w:pPr>
              <w:pStyle w:val="TableText1"/>
              <w:keepNext/>
              <w:rPr>
                <w:rFonts w:cs="Courier New"/>
                <w:szCs w:val="20"/>
              </w:rPr>
            </w:pPr>
            <w:r w:rsidRPr="000449D1">
              <w:rPr>
                <w:rFonts w:cs="Courier New"/>
                <w:szCs w:val="20"/>
              </w:rPr>
              <w:t>Comparator</w:t>
            </w:r>
          </w:p>
        </w:tc>
        <w:tc>
          <w:tcPr>
            <w:tcW w:w="3715" w:type="pct"/>
          </w:tcPr>
          <w:p w14:paraId="5440D2BD" w14:textId="77777777" w:rsidR="00D46392" w:rsidRPr="000449D1" w:rsidRDefault="00D46392" w:rsidP="005766AB">
            <w:pPr>
              <w:pStyle w:val="TableText1"/>
              <w:keepNext/>
              <w:rPr>
                <w:rFonts w:cs="Courier New"/>
                <w:szCs w:val="20"/>
              </w:rPr>
            </w:pPr>
            <w:proofErr w:type="spellStart"/>
            <w:r>
              <w:rPr>
                <w:rFonts w:cs="Arial"/>
              </w:rPr>
              <w:t>pDST</w:t>
            </w:r>
            <w:proofErr w:type="spellEnd"/>
          </w:p>
        </w:tc>
      </w:tr>
      <w:tr w:rsidR="00D46392" w:rsidRPr="000449D1" w14:paraId="37DA6200" w14:textId="77777777" w:rsidTr="005766AB">
        <w:tc>
          <w:tcPr>
            <w:tcW w:w="1285" w:type="pct"/>
          </w:tcPr>
          <w:p w14:paraId="46C25034" w14:textId="77777777" w:rsidR="00D46392" w:rsidRPr="000449D1" w:rsidRDefault="00D46392" w:rsidP="005766AB">
            <w:pPr>
              <w:pStyle w:val="TableText1"/>
              <w:keepNext/>
              <w:rPr>
                <w:rFonts w:cs="Courier New"/>
                <w:szCs w:val="20"/>
              </w:rPr>
            </w:pPr>
            <w:r w:rsidRPr="000449D1">
              <w:rPr>
                <w:rFonts w:cs="Courier New"/>
                <w:szCs w:val="20"/>
              </w:rPr>
              <w:t>Type(s) of analysis</w:t>
            </w:r>
          </w:p>
        </w:tc>
        <w:tc>
          <w:tcPr>
            <w:tcW w:w="3715" w:type="pct"/>
          </w:tcPr>
          <w:p w14:paraId="278BC391" w14:textId="77777777" w:rsidR="00D46392" w:rsidRPr="000449D1" w:rsidRDefault="00D46392" w:rsidP="005766AB">
            <w:pPr>
              <w:pStyle w:val="TableText1"/>
              <w:keepNext/>
              <w:rPr>
                <w:rFonts w:cs="Courier New"/>
                <w:szCs w:val="20"/>
              </w:rPr>
            </w:pPr>
            <w:r>
              <w:rPr>
                <w:rFonts w:cs="Courier New"/>
                <w:szCs w:val="20"/>
              </w:rPr>
              <w:t>C</w:t>
            </w:r>
            <w:r w:rsidRPr="000449D1">
              <w:rPr>
                <w:rFonts w:cs="Courier New"/>
                <w:szCs w:val="20"/>
              </w:rPr>
              <w:t xml:space="preserve">ost-effectiveness </w:t>
            </w:r>
            <w:r>
              <w:rPr>
                <w:rFonts w:cs="Courier New"/>
                <w:szCs w:val="20"/>
              </w:rPr>
              <w:t>analysis</w:t>
            </w:r>
          </w:p>
        </w:tc>
      </w:tr>
      <w:tr w:rsidR="00D46392" w:rsidRPr="000449D1" w14:paraId="26833D17" w14:textId="77777777" w:rsidTr="005766AB">
        <w:tc>
          <w:tcPr>
            <w:tcW w:w="1285" w:type="pct"/>
          </w:tcPr>
          <w:p w14:paraId="4FEE690C" w14:textId="77777777" w:rsidR="00D46392" w:rsidRPr="000449D1" w:rsidRDefault="00D46392" w:rsidP="005766AB">
            <w:pPr>
              <w:pStyle w:val="TableText1"/>
              <w:keepNext/>
              <w:rPr>
                <w:rFonts w:cs="Courier New"/>
                <w:szCs w:val="20"/>
              </w:rPr>
            </w:pPr>
            <w:r w:rsidRPr="000449D1">
              <w:rPr>
                <w:rFonts w:cs="Courier New"/>
                <w:szCs w:val="20"/>
              </w:rPr>
              <w:t>Outcomes</w:t>
            </w:r>
          </w:p>
        </w:tc>
        <w:tc>
          <w:tcPr>
            <w:tcW w:w="3715" w:type="pct"/>
          </w:tcPr>
          <w:p w14:paraId="0840E367" w14:textId="77777777" w:rsidR="00D46392" w:rsidRDefault="00D46392" w:rsidP="00D46392">
            <w:pPr>
              <w:pStyle w:val="TableText1"/>
              <w:keepNext/>
              <w:numPr>
                <w:ilvl w:val="0"/>
                <w:numId w:val="16"/>
              </w:numPr>
              <w:rPr>
                <w:rFonts w:cs="Courier New"/>
                <w:szCs w:val="20"/>
              </w:rPr>
            </w:pPr>
            <w:r>
              <w:rPr>
                <w:rFonts w:cs="Courier New"/>
                <w:szCs w:val="20"/>
              </w:rPr>
              <w:t xml:space="preserve">Correct diagnosis after initial </w:t>
            </w:r>
            <w:proofErr w:type="spellStart"/>
            <w:r>
              <w:rPr>
                <w:rFonts w:cs="Courier New"/>
                <w:szCs w:val="20"/>
              </w:rPr>
              <w:t>DST</w:t>
            </w:r>
            <w:r>
              <w:rPr>
                <w:rFonts w:cs="Courier New"/>
                <w:szCs w:val="20"/>
                <w:vertAlign w:val="superscript"/>
              </w:rPr>
              <w:t>a</w:t>
            </w:r>
            <w:proofErr w:type="spellEnd"/>
          </w:p>
          <w:p w14:paraId="3C60AB6D" w14:textId="77777777" w:rsidR="00D46392" w:rsidRDefault="00D46392" w:rsidP="00D46392">
            <w:pPr>
              <w:pStyle w:val="TableText1"/>
              <w:keepNext/>
              <w:numPr>
                <w:ilvl w:val="0"/>
                <w:numId w:val="16"/>
              </w:numPr>
              <w:rPr>
                <w:rFonts w:cs="Courier New"/>
                <w:szCs w:val="20"/>
              </w:rPr>
            </w:pPr>
            <w:r>
              <w:rPr>
                <w:rFonts w:cs="Courier New"/>
                <w:szCs w:val="20"/>
              </w:rPr>
              <w:t>Early identification of resistance</w:t>
            </w:r>
          </w:p>
          <w:p w14:paraId="639D5999" w14:textId="77777777" w:rsidR="00D46392" w:rsidRPr="00E21EEE" w:rsidRDefault="00D46392" w:rsidP="00D46392">
            <w:pPr>
              <w:pStyle w:val="TableText1"/>
              <w:keepNext/>
              <w:numPr>
                <w:ilvl w:val="0"/>
                <w:numId w:val="16"/>
              </w:numPr>
              <w:rPr>
                <w:rFonts w:cs="Courier New"/>
                <w:szCs w:val="20"/>
              </w:rPr>
            </w:pPr>
            <w:r>
              <w:rPr>
                <w:rFonts w:cs="Courier New"/>
                <w:szCs w:val="20"/>
              </w:rPr>
              <w:t xml:space="preserve">Early confirmation of true status </w:t>
            </w:r>
            <w:r>
              <w:rPr>
                <w:rFonts w:cs="Courier New"/>
                <w:szCs w:val="20"/>
                <w:vertAlign w:val="superscript"/>
              </w:rPr>
              <w:t>b</w:t>
            </w:r>
          </w:p>
        </w:tc>
      </w:tr>
      <w:tr w:rsidR="00D46392" w:rsidRPr="000449D1" w14:paraId="1FEDC21E" w14:textId="77777777" w:rsidTr="005766AB">
        <w:tc>
          <w:tcPr>
            <w:tcW w:w="1285" w:type="pct"/>
          </w:tcPr>
          <w:p w14:paraId="13CB7486" w14:textId="77777777" w:rsidR="00D46392" w:rsidRPr="000449D1" w:rsidRDefault="00D46392" w:rsidP="005766AB">
            <w:pPr>
              <w:pStyle w:val="TableText1"/>
              <w:keepNext/>
              <w:rPr>
                <w:rFonts w:cs="Courier New"/>
                <w:szCs w:val="20"/>
              </w:rPr>
            </w:pPr>
            <w:r w:rsidRPr="000449D1">
              <w:rPr>
                <w:rFonts w:cs="Courier New"/>
                <w:szCs w:val="20"/>
              </w:rPr>
              <w:t>Time horizon</w:t>
            </w:r>
          </w:p>
        </w:tc>
        <w:tc>
          <w:tcPr>
            <w:tcW w:w="3715" w:type="pct"/>
          </w:tcPr>
          <w:p w14:paraId="7F41F1FF" w14:textId="77777777" w:rsidR="00D46392" w:rsidRPr="000449D1" w:rsidRDefault="00D46392" w:rsidP="005766AB">
            <w:pPr>
              <w:pStyle w:val="TableText1"/>
              <w:keepNext/>
              <w:rPr>
                <w:rFonts w:cs="Courier New"/>
                <w:szCs w:val="20"/>
              </w:rPr>
            </w:pPr>
            <w:r>
              <w:rPr>
                <w:rFonts w:cs="Courier New"/>
                <w:szCs w:val="20"/>
              </w:rPr>
              <w:t>Time to treatment decision appropriate to resistance profile of the isolate (less than one year)</w:t>
            </w:r>
          </w:p>
        </w:tc>
      </w:tr>
      <w:tr w:rsidR="00D46392" w:rsidRPr="000449D1" w14:paraId="692BD249" w14:textId="77777777" w:rsidTr="005766AB">
        <w:tc>
          <w:tcPr>
            <w:tcW w:w="1285" w:type="pct"/>
          </w:tcPr>
          <w:p w14:paraId="7F3CC3C0" w14:textId="77777777" w:rsidR="00D46392" w:rsidRPr="000449D1" w:rsidRDefault="00D46392" w:rsidP="005766AB">
            <w:pPr>
              <w:pStyle w:val="TableText1"/>
              <w:keepNext/>
              <w:rPr>
                <w:rFonts w:cs="Courier New"/>
                <w:szCs w:val="20"/>
              </w:rPr>
            </w:pPr>
            <w:r w:rsidRPr="000449D1">
              <w:rPr>
                <w:rFonts w:cs="Courier New"/>
                <w:szCs w:val="20"/>
              </w:rPr>
              <w:t>Computational method</w:t>
            </w:r>
          </w:p>
        </w:tc>
        <w:tc>
          <w:tcPr>
            <w:tcW w:w="3715" w:type="pct"/>
          </w:tcPr>
          <w:p w14:paraId="592E8832" w14:textId="77777777" w:rsidR="00D46392" w:rsidRPr="000449D1" w:rsidRDefault="00D46392" w:rsidP="005766AB">
            <w:pPr>
              <w:pStyle w:val="TableText1"/>
              <w:keepNext/>
              <w:rPr>
                <w:rFonts w:cs="Courier New"/>
                <w:szCs w:val="20"/>
              </w:rPr>
            </w:pPr>
            <w:r>
              <w:rPr>
                <w:rFonts w:cs="Courier New"/>
                <w:szCs w:val="20"/>
              </w:rPr>
              <w:t>Decision tree analysis</w:t>
            </w:r>
          </w:p>
        </w:tc>
      </w:tr>
      <w:tr w:rsidR="00D46392" w:rsidRPr="000449D1" w14:paraId="2F38193A" w14:textId="77777777" w:rsidTr="005766AB">
        <w:tc>
          <w:tcPr>
            <w:tcW w:w="1285" w:type="pct"/>
          </w:tcPr>
          <w:p w14:paraId="512F187B" w14:textId="77777777" w:rsidR="00D46392" w:rsidRPr="000449D1" w:rsidRDefault="00D46392" w:rsidP="005766AB">
            <w:pPr>
              <w:pStyle w:val="TableText1"/>
              <w:keepNext/>
              <w:rPr>
                <w:rFonts w:cs="Courier New"/>
                <w:szCs w:val="20"/>
              </w:rPr>
            </w:pPr>
            <w:r w:rsidRPr="000449D1">
              <w:rPr>
                <w:rFonts w:cs="Courier New"/>
                <w:szCs w:val="20"/>
              </w:rPr>
              <w:t xml:space="preserve">Generation of the </w:t>
            </w:r>
            <w:r>
              <w:rPr>
                <w:rFonts w:cs="Courier New"/>
                <w:szCs w:val="20"/>
              </w:rPr>
              <w:t>base-case</w:t>
            </w:r>
          </w:p>
        </w:tc>
        <w:tc>
          <w:tcPr>
            <w:tcW w:w="3715" w:type="pct"/>
          </w:tcPr>
          <w:p w14:paraId="16CAF7FC" w14:textId="77777777" w:rsidR="00D46392" w:rsidRDefault="00D46392" w:rsidP="005766AB">
            <w:pPr>
              <w:pStyle w:val="TableText1"/>
              <w:keepNext/>
              <w:rPr>
                <w:rFonts w:cs="Courier New"/>
                <w:szCs w:val="20"/>
              </w:rPr>
            </w:pPr>
            <w:r>
              <w:rPr>
                <w:rFonts w:cs="Courier New"/>
                <w:szCs w:val="20"/>
              </w:rPr>
              <w:t>Modelled</w:t>
            </w:r>
          </w:p>
          <w:p w14:paraId="03983519" w14:textId="77777777" w:rsidR="00D46392" w:rsidRDefault="00D46392" w:rsidP="005766AB">
            <w:pPr>
              <w:pStyle w:val="TableText1"/>
              <w:keepNext/>
              <w:rPr>
                <w:rFonts w:cs="Courier New"/>
                <w:szCs w:val="20"/>
              </w:rPr>
            </w:pPr>
            <w:r>
              <w:rPr>
                <w:rFonts w:cs="Courier New"/>
                <w:szCs w:val="20"/>
              </w:rPr>
              <w:t>Given that the addition of WGS has varying effects (i.e. improved accuracy, reduced test turnaround time), these are incorporated into the base-case analysis in a stepped manner to allow the impact of each of these on the base-case to be discerned:</w:t>
            </w:r>
          </w:p>
          <w:p w14:paraId="0139BC8E" w14:textId="77777777" w:rsidR="00D46392" w:rsidRDefault="00D46392" w:rsidP="00D46392">
            <w:pPr>
              <w:pStyle w:val="TableText1"/>
              <w:keepNext/>
              <w:numPr>
                <w:ilvl w:val="0"/>
                <w:numId w:val="19"/>
              </w:numPr>
              <w:rPr>
                <w:rFonts w:cs="Courier New"/>
                <w:szCs w:val="20"/>
              </w:rPr>
            </w:pPr>
            <w:r>
              <w:rPr>
                <w:rFonts w:cs="Courier New"/>
                <w:szCs w:val="20"/>
              </w:rPr>
              <w:t xml:space="preserve">Step 1: </w:t>
            </w:r>
            <w:r w:rsidRPr="00183547">
              <w:rPr>
                <w:rFonts w:eastAsia="Times New Roman" w:cs="Times New Roman"/>
                <w:bCs/>
                <w:color w:val="000000"/>
                <w:szCs w:val="20"/>
                <w:lang w:eastAsia="en-AU"/>
              </w:rPr>
              <w:t>Improved accuracy</w:t>
            </w:r>
          </w:p>
          <w:p w14:paraId="1F03371B" w14:textId="77777777" w:rsidR="00D46392" w:rsidRDefault="00D46392" w:rsidP="00D46392">
            <w:pPr>
              <w:pStyle w:val="TableText1"/>
              <w:keepNext/>
              <w:numPr>
                <w:ilvl w:val="0"/>
                <w:numId w:val="19"/>
              </w:numPr>
              <w:rPr>
                <w:rFonts w:cs="Courier New"/>
                <w:szCs w:val="20"/>
              </w:rPr>
            </w:pPr>
            <w:r>
              <w:rPr>
                <w:rFonts w:cs="Courier New"/>
                <w:szCs w:val="20"/>
              </w:rPr>
              <w:t xml:space="preserve">Step 2: </w:t>
            </w:r>
            <w:r w:rsidRPr="00333D26">
              <w:rPr>
                <w:rFonts w:eastAsia="Times New Roman" w:cs="Times New Roman"/>
                <w:bCs/>
                <w:color w:val="000000"/>
                <w:szCs w:val="20"/>
                <w:lang w:eastAsia="en-AU"/>
              </w:rPr>
              <w:t>Improved accuracy + Early identification and no hospital costs</w:t>
            </w:r>
          </w:p>
          <w:p w14:paraId="5965BE08" w14:textId="77777777" w:rsidR="00D46392" w:rsidRPr="000449D1" w:rsidRDefault="00D46392" w:rsidP="00D46392">
            <w:pPr>
              <w:pStyle w:val="TableText1"/>
              <w:keepNext/>
              <w:numPr>
                <w:ilvl w:val="0"/>
                <w:numId w:val="19"/>
              </w:numPr>
              <w:rPr>
                <w:rFonts w:cs="Courier New"/>
                <w:szCs w:val="20"/>
              </w:rPr>
            </w:pPr>
            <w:r>
              <w:rPr>
                <w:rFonts w:cs="Courier New"/>
                <w:szCs w:val="20"/>
              </w:rPr>
              <w:t xml:space="preserve">Step 3: </w:t>
            </w:r>
            <w:r w:rsidRPr="00183547">
              <w:rPr>
                <w:rFonts w:eastAsia="Times New Roman" w:cs="Times New Roman"/>
                <w:bCs/>
                <w:color w:val="000000"/>
                <w:szCs w:val="20"/>
                <w:lang w:eastAsia="en-AU"/>
              </w:rPr>
              <w:t>Improved accura</w:t>
            </w:r>
            <w:r>
              <w:rPr>
                <w:rFonts w:eastAsia="Times New Roman" w:cs="Times New Roman"/>
                <w:bCs/>
                <w:color w:val="000000"/>
                <w:szCs w:val="20"/>
                <w:lang w:eastAsia="en-AU"/>
              </w:rPr>
              <w:t>cy + Early identification with</w:t>
            </w:r>
            <w:r w:rsidRPr="00183547">
              <w:rPr>
                <w:rFonts w:eastAsia="Times New Roman" w:cs="Times New Roman"/>
                <w:bCs/>
                <w:color w:val="000000"/>
                <w:szCs w:val="20"/>
                <w:lang w:eastAsia="en-AU"/>
              </w:rPr>
              <w:t xml:space="preserve"> hospital costs</w:t>
            </w:r>
          </w:p>
        </w:tc>
      </w:tr>
      <w:tr w:rsidR="00D46392" w:rsidRPr="000449D1" w14:paraId="1E7DB5ED" w14:textId="77777777" w:rsidTr="005766AB">
        <w:tc>
          <w:tcPr>
            <w:tcW w:w="1285" w:type="pct"/>
          </w:tcPr>
          <w:p w14:paraId="162C9FD6" w14:textId="77777777" w:rsidR="00D46392" w:rsidRPr="000449D1" w:rsidRDefault="00D46392" w:rsidP="005766AB">
            <w:pPr>
              <w:pStyle w:val="TableText1"/>
              <w:keepNext/>
              <w:rPr>
                <w:rFonts w:cs="Courier New"/>
                <w:szCs w:val="20"/>
              </w:rPr>
            </w:pPr>
            <w:r w:rsidRPr="000449D1">
              <w:rPr>
                <w:rFonts w:cs="Courier New"/>
                <w:szCs w:val="20"/>
              </w:rPr>
              <w:t>Software</w:t>
            </w:r>
          </w:p>
        </w:tc>
        <w:tc>
          <w:tcPr>
            <w:tcW w:w="3715" w:type="pct"/>
          </w:tcPr>
          <w:p w14:paraId="48FC9F72" w14:textId="77777777" w:rsidR="00D46392" w:rsidRPr="000449D1" w:rsidRDefault="00D46392" w:rsidP="005766AB">
            <w:pPr>
              <w:pStyle w:val="TableText1"/>
              <w:keepNext/>
              <w:rPr>
                <w:rFonts w:cs="Courier New"/>
                <w:szCs w:val="20"/>
              </w:rPr>
            </w:pPr>
            <w:r>
              <w:rPr>
                <w:rFonts w:cs="Courier New"/>
                <w:szCs w:val="20"/>
              </w:rPr>
              <w:t xml:space="preserve">Microsoft </w:t>
            </w:r>
            <w:r w:rsidRPr="000449D1">
              <w:rPr>
                <w:rFonts w:cs="Courier New"/>
                <w:szCs w:val="20"/>
              </w:rPr>
              <w:t>E</w:t>
            </w:r>
            <w:r>
              <w:rPr>
                <w:rFonts w:cs="Courier New"/>
                <w:szCs w:val="20"/>
              </w:rPr>
              <w:t>xcel</w:t>
            </w:r>
          </w:p>
        </w:tc>
      </w:tr>
    </w:tbl>
    <w:p w14:paraId="57B912F2" w14:textId="77777777" w:rsidR="00D46392" w:rsidRDefault="00D46392" w:rsidP="00D46392">
      <w:pPr>
        <w:pStyle w:val="Tablenotes0"/>
      </w:pPr>
      <w:r>
        <w:t>DST = drug s</w:t>
      </w:r>
      <w:r w:rsidRPr="004E2D95">
        <w:t>usceptibility</w:t>
      </w:r>
      <w:r>
        <w:t xml:space="preserve"> t</w:t>
      </w:r>
      <w:r w:rsidRPr="004E2D95">
        <w:t>esting</w:t>
      </w:r>
      <w:r>
        <w:t xml:space="preserve">; </w:t>
      </w:r>
      <w:r>
        <w:rPr>
          <w:i/>
        </w:rPr>
        <w:t>M. tuberculosis</w:t>
      </w:r>
      <w:r>
        <w:t xml:space="preserve"> = </w:t>
      </w:r>
      <w:r>
        <w:rPr>
          <w:i/>
        </w:rPr>
        <w:t>M</w:t>
      </w:r>
      <w:r w:rsidRPr="00333D26">
        <w:rPr>
          <w:i/>
        </w:rPr>
        <w:t>ycobacterium tuberculosis</w:t>
      </w:r>
      <w:r>
        <w:t xml:space="preserve">; </w:t>
      </w:r>
      <w:proofErr w:type="spellStart"/>
      <w:r w:rsidRPr="004E2D95">
        <w:t>pDST</w:t>
      </w:r>
      <w:proofErr w:type="spellEnd"/>
      <w:r w:rsidRPr="004E2D95">
        <w:t xml:space="preserve"> = phenotypic </w:t>
      </w:r>
      <w:r>
        <w:t>drug s</w:t>
      </w:r>
      <w:r w:rsidRPr="004E2D95">
        <w:t>usceptibility</w:t>
      </w:r>
      <w:r>
        <w:t xml:space="preserve"> t</w:t>
      </w:r>
      <w:r w:rsidRPr="004E2D95">
        <w:t xml:space="preserve">esting; TB = tuberculosis; </w:t>
      </w:r>
      <w:r>
        <w:t>WGS = whole genome sequencing</w:t>
      </w:r>
    </w:p>
    <w:p w14:paraId="7218C38C" w14:textId="77777777" w:rsidR="00D46392" w:rsidRDefault="00D46392" w:rsidP="00D46392">
      <w:pPr>
        <w:pStyle w:val="Tablenotes0"/>
      </w:pPr>
      <w:r>
        <w:rPr>
          <w:vertAlign w:val="superscript"/>
        </w:rPr>
        <w:t xml:space="preserve">a </w:t>
      </w:r>
      <w:r>
        <w:t xml:space="preserve">First </w:t>
      </w:r>
      <w:proofErr w:type="spellStart"/>
      <w:r>
        <w:t>pDST</w:t>
      </w:r>
      <w:proofErr w:type="spellEnd"/>
      <w:r>
        <w:t xml:space="preserve"> is initial DST in </w:t>
      </w:r>
      <w:proofErr w:type="spellStart"/>
      <w:r>
        <w:t>pDST</w:t>
      </w:r>
      <w:proofErr w:type="spellEnd"/>
      <w:r>
        <w:t xml:space="preserve"> arm (comparator arm), first </w:t>
      </w:r>
      <w:proofErr w:type="spellStart"/>
      <w:r>
        <w:t>WGS+pDST</w:t>
      </w:r>
      <w:proofErr w:type="spellEnd"/>
      <w:r>
        <w:t xml:space="preserve"> is the initial DST in </w:t>
      </w:r>
      <w:proofErr w:type="spellStart"/>
      <w:r>
        <w:t>WGS+pDST</w:t>
      </w:r>
      <w:proofErr w:type="spellEnd"/>
      <w:r>
        <w:t xml:space="preserve"> arm (intervention arm)</w:t>
      </w:r>
    </w:p>
    <w:p w14:paraId="3B12D8CE" w14:textId="77777777" w:rsidR="00D46392" w:rsidRPr="00C71FF6" w:rsidRDefault="00D46392" w:rsidP="00D46392">
      <w:pPr>
        <w:pStyle w:val="Tablenotes0"/>
      </w:pPr>
      <w:r>
        <w:rPr>
          <w:vertAlign w:val="superscript"/>
        </w:rPr>
        <w:t xml:space="preserve">b </w:t>
      </w:r>
      <w:r>
        <w:t>While early identification of resistance measures impact only in drug resistant cases, early confirmation of true status also includes pan-susceptible case who benefit from early discontinuation of ethambutol</w:t>
      </w:r>
    </w:p>
    <w:p w14:paraId="5D1435EB" w14:textId="77777777" w:rsidR="00D46392" w:rsidRPr="00071D98" w:rsidRDefault="00D46392" w:rsidP="00895B7B">
      <w:pPr>
        <w:spacing w:before="120" w:after="160"/>
        <w:rPr>
          <w:rFonts w:ascii="Franklin Gothic Book" w:hAnsi="Franklin Gothic Book"/>
          <w:sz w:val="22"/>
          <w:szCs w:val="22"/>
        </w:rPr>
      </w:pPr>
      <w:r w:rsidRPr="00071D98">
        <w:rPr>
          <w:rFonts w:ascii="Franklin Gothic Book" w:hAnsi="Franklin Gothic Book"/>
          <w:sz w:val="22"/>
          <w:szCs w:val="22"/>
        </w:rPr>
        <w:t>The model takes the form of a decision tree analysis. Patients enter the model after being diagnosed with TB and initiating empiric treatment based on the results of prior testing. As both treatment and the benefits of WGS vary according to the resistance profile of the isolate, patients entering the model are split into four categories depending on the status of their pathogen; pan-susceptible, mono-resistant (non-</w:t>
      </w:r>
      <w:proofErr w:type="spellStart"/>
      <w:r w:rsidRPr="00071D98">
        <w:rPr>
          <w:rFonts w:ascii="Franklin Gothic Book" w:hAnsi="Franklin Gothic Book"/>
          <w:sz w:val="22"/>
          <w:szCs w:val="22"/>
        </w:rPr>
        <w:t>rif</w:t>
      </w:r>
      <w:proofErr w:type="spellEnd"/>
      <w:r w:rsidRPr="00071D98">
        <w:rPr>
          <w:rFonts w:ascii="Franklin Gothic Book" w:hAnsi="Franklin Gothic Book"/>
          <w:sz w:val="22"/>
          <w:szCs w:val="22"/>
        </w:rPr>
        <w:t>; other than rifampicin), rifampicin mono-resistant and multi-drug resistant (MDR). MDR patients are further categorised into two groups based on resistance to other second-line drugs.</w:t>
      </w:r>
    </w:p>
    <w:p w14:paraId="6B656577" w14:textId="77777777" w:rsidR="00D46392" w:rsidRPr="00071D98" w:rsidRDefault="00D46392" w:rsidP="00895B7B">
      <w:pPr>
        <w:spacing w:before="120" w:after="160"/>
        <w:rPr>
          <w:rFonts w:ascii="Franklin Gothic Book" w:hAnsi="Franklin Gothic Book"/>
          <w:sz w:val="22"/>
          <w:szCs w:val="22"/>
        </w:rPr>
      </w:pPr>
      <w:r w:rsidRPr="00071D98">
        <w:rPr>
          <w:rFonts w:ascii="Franklin Gothic Book" w:hAnsi="Franklin Gothic Book"/>
          <w:sz w:val="22"/>
          <w:szCs w:val="22"/>
        </w:rPr>
        <w:t xml:space="preserve">It is considered that first and second-line drug testing occurs in parallel in both WGS and </w:t>
      </w:r>
      <w:proofErr w:type="spellStart"/>
      <w:r w:rsidRPr="00071D98">
        <w:rPr>
          <w:rFonts w:ascii="Franklin Gothic Book" w:hAnsi="Franklin Gothic Book"/>
          <w:sz w:val="22"/>
          <w:szCs w:val="22"/>
        </w:rPr>
        <w:t>pDST</w:t>
      </w:r>
      <w:proofErr w:type="spellEnd"/>
      <w:r w:rsidRPr="00071D98">
        <w:rPr>
          <w:rFonts w:ascii="Franklin Gothic Book" w:hAnsi="Franklin Gothic Book"/>
          <w:sz w:val="22"/>
          <w:szCs w:val="22"/>
        </w:rPr>
        <w:t xml:space="preserve"> arm. The model terminates at the point where patients are allocated an appropriate treatment regimen for their underlying resistance profile.</w:t>
      </w:r>
    </w:p>
    <w:p w14:paraId="2BF2720E" w14:textId="77777777" w:rsidR="00D46392" w:rsidRPr="00D46392" w:rsidRDefault="00D46392" w:rsidP="00071D98">
      <w:pPr>
        <w:pStyle w:val="Instructionaltext"/>
        <w:spacing w:after="0" w:line="240" w:lineRule="auto"/>
        <w:rPr>
          <w:color w:val="auto"/>
        </w:rPr>
      </w:pPr>
      <w:r w:rsidRPr="00D46392">
        <w:rPr>
          <w:color w:val="auto"/>
        </w:rPr>
        <w:t>The key structural assumptions in the model are:</w:t>
      </w:r>
    </w:p>
    <w:p w14:paraId="0F0E4540" w14:textId="77777777" w:rsidR="00D46392" w:rsidRPr="00D46392" w:rsidRDefault="00D46392" w:rsidP="00D46392">
      <w:pPr>
        <w:pStyle w:val="ListParagraph"/>
        <w:numPr>
          <w:ilvl w:val="0"/>
          <w:numId w:val="17"/>
        </w:numPr>
        <w:spacing w:before="120" w:after="160" w:line="259" w:lineRule="auto"/>
        <w:rPr>
          <w:rFonts w:ascii="Franklin Gothic Book" w:hAnsi="Franklin Gothic Book"/>
          <w:sz w:val="22"/>
          <w:szCs w:val="22"/>
        </w:rPr>
      </w:pPr>
      <w:r w:rsidRPr="00D46392">
        <w:rPr>
          <w:rFonts w:ascii="Franklin Gothic Book" w:hAnsi="Franklin Gothic Book"/>
          <w:sz w:val="22"/>
          <w:szCs w:val="22"/>
        </w:rPr>
        <w:t>Specificity of tests is assumed to be 100% in both the arms. Therefore, no false positives are considered in the model.</w:t>
      </w:r>
    </w:p>
    <w:p w14:paraId="31836AA3" w14:textId="77777777" w:rsidR="00D46392" w:rsidRPr="00D46392" w:rsidRDefault="00D46392" w:rsidP="00D46392">
      <w:pPr>
        <w:pStyle w:val="ListParagraph"/>
        <w:numPr>
          <w:ilvl w:val="0"/>
          <w:numId w:val="17"/>
        </w:numPr>
        <w:spacing w:before="120" w:after="160" w:line="259" w:lineRule="auto"/>
        <w:rPr>
          <w:rFonts w:ascii="Franklin Gothic Book" w:hAnsi="Franklin Gothic Book"/>
          <w:sz w:val="22"/>
          <w:szCs w:val="22"/>
        </w:rPr>
      </w:pPr>
      <w:r w:rsidRPr="00D46392">
        <w:rPr>
          <w:rFonts w:ascii="Franklin Gothic Book" w:hAnsi="Franklin Gothic Book"/>
          <w:sz w:val="22"/>
          <w:szCs w:val="22"/>
        </w:rPr>
        <w:t xml:space="preserve">Clinical decisions are based on whichever result is provided first. When WGS and </w:t>
      </w:r>
      <w:proofErr w:type="spellStart"/>
      <w:r w:rsidRPr="00D46392">
        <w:rPr>
          <w:rFonts w:ascii="Franklin Gothic Book" w:hAnsi="Franklin Gothic Book"/>
          <w:sz w:val="22"/>
          <w:szCs w:val="22"/>
        </w:rPr>
        <w:t>pDST</w:t>
      </w:r>
      <w:proofErr w:type="spellEnd"/>
      <w:r w:rsidRPr="00D46392">
        <w:rPr>
          <w:rFonts w:ascii="Franklin Gothic Book" w:hAnsi="Franklin Gothic Book"/>
          <w:sz w:val="22"/>
          <w:szCs w:val="22"/>
        </w:rPr>
        <w:t xml:space="preserve"> results are discordant, an isolate is confirmed to have drug resistance if the test result is positive on either of the tests.</w:t>
      </w:r>
    </w:p>
    <w:p w14:paraId="199EC682" w14:textId="77777777" w:rsidR="00D46392" w:rsidRPr="00D46392" w:rsidRDefault="00D46392" w:rsidP="00D46392">
      <w:pPr>
        <w:pStyle w:val="ListParagraph"/>
        <w:numPr>
          <w:ilvl w:val="0"/>
          <w:numId w:val="17"/>
        </w:numPr>
        <w:spacing w:before="120" w:after="160" w:line="259" w:lineRule="auto"/>
        <w:rPr>
          <w:rFonts w:ascii="Franklin Gothic Book" w:hAnsi="Franklin Gothic Book"/>
          <w:sz w:val="22"/>
          <w:szCs w:val="22"/>
        </w:rPr>
      </w:pPr>
      <w:r w:rsidRPr="00D46392">
        <w:rPr>
          <w:rFonts w:ascii="Franklin Gothic Book" w:hAnsi="Franklin Gothic Book"/>
          <w:sz w:val="22"/>
          <w:szCs w:val="22"/>
        </w:rPr>
        <w:t xml:space="preserve">Time to appropriate treatment in false negatives is assumed to be 3-4 months from the start of empiric treatment. In the base-case it was considered that false negative cases in the </w:t>
      </w:r>
      <w:proofErr w:type="spellStart"/>
      <w:r w:rsidRPr="00D46392">
        <w:rPr>
          <w:rFonts w:ascii="Franklin Gothic Book" w:hAnsi="Franklin Gothic Book"/>
          <w:sz w:val="22"/>
          <w:szCs w:val="22"/>
        </w:rPr>
        <w:t>pDST</w:t>
      </w:r>
      <w:proofErr w:type="spellEnd"/>
      <w:r w:rsidRPr="00D46392">
        <w:rPr>
          <w:rFonts w:ascii="Franklin Gothic Book" w:hAnsi="Franklin Gothic Book"/>
          <w:sz w:val="22"/>
          <w:szCs w:val="22"/>
        </w:rPr>
        <w:t xml:space="preserve"> arm will be on inappropriate treatment for an additional 60 days compared to </w:t>
      </w:r>
      <w:proofErr w:type="spellStart"/>
      <w:r w:rsidRPr="00D46392">
        <w:rPr>
          <w:rFonts w:ascii="Franklin Gothic Book" w:hAnsi="Franklin Gothic Book"/>
          <w:sz w:val="22"/>
          <w:szCs w:val="22"/>
        </w:rPr>
        <w:t>WGS+pDST</w:t>
      </w:r>
      <w:proofErr w:type="spellEnd"/>
      <w:r w:rsidRPr="00D46392">
        <w:rPr>
          <w:rFonts w:ascii="Franklin Gothic Book" w:hAnsi="Franklin Gothic Book"/>
          <w:sz w:val="22"/>
          <w:szCs w:val="22"/>
        </w:rPr>
        <w:t xml:space="preserve"> arm.</w:t>
      </w:r>
    </w:p>
    <w:p w14:paraId="7B323427" w14:textId="77777777" w:rsidR="00D46392" w:rsidRPr="00D46392" w:rsidRDefault="00D46392" w:rsidP="00D46392">
      <w:pPr>
        <w:pStyle w:val="ListParagraph"/>
        <w:numPr>
          <w:ilvl w:val="0"/>
          <w:numId w:val="17"/>
        </w:numPr>
        <w:spacing w:before="120" w:after="160" w:line="259" w:lineRule="auto"/>
        <w:rPr>
          <w:rFonts w:ascii="Franklin Gothic Book" w:hAnsi="Franklin Gothic Book"/>
          <w:sz w:val="22"/>
          <w:szCs w:val="22"/>
        </w:rPr>
      </w:pPr>
      <w:r w:rsidRPr="00D46392">
        <w:rPr>
          <w:rFonts w:ascii="Franklin Gothic Book" w:hAnsi="Franklin Gothic Book"/>
          <w:sz w:val="22"/>
          <w:szCs w:val="22"/>
        </w:rPr>
        <w:lastRenderedPageBreak/>
        <w:t>There was no evidence identified in the clinical evaluation to support a reduction in disease transmission due to the addition of WGS. Therefore, the analysis did not model the impact of WGS on disease transmission.</w:t>
      </w:r>
    </w:p>
    <w:p w14:paraId="5007AE95" w14:textId="77777777" w:rsidR="00D46392" w:rsidRPr="00D46392" w:rsidRDefault="00D46392" w:rsidP="00D46392">
      <w:pPr>
        <w:pStyle w:val="ListParagraph"/>
        <w:numPr>
          <w:ilvl w:val="0"/>
          <w:numId w:val="17"/>
        </w:numPr>
        <w:spacing w:before="120" w:after="160" w:line="259" w:lineRule="auto"/>
        <w:rPr>
          <w:rFonts w:ascii="Franklin Gothic Book" w:hAnsi="Franklin Gothic Book"/>
          <w:sz w:val="22"/>
          <w:szCs w:val="22"/>
        </w:rPr>
      </w:pPr>
      <w:r w:rsidRPr="00D46392">
        <w:rPr>
          <w:rFonts w:ascii="Franklin Gothic Book" w:hAnsi="Franklin Gothic Book"/>
          <w:sz w:val="22"/>
          <w:szCs w:val="22"/>
        </w:rPr>
        <w:t>It was assumed that only MDR-TB patients with second-line drug resistance were in hospital isolation at the time of testing in the base-case.</w:t>
      </w:r>
    </w:p>
    <w:p w14:paraId="51C1720E" w14:textId="77777777" w:rsidR="00D46392" w:rsidRPr="00D46392" w:rsidRDefault="00D46392" w:rsidP="00D46392">
      <w:pPr>
        <w:pStyle w:val="Instructionaltext"/>
        <w:spacing w:line="240" w:lineRule="auto"/>
        <w:rPr>
          <w:color w:val="auto"/>
        </w:rPr>
      </w:pPr>
      <w:r w:rsidRPr="00D46392">
        <w:rPr>
          <w:color w:val="auto"/>
        </w:rPr>
        <w:t xml:space="preserve">Key variables in the model are the accuracy of tests and test turnaround times. It is expected that the addition of WGS results in improved identification of drug resistance and early confirmation of resistance which further results in an early treatment modification and reduction in the duration of hospital isolation. </w:t>
      </w:r>
    </w:p>
    <w:p w14:paraId="05415A75" w14:textId="113AFCC0" w:rsidR="00D46392" w:rsidRPr="00D46392" w:rsidRDefault="00D46392" w:rsidP="00D46392">
      <w:pPr>
        <w:pStyle w:val="Instructionaltext"/>
        <w:spacing w:line="240" w:lineRule="auto"/>
        <w:rPr>
          <w:color w:val="auto"/>
        </w:rPr>
      </w:pPr>
      <w:r w:rsidRPr="00D46392">
        <w:rPr>
          <w:color w:val="auto"/>
        </w:rPr>
        <w:t xml:space="preserve">One study </w:t>
      </w:r>
      <w:r w:rsidRPr="00D46392">
        <w:rPr>
          <w:color w:val="auto"/>
        </w:rPr>
        <w:fldChar w:fldCharType="begin">
          <w:fldData xml:space="preserve">PEVuZE5vdGU+PENpdGU+PEF1dGhvcj5KYWpvdTwvQXV0aG9yPjxZZWFyPjIwMTk8L1llYXI+PFJl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</w:fldData>
        </w:fldChar>
      </w:r>
      <w:r w:rsidRPr="00D46392">
        <w:rPr>
          <w:color w:val="auto"/>
        </w:rPr>
        <w:instrText xml:space="preserve"> ADDIN EN.CITE </w:instrText>
      </w:r>
      <w:r w:rsidRPr="00D46392">
        <w:rPr>
          <w:color w:val="auto"/>
        </w:rPr>
        <w:fldChar w:fldCharType="begin">
          <w:fldData xml:space="preserve">PEVuZE5vdGU+PENpdGU+PEF1dGhvcj5KYWpvdTwvQXV0aG9yPjxZZWFyPjIwMTk8L1llYXI+PFJl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</w:fldData>
        </w:fldChar>
      </w:r>
      <w:r w:rsidRPr="00D46392">
        <w:rPr>
          <w:color w:val="auto"/>
        </w:rPr>
        <w:instrText xml:space="preserve"> ADDIN EN.CITE.DATA </w:instrText>
      </w:r>
      <w:r w:rsidRPr="00D46392">
        <w:rPr>
          <w:color w:val="auto"/>
        </w:rPr>
      </w:r>
      <w:r w:rsidRPr="00D46392">
        <w:rPr>
          <w:color w:val="auto"/>
        </w:rPr>
        <w:fldChar w:fldCharType="end"/>
      </w:r>
      <w:r w:rsidRPr="00D46392">
        <w:rPr>
          <w:color w:val="auto"/>
        </w:rPr>
      </w:r>
      <w:r w:rsidRPr="00D46392">
        <w:rPr>
          <w:color w:val="auto"/>
        </w:rPr>
        <w:fldChar w:fldCharType="separate"/>
      </w:r>
      <w:r w:rsidRPr="00D46392">
        <w:rPr>
          <w:color w:val="auto"/>
        </w:rPr>
        <w:t>(Jajou et al. 2019)</w:t>
      </w:r>
      <w:r w:rsidRPr="00D46392">
        <w:rPr>
          <w:color w:val="auto"/>
        </w:rPr>
        <w:fldChar w:fldCharType="end"/>
      </w:r>
      <w:r w:rsidRPr="00D46392">
        <w:rPr>
          <w:color w:val="auto"/>
        </w:rPr>
        <w:t xml:space="preserve"> was identified comparing the accuracy of WGS and </w:t>
      </w:r>
      <w:proofErr w:type="spellStart"/>
      <w:r w:rsidRPr="00D46392">
        <w:rPr>
          <w:color w:val="auto"/>
        </w:rPr>
        <w:t>pDST</w:t>
      </w:r>
      <w:proofErr w:type="spellEnd"/>
      <w:r w:rsidRPr="00D46392">
        <w:rPr>
          <w:color w:val="auto"/>
        </w:rPr>
        <w:t xml:space="preserve"> with a composite reference standard for the first-line drugs. As this study came from the Netherlands and may have applicability issues to the Australian context, concordance data from an Australian study were also used, and translated into sensitivity/specificity using both tests combined as the reference standard </w:t>
      </w:r>
      <w:r w:rsidRPr="00D46392">
        <w:rPr>
          <w:color w:val="auto"/>
        </w:rPr>
        <w:fldChar w:fldCharType="begin"/>
      </w:r>
      <w:r w:rsidRPr="00D46392">
        <w:rPr>
          <w:color w:val="auto"/>
        </w:rPr>
        <w:instrText xml:space="preserve"> ADDIN EN.CITE &lt;EndNote&gt;&lt;Cite&gt;&lt;Author&gt;Lam&lt;/Author&gt;&lt;Year&gt;2021&lt;/Year&gt;&lt;RecNum&gt;45&lt;/RecNum&gt;&lt;DisplayText&gt;(Lam et al. 2021)&lt;/DisplayText&gt;&lt;record&gt;&lt;rec-number&gt;45&lt;/rec-number&gt;&lt;foreign-keys&gt;&lt;key app="EN" db-id="vdf9px0aurs9vmexfr1xweabwwwr5tevreas" timestamp="1629780664" guid="c5627900-1d88-4ec4-bc55-62c8d225ddc2"&gt;45&lt;/key&gt;&lt;/foreign-keys&gt;&lt;ref-type name="Journal Article"&gt;17&lt;/ref-type&gt;&lt;contributors&gt;&lt;authors&gt;&lt;author&gt;Lam, C.&lt;/author&gt;&lt;author&gt;Martinez, E.&lt;/author&gt;&lt;author&gt;Crighton, T.&lt;/author&gt;&lt;author&gt;Furlong, C.&lt;/author&gt;&lt;author&gt;Donnan, E.&lt;/author&gt;&lt;author&gt;Marais, B. J.&lt;/author&gt;&lt;author&gt;Sintchenko, V.&lt;/author&gt;&lt;/authors&gt;&lt;/contributors&gt;&lt;titles&gt;&lt;title&gt;Value of routine whole genome sequencing for Mycobacterium tuberculosis drug resistance detection&lt;/title&gt;&lt;secondary-title&gt;International Journal of Infectious Diseases&lt;/secondary-title&gt;&lt;/titles&gt;&lt;periodical&gt;&lt;full-title&gt;International Journal of Infectious Diseases&lt;/full-title&gt;&lt;/periodical&gt;&lt;keywords&gt;&lt;keyword&gt;adult&lt;/keyword&gt;&lt;keyword&gt;article&lt;/keyword&gt;&lt;keyword&gt;China&lt;/keyword&gt;&lt;keyword&gt;controlled study&lt;/keyword&gt;&lt;keyword&gt;drug sensitivity&lt;/keyword&gt;&lt;keyword&gt;genetic marker&lt;/keyword&gt;&lt;keyword&gt;genotyping technique&lt;/keyword&gt;&lt;keyword&gt;human&lt;/keyword&gt;&lt;keyword&gt;incidence&lt;/keyword&gt;&lt;keyword&gt;multidrug resistant tuberculosis&lt;/keyword&gt;&lt;keyword&gt;New South Wales&lt;/keyword&gt;&lt;keyword&gt;treatment failure&lt;/keyword&gt;&lt;keyword&gt;tuberculosis&lt;/keyword&gt;&lt;keyword&gt;whole genome sequencing&lt;/keyword&gt;&lt;keyword&gt;Drug Resistance&lt;/keyword&gt;&lt;keyword&gt;Genome&lt;/keyword&gt;&lt;keyword&gt;Genomics&lt;/keyword&gt;&lt;/keywords&gt;&lt;dates&gt;&lt;year&gt;2021&lt;/year&gt;&lt;/dates&gt;&lt;isbn&gt;1878-3511 1201-9712&lt;/isbn&gt;&lt;accession-num&gt;rayyan-195533699&lt;/accession-num&gt;&lt;urls&gt;&lt;related-urls&gt;&lt;url&gt;https://www.embase.com/search/results?subaction=viewrecord&amp;amp;id=L2011637224&amp;amp;from=export http://dx.doi.org/10.1016/j.ijid.2021.03.033&lt;/url&gt;&lt;/related-urls&gt;&lt;/urls&gt;&lt;research-notes&gt;INCLUDE - prospective assessment of added value of WGS&lt;/research-notes&gt;&lt;language&gt;English&lt;/language&gt;&lt;/record&gt;&lt;/Cite&gt;&lt;/EndNote&gt;</w:instrText>
      </w:r>
      <w:r w:rsidRPr="00D46392">
        <w:rPr>
          <w:color w:val="auto"/>
        </w:rPr>
        <w:fldChar w:fldCharType="separate"/>
      </w:r>
      <w:r w:rsidRPr="00D46392">
        <w:rPr>
          <w:color w:val="auto"/>
        </w:rPr>
        <w:t>(Lam et al. 2021)</w:t>
      </w:r>
      <w:r w:rsidRPr="00D46392">
        <w:rPr>
          <w:color w:val="auto"/>
        </w:rPr>
        <w:fldChar w:fldCharType="end"/>
      </w:r>
      <w:r w:rsidRPr="00D46392">
        <w:rPr>
          <w:color w:val="auto"/>
        </w:rPr>
        <w:t xml:space="preserve">. A comparison of accuracy estimates from both the studies is presented in </w:t>
      </w:r>
      <w:r w:rsidRPr="00D46392">
        <w:rPr>
          <w:color w:val="auto"/>
        </w:rPr>
        <w:fldChar w:fldCharType="begin"/>
      </w:r>
      <w:r w:rsidRPr="00D46392">
        <w:rPr>
          <w:color w:val="auto"/>
        </w:rPr>
        <w:instrText xml:space="preserve"> REF _Ref90150065 \h  \* MERGEFORMAT </w:instrText>
      </w:r>
      <w:r w:rsidRPr="00D46392">
        <w:rPr>
          <w:color w:val="auto"/>
        </w:rPr>
      </w:r>
      <w:r w:rsidRPr="00D46392">
        <w:rPr>
          <w:color w:val="auto"/>
        </w:rPr>
        <w:fldChar w:fldCharType="separate"/>
      </w:r>
      <w:r w:rsidR="004C2B2A" w:rsidRPr="004C2B2A">
        <w:rPr>
          <w:color w:val="auto"/>
        </w:rPr>
        <w:t>Table 14</w:t>
      </w:r>
      <w:r w:rsidRPr="00D46392">
        <w:rPr>
          <w:color w:val="auto"/>
        </w:rPr>
        <w:fldChar w:fldCharType="end"/>
      </w:r>
      <w:r w:rsidRPr="00D46392">
        <w:rPr>
          <w:color w:val="auto"/>
        </w:rPr>
        <w:t xml:space="preserve">. </w:t>
      </w:r>
    </w:p>
    <w:p w14:paraId="3737E60A" w14:textId="337361B1" w:rsidR="00D46392" w:rsidRDefault="00D46392" w:rsidP="00D46392">
      <w:pPr>
        <w:pStyle w:val="Caption"/>
      </w:pPr>
      <w:bookmarkStart w:id="29" w:name="_Ref90150065"/>
      <w:r>
        <w:t xml:space="preserve">Table </w:t>
      </w:r>
      <w:fldSimple w:instr=" SEQ Table \* ARABIC ">
        <w:r w:rsidR="004C2B2A">
          <w:rPr>
            <w:noProof/>
          </w:rPr>
          <w:t>14</w:t>
        </w:r>
      </w:fldSimple>
      <w:bookmarkEnd w:id="29"/>
      <w:r>
        <w:tab/>
        <w:t xml:space="preserve">Comparison of the accuracy of WGS or </w:t>
      </w:r>
      <w:proofErr w:type="spellStart"/>
      <w:r>
        <w:t>pDST</w:t>
      </w:r>
      <w:proofErr w:type="spellEnd"/>
      <w:r>
        <w:t xml:space="preserve"> to a combined reference standard of WGS + </w:t>
      </w:r>
      <w:proofErr w:type="spellStart"/>
      <w:r>
        <w:t>pDST</w:t>
      </w:r>
      <w:proofErr w:type="spellEnd"/>
    </w:p>
    <w:tbl>
      <w:tblPr>
        <w:tblStyle w:val="TableGrid"/>
        <w:tblW w:w="5000" w:type="pct"/>
        <w:tblLook w:val="04A0" w:firstRow="1" w:lastRow="0" w:firstColumn="1" w:lastColumn="0" w:noHBand="0" w:noVBand="1"/>
        <w:tblCaption w:val="Accuracy of WGS and pDST predictions compared to composite reference standard (WGS plus pDST) "/>
        <w:tblDescription w:val="Accuracy of WGS and pDST predictions compared to composite reference standard (WGS plus pDST) "/>
      </w:tblPr>
      <w:tblGrid>
        <w:gridCol w:w="1272"/>
        <w:gridCol w:w="1700"/>
        <w:gridCol w:w="1511"/>
        <w:gridCol w:w="1511"/>
        <w:gridCol w:w="1511"/>
        <w:gridCol w:w="1511"/>
      </w:tblGrid>
      <w:tr w:rsidR="00D46392" w:rsidRPr="00C164C7" w14:paraId="7E70502E" w14:textId="77777777" w:rsidTr="005766AB">
        <w:trPr>
          <w:trHeight w:val="312"/>
          <w:tblHeader/>
        </w:trPr>
        <w:tc>
          <w:tcPr>
            <w:tcW w:w="705" w:type="pct"/>
            <w:vMerge w:val="restart"/>
            <w:vAlign w:val="center"/>
          </w:tcPr>
          <w:p w14:paraId="7680D590" w14:textId="77777777" w:rsidR="00D46392" w:rsidRPr="005337F5" w:rsidRDefault="00D46392" w:rsidP="005766AB">
            <w:pPr>
              <w:pStyle w:val="TableText1"/>
              <w:rPr>
                <w:b/>
                <w:snapToGrid w:val="0"/>
                <w:lang w:val="en-US" w:eastAsia="en-AU"/>
              </w:rPr>
            </w:pPr>
            <w:r w:rsidRPr="005337F5">
              <w:rPr>
                <w:b/>
                <w:snapToGrid w:val="0"/>
                <w:lang w:val="en-US" w:eastAsia="en-AU"/>
              </w:rPr>
              <w:t>Test</w:t>
            </w:r>
          </w:p>
        </w:tc>
        <w:tc>
          <w:tcPr>
            <w:tcW w:w="943" w:type="pct"/>
            <w:vMerge w:val="restart"/>
            <w:vAlign w:val="center"/>
          </w:tcPr>
          <w:p w14:paraId="478DDD8A" w14:textId="77777777" w:rsidR="00D46392" w:rsidRPr="005337F5" w:rsidRDefault="00D46392" w:rsidP="005766AB">
            <w:pPr>
              <w:pStyle w:val="TableText1"/>
              <w:rPr>
                <w:b/>
                <w:snapToGrid w:val="0"/>
                <w:lang w:val="en-US" w:eastAsia="en-AU"/>
              </w:rPr>
            </w:pPr>
            <w:r w:rsidRPr="005337F5">
              <w:rPr>
                <w:b/>
                <w:snapToGrid w:val="0"/>
                <w:lang w:val="en-US" w:eastAsia="en-AU"/>
              </w:rPr>
              <w:t>Drug</w:t>
            </w:r>
          </w:p>
        </w:tc>
        <w:tc>
          <w:tcPr>
            <w:tcW w:w="1676" w:type="pct"/>
            <w:gridSpan w:val="2"/>
            <w:vAlign w:val="center"/>
          </w:tcPr>
          <w:p w14:paraId="2878C416" w14:textId="77777777" w:rsidR="00D46392" w:rsidRPr="005337F5" w:rsidRDefault="00D46392" w:rsidP="005766AB">
            <w:pPr>
              <w:pStyle w:val="TableText1"/>
              <w:rPr>
                <w:b/>
                <w:snapToGrid w:val="0"/>
                <w:lang w:val="en-US" w:eastAsia="en-AU"/>
              </w:rPr>
            </w:pPr>
            <w:r>
              <w:rPr>
                <w:b/>
                <w:snapToGrid w:val="0"/>
                <w:lang w:val="en-US" w:eastAsia="en-AU"/>
              </w:rPr>
              <w:fldChar w:fldCharType="begin">
                <w:fldData xml:space="preserve">PEVuZE5vdGU+PENpdGU+PEF1dGhvcj5KYWpvdTwvQXV0aG9yPjxZZWFyPjIwMTk8L1llYXI+PFJl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</w:fldData>
              </w:fldChar>
            </w:r>
            <w:r>
              <w:rPr>
                <w:b/>
                <w:snapToGrid w:val="0"/>
                <w:lang w:val="en-US" w:eastAsia="en-AU"/>
              </w:rPr>
              <w:instrText xml:space="preserve"> ADDIN EN.CITE </w:instrText>
            </w:r>
            <w:r>
              <w:rPr>
                <w:b/>
                <w:snapToGrid w:val="0"/>
                <w:lang w:val="en-US" w:eastAsia="en-AU"/>
              </w:rPr>
              <w:fldChar w:fldCharType="begin">
                <w:fldData xml:space="preserve">PEVuZE5vdGU+PENpdGU+PEF1dGhvcj5KYWpvdTwvQXV0aG9yPjxZZWFyPjIwMTk8L1llYXI+PFJl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</w:fldData>
              </w:fldChar>
            </w:r>
            <w:r>
              <w:rPr>
                <w:b/>
                <w:snapToGrid w:val="0"/>
                <w:lang w:val="en-US" w:eastAsia="en-AU"/>
              </w:rPr>
              <w:instrText xml:space="preserve"> ADDIN EN.CITE.DATA </w:instrText>
            </w:r>
            <w:r>
              <w:rPr>
                <w:b/>
                <w:snapToGrid w:val="0"/>
                <w:lang w:val="en-US" w:eastAsia="en-AU"/>
              </w:rPr>
            </w:r>
            <w:r>
              <w:rPr>
                <w:b/>
                <w:snapToGrid w:val="0"/>
                <w:lang w:val="en-US" w:eastAsia="en-AU"/>
              </w:rPr>
              <w:fldChar w:fldCharType="end"/>
            </w:r>
            <w:r>
              <w:rPr>
                <w:b/>
                <w:snapToGrid w:val="0"/>
                <w:lang w:val="en-US" w:eastAsia="en-AU"/>
              </w:rPr>
            </w:r>
            <w:r>
              <w:rPr>
                <w:b/>
                <w:snapToGrid w:val="0"/>
                <w:lang w:val="en-US" w:eastAsia="en-AU"/>
              </w:rPr>
              <w:fldChar w:fldCharType="separate"/>
            </w:r>
            <w:r>
              <w:rPr>
                <w:b/>
                <w:noProof/>
                <w:snapToGrid w:val="0"/>
                <w:lang w:val="en-US" w:eastAsia="en-AU"/>
              </w:rPr>
              <w:t>(Jajou et al. 2019)</w:t>
            </w:r>
            <w:r>
              <w:rPr>
                <w:b/>
                <w:snapToGrid w:val="0"/>
                <w:lang w:val="en-US" w:eastAsia="en-AU"/>
              </w:rPr>
              <w:fldChar w:fldCharType="end"/>
            </w:r>
          </w:p>
        </w:tc>
        <w:tc>
          <w:tcPr>
            <w:tcW w:w="1676" w:type="pct"/>
            <w:gridSpan w:val="2"/>
            <w:noWrap/>
            <w:vAlign w:val="center"/>
          </w:tcPr>
          <w:p w14:paraId="3C074860" w14:textId="77777777" w:rsidR="00D46392" w:rsidRPr="00003988" w:rsidRDefault="00D46392" w:rsidP="005766AB">
            <w:pPr>
              <w:pStyle w:val="TableText1"/>
              <w:rPr>
                <w:b/>
                <w:snapToGrid w:val="0"/>
                <w:lang w:val="en-US" w:eastAsia="en-AU"/>
              </w:rPr>
            </w:pPr>
            <w:r>
              <w:rPr>
                <w:b/>
                <w:snapToGrid w:val="0"/>
                <w:lang w:val="en-US" w:eastAsia="en-AU"/>
              </w:rPr>
              <w:fldChar w:fldCharType="begin"/>
            </w:r>
            <w:r>
              <w:rPr>
                <w:b/>
                <w:snapToGrid w:val="0"/>
                <w:lang w:val="en-US" w:eastAsia="en-AU"/>
              </w:rPr>
              <w:instrText xml:space="preserve"> ADDIN EN.CITE &lt;EndNote&gt;&lt;Cite&gt;&lt;Author&gt;Lam&lt;/Author&gt;&lt;Year&gt;2021&lt;/Year&gt;&lt;RecNum&gt;45&lt;/RecNum&gt;&lt;DisplayText&gt;(Lam et al. 2021)&lt;/DisplayText&gt;&lt;record&gt;&lt;rec-number&gt;45&lt;/rec-number&gt;&lt;foreign-keys&gt;&lt;key app="EN" db-id="vdf9px0aurs9vmexfr1xweabwwwr5tevreas" timestamp="1629780664" guid="c5627900-1d88-4ec4-bc55-62c8d225ddc2"&gt;45&lt;/key&gt;&lt;/foreign-keys&gt;&lt;ref-type name="Journal Article"&gt;17&lt;/ref-type&gt;&lt;contributors&gt;&lt;authors&gt;&lt;author&gt;Lam, C.&lt;/author&gt;&lt;author&gt;Martinez, E.&lt;/author&gt;&lt;author&gt;Crighton, T.&lt;/author&gt;&lt;author&gt;Furlong, C.&lt;/author&gt;&lt;author&gt;Donnan, E.&lt;/author&gt;&lt;author&gt;Marais, B. J.&lt;/author&gt;&lt;author&gt;Sintchenko, V.&lt;/author&gt;&lt;/authors&gt;&lt;/contributors&gt;&lt;titles&gt;&lt;title&gt;Value of routine whole genome sequencing for Mycobacterium tuberculosis drug resistance detection&lt;/title&gt;&lt;secondary-title&gt;International Journal of Infectious Diseases&lt;/secondary-title&gt;&lt;/titles&gt;&lt;periodical&gt;&lt;full-title&gt;International Journal of Infectious Diseases&lt;/full-title&gt;&lt;/periodical&gt;&lt;keywords&gt;&lt;keyword&gt;adult&lt;/keyword&gt;&lt;keyword&gt;article&lt;/keyword&gt;&lt;keyword&gt;China&lt;/keyword&gt;&lt;keyword&gt;controlled study&lt;/keyword&gt;&lt;keyword&gt;drug sensitivity&lt;/keyword&gt;&lt;keyword&gt;genetic marker&lt;/keyword&gt;&lt;keyword&gt;genotyping technique&lt;/keyword&gt;&lt;keyword&gt;human&lt;/keyword&gt;&lt;keyword&gt;incidence&lt;/keyword&gt;&lt;keyword&gt;multidrug resistant tuberculosis&lt;/keyword&gt;&lt;keyword&gt;New South Wales&lt;/keyword&gt;&lt;keyword&gt;treatment failure&lt;/keyword&gt;&lt;keyword&gt;tuberculosis&lt;/keyword&gt;&lt;keyword&gt;whole genome sequencing&lt;/keyword&gt;&lt;keyword&gt;Drug Resistance&lt;/keyword&gt;&lt;keyword&gt;Genome&lt;/keyword&gt;&lt;keyword&gt;Genomics&lt;/keyword&gt;&lt;/keywords&gt;&lt;dates&gt;&lt;year&gt;2021&lt;/year&gt;&lt;/dates&gt;&lt;isbn&gt;1878-3511 1201-9712&lt;/isbn&gt;&lt;accession-num&gt;rayyan-195533699&lt;/accession-num&gt;&lt;urls&gt;&lt;related-urls&gt;&lt;url&gt;https://www.embase.com/search/results?subaction=viewrecord&amp;amp;id=L2011637224&amp;amp;from=export http://dx.doi.org/10.1016/j.ijid.2021.03.033&lt;/url&gt;&lt;/related-urls&gt;&lt;/urls&gt;&lt;research-notes&gt;INCLUDE - prospective assessment of added value of WGS&lt;/research-notes&gt;&lt;language&gt;English&lt;/language&gt;&lt;/record&gt;&lt;/Cite&gt;&lt;/EndNote&gt;</w:instrText>
            </w:r>
            <w:r>
              <w:rPr>
                <w:b/>
                <w:snapToGrid w:val="0"/>
                <w:lang w:val="en-US" w:eastAsia="en-AU"/>
              </w:rPr>
              <w:fldChar w:fldCharType="separate"/>
            </w:r>
            <w:r>
              <w:rPr>
                <w:b/>
                <w:noProof/>
                <w:snapToGrid w:val="0"/>
                <w:lang w:val="en-US" w:eastAsia="en-AU"/>
              </w:rPr>
              <w:t>(Lam et al. 2021)</w:t>
            </w:r>
            <w:r>
              <w:rPr>
                <w:b/>
                <w:snapToGrid w:val="0"/>
                <w:lang w:val="en-US" w:eastAsia="en-AU"/>
              </w:rPr>
              <w:fldChar w:fldCharType="end"/>
            </w:r>
          </w:p>
        </w:tc>
      </w:tr>
      <w:tr w:rsidR="00D46392" w:rsidRPr="00C164C7" w14:paraId="3BF5D47D" w14:textId="77777777" w:rsidTr="005766AB">
        <w:trPr>
          <w:trHeight w:val="312"/>
          <w:tblHeader/>
        </w:trPr>
        <w:tc>
          <w:tcPr>
            <w:tcW w:w="705" w:type="pct"/>
            <w:vMerge/>
            <w:vAlign w:val="center"/>
            <w:hideMark/>
          </w:tcPr>
          <w:p w14:paraId="35C0F597" w14:textId="77777777" w:rsidR="00D46392" w:rsidRPr="005337F5" w:rsidRDefault="00D46392" w:rsidP="005766AB">
            <w:pPr>
              <w:pStyle w:val="TableText1"/>
              <w:rPr>
                <w:b/>
                <w:snapToGrid w:val="0"/>
                <w:lang w:eastAsia="en-AU"/>
              </w:rPr>
            </w:pPr>
          </w:p>
        </w:tc>
        <w:tc>
          <w:tcPr>
            <w:tcW w:w="943" w:type="pct"/>
            <w:vMerge/>
            <w:vAlign w:val="center"/>
            <w:hideMark/>
          </w:tcPr>
          <w:p w14:paraId="469A6584" w14:textId="77777777" w:rsidR="00D46392" w:rsidRPr="005337F5" w:rsidRDefault="00D46392" w:rsidP="005766AB">
            <w:pPr>
              <w:pStyle w:val="TableText1"/>
              <w:rPr>
                <w:b/>
                <w:snapToGrid w:val="0"/>
                <w:lang w:eastAsia="en-AU"/>
              </w:rPr>
            </w:pPr>
          </w:p>
        </w:tc>
        <w:tc>
          <w:tcPr>
            <w:tcW w:w="838" w:type="pct"/>
            <w:vAlign w:val="center"/>
            <w:hideMark/>
          </w:tcPr>
          <w:p w14:paraId="2C35539E" w14:textId="77777777" w:rsidR="00D46392" w:rsidRPr="005337F5" w:rsidRDefault="00D46392" w:rsidP="005766AB">
            <w:pPr>
              <w:pStyle w:val="TableText1"/>
              <w:rPr>
                <w:b/>
                <w:snapToGrid w:val="0"/>
                <w:lang w:eastAsia="en-AU"/>
              </w:rPr>
            </w:pPr>
            <w:r w:rsidRPr="005337F5">
              <w:rPr>
                <w:b/>
                <w:snapToGrid w:val="0"/>
                <w:lang w:val="en-US" w:eastAsia="en-AU"/>
              </w:rPr>
              <w:t>Sensitivity (%)</w:t>
            </w:r>
          </w:p>
        </w:tc>
        <w:tc>
          <w:tcPr>
            <w:tcW w:w="838" w:type="pct"/>
            <w:vAlign w:val="center"/>
            <w:hideMark/>
          </w:tcPr>
          <w:p w14:paraId="14D5A600" w14:textId="77777777" w:rsidR="00D46392" w:rsidRPr="005337F5" w:rsidRDefault="00D46392" w:rsidP="005766AB">
            <w:pPr>
              <w:pStyle w:val="TableText1"/>
              <w:rPr>
                <w:b/>
                <w:snapToGrid w:val="0"/>
                <w:lang w:eastAsia="en-AU"/>
              </w:rPr>
            </w:pPr>
            <w:r w:rsidRPr="005337F5">
              <w:rPr>
                <w:b/>
                <w:snapToGrid w:val="0"/>
                <w:lang w:val="en-US" w:eastAsia="en-AU"/>
              </w:rPr>
              <w:t>Specificity (%)</w:t>
            </w:r>
          </w:p>
        </w:tc>
        <w:tc>
          <w:tcPr>
            <w:tcW w:w="838" w:type="pct"/>
            <w:noWrap/>
            <w:vAlign w:val="center"/>
            <w:hideMark/>
          </w:tcPr>
          <w:p w14:paraId="634DFA0E" w14:textId="77777777" w:rsidR="00D46392" w:rsidRPr="005337F5" w:rsidRDefault="00D46392" w:rsidP="005766AB">
            <w:pPr>
              <w:pStyle w:val="TableText1"/>
              <w:rPr>
                <w:b/>
                <w:snapToGrid w:val="0"/>
                <w:lang w:eastAsia="en-AU"/>
              </w:rPr>
            </w:pPr>
            <w:r w:rsidRPr="005337F5">
              <w:rPr>
                <w:b/>
                <w:snapToGrid w:val="0"/>
                <w:lang w:val="en-US" w:eastAsia="en-AU"/>
              </w:rPr>
              <w:t>Sensitivity (%)</w:t>
            </w:r>
            <w:r>
              <w:rPr>
                <w:b/>
                <w:snapToGrid w:val="0"/>
                <w:vertAlign w:val="superscript"/>
                <w:lang w:val="en-US" w:eastAsia="en-AU"/>
              </w:rPr>
              <w:t>b</w:t>
            </w:r>
          </w:p>
        </w:tc>
        <w:tc>
          <w:tcPr>
            <w:tcW w:w="838" w:type="pct"/>
            <w:vAlign w:val="center"/>
            <w:hideMark/>
          </w:tcPr>
          <w:p w14:paraId="417EE3CC" w14:textId="77777777" w:rsidR="00D46392" w:rsidRPr="005337F5" w:rsidRDefault="00D46392" w:rsidP="005766AB">
            <w:pPr>
              <w:pStyle w:val="TableText1"/>
              <w:rPr>
                <w:b/>
                <w:snapToGrid w:val="0"/>
                <w:lang w:eastAsia="en-AU"/>
              </w:rPr>
            </w:pPr>
            <w:r w:rsidRPr="005337F5">
              <w:rPr>
                <w:b/>
                <w:snapToGrid w:val="0"/>
                <w:lang w:val="en-US" w:eastAsia="en-AU"/>
              </w:rPr>
              <w:t>Specificity (%)</w:t>
            </w:r>
            <w:r>
              <w:rPr>
                <w:b/>
                <w:snapToGrid w:val="0"/>
                <w:vertAlign w:val="superscript"/>
                <w:lang w:val="en-US" w:eastAsia="en-AU"/>
              </w:rPr>
              <w:t>b</w:t>
            </w:r>
          </w:p>
        </w:tc>
      </w:tr>
      <w:tr w:rsidR="00D46392" w:rsidRPr="00C164C7" w14:paraId="73D36A2D" w14:textId="77777777" w:rsidTr="005766AB">
        <w:trPr>
          <w:trHeight w:val="288"/>
        </w:trPr>
        <w:tc>
          <w:tcPr>
            <w:tcW w:w="705" w:type="pct"/>
            <w:vMerge w:val="restart"/>
            <w:vAlign w:val="center"/>
            <w:hideMark/>
          </w:tcPr>
          <w:p w14:paraId="60E58EE8" w14:textId="77777777" w:rsidR="00D46392" w:rsidRPr="00C164C7" w:rsidRDefault="00D46392" w:rsidP="005766AB">
            <w:pPr>
              <w:pStyle w:val="TableText1"/>
              <w:rPr>
                <w:snapToGrid w:val="0"/>
                <w:lang w:eastAsia="en-AU"/>
              </w:rPr>
            </w:pPr>
            <w:r w:rsidRPr="00C164C7">
              <w:rPr>
                <w:snapToGrid w:val="0"/>
                <w:lang w:eastAsia="en-AU"/>
              </w:rPr>
              <w:t>WGS</w:t>
            </w:r>
          </w:p>
        </w:tc>
        <w:tc>
          <w:tcPr>
            <w:tcW w:w="943" w:type="pct"/>
            <w:vAlign w:val="center"/>
            <w:hideMark/>
          </w:tcPr>
          <w:p w14:paraId="61A84FC4" w14:textId="77777777" w:rsidR="00D46392" w:rsidRPr="00C164C7" w:rsidRDefault="00D46392" w:rsidP="005766AB">
            <w:pPr>
              <w:pStyle w:val="TableText1"/>
              <w:rPr>
                <w:snapToGrid w:val="0"/>
                <w:lang w:eastAsia="en-AU"/>
              </w:rPr>
            </w:pPr>
            <w:r w:rsidRPr="00C164C7">
              <w:rPr>
                <w:snapToGrid w:val="0"/>
                <w:lang w:eastAsia="en-AU"/>
              </w:rPr>
              <w:t>Rifampicin</w:t>
            </w:r>
          </w:p>
        </w:tc>
        <w:tc>
          <w:tcPr>
            <w:tcW w:w="838" w:type="pct"/>
            <w:vAlign w:val="center"/>
            <w:hideMark/>
          </w:tcPr>
          <w:p w14:paraId="11090B37" w14:textId="77777777" w:rsidR="00D46392" w:rsidRPr="00C164C7" w:rsidRDefault="00D46392" w:rsidP="005766AB">
            <w:pPr>
              <w:pStyle w:val="TableText1"/>
              <w:rPr>
                <w:snapToGrid w:val="0"/>
                <w:lang w:eastAsia="en-AU"/>
              </w:rPr>
            </w:pPr>
            <w:r w:rsidRPr="00C164C7">
              <w:rPr>
                <w:snapToGrid w:val="0"/>
                <w:lang w:eastAsia="en-AU"/>
              </w:rPr>
              <w:t>96.9</w:t>
            </w:r>
          </w:p>
        </w:tc>
        <w:tc>
          <w:tcPr>
            <w:tcW w:w="838" w:type="pct"/>
            <w:vAlign w:val="center"/>
            <w:hideMark/>
          </w:tcPr>
          <w:p w14:paraId="22FFFDDF" w14:textId="77777777" w:rsidR="00D46392" w:rsidRPr="00C164C7" w:rsidRDefault="00D46392" w:rsidP="005766AB">
            <w:pPr>
              <w:pStyle w:val="TableText1"/>
              <w:rPr>
                <w:snapToGrid w:val="0"/>
                <w:lang w:eastAsia="en-AU"/>
              </w:rPr>
            </w:pPr>
            <w:r w:rsidRPr="00C164C7">
              <w:rPr>
                <w:snapToGrid w:val="0"/>
                <w:lang w:eastAsia="en-AU"/>
              </w:rPr>
              <w:t>99.7</w:t>
            </w:r>
          </w:p>
        </w:tc>
        <w:tc>
          <w:tcPr>
            <w:tcW w:w="838" w:type="pct"/>
            <w:vAlign w:val="center"/>
          </w:tcPr>
          <w:p w14:paraId="51BB1307"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c>
          <w:tcPr>
            <w:tcW w:w="838" w:type="pct"/>
            <w:vAlign w:val="center"/>
            <w:hideMark/>
          </w:tcPr>
          <w:p w14:paraId="10D5C42B"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r>
      <w:tr w:rsidR="00D46392" w:rsidRPr="00C164C7" w14:paraId="11A05C25" w14:textId="77777777" w:rsidTr="005766AB">
        <w:trPr>
          <w:trHeight w:val="288"/>
        </w:trPr>
        <w:tc>
          <w:tcPr>
            <w:tcW w:w="705" w:type="pct"/>
            <w:vMerge/>
            <w:vAlign w:val="center"/>
            <w:hideMark/>
          </w:tcPr>
          <w:p w14:paraId="109D4845" w14:textId="77777777" w:rsidR="00D46392" w:rsidRPr="00C164C7" w:rsidRDefault="00D46392" w:rsidP="005766AB">
            <w:pPr>
              <w:pStyle w:val="TableText1"/>
              <w:rPr>
                <w:snapToGrid w:val="0"/>
                <w:lang w:eastAsia="en-AU"/>
              </w:rPr>
            </w:pPr>
          </w:p>
        </w:tc>
        <w:tc>
          <w:tcPr>
            <w:tcW w:w="943" w:type="pct"/>
            <w:vAlign w:val="center"/>
            <w:hideMark/>
          </w:tcPr>
          <w:p w14:paraId="7CEA45B8" w14:textId="77777777" w:rsidR="00D46392" w:rsidRPr="00C164C7" w:rsidRDefault="00D46392" w:rsidP="005766AB">
            <w:pPr>
              <w:pStyle w:val="TableText1"/>
              <w:rPr>
                <w:snapToGrid w:val="0"/>
                <w:lang w:eastAsia="en-AU"/>
              </w:rPr>
            </w:pPr>
            <w:r w:rsidRPr="00C164C7">
              <w:rPr>
                <w:snapToGrid w:val="0"/>
                <w:lang w:eastAsia="en-AU"/>
              </w:rPr>
              <w:t>Isoniazid</w:t>
            </w:r>
          </w:p>
        </w:tc>
        <w:tc>
          <w:tcPr>
            <w:tcW w:w="838" w:type="pct"/>
            <w:vAlign w:val="center"/>
            <w:hideMark/>
          </w:tcPr>
          <w:p w14:paraId="4281AF10" w14:textId="77777777" w:rsidR="00D46392" w:rsidRPr="00C164C7" w:rsidRDefault="00D46392" w:rsidP="005766AB">
            <w:pPr>
              <w:pStyle w:val="TableText1"/>
              <w:rPr>
                <w:snapToGrid w:val="0"/>
                <w:lang w:eastAsia="en-AU"/>
              </w:rPr>
            </w:pPr>
            <w:r w:rsidRPr="00C164C7">
              <w:rPr>
                <w:snapToGrid w:val="0"/>
                <w:lang w:eastAsia="en-AU"/>
              </w:rPr>
              <w:t>98</w:t>
            </w:r>
            <w:r>
              <w:rPr>
                <w:snapToGrid w:val="0"/>
                <w:lang w:eastAsia="en-AU"/>
              </w:rPr>
              <w:t>.0</w:t>
            </w:r>
          </w:p>
        </w:tc>
        <w:tc>
          <w:tcPr>
            <w:tcW w:w="838" w:type="pct"/>
            <w:vAlign w:val="center"/>
            <w:hideMark/>
          </w:tcPr>
          <w:p w14:paraId="0425BF2D" w14:textId="77777777" w:rsidR="00D46392" w:rsidRPr="00C164C7" w:rsidRDefault="00D46392" w:rsidP="005766AB">
            <w:pPr>
              <w:pStyle w:val="TableText1"/>
              <w:rPr>
                <w:snapToGrid w:val="0"/>
                <w:lang w:eastAsia="en-AU"/>
              </w:rPr>
            </w:pPr>
            <w:r w:rsidRPr="00C164C7">
              <w:rPr>
                <w:snapToGrid w:val="0"/>
                <w:lang w:eastAsia="en-AU"/>
              </w:rPr>
              <w:t>99.9</w:t>
            </w:r>
          </w:p>
        </w:tc>
        <w:tc>
          <w:tcPr>
            <w:tcW w:w="838" w:type="pct"/>
            <w:vAlign w:val="center"/>
          </w:tcPr>
          <w:p w14:paraId="3723C3F7" w14:textId="77777777" w:rsidR="00D46392" w:rsidRPr="00C164C7" w:rsidRDefault="00D46392" w:rsidP="005766AB">
            <w:pPr>
              <w:pStyle w:val="TableText1"/>
              <w:rPr>
                <w:snapToGrid w:val="0"/>
                <w:lang w:eastAsia="en-AU"/>
              </w:rPr>
            </w:pPr>
            <w:r w:rsidRPr="00C164C7">
              <w:rPr>
                <w:snapToGrid w:val="0"/>
                <w:lang w:eastAsia="en-AU"/>
              </w:rPr>
              <w:t>94.2</w:t>
            </w:r>
          </w:p>
        </w:tc>
        <w:tc>
          <w:tcPr>
            <w:tcW w:w="838" w:type="pct"/>
            <w:vAlign w:val="center"/>
            <w:hideMark/>
          </w:tcPr>
          <w:p w14:paraId="7221B16B"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r>
      <w:tr w:rsidR="00D46392" w:rsidRPr="00C164C7" w14:paraId="1B1CD0BD" w14:textId="77777777" w:rsidTr="005766AB">
        <w:trPr>
          <w:trHeight w:val="288"/>
        </w:trPr>
        <w:tc>
          <w:tcPr>
            <w:tcW w:w="705" w:type="pct"/>
            <w:vMerge/>
            <w:vAlign w:val="center"/>
            <w:hideMark/>
          </w:tcPr>
          <w:p w14:paraId="4FFBBE19" w14:textId="77777777" w:rsidR="00D46392" w:rsidRPr="00C164C7" w:rsidRDefault="00D46392" w:rsidP="005766AB">
            <w:pPr>
              <w:pStyle w:val="TableText1"/>
              <w:rPr>
                <w:snapToGrid w:val="0"/>
                <w:lang w:eastAsia="en-AU"/>
              </w:rPr>
            </w:pPr>
          </w:p>
        </w:tc>
        <w:tc>
          <w:tcPr>
            <w:tcW w:w="943" w:type="pct"/>
            <w:vAlign w:val="center"/>
            <w:hideMark/>
          </w:tcPr>
          <w:p w14:paraId="07B8A9F0" w14:textId="77777777" w:rsidR="00D46392" w:rsidRPr="00C164C7" w:rsidRDefault="00D46392" w:rsidP="005766AB">
            <w:pPr>
              <w:pStyle w:val="TableText1"/>
              <w:rPr>
                <w:snapToGrid w:val="0"/>
                <w:lang w:eastAsia="en-AU"/>
              </w:rPr>
            </w:pPr>
            <w:r w:rsidRPr="00C164C7">
              <w:rPr>
                <w:snapToGrid w:val="0"/>
                <w:lang w:eastAsia="en-AU"/>
              </w:rPr>
              <w:t>Ethambutol</w:t>
            </w:r>
          </w:p>
        </w:tc>
        <w:tc>
          <w:tcPr>
            <w:tcW w:w="838" w:type="pct"/>
            <w:vAlign w:val="center"/>
            <w:hideMark/>
          </w:tcPr>
          <w:p w14:paraId="525C2265" w14:textId="77777777" w:rsidR="00D46392" w:rsidRPr="00C164C7" w:rsidRDefault="00D46392" w:rsidP="005766AB">
            <w:pPr>
              <w:pStyle w:val="TableText1"/>
              <w:rPr>
                <w:snapToGrid w:val="0"/>
                <w:lang w:eastAsia="en-AU"/>
              </w:rPr>
            </w:pPr>
            <w:r w:rsidRPr="00C164C7">
              <w:rPr>
                <w:snapToGrid w:val="0"/>
                <w:lang w:eastAsia="en-AU"/>
              </w:rPr>
              <w:t>94.1</w:t>
            </w:r>
          </w:p>
        </w:tc>
        <w:tc>
          <w:tcPr>
            <w:tcW w:w="838" w:type="pct"/>
            <w:vAlign w:val="center"/>
            <w:hideMark/>
          </w:tcPr>
          <w:p w14:paraId="33A05E19" w14:textId="77777777" w:rsidR="00D46392" w:rsidRPr="00C164C7" w:rsidRDefault="00D46392" w:rsidP="005766AB">
            <w:pPr>
              <w:pStyle w:val="TableText1"/>
              <w:rPr>
                <w:snapToGrid w:val="0"/>
                <w:lang w:eastAsia="en-AU"/>
              </w:rPr>
            </w:pPr>
            <w:r w:rsidRPr="00C164C7">
              <w:rPr>
                <w:snapToGrid w:val="0"/>
                <w:lang w:eastAsia="en-AU"/>
              </w:rPr>
              <w:t>99.6</w:t>
            </w:r>
          </w:p>
        </w:tc>
        <w:tc>
          <w:tcPr>
            <w:tcW w:w="838" w:type="pct"/>
            <w:vAlign w:val="center"/>
          </w:tcPr>
          <w:p w14:paraId="2A46C405"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c>
          <w:tcPr>
            <w:tcW w:w="838" w:type="pct"/>
            <w:vAlign w:val="center"/>
            <w:hideMark/>
          </w:tcPr>
          <w:p w14:paraId="77DAAC9C"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r>
      <w:tr w:rsidR="00D46392" w:rsidRPr="00C164C7" w14:paraId="46A0BE64" w14:textId="77777777" w:rsidTr="005766AB">
        <w:trPr>
          <w:trHeight w:val="312"/>
        </w:trPr>
        <w:tc>
          <w:tcPr>
            <w:tcW w:w="705" w:type="pct"/>
            <w:vMerge/>
            <w:vAlign w:val="center"/>
            <w:hideMark/>
          </w:tcPr>
          <w:p w14:paraId="3B80A413" w14:textId="77777777" w:rsidR="00D46392" w:rsidRPr="00C164C7" w:rsidRDefault="00D46392" w:rsidP="005766AB">
            <w:pPr>
              <w:pStyle w:val="TableText1"/>
              <w:rPr>
                <w:snapToGrid w:val="0"/>
                <w:lang w:eastAsia="en-AU"/>
              </w:rPr>
            </w:pPr>
          </w:p>
        </w:tc>
        <w:tc>
          <w:tcPr>
            <w:tcW w:w="943" w:type="pct"/>
            <w:vAlign w:val="center"/>
            <w:hideMark/>
          </w:tcPr>
          <w:p w14:paraId="51233655" w14:textId="77777777" w:rsidR="00D46392" w:rsidRPr="00C164C7" w:rsidRDefault="00D46392" w:rsidP="005766AB">
            <w:pPr>
              <w:pStyle w:val="TableText1"/>
              <w:rPr>
                <w:snapToGrid w:val="0"/>
                <w:lang w:eastAsia="en-AU"/>
              </w:rPr>
            </w:pPr>
            <w:r w:rsidRPr="00C164C7">
              <w:rPr>
                <w:snapToGrid w:val="0"/>
                <w:lang w:eastAsia="en-AU"/>
              </w:rPr>
              <w:t>Pyrazinamide</w:t>
            </w:r>
          </w:p>
        </w:tc>
        <w:tc>
          <w:tcPr>
            <w:tcW w:w="838" w:type="pct"/>
            <w:vAlign w:val="center"/>
            <w:hideMark/>
          </w:tcPr>
          <w:p w14:paraId="4EE83504" w14:textId="77777777" w:rsidR="00D46392" w:rsidRPr="00C164C7" w:rsidRDefault="00D46392" w:rsidP="005766AB">
            <w:pPr>
              <w:pStyle w:val="TableText1"/>
              <w:rPr>
                <w:snapToGrid w:val="0"/>
                <w:lang w:eastAsia="en-AU"/>
              </w:rPr>
            </w:pPr>
            <w:r w:rsidRPr="00C164C7">
              <w:rPr>
                <w:snapToGrid w:val="0"/>
                <w:lang w:eastAsia="en-AU"/>
              </w:rPr>
              <w:t>85.1</w:t>
            </w:r>
            <w:r>
              <w:rPr>
                <w:snapToGrid w:val="0"/>
                <w:vertAlign w:val="superscript"/>
                <w:lang w:eastAsia="en-AU"/>
              </w:rPr>
              <w:t>a</w:t>
            </w:r>
          </w:p>
        </w:tc>
        <w:tc>
          <w:tcPr>
            <w:tcW w:w="838" w:type="pct"/>
            <w:vAlign w:val="center"/>
            <w:hideMark/>
          </w:tcPr>
          <w:p w14:paraId="3D46C800" w14:textId="77777777" w:rsidR="00D46392" w:rsidRPr="00C164C7" w:rsidRDefault="00D46392" w:rsidP="005766AB">
            <w:pPr>
              <w:pStyle w:val="TableText1"/>
              <w:rPr>
                <w:snapToGrid w:val="0"/>
                <w:lang w:eastAsia="en-AU"/>
              </w:rPr>
            </w:pPr>
            <w:r w:rsidRPr="00C164C7">
              <w:rPr>
                <w:snapToGrid w:val="0"/>
                <w:lang w:eastAsia="en-AU"/>
              </w:rPr>
              <w:t>98.8</w:t>
            </w:r>
            <w:r>
              <w:rPr>
                <w:snapToGrid w:val="0"/>
                <w:vertAlign w:val="superscript"/>
                <w:lang w:eastAsia="en-AU"/>
              </w:rPr>
              <w:t>a</w:t>
            </w:r>
          </w:p>
        </w:tc>
        <w:tc>
          <w:tcPr>
            <w:tcW w:w="838" w:type="pct"/>
            <w:vAlign w:val="center"/>
          </w:tcPr>
          <w:p w14:paraId="5F7370E7" w14:textId="77777777" w:rsidR="00D46392" w:rsidRPr="00C164C7" w:rsidRDefault="00D46392" w:rsidP="005766AB">
            <w:pPr>
              <w:pStyle w:val="TableText1"/>
              <w:rPr>
                <w:snapToGrid w:val="0"/>
                <w:lang w:eastAsia="en-AU"/>
              </w:rPr>
            </w:pPr>
            <w:r w:rsidRPr="00C164C7">
              <w:rPr>
                <w:snapToGrid w:val="0"/>
                <w:lang w:eastAsia="en-AU"/>
              </w:rPr>
              <w:t>88.9</w:t>
            </w:r>
          </w:p>
        </w:tc>
        <w:tc>
          <w:tcPr>
            <w:tcW w:w="838" w:type="pct"/>
            <w:vAlign w:val="center"/>
            <w:hideMark/>
          </w:tcPr>
          <w:p w14:paraId="6ABF4401" w14:textId="77777777" w:rsidR="00D46392" w:rsidRPr="00125A8F" w:rsidRDefault="00D46392" w:rsidP="005766AB">
            <w:pPr>
              <w:pStyle w:val="TableText1"/>
              <w:rPr>
                <w:snapToGrid w:val="0"/>
                <w:lang w:eastAsia="en-AU"/>
              </w:rPr>
            </w:pPr>
            <w:r w:rsidRPr="00F147B6">
              <w:rPr>
                <w:iCs/>
                <w:snapToGrid w:val="0"/>
                <w:lang w:eastAsia="en-AU"/>
              </w:rPr>
              <w:t>100.0</w:t>
            </w:r>
          </w:p>
        </w:tc>
      </w:tr>
      <w:tr w:rsidR="00D46392" w:rsidRPr="00C164C7" w14:paraId="795828F9" w14:textId="77777777" w:rsidTr="005766AB">
        <w:trPr>
          <w:trHeight w:val="288"/>
        </w:trPr>
        <w:tc>
          <w:tcPr>
            <w:tcW w:w="705" w:type="pct"/>
            <w:vMerge w:val="restart"/>
            <w:vAlign w:val="center"/>
            <w:hideMark/>
          </w:tcPr>
          <w:p w14:paraId="1FB4EEFA" w14:textId="77777777" w:rsidR="00D46392" w:rsidRPr="00C164C7" w:rsidRDefault="00D46392" w:rsidP="005766AB">
            <w:pPr>
              <w:pStyle w:val="TableText1"/>
              <w:rPr>
                <w:snapToGrid w:val="0"/>
                <w:lang w:eastAsia="en-AU"/>
              </w:rPr>
            </w:pPr>
            <w:proofErr w:type="spellStart"/>
            <w:r w:rsidRPr="00C164C7">
              <w:rPr>
                <w:snapToGrid w:val="0"/>
                <w:lang w:eastAsia="en-AU"/>
              </w:rPr>
              <w:t>pDST</w:t>
            </w:r>
            <w:proofErr w:type="spellEnd"/>
          </w:p>
        </w:tc>
        <w:tc>
          <w:tcPr>
            <w:tcW w:w="943" w:type="pct"/>
            <w:vAlign w:val="center"/>
            <w:hideMark/>
          </w:tcPr>
          <w:p w14:paraId="7B40AED4" w14:textId="77777777" w:rsidR="00D46392" w:rsidRPr="00C164C7" w:rsidRDefault="00D46392" w:rsidP="005766AB">
            <w:pPr>
              <w:pStyle w:val="TableText1"/>
              <w:rPr>
                <w:snapToGrid w:val="0"/>
                <w:lang w:eastAsia="en-AU"/>
              </w:rPr>
            </w:pPr>
            <w:r w:rsidRPr="00C164C7">
              <w:rPr>
                <w:snapToGrid w:val="0"/>
                <w:lang w:eastAsia="en-AU"/>
              </w:rPr>
              <w:t>Rifampicin</w:t>
            </w:r>
          </w:p>
        </w:tc>
        <w:tc>
          <w:tcPr>
            <w:tcW w:w="838" w:type="pct"/>
            <w:vAlign w:val="center"/>
            <w:hideMark/>
          </w:tcPr>
          <w:p w14:paraId="7B7FFC30" w14:textId="77777777" w:rsidR="00D46392" w:rsidRPr="00C164C7" w:rsidRDefault="00D46392" w:rsidP="005766AB">
            <w:pPr>
              <w:pStyle w:val="TableText1"/>
              <w:rPr>
                <w:snapToGrid w:val="0"/>
                <w:lang w:eastAsia="en-AU"/>
              </w:rPr>
            </w:pPr>
            <w:r w:rsidRPr="00C164C7">
              <w:rPr>
                <w:snapToGrid w:val="0"/>
                <w:lang w:eastAsia="en-AU"/>
              </w:rPr>
              <w:t>78.1</w:t>
            </w:r>
          </w:p>
        </w:tc>
        <w:tc>
          <w:tcPr>
            <w:tcW w:w="838" w:type="pct"/>
            <w:vAlign w:val="center"/>
            <w:hideMark/>
          </w:tcPr>
          <w:p w14:paraId="77FAC355"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c>
          <w:tcPr>
            <w:tcW w:w="838" w:type="pct"/>
            <w:vAlign w:val="center"/>
          </w:tcPr>
          <w:p w14:paraId="6A24847E"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c>
          <w:tcPr>
            <w:tcW w:w="838" w:type="pct"/>
            <w:vAlign w:val="center"/>
            <w:hideMark/>
          </w:tcPr>
          <w:p w14:paraId="15FBD647" w14:textId="77777777" w:rsidR="00D46392" w:rsidRPr="00C164C7" w:rsidRDefault="00D46392" w:rsidP="005766AB">
            <w:pPr>
              <w:pStyle w:val="TableText1"/>
              <w:rPr>
                <w:snapToGrid w:val="0"/>
                <w:lang w:eastAsia="en-AU"/>
              </w:rPr>
            </w:pPr>
            <w:r w:rsidRPr="00C164C7">
              <w:rPr>
                <w:snapToGrid w:val="0"/>
                <w:lang w:eastAsia="en-AU"/>
              </w:rPr>
              <w:t>100.0</w:t>
            </w:r>
          </w:p>
        </w:tc>
      </w:tr>
      <w:tr w:rsidR="00D46392" w:rsidRPr="00C164C7" w14:paraId="11BB20C0" w14:textId="77777777" w:rsidTr="005766AB">
        <w:trPr>
          <w:trHeight w:val="288"/>
        </w:trPr>
        <w:tc>
          <w:tcPr>
            <w:tcW w:w="705" w:type="pct"/>
            <w:vMerge/>
            <w:vAlign w:val="center"/>
            <w:hideMark/>
          </w:tcPr>
          <w:p w14:paraId="4628C7BA" w14:textId="77777777" w:rsidR="00D46392" w:rsidRPr="00C164C7" w:rsidRDefault="00D46392" w:rsidP="005766AB">
            <w:pPr>
              <w:pStyle w:val="TableText1"/>
              <w:rPr>
                <w:snapToGrid w:val="0"/>
                <w:lang w:eastAsia="en-AU"/>
              </w:rPr>
            </w:pPr>
          </w:p>
        </w:tc>
        <w:tc>
          <w:tcPr>
            <w:tcW w:w="943" w:type="pct"/>
            <w:vAlign w:val="center"/>
            <w:hideMark/>
          </w:tcPr>
          <w:p w14:paraId="2582FA5F" w14:textId="77777777" w:rsidR="00D46392" w:rsidRPr="00C164C7" w:rsidRDefault="00D46392" w:rsidP="005766AB">
            <w:pPr>
              <w:pStyle w:val="TableText1"/>
              <w:rPr>
                <w:snapToGrid w:val="0"/>
                <w:lang w:eastAsia="en-AU"/>
              </w:rPr>
            </w:pPr>
            <w:r w:rsidRPr="00C164C7">
              <w:rPr>
                <w:snapToGrid w:val="0"/>
                <w:lang w:eastAsia="en-AU"/>
              </w:rPr>
              <w:t>Isoniazid</w:t>
            </w:r>
          </w:p>
        </w:tc>
        <w:tc>
          <w:tcPr>
            <w:tcW w:w="838" w:type="pct"/>
            <w:vAlign w:val="center"/>
            <w:hideMark/>
          </w:tcPr>
          <w:p w14:paraId="2CCBD326" w14:textId="77777777" w:rsidR="00D46392" w:rsidRPr="00C164C7" w:rsidRDefault="00D46392" w:rsidP="005766AB">
            <w:pPr>
              <w:pStyle w:val="TableText1"/>
              <w:rPr>
                <w:snapToGrid w:val="0"/>
                <w:lang w:eastAsia="en-AU"/>
              </w:rPr>
            </w:pPr>
            <w:r w:rsidRPr="00C164C7">
              <w:rPr>
                <w:snapToGrid w:val="0"/>
                <w:lang w:eastAsia="en-AU"/>
              </w:rPr>
              <w:t>93</w:t>
            </w:r>
            <w:r>
              <w:rPr>
                <w:snapToGrid w:val="0"/>
                <w:lang w:eastAsia="en-AU"/>
              </w:rPr>
              <w:t>.0</w:t>
            </w:r>
          </w:p>
        </w:tc>
        <w:tc>
          <w:tcPr>
            <w:tcW w:w="838" w:type="pct"/>
            <w:vAlign w:val="center"/>
            <w:hideMark/>
          </w:tcPr>
          <w:p w14:paraId="22701AF8"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c>
          <w:tcPr>
            <w:tcW w:w="838" w:type="pct"/>
            <w:vAlign w:val="center"/>
          </w:tcPr>
          <w:p w14:paraId="41C75E7B" w14:textId="77777777" w:rsidR="00D46392" w:rsidRPr="00C164C7" w:rsidRDefault="00D46392" w:rsidP="005766AB">
            <w:pPr>
              <w:pStyle w:val="TableText1"/>
              <w:rPr>
                <w:snapToGrid w:val="0"/>
                <w:lang w:eastAsia="en-AU"/>
              </w:rPr>
            </w:pPr>
            <w:r w:rsidRPr="00C164C7">
              <w:rPr>
                <w:snapToGrid w:val="0"/>
                <w:lang w:eastAsia="en-AU"/>
              </w:rPr>
              <w:t>91.2</w:t>
            </w:r>
          </w:p>
        </w:tc>
        <w:tc>
          <w:tcPr>
            <w:tcW w:w="838" w:type="pct"/>
            <w:vAlign w:val="center"/>
            <w:hideMark/>
          </w:tcPr>
          <w:p w14:paraId="18806BFA" w14:textId="77777777" w:rsidR="00D46392" w:rsidRPr="00C164C7" w:rsidRDefault="00D46392" w:rsidP="005766AB">
            <w:pPr>
              <w:pStyle w:val="TableText1"/>
              <w:rPr>
                <w:snapToGrid w:val="0"/>
                <w:lang w:eastAsia="en-AU"/>
              </w:rPr>
            </w:pPr>
            <w:r w:rsidRPr="00C164C7">
              <w:rPr>
                <w:snapToGrid w:val="0"/>
                <w:lang w:eastAsia="en-AU"/>
              </w:rPr>
              <w:t>100.0</w:t>
            </w:r>
          </w:p>
        </w:tc>
      </w:tr>
      <w:tr w:rsidR="00D46392" w:rsidRPr="00C164C7" w14:paraId="1E50D193" w14:textId="77777777" w:rsidTr="005766AB">
        <w:trPr>
          <w:trHeight w:val="288"/>
        </w:trPr>
        <w:tc>
          <w:tcPr>
            <w:tcW w:w="705" w:type="pct"/>
            <w:vMerge/>
            <w:vAlign w:val="center"/>
            <w:hideMark/>
          </w:tcPr>
          <w:p w14:paraId="52E431CD" w14:textId="77777777" w:rsidR="00D46392" w:rsidRPr="00C164C7" w:rsidRDefault="00D46392" w:rsidP="005766AB">
            <w:pPr>
              <w:pStyle w:val="TableText1"/>
              <w:rPr>
                <w:snapToGrid w:val="0"/>
                <w:lang w:eastAsia="en-AU"/>
              </w:rPr>
            </w:pPr>
          </w:p>
        </w:tc>
        <w:tc>
          <w:tcPr>
            <w:tcW w:w="943" w:type="pct"/>
            <w:vAlign w:val="center"/>
            <w:hideMark/>
          </w:tcPr>
          <w:p w14:paraId="17576D53" w14:textId="77777777" w:rsidR="00D46392" w:rsidRPr="00C164C7" w:rsidRDefault="00D46392" w:rsidP="005766AB">
            <w:pPr>
              <w:pStyle w:val="TableText1"/>
              <w:rPr>
                <w:snapToGrid w:val="0"/>
                <w:lang w:eastAsia="en-AU"/>
              </w:rPr>
            </w:pPr>
            <w:r w:rsidRPr="00C164C7">
              <w:rPr>
                <w:snapToGrid w:val="0"/>
                <w:lang w:eastAsia="en-AU"/>
              </w:rPr>
              <w:t>Ethambutol</w:t>
            </w:r>
          </w:p>
        </w:tc>
        <w:tc>
          <w:tcPr>
            <w:tcW w:w="838" w:type="pct"/>
            <w:vAlign w:val="center"/>
            <w:hideMark/>
          </w:tcPr>
          <w:p w14:paraId="1009D98E" w14:textId="77777777" w:rsidR="00D46392" w:rsidRPr="00C164C7" w:rsidRDefault="00D46392" w:rsidP="005766AB">
            <w:pPr>
              <w:pStyle w:val="TableText1"/>
              <w:rPr>
                <w:snapToGrid w:val="0"/>
                <w:lang w:eastAsia="en-AU"/>
              </w:rPr>
            </w:pPr>
            <w:r w:rsidRPr="00C164C7">
              <w:rPr>
                <w:snapToGrid w:val="0"/>
                <w:lang w:eastAsia="en-AU"/>
              </w:rPr>
              <w:t>29.4</w:t>
            </w:r>
          </w:p>
        </w:tc>
        <w:tc>
          <w:tcPr>
            <w:tcW w:w="838" w:type="pct"/>
            <w:vAlign w:val="center"/>
            <w:hideMark/>
          </w:tcPr>
          <w:p w14:paraId="64EBCC3D" w14:textId="77777777" w:rsidR="00D46392" w:rsidRPr="00C164C7" w:rsidRDefault="00D46392" w:rsidP="005766AB">
            <w:pPr>
              <w:pStyle w:val="TableText1"/>
              <w:rPr>
                <w:snapToGrid w:val="0"/>
                <w:lang w:eastAsia="en-AU"/>
              </w:rPr>
            </w:pPr>
            <w:r w:rsidRPr="00C164C7">
              <w:rPr>
                <w:snapToGrid w:val="0"/>
                <w:lang w:eastAsia="en-AU"/>
              </w:rPr>
              <w:t>100</w:t>
            </w:r>
            <w:r>
              <w:rPr>
                <w:snapToGrid w:val="0"/>
                <w:lang w:eastAsia="en-AU"/>
              </w:rPr>
              <w:t>.0</w:t>
            </w:r>
          </w:p>
        </w:tc>
        <w:tc>
          <w:tcPr>
            <w:tcW w:w="838" w:type="pct"/>
            <w:vAlign w:val="center"/>
          </w:tcPr>
          <w:p w14:paraId="45072E14" w14:textId="77777777" w:rsidR="00D46392" w:rsidRPr="00C164C7" w:rsidRDefault="00D46392" w:rsidP="005766AB">
            <w:pPr>
              <w:pStyle w:val="TableText1"/>
              <w:rPr>
                <w:snapToGrid w:val="0"/>
                <w:lang w:eastAsia="en-AU"/>
              </w:rPr>
            </w:pPr>
            <w:r w:rsidRPr="00C164C7">
              <w:rPr>
                <w:snapToGrid w:val="0"/>
                <w:lang w:eastAsia="en-AU"/>
              </w:rPr>
              <w:t>85.7</w:t>
            </w:r>
          </w:p>
        </w:tc>
        <w:tc>
          <w:tcPr>
            <w:tcW w:w="838" w:type="pct"/>
            <w:vAlign w:val="center"/>
            <w:hideMark/>
          </w:tcPr>
          <w:p w14:paraId="3F7FA103" w14:textId="77777777" w:rsidR="00D46392" w:rsidRPr="00C164C7" w:rsidRDefault="00D46392" w:rsidP="005766AB">
            <w:pPr>
              <w:pStyle w:val="TableText1"/>
              <w:rPr>
                <w:snapToGrid w:val="0"/>
                <w:lang w:eastAsia="en-AU"/>
              </w:rPr>
            </w:pPr>
            <w:r w:rsidRPr="00C164C7">
              <w:rPr>
                <w:snapToGrid w:val="0"/>
                <w:lang w:eastAsia="en-AU"/>
              </w:rPr>
              <w:t>100.0</w:t>
            </w:r>
          </w:p>
        </w:tc>
      </w:tr>
      <w:tr w:rsidR="00D46392" w:rsidRPr="00C164C7" w14:paraId="30667FFA" w14:textId="77777777" w:rsidTr="005766AB">
        <w:trPr>
          <w:trHeight w:val="312"/>
        </w:trPr>
        <w:tc>
          <w:tcPr>
            <w:tcW w:w="705" w:type="pct"/>
            <w:vMerge/>
            <w:vAlign w:val="center"/>
            <w:hideMark/>
          </w:tcPr>
          <w:p w14:paraId="1D84B3F2" w14:textId="77777777" w:rsidR="00D46392" w:rsidRPr="00C164C7" w:rsidRDefault="00D46392" w:rsidP="005766AB">
            <w:pPr>
              <w:pStyle w:val="TableText1"/>
              <w:rPr>
                <w:snapToGrid w:val="0"/>
                <w:lang w:eastAsia="en-AU"/>
              </w:rPr>
            </w:pPr>
          </w:p>
        </w:tc>
        <w:tc>
          <w:tcPr>
            <w:tcW w:w="943" w:type="pct"/>
            <w:vAlign w:val="center"/>
            <w:hideMark/>
          </w:tcPr>
          <w:p w14:paraId="06F7FF98" w14:textId="77777777" w:rsidR="00D46392" w:rsidRPr="00FF6CDA" w:rsidRDefault="00D46392" w:rsidP="005766AB">
            <w:pPr>
              <w:pStyle w:val="TableText1"/>
              <w:rPr>
                <w:iCs/>
                <w:snapToGrid w:val="0"/>
                <w:lang w:eastAsia="en-AU"/>
              </w:rPr>
            </w:pPr>
            <w:r w:rsidRPr="00FF6CDA">
              <w:rPr>
                <w:iCs/>
                <w:snapToGrid w:val="0"/>
                <w:lang w:eastAsia="en-AU"/>
              </w:rPr>
              <w:t>Pyrazinamide</w:t>
            </w:r>
          </w:p>
        </w:tc>
        <w:tc>
          <w:tcPr>
            <w:tcW w:w="838" w:type="pct"/>
            <w:vAlign w:val="center"/>
            <w:hideMark/>
          </w:tcPr>
          <w:p w14:paraId="731511EE" w14:textId="77777777" w:rsidR="00D46392" w:rsidRPr="00FF6CDA" w:rsidRDefault="00D46392" w:rsidP="005766AB">
            <w:pPr>
              <w:pStyle w:val="TableText1"/>
              <w:rPr>
                <w:iCs/>
                <w:snapToGrid w:val="0"/>
                <w:lang w:eastAsia="en-AU"/>
              </w:rPr>
            </w:pPr>
            <w:r w:rsidRPr="00FF6CDA">
              <w:rPr>
                <w:iCs/>
                <w:snapToGrid w:val="0"/>
                <w:lang w:eastAsia="en-AU"/>
              </w:rPr>
              <w:t>100</w:t>
            </w:r>
            <w:r>
              <w:rPr>
                <w:iCs/>
                <w:snapToGrid w:val="0"/>
                <w:lang w:eastAsia="en-AU"/>
              </w:rPr>
              <w:t>.0</w:t>
            </w:r>
            <w:r w:rsidRPr="000C6E43">
              <w:rPr>
                <w:snapToGrid w:val="0"/>
                <w:vertAlign w:val="superscript"/>
                <w:lang w:eastAsia="en-AU"/>
              </w:rPr>
              <w:t>a</w:t>
            </w:r>
          </w:p>
        </w:tc>
        <w:tc>
          <w:tcPr>
            <w:tcW w:w="838" w:type="pct"/>
            <w:vAlign w:val="center"/>
            <w:hideMark/>
          </w:tcPr>
          <w:p w14:paraId="0A5DBBA5" w14:textId="77777777" w:rsidR="00D46392" w:rsidRPr="0057532A" w:rsidRDefault="00D46392" w:rsidP="005766AB">
            <w:pPr>
              <w:pStyle w:val="TableText1"/>
              <w:rPr>
                <w:iCs/>
                <w:snapToGrid w:val="0"/>
                <w:lang w:eastAsia="en-AU"/>
              </w:rPr>
            </w:pPr>
            <w:r w:rsidRPr="00FF6CDA">
              <w:rPr>
                <w:iCs/>
                <w:snapToGrid w:val="0"/>
                <w:lang w:eastAsia="en-AU"/>
              </w:rPr>
              <w:t>100</w:t>
            </w:r>
            <w:r>
              <w:rPr>
                <w:iCs/>
                <w:snapToGrid w:val="0"/>
                <w:lang w:eastAsia="en-AU"/>
              </w:rPr>
              <w:t>.0</w:t>
            </w:r>
            <w:r w:rsidRPr="000C6E43">
              <w:rPr>
                <w:snapToGrid w:val="0"/>
                <w:vertAlign w:val="superscript"/>
                <w:lang w:eastAsia="en-AU"/>
              </w:rPr>
              <w:t>a</w:t>
            </w:r>
          </w:p>
        </w:tc>
        <w:tc>
          <w:tcPr>
            <w:tcW w:w="838" w:type="pct"/>
            <w:vAlign w:val="center"/>
          </w:tcPr>
          <w:p w14:paraId="48F456DF" w14:textId="77777777" w:rsidR="00D46392" w:rsidRPr="00C164C7" w:rsidRDefault="00D46392" w:rsidP="005766AB">
            <w:pPr>
              <w:pStyle w:val="TableText1"/>
              <w:rPr>
                <w:snapToGrid w:val="0"/>
                <w:lang w:eastAsia="en-AU"/>
              </w:rPr>
            </w:pPr>
            <w:r w:rsidRPr="00C164C7">
              <w:rPr>
                <w:snapToGrid w:val="0"/>
                <w:lang w:eastAsia="en-AU"/>
              </w:rPr>
              <w:t>77.8</w:t>
            </w:r>
          </w:p>
        </w:tc>
        <w:tc>
          <w:tcPr>
            <w:tcW w:w="838" w:type="pct"/>
            <w:vAlign w:val="center"/>
            <w:hideMark/>
          </w:tcPr>
          <w:p w14:paraId="60B5901D" w14:textId="77777777" w:rsidR="00D46392" w:rsidRPr="00C164C7" w:rsidRDefault="00D46392" w:rsidP="005766AB">
            <w:pPr>
              <w:pStyle w:val="TableText1"/>
              <w:rPr>
                <w:snapToGrid w:val="0"/>
                <w:lang w:eastAsia="en-AU"/>
              </w:rPr>
            </w:pPr>
            <w:r w:rsidRPr="00C164C7">
              <w:rPr>
                <w:snapToGrid w:val="0"/>
                <w:lang w:eastAsia="en-AU"/>
              </w:rPr>
              <w:t>100.0</w:t>
            </w:r>
          </w:p>
        </w:tc>
      </w:tr>
    </w:tbl>
    <w:p w14:paraId="674872AF" w14:textId="77777777" w:rsidR="00D46392" w:rsidRPr="005050DD" w:rsidRDefault="00D46392" w:rsidP="00D46392">
      <w:pPr>
        <w:pStyle w:val="TableFooter"/>
      </w:pPr>
      <w:proofErr w:type="spellStart"/>
      <w:r>
        <w:t>p</w:t>
      </w:r>
      <w:r w:rsidRPr="00A12B6D">
        <w:t>DST</w:t>
      </w:r>
      <w:proofErr w:type="spellEnd"/>
      <w:r w:rsidRPr="00A12B6D">
        <w:t xml:space="preserve"> = </w:t>
      </w:r>
      <w:r>
        <w:t xml:space="preserve">phenotypic </w:t>
      </w:r>
      <w:r w:rsidRPr="00A12B6D">
        <w:t>drug susceptibility testing</w:t>
      </w:r>
      <w:r>
        <w:t>;</w:t>
      </w:r>
      <w:r w:rsidRPr="00A12B6D">
        <w:t xml:space="preserve"> WGS = whole genome sequencing</w:t>
      </w:r>
    </w:p>
    <w:p w14:paraId="61648DBF" w14:textId="77777777" w:rsidR="00D46392" w:rsidRDefault="00D46392" w:rsidP="00D46392">
      <w:pPr>
        <w:pStyle w:val="TableFooter"/>
      </w:pPr>
      <w:r w:rsidRPr="0057532A">
        <w:rPr>
          <w:vertAlign w:val="superscript"/>
        </w:rPr>
        <w:t>a</w:t>
      </w:r>
      <w:r w:rsidRPr="00A12B6D">
        <w:t xml:space="preserve"> </w:t>
      </w:r>
      <w:proofErr w:type="spellStart"/>
      <w:r>
        <w:t>Jajou</w:t>
      </w:r>
      <w:proofErr w:type="spellEnd"/>
      <w:r>
        <w:t xml:space="preserve"> et al. (2019) considered that </w:t>
      </w:r>
      <w:proofErr w:type="spellStart"/>
      <w:r>
        <w:t>pDST</w:t>
      </w:r>
      <w:proofErr w:type="spellEnd"/>
      <w:r>
        <w:t xml:space="preserve"> was the reference standard in determining the a</w:t>
      </w:r>
      <w:r w:rsidRPr="00A12B6D">
        <w:t>ccuracy of pyrazinamide</w:t>
      </w:r>
      <w:r>
        <w:t xml:space="preserve">. Thus WGS was compared to </w:t>
      </w:r>
      <w:proofErr w:type="spellStart"/>
      <w:r>
        <w:t>pDST</w:t>
      </w:r>
      <w:proofErr w:type="spellEnd"/>
      <w:r>
        <w:t xml:space="preserve"> (not the composite reference standard of WGS + </w:t>
      </w:r>
      <w:proofErr w:type="spellStart"/>
      <w:r>
        <w:t>pDST</w:t>
      </w:r>
      <w:proofErr w:type="spellEnd"/>
      <w:r>
        <w:t xml:space="preserve">), and </w:t>
      </w:r>
      <w:proofErr w:type="spellStart"/>
      <w:r>
        <w:t>pDST</w:t>
      </w:r>
      <w:proofErr w:type="spellEnd"/>
      <w:r>
        <w:t xml:space="preserve"> was associated with 100% test performance</w:t>
      </w:r>
    </w:p>
    <w:p w14:paraId="699EC0FC" w14:textId="77777777" w:rsidR="00D46392" w:rsidRDefault="00D46392" w:rsidP="00D46392">
      <w:pPr>
        <w:pStyle w:val="TableFooter"/>
      </w:pPr>
      <w:r>
        <w:rPr>
          <w:b/>
          <w:snapToGrid w:val="0"/>
          <w:vertAlign w:val="superscript"/>
          <w:lang w:val="en-US" w:eastAsia="en-AU"/>
        </w:rPr>
        <w:t>b</w:t>
      </w:r>
      <w:r>
        <w:t xml:space="preserve">  Derived from the data given in the study</w:t>
      </w:r>
    </w:p>
    <w:p w14:paraId="41464831" w14:textId="404C5764" w:rsidR="00E06036" w:rsidRPr="00E06036" w:rsidRDefault="00D46392" w:rsidP="00E06036">
      <w:pPr>
        <w:pStyle w:val="Instructionaltext"/>
        <w:spacing w:line="240" w:lineRule="auto"/>
        <w:rPr>
          <w:color w:val="auto"/>
        </w:rPr>
      </w:pPr>
      <w:r w:rsidRPr="00D46392">
        <w:rPr>
          <w:color w:val="auto"/>
        </w:rPr>
        <w:t xml:space="preserve">To reduce the complexity of the model, accuracy estimates of all non-rifampicin mono-resistances were combined into single group of mono-resistance estimate by weighing the individual accuracy estimates with the proportion of individual resistances. Accuracy for the group with MDR-TB (with isolates resistant to rifampicin and isoniazid only) is considered to be the same as accuracy of isoniazid resistance. Accuracy for the group with MDR-TB  with second-line drug resistance was based on the concordance estimates of moxifloxacin. Derived accuracy estimates of WGS and </w:t>
      </w:r>
      <w:proofErr w:type="spellStart"/>
      <w:r w:rsidRPr="00D46392">
        <w:rPr>
          <w:color w:val="auto"/>
        </w:rPr>
        <w:t>pDST</w:t>
      </w:r>
      <w:proofErr w:type="spellEnd"/>
      <w:r w:rsidRPr="00D46392">
        <w:rPr>
          <w:color w:val="auto"/>
        </w:rPr>
        <w:t xml:space="preserve"> are presented in </w:t>
      </w:r>
      <w:r w:rsidRPr="00D46392">
        <w:rPr>
          <w:color w:val="auto"/>
        </w:rPr>
        <w:fldChar w:fldCharType="begin"/>
      </w:r>
      <w:r w:rsidRPr="00D46392">
        <w:rPr>
          <w:color w:val="auto"/>
        </w:rPr>
        <w:instrText xml:space="preserve"> REF _Ref90045993 \h </w:instrText>
      </w:r>
      <w:r>
        <w:rPr>
          <w:color w:val="auto"/>
        </w:rPr>
        <w:instrText xml:space="preserve"> \* MERGEFORMAT </w:instrText>
      </w:r>
      <w:r w:rsidRPr="00D46392">
        <w:rPr>
          <w:color w:val="auto"/>
        </w:rPr>
      </w:r>
      <w:r w:rsidRPr="00D46392">
        <w:rPr>
          <w:color w:val="auto"/>
        </w:rPr>
        <w:fldChar w:fldCharType="separate"/>
      </w:r>
      <w:r w:rsidR="004C2B2A" w:rsidRPr="004C2B2A">
        <w:rPr>
          <w:color w:val="auto"/>
        </w:rPr>
        <w:t>Table 15</w:t>
      </w:r>
      <w:r w:rsidRPr="00D46392">
        <w:rPr>
          <w:color w:val="auto"/>
        </w:rPr>
        <w:fldChar w:fldCharType="end"/>
      </w:r>
      <w:r>
        <w:rPr>
          <w:color w:val="auto"/>
        </w:rPr>
        <w:t>.</w:t>
      </w:r>
      <w:bookmarkStart w:id="30" w:name="_Ref90045993"/>
      <w:r w:rsidR="00E06036">
        <w:br w:type="page"/>
      </w:r>
    </w:p>
    <w:p w14:paraId="6478CADF" w14:textId="2E45A7E2" w:rsidR="00D46392" w:rsidRPr="00672A2F" w:rsidRDefault="00D46392" w:rsidP="00D46392">
      <w:pPr>
        <w:pStyle w:val="Caption"/>
      </w:pPr>
      <w:r>
        <w:lastRenderedPageBreak/>
        <w:t xml:space="preserve">Table </w:t>
      </w:r>
      <w:fldSimple w:instr=" SEQ Table \* ARABIC ">
        <w:r w:rsidR="004C2B2A">
          <w:rPr>
            <w:noProof/>
          </w:rPr>
          <w:t>15</w:t>
        </w:r>
      </w:fldSimple>
      <w:bookmarkEnd w:id="30"/>
      <w:r w:rsidRPr="000975CB">
        <w:tab/>
      </w:r>
      <w:r>
        <w:t xml:space="preserve">Derived accuracy of WGS and </w:t>
      </w:r>
      <w:proofErr w:type="spellStart"/>
      <w:r>
        <w:t>pDST</w:t>
      </w:r>
      <w:proofErr w:type="spellEnd"/>
      <w:r>
        <w:t xml:space="preserve"> for each treatment group included in the base-case </w:t>
      </w:r>
    </w:p>
    <w:tbl>
      <w:tblPr>
        <w:tblStyle w:val="TableGrid2"/>
        <w:tblW w:w="5000" w:type="pct"/>
        <w:tblLayout w:type="fixed"/>
        <w:tblLook w:val="04A0" w:firstRow="1" w:lastRow="0" w:firstColumn="1" w:lastColumn="0" w:noHBand="0" w:noVBand="1"/>
        <w:tblCaption w:val="Derived accuracy of WGS and pDST for each treatment group included in the base-case "/>
        <w:tblDescription w:val="Derived accuracy of WGS and pDST for each treatment group included in the base-case "/>
      </w:tblPr>
      <w:tblGrid>
        <w:gridCol w:w="2122"/>
        <w:gridCol w:w="1724"/>
        <w:gridCol w:w="1724"/>
        <w:gridCol w:w="1724"/>
        <w:gridCol w:w="1722"/>
      </w:tblGrid>
      <w:tr w:rsidR="00D46392" w:rsidRPr="00A17AD1" w14:paraId="7CE0A125" w14:textId="77777777" w:rsidTr="005766AB">
        <w:trPr>
          <w:cnfStyle w:val="100000000000" w:firstRow="1" w:lastRow="0" w:firstColumn="0" w:lastColumn="0" w:oddVBand="0" w:evenVBand="0" w:oddHBand="0" w:evenHBand="0" w:firstRowFirstColumn="0" w:firstRowLastColumn="0" w:lastRowFirstColumn="0" w:lastRowLastColumn="0"/>
          <w:trHeight w:val="300"/>
          <w:tblHeader/>
        </w:trPr>
        <w:tc>
          <w:tcPr>
            <w:tcW w:w="11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BBEAE" w14:textId="77777777" w:rsidR="00D46392" w:rsidRPr="00B9150F" w:rsidRDefault="00D46392" w:rsidP="005766AB">
            <w:pPr>
              <w:pStyle w:val="TableTextCA"/>
              <w:rPr>
                <w:b/>
              </w:rPr>
            </w:pPr>
          </w:p>
        </w:tc>
        <w:tc>
          <w:tcPr>
            <w:tcW w:w="956" w:type="pct"/>
            <w:tcBorders>
              <w:top w:val="single" w:sz="4" w:space="0" w:color="auto"/>
              <w:left w:val="nil"/>
              <w:bottom w:val="single" w:sz="4" w:space="0" w:color="auto"/>
              <w:right w:val="single" w:sz="4" w:space="0" w:color="auto"/>
            </w:tcBorders>
            <w:shd w:val="clear" w:color="auto" w:fill="auto"/>
            <w:noWrap/>
            <w:vAlign w:val="bottom"/>
          </w:tcPr>
          <w:p w14:paraId="229EE1BE" w14:textId="77777777" w:rsidR="00D46392" w:rsidRPr="00B9150F" w:rsidRDefault="00D46392" w:rsidP="005766AB">
            <w:pPr>
              <w:pStyle w:val="TableTextCA"/>
              <w:rPr>
                <w:b/>
              </w:rPr>
            </w:pPr>
            <w:r w:rsidRPr="00B9150F">
              <w:rPr>
                <w:b/>
              </w:rPr>
              <w:t>Mono-resistant</w:t>
            </w:r>
          </w:p>
        </w:tc>
        <w:tc>
          <w:tcPr>
            <w:tcW w:w="956" w:type="pct"/>
            <w:tcBorders>
              <w:top w:val="single" w:sz="4" w:space="0" w:color="auto"/>
              <w:left w:val="nil"/>
              <w:bottom w:val="single" w:sz="4" w:space="0" w:color="auto"/>
              <w:right w:val="single" w:sz="4" w:space="0" w:color="auto"/>
            </w:tcBorders>
            <w:shd w:val="clear" w:color="auto" w:fill="auto"/>
            <w:noWrap/>
            <w:vAlign w:val="bottom"/>
          </w:tcPr>
          <w:p w14:paraId="44470945" w14:textId="77777777" w:rsidR="00D46392" w:rsidRPr="00B9150F" w:rsidRDefault="00D46392" w:rsidP="005766AB">
            <w:pPr>
              <w:pStyle w:val="TableTextCA"/>
              <w:rPr>
                <w:b/>
              </w:rPr>
            </w:pPr>
            <w:r w:rsidRPr="00B9150F">
              <w:rPr>
                <w:b/>
              </w:rPr>
              <w:t>RIF mono-resistant</w:t>
            </w:r>
          </w:p>
        </w:tc>
        <w:tc>
          <w:tcPr>
            <w:tcW w:w="956" w:type="pct"/>
            <w:tcBorders>
              <w:top w:val="single" w:sz="4" w:space="0" w:color="auto"/>
              <w:left w:val="nil"/>
              <w:bottom w:val="single" w:sz="4" w:space="0" w:color="auto"/>
              <w:right w:val="single" w:sz="4" w:space="0" w:color="auto"/>
            </w:tcBorders>
            <w:shd w:val="clear" w:color="auto" w:fill="auto"/>
            <w:noWrap/>
            <w:vAlign w:val="bottom"/>
          </w:tcPr>
          <w:p w14:paraId="743B6E56" w14:textId="77777777" w:rsidR="00D46392" w:rsidRPr="00B9150F" w:rsidRDefault="00D46392" w:rsidP="005766AB">
            <w:pPr>
              <w:pStyle w:val="TableTextCA"/>
              <w:rPr>
                <w:b/>
              </w:rPr>
            </w:pPr>
            <w:r w:rsidRPr="00B9150F">
              <w:rPr>
                <w:b/>
              </w:rPr>
              <w:t>MDR</w:t>
            </w:r>
            <w:r>
              <w:rPr>
                <w:b/>
              </w:rPr>
              <w:t>-TB</w:t>
            </w:r>
            <w:r w:rsidRPr="00B9150F">
              <w:rPr>
                <w:b/>
              </w:rPr>
              <w:t xml:space="preserve"> (RIF and INH only)</w:t>
            </w:r>
          </w:p>
        </w:tc>
        <w:tc>
          <w:tcPr>
            <w:tcW w:w="956" w:type="pct"/>
            <w:tcBorders>
              <w:top w:val="single" w:sz="4" w:space="0" w:color="auto"/>
              <w:left w:val="nil"/>
              <w:bottom w:val="single" w:sz="4" w:space="0" w:color="auto"/>
              <w:right w:val="single" w:sz="4" w:space="0" w:color="auto"/>
            </w:tcBorders>
            <w:shd w:val="clear" w:color="auto" w:fill="auto"/>
            <w:noWrap/>
            <w:vAlign w:val="bottom"/>
          </w:tcPr>
          <w:p w14:paraId="2704C404" w14:textId="77777777" w:rsidR="00D46392" w:rsidRPr="00525E34" w:rsidRDefault="00D46392" w:rsidP="005766AB">
            <w:pPr>
              <w:pStyle w:val="TableTextCA"/>
              <w:rPr>
                <w:b/>
                <w:vertAlign w:val="superscript"/>
              </w:rPr>
            </w:pPr>
            <w:r w:rsidRPr="00B9150F">
              <w:rPr>
                <w:b/>
              </w:rPr>
              <w:t>MDR</w:t>
            </w:r>
            <w:r>
              <w:rPr>
                <w:b/>
              </w:rPr>
              <w:t>-TB</w:t>
            </w:r>
            <w:r w:rsidRPr="00B9150F">
              <w:rPr>
                <w:b/>
              </w:rPr>
              <w:t xml:space="preserve"> (RIF,</w:t>
            </w:r>
            <w:r>
              <w:rPr>
                <w:b/>
              </w:rPr>
              <w:t xml:space="preserve"> </w:t>
            </w:r>
            <w:r w:rsidRPr="00B9150F">
              <w:rPr>
                <w:b/>
              </w:rPr>
              <w:t>INH and other second-line drugs)</w:t>
            </w:r>
            <w:r>
              <w:rPr>
                <w:b/>
                <w:vertAlign w:val="superscript"/>
              </w:rPr>
              <w:t>a</w:t>
            </w:r>
          </w:p>
        </w:tc>
      </w:tr>
      <w:tr w:rsidR="00D46392" w:rsidRPr="00A17AD1" w14:paraId="2701C1E8" w14:textId="77777777" w:rsidTr="005766AB">
        <w:trPr>
          <w:trHeight w:val="300"/>
        </w:trPr>
        <w:tc>
          <w:tcPr>
            <w:tcW w:w="1177" w:type="pct"/>
            <w:tcBorders>
              <w:top w:val="single" w:sz="4" w:space="0" w:color="auto"/>
              <w:left w:val="single" w:sz="4" w:space="0" w:color="auto"/>
              <w:bottom w:val="single" w:sz="4" w:space="0" w:color="auto"/>
            </w:tcBorders>
            <w:shd w:val="clear" w:color="auto" w:fill="auto"/>
            <w:noWrap/>
            <w:vAlign w:val="bottom"/>
            <w:hideMark/>
          </w:tcPr>
          <w:p w14:paraId="50930486" w14:textId="77777777" w:rsidR="00D46392" w:rsidRPr="00DA1E6C" w:rsidRDefault="00D46392" w:rsidP="005766AB">
            <w:pPr>
              <w:pStyle w:val="TableTextCA"/>
              <w:jc w:val="left"/>
            </w:pPr>
            <w:r w:rsidRPr="00DA1E6C">
              <w:t xml:space="preserve">WGS </w:t>
            </w:r>
            <w:r>
              <w:t>v</w:t>
            </w:r>
            <w:r w:rsidRPr="00DA1E6C">
              <w:t xml:space="preserve">s WGS plus </w:t>
            </w:r>
            <w:proofErr w:type="spellStart"/>
            <w:r w:rsidRPr="00DA1E6C">
              <w:t>pDST</w:t>
            </w:r>
            <w:proofErr w:type="spellEnd"/>
          </w:p>
        </w:tc>
        <w:tc>
          <w:tcPr>
            <w:tcW w:w="956" w:type="pct"/>
            <w:tcBorders>
              <w:top w:val="single" w:sz="4" w:space="0" w:color="auto"/>
              <w:bottom w:val="single" w:sz="4" w:space="0" w:color="auto"/>
            </w:tcBorders>
            <w:shd w:val="clear" w:color="auto" w:fill="auto"/>
            <w:noWrap/>
            <w:vAlign w:val="bottom"/>
            <w:hideMark/>
          </w:tcPr>
          <w:p w14:paraId="33215ABA" w14:textId="77777777" w:rsidR="00D46392" w:rsidRPr="00DA1E6C" w:rsidRDefault="00D46392" w:rsidP="005766AB">
            <w:pPr>
              <w:pStyle w:val="TableTextCA"/>
            </w:pPr>
            <w:r w:rsidRPr="00DA1E6C">
              <w:t> </w:t>
            </w:r>
          </w:p>
        </w:tc>
        <w:tc>
          <w:tcPr>
            <w:tcW w:w="956" w:type="pct"/>
            <w:tcBorders>
              <w:top w:val="single" w:sz="4" w:space="0" w:color="auto"/>
              <w:bottom w:val="single" w:sz="4" w:space="0" w:color="auto"/>
            </w:tcBorders>
            <w:shd w:val="clear" w:color="auto" w:fill="auto"/>
            <w:noWrap/>
            <w:vAlign w:val="bottom"/>
            <w:hideMark/>
          </w:tcPr>
          <w:p w14:paraId="21A26771" w14:textId="77777777" w:rsidR="00D46392" w:rsidRPr="00DA1E6C" w:rsidRDefault="00D46392" w:rsidP="005766AB">
            <w:pPr>
              <w:pStyle w:val="TableTextCA"/>
            </w:pPr>
            <w:r w:rsidRPr="00DA1E6C">
              <w:t> </w:t>
            </w:r>
          </w:p>
        </w:tc>
        <w:tc>
          <w:tcPr>
            <w:tcW w:w="956" w:type="pct"/>
            <w:tcBorders>
              <w:top w:val="single" w:sz="4" w:space="0" w:color="auto"/>
              <w:bottom w:val="single" w:sz="4" w:space="0" w:color="auto"/>
            </w:tcBorders>
            <w:shd w:val="clear" w:color="auto" w:fill="auto"/>
            <w:noWrap/>
            <w:vAlign w:val="bottom"/>
            <w:hideMark/>
          </w:tcPr>
          <w:p w14:paraId="6E6713AB" w14:textId="77777777" w:rsidR="00D46392" w:rsidRPr="00DA1E6C" w:rsidRDefault="00D46392" w:rsidP="005766AB">
            <w:pPr>
              <w:pStyle w:val="TableTextCA"/>
            </w:pPr>
            <w:r w:rsidRPr="00DA1E6C">
              <w:t> </w:t>
            </w:r>
          </w:p>
        </w:tc>
        <w:tc>
          <w:tcPr>
            <w:tcW w:w="956" w:type="pct"/>
            <w:tcBorders>
              <w:top w:val="single" w:sz="4" w:space="0" w:color="auto"/>
              <w:bottom w:val="single" w:sz="4" w:space="0" w:color="auto"/>
              <w:right w:val="single" w:sz="4" w:space="0" w:color="auto"/>
            </w:tcBorders>
            <w:shd w:val="clear" w:color="auto" w:fill="auto"/>
            <w:noWrap/>
            <w:vAlign w:val="bottom"/>
            <w:hideMark/>
          </w:tcPr>
          <w:p w14:paraId="036A7B1D" w14:textId="77777777" w:rsidR="00D46392" w:rsidRPr="00DA1E6C" w:rsidRDefault="00D46392" w:rsidP="005766AB">
            <w:pPr>
              <w:pStyle w:val="TableTextCA"/>
            </w:pPr>
            <w:r w:rsidRPr="00DA1E6C">
              <w:t> </w:t>
            </w:r>
          </w:p>
        </w:tc>
      </w:tr>
      <w:tr w:rsidR="00D46392" w:rsidRPr="00A17AD1" w14:paraId="2AF4C9C0" w14:textId="77777777" w:rsidTr="005766AB">
        <w:trPr>
          <w:trHeight w:val="30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0978A7DE" w14:textId="77777777" w:rsidR="00D46392" w:rsidRPr="00DA1E6C" w:rsidRDefault="00D46392" w:rsidP="005766AB">
            <w:pPr>
              <w:pStyle w:val="TableTextCA"/>
            </w:pPr>
            <w:r w:rsidRPr="00DA1E6C">
              <w:t>Sensitivity</w:t>
            </w:r>
          </w:p>
        </w:tc>
        <w:tc>
          <w:tcPr>
            <w:tcW w:w="956" w:type="pct"/>
            <w:tcBorders>
              <w:top w:val="nil"/>
              <w:left w:val="nil"/>
              <w:bottom w:val="single" w:sz="4" w:space="0" w:color="auto"/>
              <w:right w:val="single" w:sz="4" w:space="0" w:color="auto"/>
            </w:tcBorders>
            <w:shd w:val="clear" w:color="auto" w:fill="auto"/>
            <w:noWrap/>
            <w:vAlign w:val="bottom"/>
            <w:hideMark/>
          </w:tcPr>
          <w:p w14:paraId="74CCA72B" w14:textId="77777777" w:rsidR="00D46392" w:rsidRPr="00DA1E6C" w:rsidRDefault="00D46392" w:rsidP="005766AB">
            <w:pPr>
              <w:pStyle w:val="TableTextCA"/>
            </w:pPr>
            <w:r w:rsidRPr="00DA1E6C">
              <w:t>94</w:t>
            </w:r>
            <w:r>
              <w:t>.0</w:t>
            </w:r>
            <w:r w:rsidRPr="00DA1E6C">
              <w:t>%</w:t>
            </w:r>
          </w:p>
        </w:tc>
        <w:tc>
          <w:tcPr>
            <w:tcW w:w="956" w:type="pct"/>
            <w:tcBorders>
              <w:top w:val="nil"/>
              <w:left w:val="nil"/>
              <w:bottom w:val="single" w:sz="4" w:space="0" w:color="auto"/>
              <w:right w:val="single" w:sz="4" w:space="0" w:color="auto"/>
            </w:tcBorders>
            <w:shd w:val="clear" w:color="auto" w:fill="auto"/>
            <w:noWrap/>
            <w:vAlign w:val="bottom"/>
            <w:hideMark/>
          </w:tcPr>
          <w:p w14:paraId="6A360D50" w14:textId="77777777" w:rsidR="00D46392" w:rsidRPr="00DA1E6C" w:rsidRDefault="00D46392" w:rsidP="005766AB">
            <w:pPr>
              <w:pStyle w:val="TableTextCA"/>
            </w:pPr>
            <w:r w:rsidRPr="00DA1E6C">
              <w:t>100.0%</w:t>
            </w:r>
          </w:p>
        </w:tc>
        <w:tc>
          <w:tcPr>
            <w:tcW w:w="956" w:type="pct"/>
            <w:tcBorders>
              <w:top w:val="nil"/>
              <w:left w:val="nil"/>
              <w:bottom w:val="single" w:sz="4" w:space="0" w:color="auto"/>
              <w:right w:val="single" w:sz="4" w:space="0" w:color="auto"/>
            </w:tcBorders>
            <w:shd w:val="clear" w:color="auto" w:fill="auto"/>
            <w:noWrap/>
            <w:vAlign w:val="bottom"/>
            <w:hideMark/>
          </w:tcPr>
          <w:p w14:paraId="36A99718" w14:textId="77777777" w:rsidR="00D46392" w:rsidRPr="00DA1E6C" w:rsidRDefault="00D46392" w:rsidP="005766AB">
            <w:pPr>
              <w:pStyle w:val="TableTextCA"/>
            </w:pPr>
            <w:r w:rsidRPr="00DA1E6C">
              <w:t>94.</w:t>
            </w:r>
            <w:r>
              <w:t>2</w:t>
            </w:r>
            <w:r w:rsidRPr="00DA1E6C">
              <w:t>%</w:t>
            </w:r>
          </w:p>
        </w:tc>
        <w:tc>
          <w:tcPr>
            <w:tcW w:w="956" w:type="pct"/>
            <w:tcBorders>
              <w:top w:val="nil"/>
              <w:left w:val="nil"/>
              <w:bottom w:val="single" w:sz="4" w:space="0" w:color="auto"/>
              <w:right w:val="single" w:sz="4" w:space="0" w:color="auto"/>
            </w:tcBorders>
            <w:shd w:val="clear" w:color="auto" w:fill="auto"/>
            <w:noWrap/>
            <w:vAlign w:val="bottom"/>
            <w:hideMark/>
          </w:tcPr>
          <w:p w14:paraId="2316562D" w14:textId="77777777" w:rsidR="00D46392" w:rsidRPr="00DA1E6C" w:rsidRDefault="00D46392" w:rsidP="005766AB">
            <w:pPr>
              <w:pStyle w:val="TableTextCA"/>
            </w:pPr>
            <w:r w:rsidRPr="00DA1E6C">
              <w:t>82</w:t>
            </w:r>
            <w:r>
              <w:t>.0</w:t>
            </w:r>
            <w:r w:rsidRPr="00DA1E6C">
              <w:t>%</w:t>
            </w:r>
          </w:p>
        </w:tc>
      </w:tr>
      <w:tr w:rsidR="00D46392" w:rsidRPr="00A17AD1" w14:paraId="033E594C" w14:textId="77777777" w:rsidTr="005766AB">
        <w:trPr>
          <w:trHeight w:val="30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0BEC9695" w14:textId="77777777" w:rsidR="00D46392" w:rsidRPr="00DA1E6C" w:rsidRDefault="00D46392" w:rsidP="005766AB">
            <w:pPr>
              <w:pStyle w:val="TableTextCA"/>
            </w:pPr>
            <w:r w:rsidRPr="00DA1E6C">
              <w:t>Specificity</w:t>
            </w:r>
          </w:p>
        </w:tc>
        <w:tc>
          <w:tcPr>
            <w:tcW w:w="956" w:type="pct"/>
            <w:tcBorders>
              <w:top w:val="nil"/>
              <w:left w:val="nil"/>
              <w:bottom w:val="single" w:sz="4" w:space="0" w:color="auto"/>
              <w:right w:val="single" w:sz="4" w:space="0" w:color="auto"/>
            </w:tcBorders>
            <w:shd w:val="clear" w:color="auto" w:fill="auto"/>
            <w:noWrap/>
            <w:vAlign w:val="bottom"/>
            <w:hideMark/>
          </w:tcPr>
          <w:p w14:paraId="0E597EB7" w14:textId="77777777" w:rsidR="00D46392" w:rsidRPr="00DA1E6C" w:rsidRDefault="00D46392" w:rsidP="005766AB">
            <w:pPr>
              <w:pStyle w:val="TableTextCA"/>
            </w:pPr>
            <w:r w:rsidRPr="00DA1E6C">
              <w:t>100</w:t>
            </w:r>
            <w:r>
              <w:t>.0</w:t>
            </w:r>
            <w:r w:rsidRPr="00DA1E6C">
              <w:t>%</w:t>
            </w:r>
          </w:p>
        </w:tc>
        <w:tc>
          <w:tcPr>
            <w:tcW w:w="956" w:type="pct"/>
            <w:tcBorders>
              <w:top w:val="nil"/>
              <w:left w:val="nil"/>
              <w:bottom w:val="single" w:sz="4" w:space="0" w:color="auto"/>
              <w:right w:val="single" w:sz="4" w:space="0" w:color="auto"/>
            </w:tcBorders>
            <w:shd w:val="clear" w:color="auto" w:fill="auto"/>
            <w:noWrap/>
            <w:vAlign w:val="bottom"/>
            <w:hideMark/>
          </w:tcPr>
          <w:p w14:paraId="1A5EE8E2" w14:textId="77777777" w:rsidR="00D46392" w:rsidRPr="00DA1E6C" w:rsidRDefault="00D46392" w:rsidP="005766AB">
            <w:pPr>
              <w:pStyle w:val="TableTextCA"/>
            </w:pPr>
            <w:r w:rsidRPr="00DA1E6C">
              <w:t>100.0%</w:t>
            </w:r>
          </w:p>
        </w:tc>
        <w:tc>
          <w:tcPr>
            <w:tcW w:w="956" w:type="pct"/>
            <w:tcBorders>
              <w:top w:val="nil"/>
              <w:left w:val="nil"/>
              <w:bottom w:val="single" w:sz="4" w:space="0" w:color="auto"/>
              <w:right w:val="single" w:sz="4" w:space="0" w:color="auto"/>
            </w:tcBorders>
            <w:shd w:val="clear" w:color="auto" w:fill="auto"/>
            <w:noWrap/>
            <w:vAlign w:val="bottom"/>
            <w:hideMark/>
          </w:tcPr>
          <w:p w14:paraId="4618D4A2" w14:textId="77777777" w:rsidR="00D46392" w:rsidRPr="00DA1E6C" w:rsidRDefault="00D46392" w:rsidP="005766AB">
            <w:pPr>
              <w:pStyle w:val="TableTextCA"/>
            </w:pPr>
            <w:r w:rsidRPr="00DA1E6C">
              <w:t>100.0%</w:t>
            </w:r>
          </w:p>
        </w:tc>
        <w:tc>
          <w:tcPr>
            <w:tcW w:w="956" w:type="pct"/>
            <w:tcBorders>
              <w:top w:val="nil"/>
              <w:left w:val="nil"/>
              <w:bottom w:val="single" w:sz="4" w:space="0" w:color="auto"/>
              <w:right w:val="single" w:sz="4" w:space="0" w:color="auto"/>
            </w:tcBorders>
            <w:shd w:val="clear" w:color="auto" w:fill="auto"/>
            <w:noWrap/>
            <w:vAlign w:val="bottom"/>
            <w:hideMark/>
          </w:tcPr>
          <w:p w14:paraId="41A21CF9" w14:textId="77777777" w:rsidR="00D46392" w:rsidRPr="00DA1E6C" w:rsidRDefault="00D46392" w:rsidP="005766AB">
            <w:pPr>
              <w:pStyle w:val="TableTextCA"/>
            </w:pPr>
            <w:r w:rsidRPr="00DA1E6C">
              <w:t>100</w:t>
            </w:r>
            <w:r>
              <w:t>.0</w:t>
            </w:r>
            <w:r w:rsidRPr="00DA1E6C">
              <w:t>%</w:t>
            </w:r>
          </w:p>
        </w:tc>
      </w:tr>
      <w:tr w:rsidR="00D46392" w:rsidRPr="00A17AD1" w14:paraId="69940857" w14:textId="77777777" w:rsidTr="005766AB">
        <w:trPr>
          <w:trHeight w:val="300"/>
        </w:trPr>
        <w:tc>
          <w:tcPr>
            <w:tcW w:w="1177" w:type="pct"/>
            <w:tcBorders>
              <w:top w:val="single" w:sz="4" w:space="0" w:color="auto"/>
              <w:left w:val="single" w:sz="4" w:space="0" w:color="auto"/>
              <w:bottom w:val="single" w:sz="4" w:space="0" w:color="auto"/>
            </w:tcBorders>
            <w:shd w:val="clear" w:color="auto" w:fill="auto"/>
            <w:noWrap/>
            <w:vAlign w:val="bottom"/>
            <w:hideMark/>
          </w:tcPr>
          <w:p w14:paraId="09F46E1D" w14:textId="77777777" w:rsidR="00D46392" w:rsidRPr="00DA1E6C" w:rsidRDefault="00D46392" w:rsidP="005766AB">
            <w:pPr>
              <w:pStyle w:val="TableTextCA"/>
              <w:jc w:val="left"/>
            </w:pPr>
            <w:proofErr w:type="spellStart"/>
            <w:r w:rsidRPr="00DA1E6C">
              <w:t>pDST</w:t>
            </w:r>
            <w:proofErr w:type="spellEnd"/>
            <w:r w:rsidRPr="00DA1E6C">
              <w:t xml:space="preserve"> </w:t>
            </w:r>
            <w:r>
              <w:t>v</w:t>
            </w:r>
            <w:r w:rsidRPr="00DA1E6C">
              <w:t xml:space="preserve">s WGS plus </w:t>
            </w:r>
            <w:proofErr w:type="spellStart"/>
            <w:r w:rsidRPr="00DA1E6C">
              <w:t>pDST</w:t>
            </w:r>
            <w:proofErr w:type="spellEnd"/>
          </w:p>
        </w:tc>
        <w:tc>
          <w:tcPr>
            <w:tcW w:w="956" w:type="pct"/>
            <w:tcBorders>
              <w:top w:val="single" w:sz="4" w:space="0" w:color="auto"/>
              <w:bottom w:val="single" w:sz="4" w:space="0" w:color="auto"/>
            </w:tcBorders>
            <w:shd w:val="clear" w:color="auto" w:fill="auto"/>
            <w:noWrap/>
            <w:vAlign w:val="bottom"/>
            <w:hideMark/>
          </w:tcPr>
          <w:p w14:paraId="0130F62E" w14:textId="77777777" w:rsidR="00D46392" w:rsidRPr="00DA1E6C" w:rsidRDefault="00D46392" w:rsidP="005766AB">
            <w:pPr>
              <w:pStyle w:val="TableTextCA"/>
            </w:pPr>
            <w:r w:rsidRPr="00DA1E6C">
              <w:t> </w:t>
            </w:r>
          </w:p>
        </w:tc>
        <w:tc>
          <w:tcPr>
            <w:tcW w:w="956" w:type="pct"/>
            <w:tcBorders>
              <w:top w:val="single" w:sz="4" w:space="0" w:color="auto"/>
              <w:bottom w:val="single" w:sz="4" w:space="0" w:color="auto"/>
            </w:tcBorders>
            <w:shd w:val="clear" w:color="auto" w:fill="auto"/>
            <w:noWrap/>
            <w:vAlign w:val="bottom"/>
            <w:hideMark/>
          </w:tcPr>
          <w:p w14:paraId="4E60EA30" w14:textId="77777777" w:rsidR="00D46392" w:rsidRPr="00DA1E6C" w:rsidRDefault="00D46392" w:rsidP="005766AB">
            <w:pPr>
              <w:pStyle w:val="TableTextCA"/>
            </w:pPr>
            <w:r w:rsidRPr="00DA1E6C">
              <w:t> </w:t>
            </w:r>
          </w:p>
        </w:tc>
        <w:tc>
          <w:tcPr>
            <w:tcW w:w="956" w:type="pct"/>
            <w:tcBorders>
              <w:top w:val="single" w:sz="4" w:space="0" w:color="auto"/>
              <w:bottom w:val="single" w:sz="4" w:space="0" w:color="auto"/>
            </w:tcBorders>
            <w:shd w:val="clear" w:color="auto" w:fill="auto"/>
            <w:noWrap/>
            <w:vAlign w:val="bottom"/>
            <w:hideMark/>
          </w:tcPr>
          <w:p w14:paraId="770519D1" w14:textId="77777777" w:rsidR="00D46392" w:rsidRPr="00DA1E6C" w:rsidRDefault="00D46392" w:rsidP="005766AB">
            <w:pPr>
              <w:pStyle w:val="TableTextCA"/>
            </w:pPr>
            <w:r w:rsidRPr="00DA1E6C">
              <w:t> </w:t>
            </w:r>
          </w:p>
        </w:tc>
        <w:tc>
          <w:tcPr>
            <w:tcW w:w="956" w:type="pct"/>
            <w:tcBorders>
              <w:top w:val="single" w:sz="4" w:space="0" w:color="auto"/>
              <w:bottom w:val="single" w:sz="4" w:space="0" w:color="auto"/>
              <w:right w:val="single" w:sz="4" w:space="0" w:color="auto"/>
            </w:tcBorders>
            <w:shd w:val="clear" w:color="auto" w:fill="auto"/>
            <w:noWrap/>
            <w:vAlign w:val="bottom"/>
            <w:hideMark/>
          </w:tcPr>
          <w:p w14:paraId="19BC584C" w14:textId="77777777" w:rsidR="00D46392" w:rsidRPr="00DA1E6C" w:rsidRDefault="00D46392" w:rsidP="005766AB">
            <w:pPr>
              <w:pStyle w:val="TableTextCA"/>
            </w:pPr>
            <w:r w:rsidRPr="00DA1E6C">
              <w:t> </w:t>
            </w:r>
          </w:p>
        </w:tc>
      </w:tr>
      <w:tr w:rsidR="00D46392" w:rsidRPr="00A17AD1" w14:paraId="523F8D96" w14:textId="77777777" w:rsidTr="005766AB">
        <w:trPr>
          <w:trHeight w:val="30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6F10DC4D" w14:textId="77777777" w:rsidR="00D46392" w:rsidRPr="00DA1E6C" w:rsidRDefault="00D46392" w:rsidP="005766AB">
            <w:pPr>
              <w:pStyle w:val="TableTextCA"/>
            </w:pPr>
            <w:r w:rsidRPr="00DA1E6C">
              <w:t>Sensitivity</w:t>
            </w:r>
          </w:p>
        </w:tc>
        <w:tc>
          <w:tcPr>
            <w:tcW w:w="956" w:type="pct"/>
            <w:tcBorders>
              <w:top w:val="nil"/>
              <w:left w:val="nil"/>
              <w:bottom w:val="single" w:sz="4" w:space="0" w:color="auto"/>
              <w:right w:val="single" w:sz="4" w:space="0" w:color="auto"/>
            </w:tcBorders>
            <w:shd w:val="clear" w:color="auto" w:fill="auto"/>
            <w:noWrap/>
            <w:vAlign w:val="bottom"/>
            <w:hideMark/>
          </w:tcPr>
          <w:p w14:paraId="74E068FC" w14:textId="77777777" w:rsidR="00D46392" w:rsidRPr="00DA1E6C" w:rsidRDefault="00D46392" w:rsidP="005766AB">
            <w:pPr>
              <w:pStyle w:val="TableTextCA"/>
            </w:pPr>
            <w:r w:rsidRPr="00DA1E6C">
              <w:t>86</w:t>
            </w:r>
            <w:r>
              <w:t>.0</w:t>
            </w:r>
            <w:r w:rsidRPr="00DA1E6C">
              <w:t>%</w:t>
            </w:r>
          </w:p>
        </w:tc>
        <w:tc>
          <w:tcPr>
            <w:tcW w:w="956" w:type="pct"/>
            <w:tcBorders>
              <w:top w:val="nil"/>
              <w:left w:val="nil"/>
              <w:bottom w:val="single" w:sz="4" w:space="0" w:color="auto"/>
              <w:right w:val="single" w:sz="4" w:space="0" w:color="auto"/>
            </w:tcBorders>
            <w:shd w:val="clear" w:color="auto" w:fill="auto"/>
            <w:noWrap/>
            <w:vAlign w:val="bottom"/>
            <w:hideMark/>
          </w:tcPr>
          <w:p w14:paraId="602884DB" w14:textId="77777777" w:rsidR="00D46392" w:rsidRPr="00DA1E6C" w:rsidRDefault="00D46392" w:rsidP="005766AB">
            <w:pPr>
              <w:pStyle w:val="TableTextCA"/>
            </w:pPr>
            <w:r w:rsidRPr="00DA1E6C">
              <w:t>100.0%</w:t>
            </w:r>
          </w:p>
        </w:tc>
        <w:tc>
          <w:tcPr>
            <w:tcW w:w="956" w:type="pct"/>
            <w:tcBorders>
              <w:top w:val="nil"/>
              <w:left w:val="nil"/>
              <w:bottom w:val="single" w:sz="4" w:space="0" w:color="auto"/>
              <w:right w:val="single" w:sz="4" w:space="0" w:color="auto"/>
            </w:tcBorders>
            <w:shd w:val="clear" w:color="auto" w:fill="auto"/>
            <w:noWrap/>
            <w:vAlign w:val="bottom"/>
            <w:hideMark/>
          </w:tcPr>
          <w:p w14:paraId="0D7DA266" w14:textId="77777777" w:rsidR="00D46392" w:rsidRPr="00DA1E6C" w:rsidRDefault="00D46392" w:rsidP="005766AB">
            <w:pPr>
              <w:pStyle w:val="TableTextCA"/>
            </w:pPr>
            <w:r w:rsidRPr="00DA1E6C">
              <w:t>91.2%</w:t>
            </w:r>
          </w:p>
        </w:tc>
        <w:tc>
          <w:tcPr>
            <w:tcW w:w="956" w:type="pct"/>
            <w:tcBorders>
              <w:top w:val="nil"/>
              <w:left w:val="nil"/>
              <w:bottom w:val="single" w:sz="4" w:space="0" w:color="auto"/>
              <w:right w:val="single" w:sz="4" w:space="0" w:color="auto"/>
            </w:tcBorders>
            <w:shd w:val="clear" w:color="auto" w:fill="auto"/>
            <w:noWrap/>
            <w:vAlign w:val="bottom"/>
            <w:hideMark/>
          </w:tcPr>
          <w:p w14:paraId="27CBD88E" w14:textId="77777777" w:rsidR="00D46392" w:rsidRPr="00DA1E6C" w:rsidRDefault="00D46392" w:rsidP="005766AB">
            <w:pPr>
              <w:pStyle w:val="TableTextCA"/>
            </w:pPr>
            <w:r w:rsidRPr="00DA1E6C">
              <w:t>100</w:t>
            </w:r>
            <w:r>
              <w:t>.0</w:t>
            </w:r>
            <w:r w:rsidRPr="00DA1E6C">
              <w:t>%</w:t>
            </w:r>
          </w:p>
        </w:tc>
      </w:tr>
      <w:tr w:rsidR="00D46392" w:rsidRPr="00A17AD1" w14:paraId="7ED04BAF" w14:textId="77777777" w:rsidTr="005766AB">
        <w:trPr>
          <w:trHeight w:val="300"/>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6B2790B3" w14:textId="77777777" w:rsidR="00D46392" w:rsidRPr="00DA1E6C" w:rsidRDefault="00D46392" w:rsidP="005766AB">
            <w:pPr>
              <w:pStyle w:val="TableTextCA"/>
            </w:pPr>
            <w:r w:rsidRPr="00DA1E6C">
              <w:t>Specificity</w:t>
            </w:r>
          </w:p>
        </w:tc>
        <w:tc>
          <w:tcPr>
            <w:tcW w:w="956" w:type="pct"/>
            <w:tcBorders>
              <w:top w:val="nil"/>
              <w:left w:val="nil"/>
              <w:bottom w:val="single" w:sz="4" w:space="0" w:color="auto"/>
              <w:right w:val="single" w:sz="4" w:space="0" w:color="auto"/>
            </w:tcBorders>
            <w:shd w:val="clear" w:color="auto" w:fill="auto"/>
            <w:noWrap/>
            <w:vAlign w:val="bottom"/>
            <w:hideMark/>
          </w:tcPr>
          <w:p w14:paraId="67E721BB" w14:textId="77777777" w:rsidR="00D46392" w:rsidRPr="00DA1E6C" w:rsidRDefault="00D46392" w:rsidP="005766AB">
            <w:pPr>
              <w:pStyle w:val="TableTextCA"/>
            </w:pPr>
            <w:r w:rsidRPr="00DA1E6C">
              <w:t>100</w:t>
            </w:r>
            <w:r>
              <w:t>.0</w:t>
            </w:r>
            <w:r w:rsidRPr="00DA1E6C">
              <w:t>%</w:t>
            </w:r>
          </w:p>
        </w:tc>
        <w:tc>
          <w:tcPr>
            <w:tcW w:w="956" w:type="pct"/>
            <w:tcBorders>
              <w:top w:val="nil"/>
              <w:left w:val="nil"/>
              <w:bottom w:val="single" w:sz="4" w:space="0" w:color="auto"/>
              <w:right w:val="single" w:sz="4" w:space="0" w:color="auto"/>
            </w:tcBorders>
            <w:shd w:val="clear" w:color="auto" w:fill="auto"/>
            <w:noWrap/>
            <w:vAlign w:val="bottom"/>
            <w:hideMark/>
          </w:tcPr>
          <w:p w14:paraId="2905E2C5" w14:textId="77777777" w:rsidR="00D46392" w:rsidRPr="00DA1E6C" w:rsidRDefault="00D46392" w:rsidP="005766AB">
            <w:pPr>
              <w:pStyle w:val="TableTextCA"/>
            </w:pPr>
            <w:r w:rsidRPr="00DA1E6C">
              <w:t>100.0%</w:t>
            </w:r>
          </w:p>
        </w:tc>
        <w:tc>
          <w:tcPr>
            <w:tcW w:w="956" w:type="pct"/>
            <w:tcBorders>
              <w:top w:val="nil"/>
              <w:left w:val="nil"/>
              <w:bottom w:val="single" w:sz="4" w:space="0" w:color="auto"/>
              <w:right w:val="single" w:sz="4" w:space="0" w:color="auto"/>
            </w:tcBorders>
            <w:shd w:val="clear" w:color="auto" w:fill="auto"/>
            <w:noWrap/>
            <w:vAlign w:val="bottom"/>
            <w:hideMark/>
          </w:tcPr>
          <w:p w14:paraId="61D95F41" w14:textId="77777777" w:rsidR="00D46392" w:rsidRPr="00DA1E6C" w:rsidRDefault="00D46392" w:rsidP="005766AB">
            <w:pPr>
              <w:pStyle w:val="TableTextCA"/>
            </w:pPr>
            <w:r w:rsidRPr="00DA1E6C">
              <w:t>100.0%</w:t>
            </w:r>
          </w:p>
        </w:tc>
        <w:tc>
          <w:tcPr>
            <w:tcW w:w="956" w:type="pct"/>
            <w:tcBorders>
              <w:top w:val="nil"/>
              <w:left w:val="nil"/>
              <w:bottom w:val="single" w:sz="4" w:space="0" w:color="auto"/>
              <w:right w:val="single" w:sz="4" w:space="0" w:color="auto"/>
            </w:tcBorders>
            <w:shd w:val="clear" w:color="auto" w:fill="auto"/>
            <w:noWrap/>
            <w:vAlign w:val="bottom"/>
            <w:hideMark/>
          </w:tcPr>
          <w:p w14:paraId="6B282996" w14:textId="77777777" w:rsidR="00D46392" w:rsidRPr="00DA1E6C" w:rsidRDefault="00D46392" w:rsidP="005766AB">
            <w:pPr>
              <w:pStyle w:val="TableTextCA"/>
            </w:pPr>
            <w:r w:rsidRPr="00DA1E6C">
              <w:t>100</w:t>
            </w:r>
            <w:r>
              <w:t>.0</w:t>
            </w:r>
            <w:r w:rsidRPr="00DA1E6C">
              <w:t>%</w:t>
            </w:r>
          </w:p>
        </w:tc>
      </w:tr>
    </w:tbl>
    <w:p w14:paraId="17F483DE" w14:textId="77777777" w:rsidR="00D46392" w:rsidRDefault="00D46392" w:rsidP="00D46392">
      <w:pPr>
        <w:pStyle w:val="Tablenotes0"/>
      </w:pPr>
      <w:r w:rsidRPr="006812C9">
        <w:t>INH = isoniazid;</w:t>
      </w:r>
      <w:r>
        <w:t xml:space="preserve"> MDR = multi-drug resistance (resistant to isoniazid and rifampicin); </w:t>
      </w:r>
      <w:proofErr w:type="spellStart"/>
      <w:r>
        <w:t>pDST</w:t>
      </w:r>
      <w:proofErr w:type="spellEnd"/>
      <w:r>
        <w:t xml:space="preserve"> = phenotypic drug susceptibility testing; </w:t>
      </w:r>
      <w:r w:rsidRPr="006812C9">
        <w:t>RIF = rifampicin;</w:t>
      </w:r>
      <w:r w:rsidRPr="00A43CE3">
        <w:t xml:space="preserve"> </w:t>
      </w:r>
      <w:r>
        <w:t>WGS = whole genome sequencing;</w:t>
      </w:r>
    </w:p>
    <w:p w14:paraId="1A73A8E7" w14:textId="77777777" w:rsidR="00D46392" w:rsidRDefault="00D46392" w:rsidP="00D46392">
      <w:pPr>
        <w:pStyle w:val="Tablenotes0"/>
      </w:pPr>
      <w:r>
        <w:rPr>
          <w:vertAlign w:val="superscript"/>
        </w:rPr>
        <w:t xml:space="preserve">a </w:t>
      </w:r>
      <w:r>
        <w:t>Concordance estimate of WGS based on meta-analysis</w:t>
      </w:r>
    </w:p>
    <w:p w14:paraId="622363CF" w14:textId="77777777" w:rsidR="00D46392" w:rsidRDefault="00D46392" w:rsidP="00D46392">
      <w:pPr>
        <w:pStyle w:val="Instructionaltext"/>
        <w:spacing w:line="240" w:lineRule="auto"/>
        <w:rPr>
          <w:color w:val="auto"/>
        </w:rPr>
      </w:pPr>
      <w:r w:rsidRPr="00474E69">
        <w:rPr>
          <w:color w:val="auto"/>
        </w:rPr>
        <w:t xml:space="preserve">Turnaround times included in the base-case are based on an Australian study </w:t>
      </w:r>
      <w:r w:rsidRPr="00474E69">
        <w:rPr>
          <w:color w:val="auto"/>
        </w:rPr>
        <w:fldChar w:fldCharType="begin"/>
      </w:r>
      <w:r>
        <w:rPr>
          <w:color w:val="auto"/>
        </w:rPr>
        <w:instrText xml:space="preserve"> ADDIN EN.CITE &lt;EndNote&gt;&lt;Cite&gt;&lt;Author&gt;Martinez&lt;/Author&gt;&lt;Year&gt;2016&lt;/Year&gt;&lt;RecNum&gt;52&lt;/RecNum&gt;&lt;IDText&gt;e13-e14&lt;/IDText&gt;&lt;DisplayText&gt;(Martinez et al. 2016)&lt;/DisplayText&gt;&lt;record&gt;&lt;rec-number&gt;52&lt;/rec-number&gt;&lt;foreign-keys&gt;&lt;key app="EN" db-id="vdf9px0aurs9vmexfr1xweabwwwr5tevreas" timestamp="1629935374" guid="23778a95-d127-4bef-9483-b8f54161b443"&gt;52&lt;/key&gt;&lt;/foreign-keys&gt;&lt;ref-type name="Journal Article"&gt;17&lt;/ref-type&gt;&lt;contributors&gt;&lt;authors&gt;&lt;author&gt;Martinez, Elena&lt;/author&gt;&lt;author&gt;Bustamante, Andrea&lt;/author&gt;&lt;author&gt;Menon, Ranjeeta&lt;/author&gt;&lt;author&gt;Wang, Qinning&lt;/author&gt;&lt;author&gt;Jelfs, Peter&lt;/author&gt;&lt;author&gt;Marais, Ben&lt;/author&gt;&lt;author&gt;Chen, Sharon C. A.&lt;/author&gt;&lt;author&gt;Sintchenko, Vitali&lt;/author&gt;&lt;/authors&gt;&lt;/contributors&gt;&lt;titles&gt;&lt;title&gt;Whole-genome sequencing of Mycobacterium tuberculosis for rapid diagnostics: feasibility of a decentralised model&lt;/title&gt;&lt;secondary-title&gt;The Lancet Respiratory Medicine&lt;/secondary-title&gt;&lt;/titles&gt;&lt;periodical&gt;&lt;full-title&gt;The Lancet Respiratory Medicine&lt;/full-title&gt;&lt;/periodical&gt;&lt;pages&gt;e13-e14&lt;/pages&gt;&lt;volume&gt;4&lt;/volume&gt;&lt;number&gt;4&lt;/number&gt;&lt;section&gt;e13&lt;/section&gt;&lt;dates&gt;&lt;year&gt;2016&lt;/year&gt;&lt;/dates&gt;&lt;isbn&gt;22132600&lt;/isbn&gt;&lt;urls&gt;&lt;/urls&gt;&lt;electronic-resource-num&gt;10.1016/s2213-2600(16)00092-8&lt;/electronic-resource-num&gt;&lt;research-notes&gt;have contacted authors for more info&lt;/research-notes&gt;&lt;/record&gt;&lt;/Cite&gt;&lt;/EndNote&gt;</w:instrText>
      </w:r>
      <w:r w:rsidRPr="00474E69">
        <w:rPr>
          <w:color w:val="auto"/>
        </w:rPr>
        <w:fldChar w:fldCharType="separate"/>
      </w:r>
      <w:r w:rsidRPr="00474E69">
        <w:rPr>
          <w:color w:val="auto"/>
        </w:rPr>
        <w:t>(Martinez et al. 2016)</w:t>
      </w:r>
      <w:r w:rsidRPr="00474E69">
        <w:rPr>
          <w:color w:val="auto"/>
        </w:rPr>
        <w:fldChar w:fldCharType="end"/>
      </w:r>
      <w:r w:rsidRPr="00474E69">
        <w:rPr>
          <w:color w:val="auto"/>
        </w:rPr>
        <w:t xml:space="preserve"> that reported turnaround times for WGS and </w:t>
      </w:r>
      <w:proofErr w:type="spellStart"/>
      <w:r w:rsidRPr="00474E69">
        <w:rPr>
          <w:color w:val="auto"/>
        </w:rPr>
        <w:t>pDST</w:t>
      </w:r>
      <w:proofErr w:type="spellEnd"/>
      <w:r w:rsidRPr="00474E69">
        <w:rPr>
          <w:color w:val="auto"/>
        </w:rPr>
        <w:t xml:space="preserve"> as 11 days and 16 days respectively. Based on this the difference in turnaround times is estimated to be 5 days in </w:t>
      </w:r>
      <w:r>
        <w:rPr>
          <w:color w:val="auto"/>
        </w:rPr>
        <w:t xml:space="preserve">the </w:t>
      </w:r>
      <w:r w:rsidRPr="00474E69">
        <w:rPr>
          <w:color w:val="auto"/>
        </w:rPr>
        <w:t xml:space="preserve">base-case. </w:t>
      </w:r>
      <w:r>
        <w:rPr>
          <w:color w:val="auto"/>
        </w:rPr>
        <w:t xml:space="preserve">Globally, mean turnaround time for WGS ranged from 3 to 15 days where as for </w:t>
      </w:r>
      <w:proofErr w:type="spellStart"/>
      <w:r>
        <w:rPr>
          <w:color w:val="auto"/>
        </w:rPr>
        <w:t>pDST</w:t>
      </w:r>
      <w:proofErr w:type="spellEnd"/>
      <w:r>
        <w:rPr>
          <w:color w:val="auto"/>
        </w:rPr>
        <w:t xml:space="preserve"> it was between 13 to 24 days.</w:t>
      </w:r>
      <w:r w:rsidRPr="00D46392">
        <w:rPr>
          <w:color w:val="auto"/>
        </w:rPr>
        <w:t xml:space="preserve"> </w:t>
      </w:r>
      <w:r>
        <w:rPr>
          <w:color w:val="auto"/>
        </w:rPr>
        <w:t xml:space="preserve">It is reported that in some of the laboratories in Australia, WGS results are delayed compared to </w:t>
      </w:r>
      <w:proofErr w:type="spellStart"/>
      <w:r>
        <w:rPr>
          <w:color w:val="auto"/>
        </w:rPr>
        <w:t>pDST</w:t>
      </w:r>
      <w:proofErr w:type="spellEnd"/>
      <w:r>
        <w:rPr>
          <w:color w:val="auto"/>
        </w:rPr>
        <w:t>. The impact of variation in test turnaround times is assessed in a sensitivity analysis.</w:t>
      </w:r>
    </w:p>
    <w:p w14:paraId="02B8D764" w14:textId="365EA2A2" w:rsidR="00D46392" w:rsidRPr="00071D98" w:rsidRDefault="00D46392" w:rsidP="00D46392">
      <w:pPr>
        <w:pStyle w:val="Instructionaltext"/>
        <w:spacing w:line="240" w:lineRule="auto"/>
        <w:rPr>
          <w:color w:val="auto"/>
        </w:rPr>
      </w:pPr>
      <w:bookmarkStart w:id="31" w:name="_Ref90046081"/>
      <w:r w:rsidRPr="00D46392">
        <w:rPr>
          <w:color w:val="auto"/>
        </w:rPr>
        <w:t xml:space="preserve">Incremental cost-effectiveness ratio (ICER) of the addition of WGS in a stepped manner is presented in </w:t>
      </w:r>
      <w:r w:rsidRPr="00D46392">
        <w:rPr>
          <w:color w:val="auto"/>
        </w:rPr>
        <w:fldChar w:fldCharType="begin"/>
      </w:r>
      <w:r w:rsidRPr="00D46392">
        <w:rPr>
          <w:color w:val="auto"/>
        </w:rPr>
        <w:instrText xml:space="preserve"> REF _Ref90150171 \h </w:instrText>
      </w:r>
      <w:r>
        <w:rPr>
          <w:color w:val="auto"/>
        </w:rPr>
        <w:instrText xml:space="preserve"> \* MERGEFORMAT </w:instrText>
      </w:r>
      <w:r w:rsidRPr="00D46392">
        <w:rPr>
          <w:color w:val="auto"/>
        </w:rPr>
      </w:r>
      <w:r w:rsidRPr="00D46392">
        <w:rPr>
          <w:color w:val="auto"/>
        </w:rPr>
        <w:fldChar w:fldCharType="separate"/>
      </w:r>
      <w:r w:rsidR="004C2B2A" w:rsidRPr="004C2B2A">
        <w:rPr>
          <w:color w:val="auto"/>
        </w:rPr>
        <w:t>Table 16</w:t>
      </w:r>
      <w:r w:rsidRPr="00D46392">
        <w:rPr>
          <w:color w:val="auto"/>
        </w:rPr>
        <w:fldChar w:fldCharType="end"/>
      </w:r>
      <w:r w:rsidR="00217811">
        <w:rPr>
          <w:color w:val="auto"/>
        </w:rPr>
        <w:t xml:space="preserve">, in terms of cost </w:t>
      </w:r>
      <w:r w:rsidR="00217811" w:rsidRPr="00071D98">
        <w:rPr>
          <w:color w:val="auto"/>
        </w:rPr>
        <w:t>per additional pathogen resistance correctly diagnosed</w:t>
      </w:r>
      <w:r w:rsidRPr="00071D98">
        <w:rPr>
          <w:color w:val="auto"/>
        </w:rPr>
        <w:t>.</w:t>
      </w:r>
    </w:p>
    <w:p w14:paraId="082BCCFB" w14:textId="618922DB" w:rsidR="00D46392" w:rsidRDefault="00D46392" w:rsidP="00D46392">
      <w:pPr>
        <w:pStyle w:val="Caption"/>
      </w:pPr>
      <w:bookmarkStart w:id="32" w:name="_Ref90150171"/>
      <w:r w:rsidRPr="00CE28E3">
        <w:t>Table</w:t>
      </w:r>
      <w:r>
        <w:t> </w:t>
      </w:r>
      <w:fldSimple w:instr=" SEQ Table \* ARABIC ">
        <w:r w:rsidR="004C2B2A">
          <w:rPr>
            <w:noProof/>
          </w:rPr>
          <w:t>16</w:t>
        </w:r>
      </w:fldSimple>
      <w:bookmarkEnd w:id="31"/>
      <w:bookmarkEnd w:id="32"/>
      <w:r w:rsidRPr="00CE28E3">
        <w:tab/>
      </w:r>
      <w:r>
        <w:t>Incremental cost-effectiveness of addition of WGS</w:t>
      </w:r>
    </w:p>
    <w:tbl>
      <w:tblPr>
        <w:tblStyle w:val="TableGrid2"/>
        <w:tblW w:w="5000" w:type="pct"/>
        <w:tblLook w:val="04A0" w:firstRow="1" w:lastRow="0" w:firstColumn="1" w:lastColumn="0" w:noHBand="0" w:noVBand="1"/>
        <w:tblCaption w:val="Stepped presentation of the base-case estimates"/>
        <w:tblDescription w:val="Stepped presentation of the base-case estimates"/>
      </w:tblPr>
      <w:tblGrid>
        <w:gridCol w:w="2901"/>
        <w:gridCol w:w="1480"/>
        <w:gridCol w:w="1480"/>
        <w:gridCol w:w="1480"/>
        <w:gridCol w:w="1675"/>
      </w:tblGrid>
      <w:tr w:rsidR="00D46392" w:rsidRPr="004D38D3" w14:paraId="1CDBE540" w14:textId="77777777" w:rsidTr="005766AB">
        <w:trPr>
          <w:cnfStyle w:val="100000000000" w:firstRow="1" w:lastRow="0" w:firstColumn="0" w:lastColumn="0" w:oddVBand="0" w:evenVBand="0" w:oddHBand="0" w:evenHBand="0" w:firstRowFirstColumn="0" w:firstRowLastColumn="0" w:lastRowFirstColumn="0" w:lastRowLastColumn="0"/>
          <w:trHeight w:val="255"/>
          <w:tblHeader/>
        </w:trPr>
        <w:tc>
          <w:tcPr>
            <w:tcW w:w="1608" w:type="pct"/>
            <w:shd w:val="clear" w:color="auto" w:fill="auto"/>
            <w:noWrap/>
            <w:vAlign w:val="bottom"/>
            <w:hideMark/>
          </w:tcPr>
          <w:p w14:paraId="13636EC3" w14:textId="77777777" w:rsidR="00D46392" w:rsidRPr="004D38D3" w:rsidRDefault="00D46392" w:rsidP="005766AB">
            <w:pPr>
              <w:rPr>
                <w:szCs w:val="24"/>
              </w:rPr>
            </w:pPr>
          </w:p>
        </w:tc>
        <w:tc>
          <w:tcPr>
            <w:tcW w:w="821" w:type="pct"/>
            <w:shd w:val="clear" w:color="auto" w:fill="auto"/>
            <w:noWrap/>
            <w:vAlign w:val="bottom"/>
            <w:hideMark/>
          </w:tcPr>
          <w:p w14:paraId="689CF470" w14:textId="77777777" w:rsidR="00D46392" w:rsidRPr="004D38D3" w:rsidRDefault="00D46392" w:rsidP="005766AB">
            <w:pPr>
              <w:rPr>
                <w:rFonts w:ascii="Arial Narrow" w:hAnsi="Arial Narrow"/>
                <w:b/>
                <w:bCs/>
                <w:color w:val="000000"/>
              </w:rPr>
            </w:pPr>
            <w:r w:rsidRPr="004D38D3">
              <w:rPr>
                <w:rFonts w:ascii="Arial Narrow" w:hAnsi="Arial Narrow"/>
                <w:b/>
                <w:bCs/>
                <w:color w:val="000000"/>
              </w:rPr>
              <w:t>Intervention</w:t>
            </w:r>
          </w:p>
        </w:tc>
        <w:tc>
          <w:tcPr>
            <w:tcW w:w="821" w:type="pct"/>
            <w:shd w:val="clear" w:color="auto" w:fill="auto"/>
            <w:noWrap/>
            <w:vAlign w:val="bottom"/>
            <w:hideMark/>
          </w:tcPr>
          <w:p w14:paraId="685A53D3" w14:textId="77777777" w:rsidR="00D46392" w:rsidRPr="004D38D3" w:rsidRDefault="00D46392" w:rsidP="005766AB">
            <w:pPr>
              <w:rPr>
                <w:rFonts w:ascii="Arial Narrow" w:hAnsi="Arial Narrow"/>
                <w:b/>
                <w:bCs/>
                <w:color w:val="000000"/>
              </w:rPr>
            </w:pPr>
            <w:r w:rsidRPr="004D38D3">
              <w:rPr>
                <w:rFonts w:ascii="Arial Narrow" w:hAnsi="Arial Narrow"/>
                <w:b/>
                <w:bCs/>
                <w:color w:val="000000"/>
              </w:rPr>
              <w:t>Comparator</w:t>
            </w:r>
          </w:p>
        </w:tc>
        <w:tc>
          <w:tcPr>
            <w:tcW w:w="821" w:type="pct"/>
            <w:shd w:val="clear" w:color="auto" w:fill="auto"/>
            <w:noWrap/>
            <w:vAlign w:val="bottom"/>
            <w:hideMark/>
          </w:tcPr>
          <w:p w14:paraId="6C4EB3CB" w14:textId="77777777" w:rsidR="00D46392" w:rsidRPr="004D38D3" w:rsidRDefault="00D46392" w:rsidP="005766AB">
            <w:pPr>
              <w:rPr>
                <w:rFonts w:ascii="Arial Narrow" w:hAnsi="Arial Narrow"/>
                <w:b/>
                <w:bCs/>
                <w:color w:val="000000"/>
              </w:rPr>
            </w:pPr>
            <w:r w:rsidRPr="004D38D3">
              <w:rPr>
                <w:rFonts w:ascii="Arial Narrow" w:hAnsi="Arial Narrow"/>
                <w:b/>
                <w:bCs/>
                <w:color w:val="000000"/>
              </w:rPr>
              <w:t>Increment</w:t>
            </w:r>
          </w:p>
        </w:tc>
        <w:tc>
          <w:tcPr>
            <w:tcW w:w="929" w:type="pct"/>
            <w:shd w:val="clear" w:color="auto" w:fill="auto"/>
            <w:noWrap/>
            <w:vAlign w:val="bottom"/>
            <w:hideMark/>
          </w:tcPr>
          <w:p w14:paraId="22547366" w14:textId="77777777" w:rsidR="00D46392" w:rsidRPr="004D38D3" w:rsidRDefault="00D46392" w:rsidP="005766AB">
            <w:pPr>
              <w:rPr>
                <w:rFonts w:ascii="Arial Narrow" w:hAnsi="Arial Narrow"/>
                <w:b/>
                <w:bCs/>
                <w:color w:val="000000"/>
              </w:rPr>
            </w:pPr>
            <w:r w:rsidRPr="004D38D3">
              <w:rPr>
                <w:rFonts w:ascii="Arial Narrow" w:hAnsi="Arial Narrow"/>
                <w:b/>
                <w:bCs/>
                <w:color w:val="000000"/>
              </w:rPr>
              <w:t>ICER</w:t>
            </w:r>
          </w:p>
        </w:tc>
      </w:tr>
      <w:tr w:rsidR="00D46392" w:rsidRPr="004D38D3" w14:paraId="1FFA9D75" w14:textId="77777777" w:rsidTr="005766AB">
        <w:trPr>
          <w:trHeight w:val="255"/>
        </w:trPr>
        <w:tc>
          <w:tcPr>
            <w:tcW w:w="5000" w:type="pct"/>
            <w:gridSpan w:val="5"/>
            <w:shd w:val="clear" w:color="auto" w:fill="auto"/>
            <w:noWrap/>
            <w:vAlign w:val="bottom"/>
            <w:hideMark/>
          </w:tcPr>
          <w:p w14:paraId="3AF68FE2" w14:textId="77777777" w:rsidR="00D46392" w:rsidRPr="004D38D3" w:rsidRDefault="00D46392" w:rsidP="005766AB">
            <w:r>
              <w:rPr>
                <w:b/>
                <w:bCs/>
                <w:color w:val="000000"/>
              </w:rPr>
              <w:t xml:space="preserve">Step 1: </w:t>
            </w:r>
            <w:r w:rsidRPr="004D38D3">
              <w:rPr>
                <w:b/>
                <w:bCs/>
                <w:color w:val="000000"/>
              </w:rPr>
              <w:t>Improved acc</w:t>
            </w:r>
            <w:r>
              <w:rPr>
                <w:b/>
                <w:bCs/>
                <w:color w:val="000000"/>
              </w:rPr>
              <w:t>uracy</w:t>
            </w:r>
          </w:p>
        </w:tc>
      </w:tr>
      <w:tr w:rsidR="00D46392" w:rsidRPr="004D38D3" w14:paraId="4A1BBE2E" w14:textId="77777777" w:rsidTr="005766AB">
        <w:trPr>
          <w:trHeight w:val="255"/>
        </w:trPr>
        <w:tc>
          <w:tcPr>
            <w:tcW w:w="1608" w:type="pct"/>
            <w:shd w:val="clear" w:color="auto" w:fill="auto"/>
            <w:noWrap/>
            <w:vAlign w:val="bottom"/>
            <w:hideMark/>
          </w:tcPr>
          <w:p w14:paraId="6C774880" w14:textId="77777777" w:rsidR="00D46392" w:rsidRPr="004D38D3" w:rsidRDefault="00D46392" w:rsidP="005766AB">
            <w:pPr>
              <w:rPr>
                <w:color w:val="000000"/>
              </w:rPr>
            </w:pPr>
            <w:r w:rsidRPr="004D38D3">
              <w:rPr>
                <w:color w:val="000000"/>
              </w:rPr>
              <w:t>Cost</w:t>
            </w:r>
          </w:p>
        </w:tc>
        <w:tc>
          <w:tcPr>
            <w:tcW w:w="821" w:type="pct"/>
            <w:shd w:val="clear" w:color="auto" w:fill="auto"/>
            <w:noWrap/>
            <w:vAlign w:val="bottom"/>
            <w:hideMark/>
          </w:tcPr>
          <w:p w14:paraId="37253CC7" w14:textId="77777777" w:rsidR="00D46392" w:rsidRPr="004D38D3" w:rsidRDefault="00D46392" w:rsidP="005766AB">
            <w:pPr>
              <w:jc w:val="right"/>
              <w:rPr>
                <w:color w:val="000000"/>
              </w:rPr>
            </w:pPr>
            <w:r w:rsidRPr="00A5256C">
              <w:rPr>
                <w:rFonts w:cs="Calibri"/>
                <w:color w:val="000000"/>
              </w:rPr>
              <w:t>$122.40</w:t>
            </w:r>
          </w:p>
        </w:tc>
        <w:tc>
          <w:tcPr>
            <w:tcW w:w="821" w:type="pct"/>
            <w:shd w:val="clear" w:color="auto" w:fill="auto"/>
            <w:noWrap/>
            <w:vAlign w:val="bottom"/>
            <w:hideMark/>
          </w:tcPr>
          <w:p w14:paraId="2A9975E3" w14:textId="77777777" w:rsidR="00D46392" w:rsidRPr="004D38D3" w:rsidRDefault="00D46392" w:rsidP="005766AB">
            <w:pPr>
              <w:jc w:val="right"/>
              <w:rPr>
                <w:color w:val="000000"/>
              </w:rPr>
            </w:pPr>
            <w:r w:rsidRPr="00A5256C">
              <w:rPr>
                <w:rFonts w:cs="Calibri"/>
                <w:color w:val="000000"/>
              </w:rPr>
              <w:t>$6.86</w:t>
            </w:r>
          </w:p>
        </w:tc>
        <w:tc>
          <w:tcPr>
            <w:tcW w:w="821" w:type="pct"/>
            <w:shd w:val="clear" w:color="auto" w:fill="auto"/>
            <w:noWrap/>
            <w:vAlign w:val="bottom"/>
            <w:hideMark/>
          </w:tcPr>
          <w:p w14:paraId="5C4C45E7" w14:textId="77777777" w:rsidR="00D46392" w:rsidRPr="004D38D3" w:rsidRDefault="00D46392" w:rsidP="005766AB">
            <w:pPr>
              <w:jc w:val="right"/>
              <w:rPr>
                <w:color w:val="000000"/>
              </w:rPr>
            </w:pPr>
            <w:r w:rsidRPr="00A5256C">
              <w:rPr>
                <w:rFonts w:cs="Calibri"/>
                <w:color w:val="000000"/>
              </w:rPr>
              <w:t>$115.54</w:t>
            </w:r>
          </w:p>
        </w:tc>
        <w:tc>
          <w:tcPr>
            <w:tcW w:w="929" w:type="pct"/>
            <w:shd w:val="clear" w:color="auto" w:fill="auto"/>
            <w:noWrap/>
            <w:vAlign w:val="bottom"/>
            <w:hideMark/>
          </w:tcPr>
          <w:p w14:paraId="752290D9" w14:textId="77777777" w:rsidR="00D46392" w:rsidRPr="004D38D3" w:rsidRDefault="00D46392" w:rsidP="005766AB">
            <w:pPr>
              <w:jc w:val="right"/>
              <w:rPr>
                <w:color w:val="000000"/>
              </w:rPr>
            </w:pPr>
          </w:p>
        </w:tc>
      </w:tr>
      <w:tr w:rsidR="00D46392" w:rsidRPr="004D38D3" w14:paraId="4C62BCE7" w14:textId="77777777" w:rsidTr="005766AB">
        <w:trPr>
          <w:trHeight w:val="255"/>
        </w:trPr>
        <w:tc>
          <w:tcPr>
            <w:tcW w:w="1608" w:type="pct"/>
            <w:tcBorders>
              <w:bottom w:val="single" w:sz="4" w:space="0" w:color="auto"/>
            </w:tcBorders>
            <w:shd w:val="clear" w:color="auto" w:fill="auto"/>
            <w:noWrap/>
            <w:vAlign w:val="bottom"/>
            <w:hideMark/>
          </w:tcPr>
          <w:p w14:paraId="255BD38A" w14:textId="77777777" w:rsidR="00D46392" w:rsidRPr="004D38D3" w:rsidRDefault="00D46392" w:rsidP="005766AB">
            <w:pPr>
              <w:rPr>
                <w:color w:val="000000"/>
              </w:rPr>
            </w:pPr>
            <w:r w:rsidRPr="004D38D3">
              <w:rPr>
                <w:color w:val="000000"/>
              </w:rPr>
              <w:t>Outcomes</w:t>
            </w:r>
          </w:p>
        </w:tc>
        <w:tc>
          <w:tcPr>
            <w:tcW w:w="821" w:type="pct"/>
            <w:tcBorders>
              <w:bottom w:val="single" w:sz="4" w:space="0" w:color="auto"/>
            </w:tcBorders>
            <w:shd w:val="clear" w:color="auto" w:fill="auto"/>
            <w:noWrap/>
            <w:vAlign w:val="bottom"/>
            <w:hideMark/>
          </w:tcPr>
          <w:p w14:paraId="4ECF0D07" w14:textId="77777777" w:rsidR="00D46392" w:rsidRPr="004D38D3" w:rsidRDefault="00D46392" w:rsidP="005766AB">
            <w:pPr>
              <w:rPr>
                <w:color w:val="000000"/>
              </w:rPr>
            </w:pPr>
          </w:p>
        </w:tc>
        <w:tc>
          <w:tcPr>
            <w:tcW w:w="821" w:type="pct"/>
            <w:tcBorders>
              <w:bottom w:val="single" w:sz="4" w:space="0" w:color="auto"/>
            </w:tcBorders>
            <w:shd w:val="clear" w:color="auto" w:fill="auto"/>
            <w:noWrap/>
            <w:vAlign w:val="bottom"/>
            <w:hideMark/>
          </w:tcPr>
          <w:p w14:paraId="7833B2B6" w14:textId="77777777" w:rsidR="00D46392" w:rsidRPr="004D38D3" w:rsidRDefault="00D46392" w:rsidP="005766AB"/>
        </w:tc>
        <w:tc>
          <w:tcPr>
            <w:tcW w:w="821" w:type="pct"/>
            <w:tcBorders>
              <w:bottom w:val="single" w:sz="4" w:space="0" w:color="auto"/>
            </w:tcBorders>
            <w:shd w:val="clear" w:color="auto" w:fill="auto"/>
            <w:noWrap/>
            <w:vAlign w:val="bottom"/>
            <w:hideMark/>
          </w:tcPr>
          <w:p w14:paraId="725BE2E8" w14:textId="77777777" w:rsidR="00D46392" w:rsidRPr="004D38D3" w:rsidRDefault="00D46392" w:rsidP="005766AB"/>
        </w:tc>
        <w:tc>
          <w:tcPr>
            <w:tcW w:w="929" w:type="pct"/>
            <w:tcBorders>
              <w:bottom w:val="single" w:sz="4" w:space="0" w:color="auto"/>
            </w:tcBorders>
            <w:shd w:val="clear" w:color="auto" w:fill="auto"/>
            <w:noWrap/>
            <w:vAlign w:val="bottom"/>
            <w:hideMark/>
          </w:tcPr>
          <w:p w14:paraId="4A1CC29C" w14:textId="77777777" w:rsidR="00D46392" w:rsidRPr="004D38D3" w:rsidRDefault="00D46392" w:rsidP="005766AB"/>
        </w:tc>
      </w:tr>
      <w:tr w:rsidR="00D46392" w:rsidRPr="004D38D3" w14:paraId="17B526C6" w14:textId="77777777" w:rsidTr="005766AB">
        <w:trPr>
          <w:trHeight w:val="255"/>
        </w:trPr>
        <w:tc>
          <w:tcPr>
            <w:tcW w:w="1608" w:type="pct"/>
            <w:tcBorders>
              <w:bottom w:val="single" w:sz="4" w:space="0" w:color="auto"/>
            </w:tcBorders>
            <w:shd w:val="clear" w:color="auto" w:fill="auto"/>
            <w:noWrap/>
            <w:vAlign w:val="bottom"/>
            <w:hideMark/>
          </w:tcPr>
          <w:p w14:paraId="02F5C8C8" w14:textId="77777777" w:rsidR="00D46392" w:rsidRPr="00112C6B" w:rsidRDefault="00D46392" w:rsidP="005766AB">
            <w:pPr>
              <w:rPr>
                <w:b/>
                <w:color w:val="000000"/>
              </w:rPr>
            </w:pPr>
            <w:r w:rsidRPr="00112C6B">
              <w:rPr>
                <w:b/>
                <w:color w:val="000000"/>
              </w:rPr>
              <w:t>Correct diagnosis after initial DST</w:t>
            </w:r>
          </w:p>
        </w:tc>
        <w:tc>
          <w:tcPr>
            <w:tcW w:w="821" w:type="pct"/>
            <w:tcBorders>
              <w:bottom w:val="single" w:sz="4" w:space="0" w:color="auto"/>
            </w:tcBorders>
            <w:shd w:val="clear" w:color="auto" w:fill="auto"/>
            <w:noWrap/>
            <w:vAlign w:val="bottom"/>
            <w:hideMark/>
          </w:tcPr>
          <w:p w14:paraId="2A24527C" w14:textId="77777777" w:rsidR="00D46392" w:rsidRPr="00112C6B" w:rsidRDefault="00D46392" w:rsidP="005766AB">
            <w:pPr>
              <w:jc w:val="right"/>
              <w:rPr>
                <w:b/>
                <w:color w:val="000000"/>
              </w:rPr>
            </w:pPr>
            <w:r w:rsidRPr="00A5256C">
              <w:rPr>
                <w:rFonts w:cs="Calibri"/>
                <w:color w:val="000000"/>
              </w:rPr>
              <w:t>1.000</w:t>
            </w:r>
          </w:p>
        </w:tc>
        <w:tc>
          <w:tcPr>
            <w:tcW w:w="821" w:type="pct"/>
            <w:tcBorders>
              <w:bottom w:val="single" w:sz="4" w:space="0" w:color="auto"/>
            </w:tcBorders>
            <w:shd w:val="clear" w:color="auto" w:fill="auto"/>
            <w:noWrap/>
            <w:vAlign w:val="bottom"/>
            <w:hideMark/>
          </w:tcPr>
          <w:p w14:paraId="4E7D30DF" w14:textId="77777777" w:rsidR="00D46392" w:rsidRPr="00112C6B" w:rsidRDefault="00D46392" w:rsidP="005766AB">
            <w:pPr>
              <w:jc w:val="right"/>
              <w:rPr>
                <w:b/>
                <w:color w:val="000000"/>
              </w:rPr>
            </w:pPr>
            <w:r w:rsidRPr="00A5256C">
              <w:rPr>
                <w:rFonts w:cs="Calibri"/>
                <w:color w:val="000000"/>
              </w:rPr>
              <w:t>0.986</w:t>
            </w:r>
          </w:p>
        </w:tc>
        <w:tc>
          <w:tcPr>
            <w:tcW w:w="821" w:type="pct"/>
            <w:tcBorders>
              <w:bottom w:val="single" w:sz="4" w:space="0" w:color="auto"/>
            </w:tcBorders>
            <w:shd w:val="clear" w:color="auto" w:fill="auto"/>
            <w:noWrap/>
            <w:vAlign w:val="bottom"/>
            <w:hideMark/>
          </w:tcPr>
          <w:p w14:paraId="33C8B2FB" w14:textId="77777777" w:rsidR="00D46392" w:rsidRPr="00112C6B" w:rsidRDefault="00D46392" w:rsidP="005766AB">
            <w:pPr>
              <w:jc w:val="right"/>
              <w:rPr>
                <w:b/>
                <w:color w:val="000000"/>
              </w:rPr>
            </w:pPr>
            <w:r w:rsidRPr="00A5256C">
              <w:rPr>
                <w:rFonts w:cs="Calibri"/>
                <w:color w:val="000000"/>
              </w:rPr>
              <w:t>0.014</w:t>
            </w:r>
          </w:p>
        </w:tc>
        <w:tc>
          <w:tcPr>
            <w:tcW w:w="929" w:type="pct"/>
            <w:tcBorders>
              <w:bottom w:val="single" w:sz="4" w:space="0" w:color="auto"/>
            </w:tcBorders>
            <w:shd w:val="clear" w:color="auto" w:fill="auto"/>
            <w:noWrap/>
            <w:vAlign w:val="bottom"/>
            <w:hideMark/>
          </w:tcPr>
          <w:p w14:paraId="3587041A" w14:textId="77777777" w:rsidR="00D46392" w:rsidRPr="00112C6B" w:rsidRDefault="00D46392" w:rsidP="005766AB">
            <w:pPr>
              <w:jc w:val="right"/>
              <w:rPr>
                <w:b/>
                <w:color w:val="000000"/>
              </w:rPr>
            </w:pPr>
            <w:r w:rsidRPr="00A5256C">
              <w:rPr>
                <w:rFonts w:cs="Calibri"/>
                <w:color w:val="000000"/>
              </w:rPr>
              <w:t>$8,241.60</w:t>
            </w:r>
          </w:p>
        </w:tc>
      </w:tr>
      <w:tr w:rsidR="00D46392" w:rsidRPr="004D38D3" w14:paraId="7A7EA272" w14:textId="77777777" w:rsidTr="005766AB">
        <w:trPr>
          <w:trHeight w:val="255"/>
        </w:trPr>
        <w:tc>
          <w:tcPr>
            <w:tcW w:w="5000" w:type="pct"/>
            <w:gridSpan w:val="5"/>
            <w:tcBorders>
              <w:top w:val="single" w:sz="4" w:space="0" w:color="auto"/>
            </w:tcBorders>
            <w:shd w:val="clear" w:color="auto" w:fill="auto"/>
            <w:noWrap/>
            <w:vAlign w:val="bottom"/>
            <w:hideMark/>
          </w:tcPr>
          <w:p w14:paraId="1B9D3ECB" w14:textId="77777777" w:rsidR="00D46392" w:rsidRPr="004D38D3" w:rsidRDefault="00D46392" w:rsidP="005766AB">
            <w:r>
              <w:rPr>
                <w:b/>
                <w:bCs/>
                <w:color w:val="000000"/>
              </w:rPr>
              <w:t xml:space="preserve">Step 2: </w:t>
            </w:r>
            <w:r w:rsidRPr="004D38D3">
              <w:rPr>
                <w:b/>
                <w:bCs/>
                <w:color w:val="000000"/>
              </w:rPr>
              <w:t xml:space="preserve">Improved accuracy + </w:t>
            </w:r>
            <w:r>
              <w:rPr>
                <w:b/>
                <w:bCs/>
                <w:color w:val="000000"/>
              </w:rPr>
              <w:t>reduced turnaround</w:t>
            </w:r>
            <w:r w:rsidRPr="004D38D3">
              <w:rPr>
                <w:b/>
                <w:bCs/>
                <w:color w:val="000000"/>
              </w:rPr>
              <w:t xml:space="preserve"> and no hospital costs</w:t>
            </w:r>
          </w:p>
        </w:tc>
      </w:tr>
      <w:tr w:rsidR="00D46392" w:rsidRPr="004D38D3" w14:paraId="07AD8C78" w14:textId="77777777" w:rsidTr="005766AB">
        <w:trPr>
          <w:trHeight w:val="255"/>
        </w:trPr>
        <w:tc>
          <w:tcPr>
            <w:tcW w:w="1608" w:type="pct"/>
            <w:shd w:val="clear" w:color="auto" w:fill="auto"/>
            <w:noWrap/>
            <w:vAlign w:val="bottom"/>
            <w:hideMark/>
          </w:tcPr>
          <w:p w14:paraId="672AF229" w14:textId="77777777" w:rsidR="00D46392" w:rsidRPr="004D38D3" w:rsidRDefault="00D46392" w:rsidP="005766AB">
            <w:pPr>
              <w:rPr>
                <w:color w:val="000000"/>
              </w:rPr>
            </w:pPr>
            <w:r w:rsidRPr="004D38D3">
              <w:rPr>
                <w:color w:val="000000"/>
              </w:rPr>
              <w:t>Cost</w:t>
            </w:r>
          </w:p>
        </w:tc>
        <w:tc>
          <w:tcPr>
            <w:tcW w:w="821" w:type="pct"/>
            <w:shd w:val="clear" w:color="auto" w:fill="auto"/>
            <w:noWrap/>
            <w:vAlign w:val="bottom"/>
            <w:hideMark/>
          </w:tcPr>
          <w:p w14:paraId="75990DBF" w14:textId="77777777" w:rsidR="00D46392" w:rsidRPr="004D38D3" w:rsidRDefault="00D46392" w:rsidP="005766AB">
            <w:pPr>
              <w:jc w:val="right"/>
              <w:rPr>
                <w:color w:val="000000"/>
              </w:rPr>
            </w:pPr>
            <w:r w:rsidRPr="00A5256C">
              <w:rPr>
                <w:rFonts w:cs="Calibri"/>
                <w:color w:val="000000"/>
              </w:rPr>
              <w:t>$122.70</w:t>
            </w:r>
          </w:p>
        </w:tc>
        <w:tc>
          <w:tcPr>
            <w:tcW w:w="821" w:type="pct"/>
            <w:shd w:val="clear" w:color="auto" w:fill="auto"/>
            <w:noWrap/>
            <w:vAlign w:val="bottom"/>
            <w:hideMark/>
          </w:tcPr>
          <w:p w14:paraId="0BB14616" w14:textId="77777777" w:rsidR="00D46392" w:rsidRPr="004D38D3" w:rsidRDefault="00D46392" w:rsidP="005766AB">
            <w:pPr>
              <w:jc w:val="right"/>
              <w:rPr>
                <w:color w:val="000000"/>
              </w:rPr>
            </w:pPr>
            <w:r w:rsidRPr="00A5256C">
              <w:rPr>
                <w:rFonts w:cs="Calibri"/>
                <w:color w:val="000000"/>
              </w:rPr>
              <w:t>$42.25</w:t>
            </w:r>
          </w:p>
        </w:tc>
        <w:tc>
          <w:tcPr>
            <w:tcW w:w="821" w:type="pct"/>
            <w:shd w:val="clear" w:color="auto" w:fill="auto"/>
            <w:noWrap/>
            <w:vAlign w:val="bottom"/>
            <w:hideMark/>
          </w:tcPr>
          <w:p w14:paraId="2ADA6A79" w14:textId="77777777" w:rsidR="00D46392" w:rsidRPr="004D38D3" w:rsidRDefault="00D46392" w:rsidP="005766AB">
            <w:pPr>
              <w:jc w:val="right"/>
              <w:rPr>
                <w:color w:val="000000"/>
              </w:rPr>
            </w:pPr>
            <w:r w:rsidRPr="00A5256C">
              <w:rPr>
                <w:rFonts w:cs="Calibri"/>
                <w:color w:val="000000"/>
              </w:rPr>
              <w:t>$80.45</w:t>
            </w:r>
          </w:p>
        </w:tc>
        <w:tc>
          <w:tcPr>
            <w:tcW w:w="929" w:type="pct"/>
            <w:shd w:val="clear" w:color="auto" w:fill="auto"/>
            <w:noWrap/>
            <w:vAlign w:val="bottom"/>
            <w:hideMark/>
          </w:tcPr>
          <w:p w14:paraId="18336B71" w14:textId="77777777" w:rsidR="00D46392" w:rsidRPr="004D38D3" w:rsidRDefault="00D46392" w:rsidP="005766AB">
            <w:pPr>
              <w:jc w:val="right"/>
              <w:rPr>
                <w:color w:val="000000"/>
              </w:rPr>
            </w:pPr>
          </w:p>
        </w:tc>
      </w:tr>
      <w:tr w:rsidR="00D46392" w:rsidRPr="004D38D3" w14:paraId="75FB007A" w14:textId="77777777" w:rsidTr="005766AB">
        <w:trPr>
          <w:trHeight w:val="255"/>
        </w:trPr>
        <w:tc>
          <w:tcPr>
            <w:tcW w:w="1608" w:type="pct"/>
            <w:shd w:val="clear" w:color="auto" w:fill="auto"/>
            <w:noWrap/>
            <w:vAlign w:val="bottom"/>
            <w:hideMark/>
          </w:tcPr>
          <w:p w14:paraId="27F296D6" w14:textId="77777777" w:rsidR="00D46392" w:rsidRPr="004D38D3" w:rsidRDefault="00D46392" w:rsidP="005766AB">
            <w:pPr>
              <w:rPr>
                <w:color w:val="000000"/>
              </w:rPr>
            </w:pPr>
            <w:r w:rsidRPr="004D38D3">
              <w:rPr>
                <w:color w:val="000000"/>
              </w:rPr>
              <w:t>Outcomes</w:t>
            </w:r>
          </w:p>
        </w:tc>
        <w:tc>
          <w:tcPr>
            <w:tcW w:w="821" w:type="pct"/>
            <w:shd w:val="clear" w:color="auto" w:fill="auto"/>
            <w:noWrap/>
            <w:vAlign w:val="bottom"/>
            <w:hideMark/>
          </w:tcPr>
          <w:p w14:paraId="20914EE9" w14:textId="77777777" w:rsidR="00D46392" w:rsidRPr="004D38D3" w:rsidRDefault="00D46392" w:rsidP="005766AB">
            <w:pPr>
              <w:rPr>
                <w:color w:val="000000"/>
              </w:rPr>
            </w:pPr>
          </w:p>
        </w:tc>
        <w:tc>
          <w:tcPr>
            <w:tcW w:w="821" w:type="pct"/>
            <w:shd w:val="clear" w:color="auto" w:fill="auto"/>
            <w:noWrap/>
            <w:vAlign w:val="bottom"/>
            <w:hideMark/>
          </w:tcPr>
          <w:p w14:paraId="018CF8D8" w14:textId="77777777" w:rsidR="00D46392" w:rsidRPr="004D38D3" w:rsidRDefault="00D46392" w:rsidP="005766AB"/>
        </w:tc>
        <w:tc>
          <w:tcPr>
            <w:tcW w:w="821" w:type="pct"/>
            <w:shd w:val="clear" w:color="auto" w:fill="auto"/>
            <w:noWrap/>
            <w:vAlign w:val="bottom"/>
            <w:hideMark/>
          </w:tcPr>
          <w:p w14:paraId="183332CA" w14:textId="77777777" w:rsidR="00D46392" w:rsidRPr="004D38D3" w:rsidRDefault="00D46392" w:rsidP="005766AB"/>
        </w:tc>
        <w:tc>
          <w:tcPr>
            <w:tcW w:w="929" w:type="pct"/>
            <w:shd w:val="clear" w:color="auto" w:fill="auto"/>
            <w:noWrap/>
            <w:vAlign w:val="bottom"/>
            <w:hideMark/>
          </w:tcPr>
          <w:p w14:paraId="7F302B53" w14:textId="77777777" w:rsidR="00D46392" w:rsidRPr="004D38D3" w:rsidRDefault="00D46392" w:rsidP="005766AB"/>
        </w:tc>
      </w:tr>
      <w:tr w:rsidR="00D46392" w:rsidRPr="004D38D3" w14:paraId="2FBBB534" w14:textId="77777777" w:rsidTr="005766AB">
        <w:trPr>
          <w:trHeight w:val="255"/>
        </w:trPr>
        <w:tc>
          <w:tcPr>
            <w:tcW w:w="1608" w:type="pct"/>
            <w:shd w:val="clear" w:color="auto" w:fill="auto"/>
            <w:noWrap/>
            <w:vAlign w:val="bottom"/>
            <w:hideMark/>
          </w:tcPr>
          <w:p w14:paraId="394E5184" w14:textId="77777777" w:rsidR="00D46392" w:rsidRPr="004D38D3" w:rsidRDefault="00D46392" w:rsidP="005766AB">
            <w:pPr>
              <w:rPr>
                <w:color w:val="000000"/>
              </w:rPr>
            </w:pPr>
            <w:r w:rsidRPr="004D38D3">
              <w:rPr>
                <w:color w:val="000000"/>
              </w:rPr>
              <w:t>Early identification of resistance</w:t>
            </w:r>
          </w:p>
        </w:tc>
        <w:tc>
          <w:tcPr>
            <w:tcW w:w="821" w:type="pct"/>
            <w:shd w:val="clear" w:color="auto" w:fill="auto"/>
            <w:noWrap/>
            <w:vAlign w:val="bottom"/>
            <w:hideMark/>
          </w:tcPr>
          <w:p w14:paraId="0C99FEE9" w14:textId="77777777" w:rsidR="00D46392" w:rsidRPr="004D38D3" w:rsidRDefault="00D46392" w:rsidP="005766AB">
            <w:pPr>
              <w:jc w:val="right"/>
              <w:rPr>
                <w:color w:val="000000"/>
              </w:rPr>
            </w:pPr>
            <w:r w:rsidRPr="00A5256C">
              <w:rPr>
                <w:rFonts w:cs="Calibri"/>
                <w:color w:val="000000"/>
              </w:rPr>
              <w:t>0.113</w:t>
            </w:r>
          </w:p>
        </w:tc>
        <w:tc>
          <w:tcPr>
            <w:tcW w:w="821" w:type="pct"/>
            <w:shd w:val="clear" w:color="auto" w:fill="auto"/>
            <w:noWrap/>
            <w:vAlign w:val="bottom"/>
            <w:hideMark/>
          </w:tcPr>
          <w:p w14:paraId="0AD4EED7" w14:textId="77777777" w:rsidR="00D46392" w:rsidRPr="004D38D3" w:rsidRDefault="00D46392" w:rsidP="005766AB">
            <w:pPr>
              <w:jc w:val="right"/>
              <w:rPr>
                <w:color w:val="000000"/>
              </w:rPr>
            </w:pPr>
            <w:r w:rsidRPr="00A5256C">
              <w:rPr>
                <w:rFonts w:cs="Calibri"/>
                <w:color w:val="000000"/>
              </w:rPr>
              <w:t>0.000</w:t>
            </w:r>
          </w:p>
        </w:tc>
        <w:tc>
          <w:tcPr>
            <w:tcW w:w="821" w:type="pct"/>
            <w:shd w:val="clear" w:color="auto" w:fill="auto"/>
            <w:noWrap/>
            <w:vAlign w:val="bottom"/>
            <w:hideMark/>
          </w:tcPr>
          <w:p w14:paraId="25DB5871" w14:textId="77777777" w:rsidR="00D46392" w:rsidRPr="004D38D3" w:rsidRDefault="00D46392" w:rsidP="005766AB">
            <w:pPr>
              <w:jc w:val="right"/>
              <w:rPr>
                <w:color w:val="000000"/>
              </w:rPr>
            </w:pPr>
            <w:r w:rsidRPr="00A5256C">
              <w:rPr>
                <w:rFonts w:cs="Calibri"/>
                <w:color w:val="000000"/>
              </w:rPr>
              <w:t>0.113</w:t>
            </w:r>
          </w:p>
        </w:tc>
        <w:tc>
          <w:tcPr>
            <w:tcW w:w="929" w:type="pct"/>
            <w:shd w:val="clear" w:color="auto" w:fill="auto"/>
            <w:noWrap/>
            <w:vAlign w:val="bottom"/>
            <w:hideMark/>
          </w:tcPr>
          <w:p w14:paraId="6ADCB294" w14:textId="77777777" w:rsidR="00D46392" w:rsidRPr="004D38D3" w:rsidRDefault="00D46392" w:rsidP="005766AB">
            <w:pPr>
              <w:jc w:val="right"/>
              <w:rPr>
                <w:color w:val="000000"/>
              </w:rPr>
            </w:pPr>
            <w:r w:rsidRPr="00A5256C">
              <w:rPr>
                <w:rFonts w:cs="Calibri"/>
                <w:color w:val="000000"/>
              </w:rPr>
              <w:t>$712.53</w:t>
            </w:r>
          </w:p>
        </w:tc>
      </w:tr>
      <w:tr w:rsidR="00D46392" w:rsidRPr="004D38D3" w14:paraId="7B469AB3" w14:textId="77777777" w:rsidTr="005766AB">
        <w:trPr>
          <w:trHeight w:val="255"/>
        </w:trPr>
        <w:tc>
          <w:tcPr>
            <w:tcW w:w="1608" w:type="pct"/>
            <w:shd w:val="clear" w:color="auto" w:fill="auto"/>
            <w:noWrap/>
            <w:vAlign w:val="bottom"/>
            <w:hideMark/>
          </w:tcPr>
          <w:p w14:paraId="4F2352D9" w14:textId="77777777" w:rsidR="00D46392" w:rsidRPr="004D38D3" w:rsidRDefault="00D46392" w:rsidP="005766AB">
            <w:pPr>
              <w:rPr>
                <w:color w:val="000000"/>
              </w:rPr>
            </w:pPr>
            <w:r w:rsidRPr="004D38D3">
              <w:rPr>
                <w:color w:val="000000"/>
              </w:rPr>
              <w:t>Early confirmation of true status</w:t>
            </w:r>
          </w:p>
        </w:tc>
        <w:tc>
          <w:tcPr>
            <w:tcW w:w="821" w:type="pct"/>
            <w:shd w:val="clear" w:color="auto" w:fill="auto"/>
            <w:noWrap/>
            <w:vAlign w:val="bottom"/>
            <w:hideMark/>
          </w:tcPr>
          <w:p w14:paraId="192E2933" w14:textId="77777777" w:rsidR="00D46392" w:rsidRPr="004D38D3" w:rsidRDefault="00D46392" w:rsidP="005766AB">
            <w:pPr>
              <w:jc w:val="right"/>
              <w:rPr>
                <w:color w:val="000000"/>
              </w:rPr>
            </w:pPr>
            <w:r w:rsidRPr="00A5256C">
              <w:rPr>
                <w:rFonts w:cs="Calibri"/>
                <w:color w:val="000000"/>
              </w:rPr>
              <w:t>0.993</w:t>
            </w:r>
          </w:p>
        </w:tc>
        <w:tc>
          <w:tcPr>
            <w:tcW w:w="821" w:type="pct"/>
            <w:shd w:val="clear" w:color="auto" w:fill="auto"/>
            <w:noWrap/>
            <w:vAlign w:val="bottom"/>
            <w:hideMark/>
          </w:tcPr>
          <w:p w14:paraId="1AEF3F41" w14:textId="77777777" w:rsidR="00D46392" w:rsidRPr="004D38D3" w:rsidRDefault="00D46392" w:rsidP="005766AB">
            <w:pPr>
              <w:jc w:val="right"/>
              <w:rPr>
                <w:color w:val="000000"/>
              </w:rPr>
            </w:pPr>
            <w:r w:rsidRPr="00A5256C">
              <w:rPr>
                <w:rFonts w:cs="Calibri"/>
                <w:color w:val="000000"/>
              </w:rPr>
              <w:t>0.000</w:t>
            </w:r>
          </w:p>
        </w:tc>
        <w:tc>
          <w:tcPr>
            <w:tcW w:w="821" w:type="pct"/>
            <w:shd w:val="clear" w:color="auto" w:fill="auto"/>
            <w:noWrap/>
            <w:vAlign w:val="bottom"/>
            <w:hideMark/>
          </w:tcPr>
          <w:p w14:paraId="675A5D27" w14:textId="77777777" w:rsidR="00D46392" w:rsidRPr="004D38D3" w:rsidRDefault="00D46392" w:rsidP="005766AB">
            <w:pPr>
              <w:jc w:val="right"/>
              <w:rPr>
                <w:color w:val="000000"/>
              </w:rPr>
            </w:pPr>
            <w:r w:rsidRPr="00A5256C">
              <w:rPr>
                <w:rFonts w:cs="Calibri"/>
                <w:color w:val="000000"/>
              </w:rPr>
              <w:t>0.993</w:t>
            </w:r>
          </w:p>
        </w:tc>
        <w:tc>
          <w:tcPr>
            <w:tcW w:w="929" w:type="pct"/>
            <w:shd w:val="clear" w:color="auto" w:fill="auto"/>
            <w:noWrap/>
            <w:vAlign w:val="bottom"/>
            <w:hideMark/>
          </w:tcPr>
          <w:p w14:paraId="10B49862" w14:textId="77777777" w:rsidR="00D46392" w:rsidRPr="004D38D3" w:rsidRDefault="00D46392" w:rsidP="005766AB">
            <w:pPr>
              <w:jc w:val="right"/>
              <w:rPr>
                <w:color w:val="000000"/>
              </w:rPr>
            </w:pPr>
            <w:r w:rsidRPr="00A5256C">
              <w:rPr>
                <w:rFonts w:cs="Calibri"/>
                <w:color w:val="000000"/>
              </w:rPr>
              <w:t>$81.02</w:t>
            </w:r>
          </w:p>
        </w:tc>
      </w:tr>
      <w:tr w:rsidR="00D46392" w:rsidRPr="004D38D3" w14:paraId="345583CC" w14:textId="77777777" w:rsidTr="005766AB">
        <w:trPr>
          <w:trHeight w:val="255"/>
        </w:trPr>
        <w:tc>
          <w:tcPr>
            <w:tcW w:w="1608" w:type="pct"/>
            <w:shd w:val="clear" w:color="auto" w:fill="auto"/>
            <w:noWrap/>
            <w:vAlign w:val="bottom"/>
            <w:hideMark/>
          </w:tcPr>
          <w:p w14:paraId="5EA9C095" w14:textId="77777777" w:rsidR="00D46392" w:rsidRPr="00112C6B" w:rsidRDefault="00D46392" w:rsidP="005766AB">
            <w:pPr>
              <w:rPr>
                <w:b/>
                <w:color w:val="000000"/>
              </w:rPr>
            </w:pPr>
            <w:r w:rsidRPr="00112C6B">
              <w:rPr>
                <w:b/>
                <w:color w:val="000000"/>
              </w:rPr>
              <w:t xml:space="preserve">Correct diagnosis after </w:t>
            </w:r>
            <w:r>
              <w:rPr>
                <w:b/>
                <w:color w:val="000000"/>
              </w:rPr>
              <w:t xml:space="preserve">initial </w:t>
            </w:r>
            <w:r w:rsidRPr="00112C6B">
              <w:rPr>
                <w:b/>
                <w:color w:val="000000"/>
              </w:rPr>
              <w:t>DST</w:t>
            </w:r>
          </w:p>
        </w:tc>
        <w:tc>
          <w:tcPr>
            <w:tcW w:w="821" w:type="pct"/>
            <w:shd w:val="clear" w:color="auto" w:fill="auto"/>
            <w:noWrap/>
            <w:vAlign w:val="bottom"/>
            <w:hideMark/>
          </w:tcPr>
          <w:p w14:paraId="314E0233" w14:textId="77777777" w:rsidR="00D46392" w:rsidRPr="00112C6B" w:rsidRDefault="00D46392" w:rsidP="005766AB">
            <w:pPr>
              <w:jc w:val="right"/>
              <w:rPr>
                <w:b/>
                <w:color w:val="000000"/>
              </w:rPr>
            </w:pPr>
            <w:r w:rsidRPr="00112C6B">
              <w:rPr>
                <w:b/>
                <w:color w:val="000000"/>
              </w:rPr>
              <w:t>1.000</w:t>
            </w:r>
          </w:p>
        </w:tc>
        <w:tc>
          <w:tcPr>
            <w:tcW w:w="821" w:type="pct"/>
            <w:shd w:val="clear" w:color="auto" w:fill="auto"/>
            <w:noWrap/>
            <w:vAlign w:val="bottom"/>
            <w:hideMark/>
          </w:tcPr>
          <w:p w14:paraId="18B731DA" w14:textId="77777777" w:rsidR="00D46392" w:rsidRPr="00112C6B" w:rsidRDefault="00D46392" w:rsidP="005766AB">
            <w:pPr>
              <w:jc w:val="right"/>
              <w:rPr>
                <w:b/>
                <w:color w:val="000000"/>
              </w:rPr>
            </w:pPr>
            <w:r w:rsidRPr="00112C6B">
              <w:rPr>
                <w:b/>
                <w:color w:val="000000"/>
              </w:rPr>
              <w:t>0.986</w:t>
            </w:r>
          </w:p>
        </w:tc>
        <w:tc>
          <w:tcPr>
            <w:tcW w:w="821" w:type="pct"/>
            <w:shd w:val="clear" w:color="auto" w:fill="auto"/>
            <w:noWrap/>
            <w:vAlign w:val="bottom"/>
            <w:hideMark/>
          </w:tcPr>
          <w:p w14:paraId="47002B12" w14:textId="77777777" w:rsidR="00D46392" w:rsidRPr="00112C6B" w:rsidRDefault="00D46392" w:rsidP="005766AB">
            <w:pPr>
              <w:jc w:val="right"/>
              <w:rPr>
                <w:b/>
                <w:color w:val="000000"/>
              </w:rPr>
            </w:pPr>
            <w:r w:rsidRPr="00112C6B">
              <w:rPr>
                <w:b/>
                <w:color w:val="000000"/>
              </w:rPr>
              <w:t>0.014</w:t>
            </w:r>
          </w:p>
        </w:tc>
        <w:tc>
          <w:tcPr>
            <w:tcW w:w="929" w:type="pct"/>
            <w:shd w:val="clear" w:color="auto" w:fill="auto"/>
            <w:noWrap/>
            <w:vAlign w:val="bottom"/>
            <w:hideMark/>
          </w:tcPr>
          <w:p w14:paraId="6C813830" w14:textId="77777777" w:rsidR="00D46392" w:rsidRPr="00112C6B" w:rsidRDefault="00D46392" w:rsidP="005766AB">
            <w:pPr>
              <w:jc w:val="right"/>
              <w:rPr>
                <w:b/>
                <w:color w:val="000000"/>
              </w:rPr>
            </w:pPr>
            <w:r w:rsidRPr="00A5256C">
              <w:rPr>
                <w:rFonts w:cs="Calibri"/>
                <w:color w:val="000000"/>
              </w:rPr>
              <w:t>$5,738.29</w:t>
            </w:r>
          </w:p>
        </w:tc>
      </w:tr>
      <w:tr w:rsidR="00D46392" w:rsidRPr="004D38D3" w14:paraId="5F864F09" w14:textId="77777777" w:rsidTr="005766AB">
        <w:trPr>
          <w:trHeight w:val="255"/>
        </w:trPr>
        <w:tc>
          <w:tcPr>
            <w:tcW w:w="5000" w:type="pct"/>
            <w:gridSpan w:val="5"/>
            <w:shd w:val="clear" w:color="auto" w:fill="auto"/>
            <w:noWrap/>
            <w:vAlign w:val="bottom"/>
            <w:hideMark/>
          </w:tcPr>
          <w:p w14:paraId="4FADF469" w14:textId="77777777" w:rsidR="00D46392" w:rsidRPr="004D38D3" w:rsidRDefault="00D46392" w:rsidP="005766AB">
            <w:r>
              <w:rPr>
                <w:b/>
                <w:bCs/>
                <w:color w:val="000000"/>
              </w:rPr>
              <w:t xml:space="preserve">Step 3: </w:t>
            </w:r>
            <w:r w:rsidRPr="004D38D3">
              <w:rPr>
                <w:b/>
                <w:bCs/>
                <w:color w:val="000000"/>
              </w:rPr>
              <w:t xml:space="preserve">Improved accuracy + </w:t>
            </w:r>
            <w:r>
              <w:rPr>
                <w:b/>
                <w:bCs/>
                <w:color w:val="000000"/>
              </w:rPr>
              <w:t>reduced turnaround time</w:t>
            </w:r>
            <w:r w:rsidRPr="004D38D3">
              <w:rPr>
                <w:b/>
                <w:bCs/>
                <w:color w:val="000000"/>
              </w:rPr>
              <w:t xml:space="preserve"> with hospital costs</w:t>
            </w:r>
          </w:p>
        </w:tc>
      </w:tr>
      <w:tr w:rsidR="00D46392" w:rsidRPr="004D38D3" w14:paraId="18BE5D43" w14:textId="77777777" w:rsidTr="005766AB">
        <w:trPr>
          <w:trHeight w:val="255"/>
        </w:trPr>
        <w:tc>
          <w:tcPr>
            <w:tcW w:w="1608" w:type="pct"/>
            <w:shd w:val="clear" w:color="auto" w:fill="auto"/>
            <w:noWrap/>
            <w:vAlign w:val="bottom"/>
            <w:hideMark/>
          </w:tcPr>
          <w:p w14:paraId="3E9305E1" w14:textId="77777777" w:rsidR="00D46392" w:rsidRPr="004D38D3" w:rsidRDefault="00D46392" w:rsidP="005766AB">
            <w:pPr>
              <w:rPr>
                <w:color w:val="000000"/>
              </w:rPr>
            </w:pPr>
            <w:r w:rsidRPr="004D38D3">
              <w:rPr>
                <w:color w:val="000000"/>
              </w:rPr>
              <w:t>Cost</w:t>
            </w:r>
          </w:p>
        </w:tc>
        <w:tc>
          <w:tcPr>
            <w:tcW w:w="821" w:type="pct"/>
            <w:shd w:val="clear" w:color="auto" w:fill="auto"/>
            <w:noWrap/>
            <w:vAlign w:val="bottom"/>
            <w:hideMark/>
          </w:tcPr>
          <w:p w14:paraId="29555B03" w14:textId="77777777" w:rsidR="00D46392" w:rsidRPr="004D38D3" w:rsidRDefault="00D46392" w:rsidP="005766AB">
            <w:pPr>
              <w:jc w:val="right"/>
              <w:rPr>
                <w:color w:val="000000"/>
              </w:rPr>
            </w:pPr>
            <w:r w:rsidRPr="00A5256C">
              <w:rPr>
                <w:rFonts w:cs="Calibri"/>
                <w:color w:val="000000"/>
              </w:rPr>
              <w:t>$126.35</w:t>
            </w:r>
          </w:p>
        </w:tc>
        <w:tc>
          <w:tcPr>
            <w:tcW w:w="821" w:type="pct"/>
            <w:shd w:val="clear" w:color="auto" w:fill="auto"/>
            <w:noWrap/>
            <w:vAlign w:val="bottom"/>
            <w:hideMark/>
          </w:tcPr>
          <w:p w14:paraId="4A914680" w14:textId="77777777" w:rsidR="00D46392" w:rsidRPr="004D38D3" w:rsidRDefault="00D46392" w:rsidP="005766AB">
            <w:pPr>
              <w:jc w:val="right"/>
              <w:rPr>
                <w:color w:val="000000"/>
              </w:rPr>
            </w:pPr>
            <w:r w:rsidRPr="00A5256C">
              <w:rPr>
                <w:rFonts w:cs="Calibri"/>
                <w:color w:val="000000"/>
              </w:rPr>
              <w:t>$62.55</w:t>
            </w:r>
          </w:p>
        </w:tc>
        <w:tc>
          <w:tcPr>
            <w:tcW w:w="821" w:type="pct"/>
            <w:shd w:val="clear" w:color="auto" w:fill="auto"/>
            <w:noWrap/>
            <w:vAlign w:val="bottom"/>
            <w:hideMark/>
          </w:tcPr>
          <w:p w14:paraId="424A701F" w14:textId="77777777" w:rsidR="00D46392" w:rsidRPr="004D38D3" w:rsidRDefault="00D46392" w:rsidP="005766AB">
            <w:pPr>
              <w:jc w:val="right"/>
              <w:rPr>
                <w:color w:val="000000"/>
              </w:rPr>
            </w:pPr>
            <w:r w:rsidRPr="00A5256C">
              <w:rPr>
                <w:rFonts w:cs="Calibri"/>
                <w:color w:val="000000"/>
              </w:rPr>
              <w:t>$63.80</w:t>
            </w:r>
          </w:p>
        </w:tc>
        <w:tc>
          <w:tcPr>
            <w:tcW w:w="929" w:type="pct"/>
            <w:shd w:val="clear" w:color="auto" w:fill="auto"/>
            <w:noWrap/>
            <w:vAlign w:val="bottom"/>
            <w:hideMark/>
          </w:tcPr>
          <w:p w14:paraId="3CBC2403" w14:textId="77777777" w:rsidR="00D46392" w:rsidRPr="004D38D3" w:rsidRDefault="00D46392" w:rsidP="005766AB">
            <w:pPr>
              <w:jc w:val="right"/>
              <w:rPr>
                <w:color w:val="000000"/>
              </w:rPr>
            </w:pPr>
          </w:p>
        </w:tc>
      </w:tr>
      <w:tr w:rsidR="00D46392" w:rsidRPr="004D38D3" w14:paraId="39DED7A9" w14:textId="77777777" w:rsidTr="005766AB">
        <w:trPr>
          <w:trHeight w:val="255"/>
        </w:trPr>
        <w:tc>
          <w:tcPr>
            <w:tcW w:w="1608" w:type="pct"/>
            <w:shd w:val="clear" w:color="auto" w:fill="auto"/>
            <w:noWrap/>
            <w:vAlign w:val="bottom"/>
            <w:hideMark/>
          </w:tcPr>
          <w:p w14:paraId="5A0C8278" w14:textId="77777777" w:rsidR="00D46392" w:rsidRPr="004D38D3" w:rsidRDefault="00D46392" w:rsidP="005766AB">
            <w:pPr>
              <w:rPr>
                <w:color w:val="000000"/>
              </w:rPr>
            </w:pPr>
            <w:r w:rsidRPr="004D38D3">
              <w:rPr>
                <w:color w:val="000000"/>
              </w:rPr>
              <w:t>Outcomes</w:t>
            </w:r>
          </w:p>
        </w:tc>
        <w:tc>
          <w:tcPr>
            <w:tcW w:w="821" w:type="pct"/>
            <w:shd w:val="clear" w:color="auto" w:fill="auto"/>
            <w:noWrap/>
            <w:vAlign w:val="bottom"/>
            <w:hideMark/>
          </w:tcPr>
          <w:p w14:paraId="2CF6191A" w14:textId="77777777" w:rsidR="00D46392" w:rsidRPr="004D38D3" w:rsidRDefault="00D46392" w:rsidP="005766AB">
            <w:pPr>
              <w:rPr>
                <w:color w:val="000000"/>
              </w:rPr>
            </w:pPr>
          </w:p>
        </w:tc>
        <w:tc>
          <w:tcPr>
            <w:tcW w:w="821" w:type="pct"/>
            <w:shd w:val="clear" w:color="auto" w:fill="auto"/>
            <w:noWrap/>
            <w:vAlign w:val="bottom"/>
            <w:hideMark/>
          </w:tcPr>
          <w:p w14:paraId="782DB64F" w14:textId="77777777" w:rsidR="00D46392" w:rsidRPr="004D38D3" w:rsidRDefault="00D46392" w:rsidP="005766AB"/>
        </w:tc>
        <w:tc>
          <w:tcPr>
            <w:tcW w:w="821" w:type="pct"/>
            <w:shd w:val="clear" w:color="auto" w:fill="auto"/>
            <w:noWrap/>
            <w:vAlign w:val="bottom"/>
            <w:hideMark/>
          </w:tcPr>
          <w:p w14:paraId="0CB7F9ED" w14:textId="77777777" w:rsidR="00D46392" w:rsidRPr="004D38D3" w:rsidRDefault="00D46392" w:rsidP="005766AB"/>
        </w:tc>
        <w:tc>
          <w:tcPr>
            <w:tcW w:w="929" w:type="pct"/>
            <w:shd w:val="clear" w:color="auto" w:fill="auto"/>
            <w:noWrap/>
            <w:vAlign w:val="bottom"/>
            <w:hideMark/>
          </w:tcPr>
          <w:p w14:paraId="08FBAB14" w14:textId="77777777" w:rsidR="00D46392" w:rsidRPr="004D38D3" w:rsidRDefault="00D46392" w:rsidP="005766AB"/>
        </w:tc>
      </w:tr>
      <w:tr w:rsidR="00D46392" w:rsidRPr="004D38D3" w14:paraId="39D4FC5E" w14:textId="77777777" w:rsidTr="005766AB">
        <w:trPr>
          <w:trHeight w:val="255"/>
        </w:trPr>
        <w:tc>
          <w:tcPr>
            <w:tcW w:w="1608" w:type="pct"/>
            <w:shd w:val="clear" w:color="auto" w:fill="auto"/>
            <w:noWrap/>
            <w:vAlign w:val="bottom"/>
            <w:hideMark/>
          </w:tcPr>
          <w:p w14:paraId="35044D7B" w14:textId="77777777" w:rsidR="00D46392" w:rsidRPr="004D38D3" w:rsidRDefault="00D46392" w:rsidP="005766AB">
            <w:pPr>
              <w:rPr>
                <w:color w:val="000000"/>
              </w:rPr>
            </w:pPr>
            <w:r w:rsidRPr="004D38D3">
              <w:rPr>
                <w:color w:val="000000"/>
              </w:rPr>
              <w:t>Early identification of resistance</w:t>
            </w:r>
          </w:p>
        </w:tc>
        <w:tc>
          <w:tcPr>
            <w:tcW w:w="821" w:type="pct"/>
            <w:shd w:val="clear" w:color="auto" w:fill="auto"/>
            <w:noWrap/>
            <w:vAlign w:val="bottom"/>
            <w:hideMark/>
          </w:tcPr>
          <w:p w14:paraId="011D2E6C" w14:textId="77777777" w:rsidR="00D46392" w:rsidRPr="004D38D3" w:rsidRDefault="00D46392" w:rsidP="005766AB">
            <w:pPr>
              <w:jc w:val="right"/>
              <w:rPr>
                <w:color w:val="000000"/>
              </w:rPr>
            </w:pPr>
            <w:r w:rsidRPr="00A5256C">
              <w:rPr>
                <w:rFonts w:cs="Calibri"/>
                <w:color w:val="000000"/>
              </w:rPr>
              <w:t>0.113</w:t>
            </w:r>
          </w:p>
        </w:tc>
        <w:tc>
          <w:tcPr>
            <w:tcW w:w="821" w:type="pct"/>
            <w:shd w:val="clear" w:color="auto" w:fill="auto"/>
            <w:noWrap/>
            <w:vAlign w:val="bottom"/>
            <w:hideMark/>
          </w:tcPr>
          <w:p w14:paraId="578A8454" w14:textId="77777777" w:rsidR="00D46392" w:rsidRPr="004D38D3" w:rsidRDefault="00D46392" w:rsidP="005766AB">
            <w:pPr>
              <w:jc w:val="right"/>
              <w:rPr>
                <w:color w:val="000000"/>
              </w:rPr>
            </w:pPr>
            <w:r w:rsidRPr="00A5256C">
              <w:rPr>
                <w:rFonts w:cs="Calibri"/>
                <w:color w:val="000000"/>
              </w:rPr>
              <w:t>0.000</w:t>
            </w:r>
          </w:p>
        </w:tc>
        <w:tc>
          <w:tcPr>
            <w:tcW w:w="821" w:type="pct"/>
            <w:shd w:val="clear" w:color="auto" w:fill="auto"/>
            <w:noWrap/>
            <w:vAlign w:val="bottom"/>
            <w:hideMark/>
          </w:tcPr>
          <w:p w14:paraId="780372F7" w14:textId="77777777" w:rsidR="00D46392" w:rsidRPr="004D38D3" w:rsidRDefault="00D46392" w:rsidP="005766AB">
            <w:pPr>
              <w:jc w:val="right"/>
              <w:rPr>
                <w:color w:val="000000"/>
              </w:rPr>
            </w:pPr>
            <w:r w:rsidRPr="00A5256C">
              <w:rPr>
                <w:rFonts w:cs="Calibri"/>
                <w:color w:val="000000"/>
              </w:rPr>
              <w:t>0.113</w:t>
            </w:r>
          </w:p>
        </w:tc>
        <w:tc>
          <w:tcPr>
            <w:tcW w:w="929" w:type="pct"/>
            <w:shd w:val="clear" w:color="auto" w:fill="auto"/>
            <w:noWrap/>
            <w:vAlign w:val="bottom"/>
            <w:hideMark/>
          </w:tcPr>
          <w:p w14:paraId="375E5AFA" w14:textId="77777777" w:rsidR="00D46392" w:rsidRPr="004D38D3" w:rsidRDefault="00D46392" w:rsidP="005766AB">
            <w:pPr>
              <w:jc w:val="right"/>
              <w:rPr>
                <w:color w:val="000000"/>
              </w:rPr>
            </w:pPr>
            <w:r w:rsidRPr="00A5256C">
              <w:rPr>
                <w:rFonts w:cs="Calibri"/>
                <w:color w:val="000000"/>
              </w:rPr>
              <w:t>$565.11</w:t>
            </w:r>
          </w:p>
        </w:tc>
      </w:tr>
      <w:tr w:rsidR="00D46392" w:rsidRPr="004D38D3" w14:paraId="0EC78DC7" w14:textId="77777777" w:rsidTr="005766AB">
        <w:trPr>
          <w:trHeight w:val="255"/>
        </w:trPr>
        <w:tc>
          <w:tcPr>
            <w:tcW w:w="1608" w:type="pct"/>
            <w:shd w:val="clear" w:color="auto" w:fill="auto"/>
            <w:noWrap/>
            <w:vAlign w:val="bottom"/>
            <w:hideMark/>
          </w:tcPr>
          <w:p w14:paraId="3AE269EE" w14:textId="77777777" w:rsidR="00D46392" w:rsidRPr="004D38D3" w:rsidRDefault="00D46392" w:rsidP="005766AB">
            <w:pPr>
              <w:rPr>
                <w:color w:val="000000"/>
              </w:rPr>
            </w:pPr>
            <w:r w:rsidRPr="004D38D3">
              <w:rPr>
                <w:color w:val="000000"/>
              </w:rPr>
              <w:t>Early confirmation of true status</w:t>
            </w:r>
          </w:p>
        </w:tc>
        <w:tc>
          <w:tcPr>
            <w:tcW w:w="821" w:type="pct"/>
            <w:shd w:val="clear" w:color="auto" w:fill="auto"/>
            <w:noWrap/>
            <w:vAlign w:val="bottom"/>
            <w:hideMark/>
          </w:tcPr>
          <w:p w14:paraId="1B06A9C1" w14:textId="77777777" w:rsidR="00D46392" w:rsidRPr="004D38D3" w:rsidRDefault="00D46392" w:rsidP="005766AB">
            <w:pPr>
              <w:jc w:val="right"/>
              <w:rPr>
                <w:color w:val="000000"/>
              </w:rPr>
            </w:pPr>
            <w:r w:rsidRPr="00A5256C">
              <w:rPr>
                <w:rFonts w:cs="Calibri"/>
                <w:color w:val="000000"/>
              </w:rPr>
              <w:t>0.993</w:t>
            </w:r>
          </w:p>
        </w:tc>
        <w:tc>
          <w:tcPr>
            <w:tcW w:w="821" w:type="pct"/>
            <w:shd w:val="clear" w:color="auto" w:fill="auto"/>
            <w:noWrap/>
            <w:vAlign w:val="bottom"/>
            <w:hideMark/>
          </w:tcPr>
          <w:p w14:paraId="69AAFFDE" w14:textId="77777777" w:rsidR="00D46392" w:rsidRPr="004D38D3" w:rsidRDefault="00D46392" w:rsidP="005766AB">
            <w:pPr>
              <w:jc w:val="right"/>
              <w:rPr>
                <w:color w:val="000000"/>
              </w:rPr>
            </w:pPr>
            <w:r w:rsidRPr="00A5256C">
              <w:rPr>
                <w:rFonts w:cs="Calibri"/>
                <w:color w:val="000000"/>
              </w:rPr>
              <w:t>0.000</w:t>
            </w:r>
          </w:p>
        </w:tc>
        <w:tc>
          <w:tcPr>
            <w:tcW w:w="821" w:type="pct"/>
            <w:shd w:val="clear" w:color="auto" w:fill="auto"/>
            <w:noWrap/>
            <w:vAlign w:val="bottom"/>
            <w:hideMark/>
          </w:tcPr>
          <w:p w14:paraId="6026CEAC" w14:textId="77777777" w:rsidR="00D46392" w:rsidRPr="004D38D3" w:rsidRDefault="00D46392" w:rsidP="005766AB">
            <w:pPr>
              <w:jc w:val="right"/>
              <w:rPr>
                <w:color w:val="000000"/>
              </w:rPr>
            </w:pPr>
            <w:r w:rsidRPr="00A5256C">
              <w:rPr>
                <w:rFonts w:cs="Calibri"/>
                <w:color w:val="000000"/>
              </w:rPr>
              <w:t>0.993</w:t>
            </w:r>
          </w:p>
        </w:tc>
        <w:tc>
          <w:tcPr>
            <w:tcW w:w="929" w:type="pct"/>
            <w:shd w:val="clear" w:color="auto" w:fill="auto"/>
            <w:noWrap/>
            <w:vAlign w:val="bottom"/>
            <w:hideMark/>
          </w:tcPr>
          <w:p w14:paraId="4BD39352" w14:textId="77777777" w:rsidR="00D46392" w:rsidRPr="004D38D3" w:rsidRDefault="00D46392" w:rsidP="005766AB">
            <w:pPr>
              <w:jc w:val="right"/>
              <w:rPr>
                <w:color w:val="000000"/>
              </w:rPr>
            </w:pPr>
            <w:r w:rsidRPr="00A5256C">
              <w:rPr>
                <w:rFonts w:cs="Calibri"/>
                <w:color w:val="000000"/>
              </w:rPr>
              <w:t>$64.26</w:t>
            </w:r>
          </w:p>
        </w:tc>
      </w:tr>
      <w:tr w:rsidR="00D46392" w:rsidRPr="004D38D3" w14:paraId="1D8BBC3D" w14:textId="77777777" w:rsidTr="005766AB">
        <w:trPr>
          <w:trHeight w:val="255"/>
        </w:trPr>
        <w:tc>
          <w:tcPr>
            <w:tcW w:w="1608" w:type="pct"/>
            <w:shd w:val="clear" w:color="auto" w:fill="auto"/>
            <w:noWrap/>
            <w:vAlign w:val="bottom"/>
            <w:hideMark/>
          </w:tcPr>
          <w:p w14:paraId="1896CEBB" w14:textId="77777777" w:rsidR="00D46392" w:rsidRPr="00112C6B" w:rsidRDefault="00D46392" w:rsidP="005766AB">
            <w:pPr>
              <w:rPr>
                <w:b/>
                <w:color w:val="000000"/>
              </w:rPr>
            </w:pPr>
            <w:r w:rsidRPr="00112C6B">
              <w:rPr>
                <w:b/>
                <w:color w:val="000000"/>
              </w:rPr>
              <w:t xml:space="preserve">Correct diagnosis after </w:t>
            </w:r>
            <w:r>
              <w:rPr>
                <w:b/>
                <w:color w:val="000000"/>
              </w:rPr>
              <w:t xml:space="preserve">initial </w:t>
            </w:r>
            <w:r w:rsidRPr="00112C6B">
              <w:rPr>
                <w:b/>
                <w:color w:val="000000"/>
              </w:rPr>
              <w:t>DST</w:t>
            </w:r>
          </w:p>
        </w:tc>
        <w:tc>
          <w:tcPr>
            <w:tcW w:w="821" w:type="pct"/>
            <w:shd w:val="clear" w:color="auto" w:fill="auto"/>
            <w:noWrap/>
            <w:vAlign w:val="bottom"/>
            <w:hideMark/>
          </w:tcPr>
          <w:p w14:paraId="6C85A1B0" w14:textId="77777777" w:rsidR="00D46392" w:rsidRPr="00112C6B" w:rsidRDefault="00D46392" w:rsidP="005766AB">
            <w:pPr>
              <w:jc w:val="right"/>
              <w:rPr>
                <w:b/>
                <w:color w:val="000000"/>
              </w:rPr>
            </w:pPr>
            <w:r w:rsidRPr="00A5256C">
              <w:rPr>
                <w:rFonts w:cs="Calibri"/>
                <w:color w:val="000000"/>
              </w:rPr>
              <w:t>1.000</w:t>
            </w:r>
          </w:p>
        </w:tc>
        <w:tc>
          <w:tcPr>
            <w:tcW w:w="821" w:type="pct"/>
            <w:shd w:val="clear" w:color="auto" w:fill="auto"/>
            <w:noWrap/>
            <w:vAlign w:val="bottom"/>
            <w:hideMark/>
          </w:tcPr>
          <w:p w14:paraId="5D98E142" w14:textId="77777777" w:rsidR="00D46392" w:rsidRPr="00112C6B" w:rsidRDefault="00D46392" w:rsidP="005766AB">
            <w:pPr>
              <w:jc w:val="right"/>
              <w:rPr>
                <w:b/>
                <w:color w:val="000000"/>
              </w:rPr>
            </w:pPr>
            <w:r w:rsidRPr="00A5256C">
              <w:rPr>
                <w:rFonts w:cs="Calibri"/>
                <w:color w:val="000000"/>
              </w:rPr>
              <w:t>0.986</w:t>
            </w:r>
          </w:p>
        </w:tc>
        <w:tc>
          <w:tcPr>
            <w:tcW w:w="821" w:type="pct"/>
            <w:shd w:val="clear" w:color="auto" w:fill="auto"/>
            <w:noWrap/>
            <w:vAlign w:val="bottom"/>
            <w:hideMark/>
          </w:tcPr>
          <w:p w14:paraId="4D0698C9" w14:textId="77777777" w:rsidR="00D46392" w:rsidRPr="00112C6B" w:rsidRDefault="00D46392" w:rsidP="005766AB">
            <w:pPr>
              <w:jc w:val="right"/>
              <w:rPr>
                <w:b/>
                <w:color w:val="000000"/>
              </w:rPr>
            </w:pPr>
            <w:r w:rsidRPr="00A5256C">
              <w:rPr>
                <w:rFonts w:cs="Calibri"/>
                <w:color w:val="000000"/>
              </w:rPr>
              <w:t>0.014</w:t>
            </w:r>
          </w:p>
        </w:tc>
        <w:tc>
          <w:tcPr>
            <w:tcW w:w="929" w:type="pct"/>
            <w:shd w:val="clear" w:color="auto" w:fill="auto"/>
            <w:noWrap/>
            <w:vAlign w:val="bottom"/>
            <w:hideMark/>
          </w:tcPr>
          <w:p w14:paraId="112041DF" w14:textId="77777777" w:rsidR="00D46392" w:rsidRPr="00112C6B" w:rsidRDefault="00D46392" w:rsidP="005766AB">
            <w:pPr>
              <w:jc w:val="right"/>
              <w:rPr>
                <w:b/>
                <w:color w:val="000000"/>
              </w:rPr>
            </w:pPr>
            <w:r w:rsidRPr="00A5256C">
              <w:rPr>
                <w:rFonts w:cs="Calibri"/>
                <w:color w:val="000000"/>
              </w:rPr>
              <w:t>$4,551.05</w:t>
            </w:r>
          </w:p>
        </w:tc>
      </w:tr>
    </w:tbl>
    <w:p w14:paraId="14C13ACB" w14:textId="77777777" w:rsidR="00D46392" w:rsidRPr="00CE28E3" w:rsidRDefault="00D46392" w:rsidP="00D46392">
      <w:pPr>
        <w:pStyle w:val="Tablenotes0"/>
      </w:pPr>
      <w:r>
        <w:t>DST = drug susceptibility testing; ICER = incremental cost-effectiveness ratio</w:t>
      </w:r>
    </w:p>
    <w:p w14:paraId="53F92DED" w14:textId="77777777" w:rsidR="00D46392" w:rsidRPr="00D46392" w:rsidRDefault="00D46392" w:rsidP="00D46392">
      <w:pPr>
        <w:pStyle w:val="Instructionaltext"/>
        <w:spacing w:line="240" w:lineRule="auto"/>
        <w:rPr>
          <w:color w:val="auto"/>
        </w:rPr>
      </w:pPr>
      <w:r w:rsidRPr="00D46392">
        <w:rPr>
          <w:color w:val="auto"/>
        </w:rPr>
        <w:t xml:space="preserve">Cost of the intervention is the major contributor to incremental cost. With the addition of earlier treatment modification, the incremental cost decreased from $115.54 to $80.45 (30% decrease). This can be attributed to the higher inappropriate treatment costs in </w:t>
      </w:r>
      <w:proofErr w:type="spellStart"/>
      <w:r w:rsidRPr="00D46392">
        <w:rPr>
          <w:color w:val="auto"/>
        </w:rPr>
        <w:t>pDST</w:t>
      </w:r>
      <w:proofErr w:type="spellEnd"/>
      <w:r w:rsidRPr="00D46392">
        <w:rPr>
          <w:color w:val="auto"/>
        </w:rPr>
        <w:t xml:space="preserve"> arm due to delayed modification of the treatment that are offset by the addition of WGS. The incremental cost further reduces with the addition of costs associated with a reduction in hospital isolation. This is mainly due to the reduction in duration of hospital isolation among cases with MDR-TB with second-line drug resistance. The addition of WGS correctly identified the resistance in an additional 1.4% of isolates compared to </w:t>
      </w:r>
      <w:proofErr w:type="spellStart"/>
      <w:r w:rsidRPr="00D46392">
        <w:rPr>
          <w:color w:val="auto"/>
        </w:rPr>
        <w:t>pDST</w:t>
      </w:r>
      <w:proofErr w:type="spellEnd"/>
      <w:r w:rsidRPr="00D46392">
        <w:rPr>
          <w:color w:val="auto"/>
        </w:rPr>
        <w:t xml:space="preserve"> alone. Given the small incremental cost and small </w:t>
      </w:r>
      <w:r w:rsidRPr="00D46392">
        <w:rPr>
          <w:color w:val="auto"/>
        </w:rPr>
        <w:lastRenderedPageBreak/>
        <w:t>incremental benefit of identifying additional resistant cases, the incremental cost of WGS per additional case with resistance identified is $4,551.05.</w:t>
      </w:r>
      <w:bookmarkEnd w:id="27"/>
    </w:p>
    <w:p w14:paraId="1963AF12" w14:textId="7BAAB12A" w:rsidR="00D46392" w:rsidRPr="001079EC" w:rsidRDefault="00D46392" w:rsidP="00D46392">
      <w:pPr>
        <w:pStyle w:val="Instructionaltext"/>
        <w:spacing w:line="240" w:lineRule="auto"/>
      </w:pPr>
      <w:r w:rsidRPr="00B368AA">
        <w:rPr>
          <w:color w:val="auto"/>
        </w:rPr>
        <w:t xml:space="preserve">Sensitivity analyses for the base-case scenario were conducted around </w:t>
      </w:r>
      <w:r>
        <w:rPr>
          <w:color w:val="auto"/>
        </w:rPr>
        <w:t xml:space="preserve">a </w:t>
      </w:r>
      <w:r w:rsidRPr="00B368AA">
        <w:rPr>
          <w:color w:val="auto"/>
        </w:rPr>
        <w:t>number of parameters included in the economic modelling</w:t>
      </w:r>
      <w:r>
        <w:rPr>
          <w:color w:val="auto"/>
        </w:rPr>
        <w:t xml:space="preserve"> (</w:t>
      </w:r>
      <w:r w:rsidRPr="00E91877">
        <w:rPr>
          <w:color w:val="auto"/>
        </w:rPr>
        <w:fldChar w:fldCharType="begin"/>
      </w:r>
      <w:r w:rsidRPr="00E91877">
        <w:rPr>
          <w:color w:val="auto"/>
        </w:rPr>
        <w:instrText xml:space="preserve"> REF _Ref90045917 \h  \* MERGEFORMAT </w:instrText>
      </w:r>
      <w:r w:rsidRPr="00E91877">
        <w:rPr>
          <w:color w:val="auto"/>
        </w:rPr>
      </w:r>
      <w:r w:rsidRPr="00E91877">
        <w:rPr>
          <w:color w:val="auto"/>
        </w:rPr>
        <w:fldChar w:fldCharType="separate"/>
      </w:r>
      <w:r w:rsidR="004C2B2A" w:rsidRPr="004C2B2A">
        <w:rPr>
          <w:color w:val="auto"/>
        </w:rPr>
        <w:t>Table 17</w:t>
      </w:r>
      <w:r w:rsidRPr="00E91877">
        <w:rPr>
          <w:color w:val="auto"/>
        </w:rPr>
        <w:fldChar w:fldCharType="end"/>
      </w:r>
      <w:r>
        <w:rPr>
          <w:color w:val="auto"/>
        </w:rPr>
        <w:t>)</w:t>
      </w:r>
      <w:r w:rsidRPr="00B368AA">
        <w:rPr>
          <w:color w:val="auto"/>
        </w:rPr>
        <w:t xml:space="preserve">. The ICER is most sensitive to changes in the difference in test turnaround times and the proportion of </w:t>
      </w:r>
      <w:r>
        <w:rPr>
          <w:color w:val="auto"/>
        </w:rPr>
        <w:t xml:space="preserve">cases with </w:t>
      </w:r>
      <w:r w:rsidRPr="00B368AA">
        <w:rPr>
          <w:color w:val="auto"/>
        </w:rPr>
        <w:t>MDR</w:t>
      </w:r>
      <w:r>
        <w:rPr>
          <w:color w:val="auto"/>
        </w:rPr>
        <w:t>-TB</w:t>
      </w:r>
      <w:r w:rsidRPr="00B368AA">
        <w:rPr>
          <w:color w:val="auto"/>
        </w:rPr>
        <w:t xml:space="preserve"> in hospital isolation at the time of testing. Addition of WGS is found to be cost saving when </w:t>
      </w:r>
      <w:r>
        <w:rPr>
          <w:color w:val="auto"/>
        </w:rPr>
        <w:t>the difference in test turnaround time</w:t>
      </w:r>
      <w:r w:rsidRPr="00B368AA">
        <w:rPr>
          <w:color w:val="auto"/>
        </w:rPr>
        <w:t xml:space="preserve"> is more than 1</w:t>
      </w:r>
      <w:r>
        <w:rPr>
          <w:color w:val="auto"/>
        </w:rPr>
        <w:t>1</w:t>
      </w:r>
      <w:r w:rsidRPr="00B368AA">
        <w:rPr>
          <w:color w:val="auto"/>
        </w:rPr>
        <w:t xml:space="preserve"> days. The intervention was also found to be cost saving when all </w:t>
      </w:r>
      <w:r>
        <w:rPr>
          <w:color w:val="auto"/>
        </w:rPr>
        <w:t>cases with MDR-TB</w:t>
      </w:r>
      <w:r w:rsidRPr="00B368AA">
        <w:rPr>
          <w:color w:val="auto"/>
        </w:rPr>
        <w:t xml:space="preserve"> are assumed to be in hospital isolation at the time of testing.</w:t>
      </w:r>
    </w:p>
    <w:p w14:paraId="20401471" w14:textId="171C4961" w:rsidR="00D46392" w:rsidRDefault="00D46392" w:rsidP="00D46392">
      <w:pPr>
        <w:pStyle w:val="Caption"/>
      </w:pPr>
      <w:bookmarkStart w:id="33" w:name="_Ref90045917"/>
      <w:r w:rsidRPr="00CE28E3">
        <w:t>Table</w:t>
      </w:r>
      <w:r>
        <w:t> </w:t>
      </w:r>
      <w:fldSimple w:instr=" SEQ Table \* ARABIC ">
        <w:r w:rsidR="004C2B2A">
          <w:rPr>
            <w:noProof/>
          </w:rPr>
          <w:t>17</w:t>
        </w:r>
      </w:fldSimple>
      <w:bookmarkEnd w:id="33"/>
      <w:r w:rsidRPr="00CE28E3">
        <w:tab/>
      </w:r>
      <w:r>
        <w:t>Sensitivity Analysis</w:t>
      </w:r>
      <w:r w:rsidRPr="00CA4474">
        <w:t xml:space="preserve">, </w:t>
      </w:r>
      <w:r w:rsidRPr="00CA4474">
        <w:rPr>
          <w:bCs w:val="0"/>
          <w:color w:val="000000"/>
          <w:lang w:eastAsia="en-AU"/>
        </w:rPr>
        <w:t>Outcome: Correct diagnosis after initial DST</w:t>
      </w:r>
    </w:p>
    <w:tbl>
      <w:tblPr>
        <w:tblStyle w:val="TableGrid2"/>
        <w:tblW w:w="5000" w:type="pct"/>
        <w:tblLayout w:type="fixed"/>
        <w:tblLook w:val="04A0" w:firstRow="1" w:lastRow="0" w:firstColumn="1" w:lastColumn="0" w:noHBand="0" w:noVBand="1"/>
        <w:tblCaption w:val="Sensitivity Analyses"/>
        <w:tblDescription w:val="This table presents the sensitivity analyses of various input parameter used in the economic model"/>
      </w:tblPr>
      <w:tblGrid>
        <w:gridCol w:w="4370"/>
        <w:gridCol w:w="1012"/>
        <w:gridCol w:w="1275"/>
        <w:gridCol w:w="1275"/>
        <w:gridCol w:w="1084"/>
      </w:tblGrid>
      <w:tr w:rsidR="00D46392" w:rsidRPr="002D2A94" w14:paraId="5324522B" w14:textId="77777777" w:rsidTr="005766AB">
        <w:trPr>
          <w:cnfStyle w:val="100000000000" w:firstRow="1" w:lastRow="0" w:firstColumn="0" w:lastColumn="0" w:oddVBand="0" w:evenVBand="0" w:oddHBand="0" w:evenHBand="0" w:firstRowFirstColumn="0" w:firstRowLastColumn="0" w:lastRowFirstColumn="0" w:lastRowLastColumn="0"/>
          <w:trHeight w:val="279"/>
          <w:tblHeader/>
        </w:trPr>
        <w:tc>
          <w:tcPr>
            <w:tcW w:w="2424" w:type="pct"/>
            <w:shd w:val="clear" w:color="auto" w:fill="auto"/>
            <w:noWrap/>
            <w:vAlign w:val="bottom"/>
            <w:hideMark/>
          </w:tcPr>
          <w:p w14:paraId="555CF0CA" w14:textId="77777777" w:rsidR="00D46392" w:rsidRPr="002D2A94" w:rsidRDefault="00D46392" w:rsidP="005766AB">
            <w:pPr>
              <w:jc w:val="center"/>
              <w:rPr>
                <w:rFonts w:ascii="Arial Narrow" w:hAnsi="Arial Narrow"/>
                <w:b/>
                <w:bCs/>
                <w:color w:val="000000"/>
              </w:rPr>
            </w:pPr>
          </w:p>
        </w:tc>
        <w:tc>
          <w:tcPr>
            <w:tcW w:w="561" w:type="pct"/>
            <w:shd w:val="clear" w:color="auto" w:fill="auto"/>
            <w:noWrap/>
            <w:vAlign w:val="bottom"/>
            <w:hideMark/>
          </w:tcPr>
          <w:p w14:paraId="698E68FF" w14:textId="77777777" w:rsidR="00D46392" w:rsidRPr="002D2A94" w:rsidRDefault="00D46392" w:rsidP="005766AB">
            <w:pPr>
              <w:jc w:val="center"/>
              <w:rPr>
                <w:rFonts w:ascii="Arial Narrow" w:hAnsi="Arial Narrow"/>
                <w:b/>
                <w:bCs/>
                <w:color w:val="000000"/>
              </w:rPr>
            </w:pPr>
            <w:r w:rsidRPr="002D2A94">
              <w:rPr>
                <w:rFonts w:ascii="Arial Narrow" w:hAnsi="Arial Narrow"/>
                <w:b/>
                <w:bCs/>
                <w:color w:val="000000"/>
              </w:rPr>
              <w:t>Inc. cost</w:t>
            </w:r>
          </w:p>
        </w:tc>
        <w:tc>
          <w:tcPr>
            <w:tcW w:w="707" w:type="pct"/>
            <w:shd w:val="clear" w:color="auto" w:fill="auto"/>
            <w:noWrap/>
            <w:vAlign w:val="bottom"/>
            <w:hideMark/>
          </w:tcPr>
          <w:p w14:paraId="175EE2E5" w14:textId="77777777" w:rsidR="00D46392" w:rsidRPr="002D2A94" w:rsidRDefault="00D46392" w:rsidP="005766AB">
            <w:pPr>
              <w:jc w:val="center"/>
              <w:rPr>
                <w:rFonts w:ascii="Arial Narrow" w:hAnsi="Arial Narrow"/>
                <w:b/>
                <w:bCs/>
                <w:color w:val="000000"/>
              </w:rPr>
            </w:pPr>
            <w:r w:rsidRPr="002D2A94">
              <w:rPr>
                <w:rFonts w:ascii="Arial Narrow" w:hAnsi="Arial Narrow"/>
                <w:b/>
                <w:bCs/>
                <w:color w:val="000000"/>
              </w:rPr>
              <w:t>Inc. effect</w:t>
            </w:r>
          </w:p>
        </w:tc>
        <w:tc>
          <w:tcPr>
            <w:tcW w:w="707" w:type="pct"/>
            <w:shd w:val="clear" w:color="auto" w:fill="auto"/>
            <w:noWrap/>
            <w:vAlign w:val="bottom"/>
            <w:hideMark/>
          </w:tcPr>
          <w:p w14:paraId="2E332004" w14:textId="77777777" w:rsidR="00D46392" w:rsidRPr="002D2A94" w:rsidRDefault="00D46392" w:rsidP="005766AB">
            <w:pPr>
              <w:jc w:val="center"/>
              <w:rPr>
                <w:rFonts w:ascii="Arial Narrow" w:hAnsi="Arial Narrow"/>
                <w:b/>
                <w:bCs/>
                <w:color w:val="000000"/>
              </w:rPr>
            </w:pPr>
            <w:r w:rsidRPr="002D2A94">
              <w:rPr>
                <w:rFonts w:ascii="Arial Narrow" w:hAnsi="Arial Narrow"/>
                <w:b/>
                <w:bCs/>
                <w:color w:val="000000"/>
              </w:rPr>
              <w:t>ICER</w:t>
            </w:r>
          </w:p>
        </w:tc>
        <w:tc>
          <w:tcPr>
            <w:tcW w:w="601" w:type="pct"/>
          </w:tcPr>
          <w:p w14:paraId="7A601576" w14:textId="77777777" w:rsidR="00D46392" w:rsidRPr="002D2A94" w:rsidRDefault="00D46392" w:rsidP="005766AB">
            <w:pPr>
              <w:jc w:val="center"/>
              <w:rPr>
                <w:rFonts w:ascii="Arial Narrow" w:hAnsi="Arial Narrow"/>
                <w:b/>
                <w:bCs/>
                <w:color w:val="000000"/>
              </w:rPr>
            </w:pPr>
            <w:r>
              <w:rPr>
                <w:rFonts w:ascii="Arial Narrow" w:hAnsi="Arial Narrow"/>
                <w:b/>
                <w:bCs/>
                <w:color w:val="000000"/>
              </w:rPr>
              <w:t>% change</w:t>
            </w:r>
          </w:p>
        </w:tc>
      </w:tr>
      <w:tr w:rsidR="00D46392" w:rsidRPr="002D2A94" w14:paraId="7B72C13B" w14:textId="77777777" w:rsidTr="005766AB">
        <w:trPr>
          <w:trHeight w:val="279"/>
        </w:trPr>
        <w:tc>
          <w:tcPr>
            <w:tcW w:w="2424" w:type="pct"/>
            <w:shd w:val="clear" w:color="auto" w:fill="auto"/>
            <w:noWrap/>
            <w:vAlign w:val="bottom"/>
            <w:hideMark/>
          </w:tcPr>
          <w:p w14:paraId="337110AA" w14:textId="77777777" w:rsidR="00D46392" w:rsidRPr="002D2A94" w:rsidRDefault="00D46392" w:rsidP="005766AB">
            <w:pPr>
              <w:rPr>
                <w:b/>
                <w:bCs/>
                <w:color w:val="000000"/>
              </w:rPr>
            </w:pPr>
            <w:r>
              <w:rPr>
                <w:b/>
                <w:bCs/>
                <w:color w:val="000000"/>
              </w:rPr>
              <w:t>Base-case</w:t>
            </w:r>
          </w:p>
        </w:tc>
        <w:tc>
          <w:tcPr>
            <w:tcW w:w="561" w:type="pct"/>
            <w:shd w:val="clear" w:color="auto" w:fill="auto"/>
            <w:noWrap/>
            <w:vAlign w:val="bottom"/>
            <w:hideMark/>
          </w:tcPr>
          <w:p w14:paraId="139929D2" w14:textId="77777777" w:rsidR="00D46392" w:rsidRPr="002D2A94" w:rsidRDefault="00D46392" w:rsidP="005766AB">
            <w:pPr>
              <w:jc w:val="center"/>
              <w:rPr>
                <w:b/>
                <w:bCs/>
                <w:color w:val="000000"/>
              </w:rPr>
            </w:pPr>
            <w:r w:rsidRPr="00644464">
              <w:rPr>
                <w:rFonts w:cs="Calibri"/>
                <w:b/>
                <w:bCs/>
                <w:color w:val="000000"/>
              </w:rPr>
              <w:t>$63.80</w:t>
            </w:r>
          </w:p>
        </w:tc>
        <w:tc>
          <w:tcPr>
            <w:tcW w:w="707" w:type="pct"/>
            <w:shd w:val="clear" w:color="auto" w:fill="auto"/>
            <w:noWrap/>
            <w:vAlign w:val="bottom"/>
            <w:hideMark/>
          </w:tcPr>
          <w:p w14:paraId="75E60B84" w14:textId="77777777" w:rsidR="00D46392" w:rsidRPr="002D2A94" w:rsidRDefault="00D46392" w:rsidP="005766AB">
            <w:pPr>
              <w:jc w:val="center"/>
              <w:rPr>
                <w:b/>
                <w:bCs/>
                <w:color w:val="000000"/>
              </w:rPr>
            </w:pPr>
            <w:r w:rsidRPr="00644464">
              <w:rPr>
                <w:rFonts w:cs="Calibri"/>
                <w:b/>
                <w:bCs/>
                <w:color w:val="000000"/>
              </w:rPr>
              <w:t>0.014</w:t>
            </w:r>
          </w:p>
        </w:tc>
        <w:tc>
          <w:tcPr>
            <w:tcW w:w="707" w:type="pct"/>
            <w:shd w:val="clear" w:color="auto" w:fill="auto"/>
            <w:noWrap/>
            <w:vAlign w:val="bottom"/>
            <w:hideMark/>
          </w:tcPr>
          <w:p w14:paraId="1554C9EE" w14:textId="77777777" w:rsidR="00D46392" w:rsidRPr="002D2A94" w:rsidRDefault="00D46392" w:rsidP="005766AB">
            <w:pPr>
              <w:jc w:val="center"/>
              <w:rPr>
                <w:b/>
                <w:bCs/>
                <w:color w:val="000000"/>
              </w:rPr>
            </w:pPr>
            <w:r w:rsidRPr="00644464">
              <w:rPr>
                <w:rFonts w:cs="Calibri"/>
                <w:b/>
                <w:bCs/>
                <w:color w:val="000000"/>
              </w:rPr>
              <w:t>$4,551.05</w:t>
            </w:r>
          </w:p>
        </w:tc>
        <w:tc>
          <w:tcPr>
            <w:tcW w:w="601" w:type="pct"/>
          </w:tcPr>
          <w:p w14:paraId="70D3766A" w14:textId="77777777" w:rsidR="00D46392" w:rsidRPr="002D2A94" w:rsidRDefault="00D46392" w:rsidP="005766AB">
            <w:pPr>
              <w:jc w:val="center"/>
              <w:rPr>
                <w:b/>
                <w:bCs/>
                <w:color w:val="000000"/>
              </w:rPr>
            </w:pPr>
          </w:p>
        </w:tc>
      </w:tr>
      <w:tr w:rsidR="00D46392" w:rsidRPr="002D2A94" w14:paraId="37A1144D" w14:textId="77777777" w:rsidTr="005766AB">
        <w:trPr>
          <w:trHeight w:val="279"/>
        </w:trPr>
        <w:tc>
          <w:tcPr>
            <w:tcW w:w="4399" w:type="pct"/>
            <w:gridSpan w:val="4"/>
            <w:shd w:val="clear" w:color="auto" w:fill="auto"/>
            <w:noWrap/>
            <w:vAlign w:val="bottom"/>
            <w:hideMark/>
          </w:tcPr>
          <w:p w14:paraId="7C6BF708" w14:textId="77777777" w:rsidR="00D46392" w:rsidRPr="002D2A94" w:rsidRDefault="00D46392" w:rsidP="005766AB">
            <w:r w:rsidRPr="002D2A94">
              <w:rPr>
                <w:b/>
                <w:bCs/>
                <w:color w:val="000000"/>
              </w:rPr>
              <w:t xml:space="preserve">Source of sensitivity data </w:t>
            </w:r>
            <w:r>
              <w:rPr>
                <w:b/>
                <w:bCs/>
                <w:color w:val="000000"/>
              </w:rPr>
              <w:t xml:space="preserve">[true positives/(true positives plus false negatives)] </w:t>
            </w:r>
            <w:r w:rsidRPr="002D2A94">
              <w:rPr>
                <w:b/>
                <w:bCs/>
                <w:color w:val="000000"/>
              </w:rPr>
              <w:t>(</w:t>
            </w:r>
            <w:r>
              <w:rPr>
                <w:b/>
                <w:bCs/>
                <w:color w:val="000000"/>
              </w:rPr>
              <w:t>Base-case</w:t>
            </w:r>
            <w:r w:rsidRPr="002D2A94">
              <w:rPr>
                <w:b/>
                <w:bCs/>
                <w:color w:val="000000"/>
              </w:rPr>
              <w:t>: Lam study)</w:t>
            </w:r>
          </w:p>
        </w:tc>
        <w:tc>
          <w:tcPr>
            <w:tcW w:w="601" w:type="pct"/>
          </w:tcPr>
          <w:p w14:paraId="54F0DED2" w14:textId="77777777" w:rsidR="00D46392" w:rsidRPr="002D2A94" w:rsidRDefault="00D46392" w:rsidP="005766AB">
            <w:pPr>
              <w:rPr>
                <w:b/>
                <w:bCs/>
                <w:color w:val="000000"/>
              </w:rPr>
            </w:pPr>
          </w:p>
        </w:tc>
      </w:tr>
      <w:tr w:rsidR="00D46392" w:rsidRPr="002D2A94" w14:paraId="5FC54D8B" w14:textId="77777777" w:rsidTr="005766AB">
        <w:trPr>
          <w:trHeight w:val="279"/>
        </w:trPr>
        <w:tc>
          <w:tcPr>
            <w:tcW w:w="2424" w:type="pct"/>
            <w:shd w:val="clear" w:color="auto" w:fill="auto"/>
            <w:noWrap/>
            <w:vAlign w:val="bottom"/>
            <w:hideMark/>
          </w:tcPr>
          <w:p w14:paraId="3994AB09" w14:textId="77777777" w:rsidR="00D46392" w:rsidRPr="002D2A94" w:rsidRDefault="00D46392" w:rsidP="005766AB">
            <w:pPr>
              <w:rPr>
                <w:color w:val="000000"/>
              </w:rPr>
            </w:pPr>
            <w:proofErr w:type="spellStart"/>
            <w:r w:rsidRPr="002D2A94">
              <w:rPr>
                <w:color w:val="000000"/>
              </w:rPr>
              <w:t>Jajou</w:t>
            </w:r>
            <w:proofErr w:type="spellEnd"/>
            <w:r w:rsidRPr="002D2A94">
              <w:rPr>
                <w:color w:val="000000"/>
              </w:rPr>
              <w:t xml:space="preserve"> (2019)</w:t>
            </w:r>
          </w:p>
        </w:tc>
        <w:tc>
          <w:tcPr>
            <w:tcW w:w="561" w:type="pct"/>
            <w:shd w:val="clear" w:color="auto" w:fill="auto"/>
            <w:noWrap/>
            <w:vAlign w:val="bottom"/>
            <w:hideMark/>
          </w:tcPr>
          <w:p w14:paraId="177242AD" w14:textId="77777777" w:rsidR="00D46392" w:rsidRPr="002D2A94" w:rsidRDefault="00D46392" w:rsidP="005766AB">
            <w:pPr>
              <w:jc w:val="center"/>
              <w:rPr>
                <w:color w:val="000000"/>
              </w:rPr>
            </w:pPr>
            <w:r w:rsidRPr="00644464">
              <w:rPr>
                <w:rFonts w:cs="Calibri"/>
                <w:color w:val="000000"/>
              </w:rPr>
              <w:t>$61.87</w:t>
            </w:r>
          </w:p>
        </w:tc>
        <w:tc>
          <w:tcPr>
            <w:tcW w:w="707" w:type="pct"/>
            <w:shd w:val="clear" w:color="auto" w:fill="auto"/>
            <w:noWrap/>
            <w:vAlign w:val="bottom"/>
            <w:hideMark/>
          </w:tcPr>
          <w:p w14:paraId="1574A87D" w14:textId="77777777" w:rsidR="00D46392" w:rsidRPr="002D2A94" w:rsidRDefault="00D46392" w:rsidP="005766AB">
            <w:pPr>
              <w:jc w:val="center"/>
              <w:rPr>
                <w:color w:val="000000"/>
              </w:rPr>
            </w:pPr>
            <w:r w:rsidRPr="00644464">
              <w:rPr>
                <w:rFonts w:cs="Calibri"/>
                <w:color w:val="000000"/>
              </w:rPr>
              <w:t>0.020</w:t>
            </w:r>
          </w:p>
        </w:tc>
        <w:tc>
          <w:tcPr>
            <w:tcW w:w="707" w:type="pct"/>
            <w:shd w:val="clear" w:color="auto" w:fill="auto"/>
            <w:noWrap/>
            <w:vAlign w:val="bottom"/>
            <w:hideMark/>
          </w:tcPr>
          <w:p w14:paraId="37707B62" w14:textId="77777777" w:rsidR="00D46392" w:rsidRPr="002D2A94" w:rsidRDefault="00D46392" w:rsidP="005766AB">
            <w:pPr>
              <w:jc w:val="center"/>
              <w:rPr>
                <w:color w:val="000000"/>
              </w:rPr>
            </w:pPr>
            <w:r w:rsidRPr="00644464">
              <w:rPr>
                <w:rFonts w:cs="Calibri"/>
                <w:color w:val="000000"/>
              </w:rPr>
              <w:t>$3,062.30</w:t>
            </w:r>
          </w:p>
        </w:tc>
        <w:tc>
          <w:tcPr>
            <w:tcW w:w="601" w:type="pct"/>
            <w:vAlign w:val="bottom"/>
          </w:tcPr>
          <w:p w14:paraId="713A2C60" w14:textId="77777777" w:rsidR="00D46392" w:rsidRPr="002D2A94" w:rsidRDefault="00D46392" w:rsidP="005766AB">
            <w:pPr>
              <w:jc w:val="center"/>
              <w:rPr>
                <w:color w:val="000000"/>
              </w:rPr>
            </w:pPr>
            <w:r w:rsidRPr="00644464">
              <w:rPr>
                <w:rFonts w:cs="Calibri"/>
                <w:color w:val="000000"/>
              </w:rPr>
              <w:t>-33%</w:t>
            </w:r>
          </w:p>
        </w:tc>
      </w:tr>
      <w:tr w:rsidR="00D46392" w:rsidRPr="002D2A94" w14:paraId="1F50D170" w14:textId="77777777" w:rsidTr="005766AB">
        <w:trPr>
          <w:trHeight w:val="279"/>
        </w:trPr>
        <w:tc>
          <w:tcPr>
            <w:tcW w:w="4399" w:type="pct"/>
            <w:gridSpan w:val="4"/>
            <w:shd w:val="clear" w:color="auto" w:fill="auto"/>
            <w:noWrap/>
            <w:vAlign w:val="bottom"/>
            <w:hideMark/>
          </w:tcPr>
          <w:p w14:paraId="2F3CB247" w14:textId="77777777" w:rsidR="00D46392" w:rsidRPr="002D2A94" w:rsidRDefault="00D46392" w:rsidP="005766AB">
            <w:r>
              <w:rPr>
                <w:b/>
                <w:bCs/>
                <w:color w:val="000000"/>
              </w:rPr>
              <w:t>Difference in turn</w:t>
            </w:r>
            <w:r w:rsidRPr="002D2A94">
              <w:rPr>
                <w:b/>
                <w:bCs/>
                <w:color w:val="000000"/>
              </w:rPr>
              <w:t>around times (</w:t>
            </w:r>
            <w:proofErr w:type="spellStart"/>
            <w:r w:rsidRPr="002D2A94">
              <w:rPr>
                <w:b/>
                <w:bCs/>
                <w:color w:val="000000"/>
              </w:rPr>
              <w:t>pDST</w:t>
            </w:r>
            <w:proofErr w:type="spellEnd"/>
            <w:r w:rsidRPr="002D2A94">
              <w:rPr>
                <w:b/>
                <w:bCs/>
                <w:color w:val="000000"/>
              </w:rPr>
              <w:t xml:space="preserve"> compared to WGS) (</w:t>
            </w:r>
            <w:r>
              <w:rPr>
                <w:b/>
                <w:bCs/>
                <w:color w:val="000000"/>
              </w:rPr>
              <w:t>Base-case</w:t>
            </w:r>
            <w:r w:rsidRPr="002D2A94">
              <w:rPr>
                <w:b/>
                <w:bCs/>
                <w:color w:val="000000"/>
              </w:rPr>
              <w:t>: 5 days)</w:t>
            </w:r>
          </w:p>
        </w:tc>
        <w:tc>
          <w:tcPr>
            <w:tcW w:w="601" w:type="pct"/>
          </w:tcPr>
          <w:p w14:paraId="46900D08" w14:textId="77777777" w:rsidR="00D46392" w:rsidRDefault="00D46392" w:rsidP="005766AB">
            <w:pPr>
              <w:rPr>
                <w:b/>
                <w:bCs/>
                <w:color w:val="000000"/>
              </w:rPr>
            </w:pPr>
          </w:p>
        </w:tc>
      </w:tr>
      <w:tr w:rsidR="00D46392" w:rsidRPr="002D2A94" w14:paraId="4F8DFE95" w14:textId="77777777" w:rsidTr="005766AB">
        <w:trPr>
          <w:trHeight w:val="279"/>
        </w:trPr>
        <w:tc>
          <w:tcPr>
            <w:tcW w:w="2424" w:type="pct"/>
            <w:shd w:val="clear" w:color="auto" w:fill="auto"/>
            <w:noWrap/>
            <w:vAlign w:val="bottom"/>
            <w:hideMark/>
          </w:tcPr>
          <w:p w14:paraId="7A7F6DE1" w14:textId="77777777" w:rsidR="00D46392" w:rsidRPr="002D2A94" w:rsidRDefault="00D46392" w:rsidP="005766AB">
            <w:pPr>
              <w:rPr>
                <w:color w:val="000000"/>
              </w:rPr>
            </w:pPr>
            <w:r w:rsidRPr="002D2A94">
              <w:rPr>
                <w:color w:val="000000"/>
              </w:rPr>
              <w:t>0 days</w:t>
            </w:r>
          </w:p>
        </w:tc>
        <w:tc>
          <w:tcPr>
            <w:tcW w:w="561" w:type="pct"/>
            <w:shd w:val="clear" w:color="auto" w:fill="auto"/>
            <w:noWrap/>
            <w:vAlign w:val="bottom"/>
            <w:hideMark/>
          </w:tcPr>
          <w:p w14:paraId="05A759C9" w14:textId="77777777" w:rsidR="00D46392" w:rsidRPr="002D2A94" w:rsidRDefault="00D46392" w:rsidP="005766AB">
            <w:pPr>
              <w:jc w:val="center"/>
              <w:rPr>
                <w:color w:val="000000"/>
              </w:rPr>
            </w:pPr>
            <w:r w:rsidRPr="00644464">
              <w:rPr>
                <w:rFonts w:cs="Calibri"/>
                <w:color w:val="000000"/>
              </w:rPr>
              <w:t>$115.54</w:t>
            </w:r>
          </w:p>
        </w:tc>
        <w:tc>
          <w:tcPr>
            <w:tcW w:w="707" w:type="pct"/>
            <w:shd w:val="clear" w:color="auto" w:fill="auto"/>
            <w:noWrap/>
            <w:vAlign w:val="bottom"/>
            <w:hideMark/>
          </w:tcPr>
          <w:p w14:paraId="002C300B"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3A3BB611" w14:textId="77777777" w:rsidR="00D46392" w:rsidRPr="002D2A94" w:rsidRDefault="00D46392" w:rsidP="005766AB">
            <w:pPr>
              <w:jc w:val="center"/>
              <w:rPr>
                <w:color w:val="000000"/>
              </w:rPr>
            </w:pPr>
            <w:r w:rsidRPr="00644464">
              <w:rPr>
                <w:rFonts w:cs="Calibri"/>
                <w:color w:val="000000"/>
              </w:rPr>
              <w:t>$8,241.60</w:t>
            </w:r>
          </w:p>
        </w:tc>
        <w:tc>
          <w:tcPr>
            <w:tcW w:w="601" w:type="pct"/>
            <w:vAlign w:val="bottom"/>
          </w:tcPr>
          <w:p w14:paraId="1FC47A21" w14:textId="77777777" w:rsidR="00D46392" w:rsidRPr="002D2A94" w:rsidRDefault="00D46392" w:rsidP="005766AB">
            <w:pPr>
              <w:jc w:val="center"/>
              <w:rPr>
                <w:color w:val="000000"/>
              </w:rPr>
            </w:pPr>
            <w:r w:rsidRPr="00644464">
              <w:rPr>
                <w:rFonts w:cs="Calibri"/>
                <w:color w:val="000000"/>
              </w:rPr>
              <w:t>81%</w:t>
            </w:r>
          </w:p>
        </w:tc>
      </w:tr>
      <w:tr w:rsidR="00D46392" w:rsidRPr="002D2A94" w14:paraId="498D9B95" w14:textId="77777777" w:rsidTr="005766AB">
        <w:trPr>
          <w:trHeight w:val="279"/>
        </w:trPr>
        <w:tc>
          <w:tcPr>
            <w:tcW w:w="2424" w:type="pct"/>
            <w:shd w:val="clear" w:color="auto" w:fill="auto"/>
            <w:noWrap/>
            <w:vAlign w:val="bottom"/>
            <w:hideMark/>
          </w:tcPr>
          <w:p w14:paraId="156C759F" w14:textId="77777777" w:rsidR="00D46392" w:rsidRPr="002D2A94" w:rsidRDefault="00D46392" w:rsidP="005766AB">
            <w:pPr>
              <w:rPr>
                <w:color w:val="000000"/>
              </w:rPr>
            </w:pPr>
            <w:r w:rsidRPr="002D2A94">
              <w:rPr>
                <w:color w:val="000000"/>
              </w:rPr>
              <w:t>2 days</w:t>
            </w:r>
          </w:p>
        </w:tc>
        <w:tc>
          <w:tcPr>
            <w:tcW w:w="561" w:type="pct"/>
            <w:shd w:val="clear" w:color="auto" w:fill="auto"/>
            <w:noWrap/>
            <w:vAlign w:val="bottom"/>
            <w:hideMark/>
          </w:tcPr>
          <w:p w14:paraId="7CE8FFEB" w14:textId="77777777" w:rsidR="00D46392" w:rsidRPr="002D2A94" w:rsidRDefault="00D46392" w:rsidP="005766AB">
            <w:pPr>
              <w:jc w:val="center"/>
              <w:rPr>
                <w:color w:val="000000"/>
              </w:rPr>
            </w:pPr>
            <w:r w:rsidRPr="00644464">
              <w:rPr>
                <w:rFonts w:cs="Calibri"/>
                <w:color w:val="000000"/>
              </w:rPr>
              <w:t>$94.84</w:t>
            </w:r>
          </w:p>
        </w:tc>
        <w:tc>
          <w:tcPr>
            <w:tcW w:w="707" w:type="pct"/>
            <w:shd w:val="clear" w:color="auto" w:fill="auto"/>
            <w:noWrap/>
            <w:vAlign w:val="bottom"/>
            <w:hideMark/>
          </w:tcPr>
          <w:p w14:paraId="11AECC31"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79DC23FA" w14:textId="77777777" w:rsidR="00D46392" w:rsidRPr="002D2A94" w:rsidRDefault="00D46392" w:rsidP="005766AB">
            <w:pPr>
              <w:jc w:val="center"/>
              <w:rPr>
                <w:color w:val="000000"/>
              </w:rPr>
            </w:pPr>
            <w:r w:rsidRPr="00644464">
              <w:rPr>
                <w:rFonts w:cs="Calibri"/>
                <w:color w:val="000000"/>
              </w:rPr>
              <w:t>$6,765.38</w:t>
            </w:r>
          </w:p>
        </w:tc>
        <w:tc>
          <w:tcPr>
            <w:tcW w:w="601" w:type="pct"/>
            <w:vAlign w:val="bottom"/>
          </w:tcPr>
          <w:p w14:paraId="0D5D2629" w14:textId="77777777" w:rsidR="00D46392" w:rsidRPr="002D2A94" w:rsidRDefault="00D46392" w:rsidP="005766AB">
            <w:pPr>
              <w:jc w:val="center"/>
              <w:rPr>
                <w:color w:val="000000"/>
              </w:rPr>
            </w:pPr>
            <w:r w:rsidRPr="00644464">
              <w:rPr>
                <w:rFonts w:cs="Calibri"/>
                <w:color w:val="000000"/>
              </w:rPr>
              <w:t>49%</w:t>
            </w:r>
          </w:p>
        </w:tc>
      </w:tr>
      <w:tr w:rsidR="00D46392" w:rsidRPr="002D2A94" w14:paraId="59846148" w14:textId="77777777" w:rsidTr="005766AB">
        <w:trPr>
          <w:trHeight w:val="279"/>
        </w:trPr>
        <w:tc>
          <w:tcPr>
            <w:tcW w:w="2424" w:type="pct"/>
            <w:shd w:val="clear" w:color="auto" w:fill="auto"/>
            <w:noWrap/>
            <w:vAlign w:val="bottom"/>
            <w:hideMark/>
          </w:tcPr>
          <w:p w14:paraId="58966ECE" w14:textId="77777777" w:rsidR="00D46392" w:rsidRPr="002D2A94" w:rsidRDefault="00D46392" w:rsidP="005766AB">
            <w:pPr>
              <w:rPr>
                <w:color w:val="000000"/>
              </w:rPr>
            </w:pPr>
            <w:r w:rsidRPr="002D2A94">
              <w:rPr>
                <w:color w:val="000000"/>
              </w:rPr>
              <w:t>7 days</w:t>
            </w:r>
          </w:p>
        </w:tc>
        <w:tc>
          <w:tcPr>
            <w:tcW w:w="561" w:type="pct"/>
            <w:shd w:val="clear" w:color="auto" w:fill="auto"/>
            <w:noWrap/>
            <w:vAlign w:val="bottom"/>
            <w:hideMark/>
          </w:tcPr>
          <w:p w14:paraId="1E25C036" w14:textId="77777777" w:rsidR="00D46392" w:rsidRPr="002D2A94" w:rsidRDefault="00D46392" w:rsidP="005766AB">
            <w:pPr>
              <w:jc w:val="center"/>
              <w:rPr>
                <w:color w:val="000000"/>
              </w:rPr>
            </w:pPr>
            <w:r w:rsidRPr="00644464">
              <w:rPr>
                <w:rFonts w:cs="Calibri"/>
                <w:color w:val="000000"/>
              </w:rPr>
              <w:t>$43.11</w:t>
            </w:r>
          </w:p>
        </w:tc>
        <w:tc>
          <w:tcPr>
            <w:tcW w:w="707" w:type="pct"/>
            <w:shd w:val="clear" w:color="auto" w:fill="auto"/>
            <w:noWrap/>
            <w:vAlign w:val="bottom"/>
            <w:hideMark/>
          </w:tcPr>
          <w:p w14:paraId="294B9642"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53D0361F" w14:textId="77777777" w:rsidR="00D46392" w:rsidRPr="002D2A94" w:rsidRDefault="00D46392" w:rsidP="005766AB">
            <w:pPr>
              <w:jc w:val="center"/>
              <w:rPr>
                <w:color w:val="000000"/>
              </w:rPr>
            </w:pPr>
            <w:r w:rsidRPr="00644464">
              <w:rPr>
                <w:rFonts w:cs="Calibri"/>
                <w:color w:val="000000"/>
              </w:rPr>
              <w:t>$3,074.82</w:t>
            </w:r>
          </w:p>
        </w:tc>
        <w:tc>
          <w:tcPr>
            <w:tcW w:w="601" w:type="pct"/>
            <w:vAlign w:val="bottom"/>
          </w:tcPr>
          <w:p w14:paraId="75B91C6C" w14:textId="77777777" w:rsidR="00D46392" w:rsidRPr="002D2A94" w:rsidRDefault="00D46392" w:rsidP="005766AB">
            <w:pPr>
              <w:jc w:val="center"/>
              <w:rPr>
                <w:color w:val="000000"/>
              </w:rPr>
            </w:pPr>
            <w:r w:rsidRPr="00644464">
              <w:rPr>
                <w:rFonts w:cs="Calibri"/>
                <w:color w:val="000000"/>
              </w:rPr>
              <w:t>-32%</w:t>
            </w:r>
          </w:p>
        </w:tc>
      </w:tr>
      <w:tr w:rsidR="00D46392" w:rsidRPr="002D2A94" w14:paraId="7DF3C522" w14:textId="77777777" w:rsidTr="005766AB">
        <w:trPr>
          <w:trHeight w:val="279"/>
        </w:trPr>
        <w:tc>
          <w:tcPr>
            <w:tcW w:w="2424" w:type="pct"/>
            <w:shd w:val="clear" w:color="auto" w:fill="auto"/>
            <w:noWrap/>
            <w:vAlign w:val="bottom"/>
            <w:hideMark/>
          </w:tcPr>
          <w:p w14:paraId="4694DF59" w14:textId="77777777" w:rsidR="00D46392" w:rsidRPr="002D2A94" w:rsidRDefault="00D46392" w:rsidP="005766AB">
            <w:pPr>
              <w:rPr>
                <w:color w:val="000000"/>
              </w:rPr>
            </w:pPr>
            <w:r w:rsidRPr="002D2A94">
              <w:rPr>
                <w:color w:val="000000"/>
              </w:rPr>
              <w:t>10 days</w:t>
            </w:r>
          </w:p>
        </w:tc>
        <w:tc>
          <w:tcPr>
            <w:tcW w:w="561" w:type="pct"/>
            <w:shd w:val="clear" w:color="auto" w:fill="auto"/>
            <w:noWrap/>
            <w:vAlign w:val="bottom"/>
            <w:hideMark/>
          </w:tcPr>
          <w:p w14:paraId="58492B27" w14:textId="77777777" w:rsidR="00D46392" w:rsidRPr="002D2A94" w:rsidRDefault="00D46392" w:rsidP="005766AB">
            <w:pPr>
              <w:jc w:val="center"/>
              <w:rPr>
                <w:color w:val="000000"/>
              </w:rPr>
            </w:pPr>
            <w:r w:rsidRPr="00644464">
              <w:rPr>
                <w:rFonts w:cs="Calibri"/>
                <w:color w:val="000000"/>
              </w:rPr>
              <w:t>$12.06</w:t>
            </w:r>
          </w:p>
        </w:tc>
        <w:tc>
          <w:tcPr>
            <w:tcW w:w="707" w:type="pct"/>
            <w:shd w:val="clear" w:color="auto" w:fill="auto"/>
            <w:noWrap/>
            <w:vAlign w:val="bottom"/>
            <w:hideMark/>
          </w:tcPr>
          <w:p w14:paraId="0A095E7F"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247AF41F" w14:textId="77777777" w:rsidR="00D46392" w:rsidRPr="002D2A94" w:rsidRDefault="00D46392" w:rsidP="005766AB">
            <w:pPr>
              <w:jc w:val="center"/>
              <w:rPr>
                <w:color w:val="000000"/>
              </w:rPr>
            </w:pPr>
            <w:r w:rsidRPr="00644464">
              <w:rPr>
                <w:rFonts w:cs="Calibri"/>
                <w:color w:val="000000"/>
              </w:rPr>
              <w:t>$860.49</w:t>
            </w:r>
          </w:p>
        </w:tc>
        <w:tc>
          <w:tcPr>
            <w:tcW w:w="601" w:type="pct"/>
            <w:vAlign w:val="bottom"/>
          </w:tcPr>
          <w:p w14:paraId="1BF415C4" w14:textId="77777777" w:rsidR="00D46392" w:rsidRPr="002D2A94" w:rsidRDefault="00D46392" w:rsidP="005766AB">
            <w:pPr>
              <w:jc w:val="center"/>
              <w:rPr>
                <w:color w:val="000000"/>
              </w:rPr>
            </w:pPr>
            <w:r w:rsidRPr="00644464">
              <w:rPr>
                <w:rFonts w:cs="Calibri"/>
                <w:color w:val="000000"/>
              </w:rPr>
              <w:t>-81%</w:t>
            </w:r>
          </w:p>
        </w:tc>
      </w:tr>
      <w:tr w:rsidR="00D46392" w:rsidRPr="002D2A94" w14:paraId="6516633F" w14:textId="77777777" w:rsidTr="005766AB">
        <w:trPr>
          <w:trHeight w:val="279"/>
        </w:trPr>
        <w:tc>
          <w:tcPr>
            <w:tcW w:w="2424" w:type="pct"/>
            <w:shd w:val="clear" w:color="auto" w:fill="auto"/>
            <w:noWrap/>
            <w:vAlign w:val="bottom"/>
            <w:hideMark/>
          </w:tcPr>
          <w:p w14:paraId="0BDEADC1" w14:textId="77777777" w:rsidR="00D46392" w:rsidRPr="002D2A94" w:rsidRDefault="00D46392" w:rsidP="005766AB">
            <w:pPr>
              <w:rPr>
                <w:color w:val="000000"/>
              </w:rPr>
            </w:pPr>
            <w:r w:rsidRPr="002D2A94">
              <w:rPr>
                <w:color w:val="000000"/>
              </w:rPr>
              <w:t>11 days</w:t>
            </w:r>
          </w:p>
        </w:tc>
        <w:tc>
          <w:tcPr>
            <w:tcW w:w="561" w:type="pct"/>
            <w:shd w:val="clear" w:color="auto" w:fill="auto"/>
            <w:noWrap/>
            <w:vAlign w:val="bottom"/>
            <w:hideMark/>
          </w:tcPr>
          <w:p w14:paraId="78BC7716" w14:textId="77777777" w:rsidR="00D46392" w:rsidRPr="002D2A94" w:rsidRDefault="00D46392" w:rsidP="005766AB">
            <w:pPr>
              <w:jc w:val="center"/>
              <w:rPr>
                <w:color w:val="000000"/>
              </w:rPr>
            </w:pPr>
            <w:r w:rsidRPr="00644464">
              <w:rPr>
                <w:rFonts w:cs="Calibri"/>
                <w:color w:val="000000"/>
              </w:rPr>
              <w:t>$1.72</w:t>
            </w:r>
          </w:p>
        </w:tc>
        <w:tc>
          <w:tcPr>
            <w:tcW w:w="707" w:type="pct"/>
            <w:shd w:val="clear" w:color="auto" w:fill="auto"/>
            <w:noWrap/>
            <w:vAlign w:val="bottom"/>
            <w:hideMark/>
          </w:tcPr>
          <w:p w14:paraId="71318D1C"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14FF70C6" w14:textId="77777777" w:rsidR="00D46392" w:rsidRPr="002D2A94" w:rsidRDefault="00D46392" w:rsidP="005766AB">
            <w:pPr>
              <w:jc w:val="center"/>
              <w:rPr>
                <w:color w:val="000000"/>
              </w:rPr>
            </w:pPr>
            <w:r w:rsidRPr="00644464">
              <w:rPr>
                <w:rFonts w:cs="Calibri"/>
                <w:color w:val="000000"/>
              </w:rPr>
              <w:t>$122.38</w:t>
            </w:r>
          </w:p>
        </w:tc>
        <w:tc>
          <w:tcPr>
            <w:tcW w:w="601" w:type="pct"/>
            <w:vAlign w:val="bottom"/>
          </w:tcPr>
          <w:p w14:paraId="26960A50" w14:textId="77777777" w:rsidR="00D46392" w:rsidRPr="002D2A94" w:rsidRDefault="00D46392" w:rsidP="005766AB">
            <w:pPr>
              <w:jc w:val="center"/>
              <w:rPr>
                <w:color w:val="000000"/>
              </w:rPr>
            </w:pPr>
            <w:r w:rsidRPr="00644464">
              <w:rPr>
                <w:rFonts w:cs="Calibri"/>
                <w:color w:val="000000"/>
              </w:rPr>
              <w:t>-97%</w:t>
            </w:r>
          </w:p>
        </w:tc>
      </w:tr>
      <w:tr w:rsidR="00D46392" w:rsidRPr="002D2A94" w14:paraId="3ED69A3E" w14:textId="77777777" w:rsidTr="005766AB">
        <w:trPr>
          <w:trHeight w:val="279"/>
        </w:trPr>
        <w:tc>
          <w:tcPr>
            <w:tcW w:w="2424" w:type="pct"/>
            <w:shd w:val="clear" w:color="auto" w:fill="auto"/>
            <w:noWrap/>
            <w:vAlign w:val="bottom"/>
          </w:tcPr>
          <w:p w14:paraId="26EA4CF8" w14:textId="77777777" w:rsidR="00D46392" w:rsidRPr="002D2A94" w:rsidRDefault="00D46392" w:rsidP="005766AB">
            <w:pPr>
              <w:rPr>
                <w:color w:val="000000"/>
              </w:rPr>
            </w:pPr>
            <w:r>
              <w:rPr>
                <w:color w:val="000000"/>
              </w:rPr>
              <w:t>12 days</w:t>
            </w:r>
          </w:p>
        </w:tc>
        <w:tc>
          <w:tcPr>
            <w:tcW w:w="561" w:type="pct"/>
            <w:shd w:val="clear" w:color="auto" w:fill="auto"/>
            <w:noWrap/>
            <w:vAlign w:val="bottom"/>
          </w:tcPr>
          <w:p w14:paraId="05977AD9" w14:textId="77777777" w:rsidR="00D46392" w:rsidRPr="002D2A94" w:rsidRDefault="00D46392" w:rsidP="005766AB">
            <w:pPr>
              <w:jc w:val="center"/>
              <w:rPr>
                <w:color w:val="000000"/>
              </w:rPr>
            </w:pPr>
            <w:r w:rsidRPr="00644464">
              <w:rPr>
                <w:rFonts w:cs="Calibri"/>
                <w:color w:val="000000"/>
              </w:rPr>
              <w:t>-$8.63</w:t>
            </w:r>
          </w:p>
        </w:tc>
        <w:tc>
          <w:tcPr>
            <w:tcW w:w="707" w:type="pct"/>
            <w:shd w:val="clear" w:color="auto" w:fill="auto"/>
            <w:noWrap/>
            <w:vAlign w:val="bottom"/>
          </w:tcPr>
          <w:p w14:paraId="1F508584"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tcPr>
          <w:p w14:paraId="6F1ED2A5" w14:textId="77777777" w:rsidR="00D46392" w:rsidRPr="002D2A94" w:rsidRDefault="00D46392" w:rsidP="005766AB">
            <w:pPr>
              <w:jc w:val="center"/>
              <w:rPr>
                <w:color w:val="000000"/>
              </w:rPr>
            </w:pPr>
            <w:r w:rsidRPr="00644464">
              <w:rPr>
                <w:rFonts w:cs="Calibri"/>
                <w:color w:val="000000"/>
              </w:rPr>
              <w:t>-$615.73</w:t>
            </w:r>
          </w:p>
        </w:tc>
        <w:tc>
          <w:tcPr>
            <w:tcW w:w="601" w:type="pct"/>
            <w:vAlign w:val="bottom"/>
          </w:tcPr>
          <w:p w14:paraId="0C83FEE7" w14:textId="77777777" w:rsidR="00D46392" w:rsidRPr="00275F4B" w:rsidRDefault="00D46392" w:rsidP="005766AB">
            <w:pPr>
              <w:jc w:val="center"/>
              <w:rPr>
                <w:rFonts w:cs="Calibri"/>
                <w:color w:val="000000"/>
              </w:rPr>
            </w:pPr>
            <w:r w:rsidRPr="00644464">
              <w:rPr>
                <w:rFonts w:cs="Calibri"/>
                <w:color w:val="000000"/>
              </w:rPr>
              <w:t>-114%</w:t>
            </w:r>
          </w:p>
        </w:tc>
      </w:tr>
      <w:tr w:rsidR="00D46392" w:rsidRPr="002D2A94" w14:paraId="38380047" w14:textId="77777777" w:rsidTr="005766AB">
        <w:trPr>
          <w:trHeight w:val="241"/>
        </w:trPr>
        <w:tc>
          <w:tcPr>
            <w:tcW w:w="4399" w:type="pct"/>
            <w:gridSpan w:val="4"/>
            <w:shd w:val="clear" w:color="auto" w:fill="auto"/>
            <w:vAlign w:val="bottom"/>
            <w:hideMark/>
          </w:tcPr>
          <w:p w14:paraId="49E80A73" w14:textId="77777777" w:rsidR="00D46392" w:rsidRPr="002D2A94" w:rsidRDefault="00D46392" w:rsidP="005766AB">
            <w:pPr>
              <w:rPr>
                <w:b/>
                <w:bCs/>
                <w:color w:val="000000"/>
              </w:rPr>
            </w:pPr>
            <w:r>
              <w:rPr>
                <w:b/>
                <w:bCs/>
                <w:color w:val="000000"/>
              </w:rPr>
              <w:t>Cases with MDR-TB</w:t>
            </w:r>
            <w:r w:rsidRPr="002D2A94">
              <w:rPr>
                <w:b/>
                <w:bCs/>
                <w:color w:val="000000"/>
              </w:rPr>
              <w:t xml:space="preserve"> </w:t>
            </w:r>
            <w:r>
              <w:rPr>
                <w:b/>
                <w:bCs/>
                <w:color w:val="000000"/>
              </w:rPr>
              <w:t xml:space="preserve">in hospital isolation at the time of testing </w:t>
            </w:r>
            <w:r w:rsidRPr="002D2A94">
              <w:rPr>
                <w:b/>
                <w:bCs/>
                <w:color w:val="000000"/>
              </w:rPr>
              <w:t>(</w:t>
            </w:r>
            <w:r>
              <w:rPr>
                <w:b/>
                <w:bCs/>
                <w:color w:val="000000"/>
              </w:rPr>
              <w:t>Base-case</w:t>
            </w:r>
            <w:r w:rsidRPr="002D2A94">
              <w:rPr>
                <w:b/>
                <w:bCs/>
                <w:color w:val="000000"/>
              </w:rPr>
              <w:t>: only MDR cases with other second-line resistance)</w:t>
            </w:r>
          </w:p>
        </w:tc>
        <w:tc>
          <w:tcPr>
            <w:tcW w:w="601" w:type="pct"/>
          </w:tcPr>
          <w:p w14:paraId="65E5B405" w14:textId="77777777" w:rsidR="00D46392" w:rsidRPr="002D2A94" w:rsidRDefault="00D46392" w:rsidP="005766AB">
            <w:pPr>
              <w:rPr>
                <w:b/>
                <w:bCs/>
                <w:color w:val="000000"/>
              </w:rPr>
            </w:pPr>
          </w:p>
        </w:tc>
      </w:tr>
      <w:tr w:rsidR="00D46392" w:rsidRPr="002D2A94" w14:paraId="11C7FCF4" w14:textId="77777777" w:rsidTr="005766AB">
        <w:trPr>
          <w:trHeight w:val="279"/>
        </w:trPr>
        <w:tc>
          <w:tcPr>
            <w:tcW w:w="2424" w:type="pct"/>
            <w:shd w:val="clear" w:color="auto" w:fill="auto"/>
            <w:noWrap/>
            <w:vAlign w:val="bottom"/>
            <w:hideMark/>
          </w:tcPr>
          <w:p w14:paraId="576F832D" w14:textId="77777777" w:rsidR="00D46392" w:rsidRPr="002D2A94" w:rsidRDefault="00D46392" w:rsidP="005766AB">
            <w:pPr>
              <w:rPr>
                <w:color w:val="000000"/>
              </w:rPr>
            </w:pPr>
            <w:r w:rsidRPr="00A104F0">
              <w:rPr>
                <w:color w:val="000000"/>
              </w:rPr>
              <w:t>58.5% of MDR</w:t>
            </w:r>
            <w:r>
              <w:rPr>
                <w:color w:val="000000"/>
              </w:rPr>
              <w:t>-TB</w:t>
            </w:r>
            <w:r w:rsidRPr="00A104F0">
              <w:rPr>
                <w:color w:val="000000"/>
              </w:rPr>
              <w:t xml:space="preserve"> (R and I) and all MDR</w:t>
            </w:r>
            <w:r>
              <w:rPr>
                <w:color w:val="000000"/>
              </w:rPr>
              <w:t>-TB</w:t>
            </w:r>
            <w:r w:rsidRPr="00A104F0">
              <w:rPr>
                <w:color w:val="000000"/>
              </w:rPr>
              <w:t xml:space="preserve"> (with second-line resistance)</w:t>
            </w:r>
          </w:p>
        </w:tc>
        <w:tc>
          <w:tcPr>
            <w:tcW w:w="561" w:type="pct"/>
            <w:shd w:val="clear" w:color="auto" w:fill="auto"/>
            <w:noWrap/>
            <w:vAlign w:val="bottom"/>
            <w:hideMark/>
          </w:tcPr>
          <w:p w14:paraId="6C0837F3" w14:textId="77777777" w:rsidR="00D46392" w:rsidRPr="002D2A94" w:rsidRDefault="00D46392" w:rsidP="005766AB">
            <w:pPr>
              <w:jc w:val="center"/>
              <w:rPr>
                <w:color w:val="000000"/>
              </w:rPr>
            </w:pPr>
            <w:r w:rsidRPr="00644464">
              <w:rPr>
                <w:rFonts w:cs="Calibri"/>
                <w:color w:val="000000"/>
              </w:rPr>
              <w:t>-$</w:t>
            </w:r>
            <w:r>
              <w:rPr>
                <w:rFonts w:cs="Calibri"/>
                <w:color w:val="000000"/>
              </w:rPr>
              <w:t>2.13</w:t>
            </w:r>
          </w:p>
        </w:tc>
        <w:tc>
          <w:tcPr>
            <w:tcW w:w="707" w:type="pct"/>
            <w:shd w:val="clear" w:color="auto" w:fill="auto"/>
            <w:noWrap/>
            <w:vAlign w:val="bottom"/>
            <w:hideMark/>
          </w:tcPr>
          <w:p w14:paraId="125766FB"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3E166ED8" w14:textId="77777777" w:rsidR="00D46392" w:rsidRPr="002D2A94" w:rsidRDefault="00D46392" w:rsidP="005766AB">
            <w:pPr>
              <w:jc w:val="center"/>
              <w:rPr>
                <w:color w:val="000000"/>
              </w:rPr>
            </w:pPr>
            <w:r w:rsidRPr="00644464">
              <w:rPr>
                <w:rFonts w:cs="Calibri"/>
                <w:color w:val="000000"/>
              </w:rPr>
              <w:t>-$</w:t>
            </w:r>
            <w:r>
              <w:rPr>
                <w:rFonts w:cs="Calibri"/>
                <w:color w:val="000000"/>
              </w:rPr>
              <w:t>151.66</w:t>
            </w:r>
          </w:p>
        </w:tc>
        <w:tc>
          <w:tcPr>
            <w:tcW w:w="601" w:type="pct"/>
            <w:vAlign w:val="bottom"/>
          </w:tcPr>
          <w:p w14:paraId="7DA72F21" w14:textId="77777777" w:rsidR="00D46392" w:rsidRPr="002D2A94" w:rsidRDefault="00D46392" w:rsidP="005766AB">
            <w:pPr>
              <w:jc w:val="center"/>
              <w:rPr>
                <w:color w:val="000000"/>
              </w:rPr>
            </w:pPr>
            <w:r w:rsidRPr="00644464">
              <w:rPr>
                <w:rFonts w:cs="Calibri"/>
                <w:color w:val="000000"/>
              </w:rPr>
              <w:t>-1</w:t>
            </w:r>
            <w:r>
              <w:rPr>
                <w:rFonts w:cs="Calibri"/>
                <w:color w:val="000000"/>
              </w:rPr>
              <w:t>03</w:t>
            </w:r>
            <w:r w:rsidRPr="00644464">
              <w:rPr>
                <w:rFonts w:cs="Calibri"/>
                <w:color w:val="000000"/>
              </w:rPr>
              <w:t>%</w:t>
            </w:r>
          </w:p>
        </w:tc>
      </w:tr>
      <w:tr w:rsidR="00D46392" w:rsidRPr="002D2A94" w14:paraId="10840BF3" w14:textId="77777777" w:rsidTr="005766AB">
        <w:trPr>
          <w:trHeight w:val="279"/>
        </w:trPr>
        <w:tc>
          <w:tcPr>
            <w:tcW w:w="2424" w:type="pct"/>
            <w:shd w:val="clear" w:color="auto" w:fill="auto"/>
            <w:noWrap/>
            <w:vAlign w:val="bottom"/>
            <w:hideMark/>
          </w:tcPr>
          <w:p w14:paraId="403FC8C6" w14:textId="77777777" w:rsidR="00D46392" w:rsidRPr="002D2A94" w:rsidRDefault="00D46392" w:rsidP="005766AB">
            <w:pPr>
              <w:rPr>
                <w:color w:val="000000"/>
              </w:rPr>
            </w:pPr>
            <w:r w:rsidRPr="002D2A94">
              <w:rPr>
                <w:color w:val="000000"/>
              </w:rPr>
              <w:t>No MDR</w:t>
            </w:r>
            <w:r>
              <w:rPr>
                <w:color w:val="000000"/>
              </w:rPr>
              <w:t>-TB</w:t>
            </w:r>
            <w:r w:rsidRPr="002D2A94">
              <w:rPr>
                <w:color w:val="000000"/>
              </w:rPr>
              <w:t xml:space="preserve"> cases</w:t>
            </w:r>
          </w:p>
        </w:tc>
        <w:tc>
          <w:tcPr>
            <w:tcW w:w="561" w:type="pct"/>
            <w:shd w:val="clear" w:color="auto" w:fill="auto"/>
            <w:noWrap/>
            <w:vAlign w:val="bottom"/>
            <w:hideMark/>
          </w:tcPr>
          <w:p w14:paraId="6A062D3E" w14:textId="77777777" w:rsidR="00D46392" w:rsidRPr="002D2A94" w:rsidRDefault="00D46392" w:rsidP="005766AB">
            <w:pPr>
              <w:jc w:val="center"/>
              <w:rPr>
                <w:color w:val="000000"/>
              </w:rPr>
            </w:pPr>
            <w:r w:rsidRPr="00644464">
              <w:rPr>
                <w:rFonts w:cs="Calibri"/>
                <w:color w:val="000000"/>
              </w:rPr>
              <w:t>$80.45</w:t>
            </w:r>
          </w:p>
        </w:tc>
        <w:tc>
          <w:tcPr>
            <w:tcW w:w="707" w:type="pct"/>
            <w:shd w:val="clear" w:color="auto" w:fill="auto"/>
            <w:noWrap/>
            <w:vAlign w:val="bottom"/>
            <w:hideMark/>
          </w:tcPr>
          <w:p w14:paraId="0A029126"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hideMark/>
          </w:tcPr>
          <w:p w14:paraId="1F870851" w14:textId="77777777" w:rsidR="00D46392" w:rsidRPr="002D2A94" w:rsidRDefault="00D46392" w:rsidP="005766AB">
            <w:pPr>
              <w:jc w:val="center"/>
              <w:rPr>
                <w:color w:val="000000"/>
              </w:rPr>
            </w:pPr>
            <w:r w:rsidRPr="00644464">
              <w:rPr>
                <w:rFonts w:cs="Calibri"/>
                <w:color w:val="000000"/>
              </w:rPr>
              <w:t>$5,738.29</w:t>
            </w:r>
          </w:p>
        </w:tc>
        <w:tc>
          <w:tcPr>
            <w:tcW w:w="601" w:type="pct"/>
            <w:vAlign w:val="bottom"/>
          </w:tcPr>
          <w:p w14:paraId="1A56D708" w14:textId="77777777" w:rsidR="00D46392" w:rsidRPr="002D2A94" w:rsidRDefault="00D46392" w:rsidP="005766AB">
            <w:pPr>
              <w:jc w:val="center"/>
              <w:rPr>
                <w:color w:val="000000"/>
              </w:rPr>
            </w:pPr>
            <w:r w:rsidRPr="00644464">
              <w:rPr>
                <w:rFonts w:cs="Calibri"/>
                <w:color w:val="000000"/>
              </w:rPr>
              <w:t>26%</w:t>
            </w:r>
          </w:p>
        </w:tc>
      </w:tr>
      <w:tr w:rsidR="00D46392" w:rsidRPr="002D2A94" w14:paraId="56A3FF1A" w14:textId="77777777" w:rsidTr="005766AB">
        <w:trPr>
          <w:trHeight w:val="279"/>
        </w:trPr>
        <w:tc>
          <w:tcPr>
            <w:tcW w:w="4399" w:type="pct"/>
            <w:gridSpan w:val="4"/>
            <w:shd w:val="clear" w:color="auto" w:fill="auto"/>
            <w:noWrap/>
            <w:vAlign w:val="bottom"/>
          </w:tcPr>
          <w:p w14:paraId="34CB2C0A" w14:textId="77777777" w:rsidR="00D46392" w:rsidRPr="002D2A94" w:rsidRDefault="00D46392" w:rsidP="005766AB">
            <w:pPr>
              <w:rPr>
                <w:color w:val="000000"/>
              </w:rPr>
            </w:pPr>
            <w:r w:rsidRPr="00557C50">
              <w:rPr>
                <w:rFonts w:cs="Calibri"/>
                <w:b/>
                <w:bCs/>
                <w:color w:val="000000"/>
              </w:rPr>
              <w:t xml:space="preserve">Time to appropriate treatment in false negative cases (Base-case: 60 days after </w:t>
            </w:r>
            <w:proofErr w:type="spellStart"/>
            <w:r w:rsidRPr="00557C50">
              <w:rPr>
                <w:rFonts w:cs="Calibri"/>
                <w:b/>
                <w:bCs/>
                <w:color w:val="000000"/>
              </w:rPr>
              <w:t>pDST</w:t>
            </w:r>
            <w:proofErr w:type="spellEnd"/>
            <w:r w:rsidRPr="00557C50">
              <w:rPr>
                <w:rFonts w:cs="Calibri"/>
                <w:b/>
                <w:bCs/>
                <w:color w:val="000000"/>
              </w:rPr>
              <w:t>)</w:t>
            </w:r>
          </w:p>
        </w:tc>
        <w:tc>
          <w:tcPr>
            <w:tcW w:w="601" w:type="pct"/>
          </w:tcPr>
          <w:p w14:paraId="71654F66" w14:textId="77777777" w:rsidR="00D46392" w:rsidRPr="00557C50" w:rsidRDefault="00D46392" w:rsidP="005766AB">
            <w:pPr>
              <w:rPr>
                <w:rFonts w:cs="Calibri"/>
                <w:b/>
                <w:bCs/>
                <w:color w:val="000000"/>
              </w:rPr>
            </w:pPr>
          </w:p>
        </w:tc>
      </w:tr>
      <w:tr w:rsidR="00D46392" w:rsidRPr="002D2A94" w14:paraId="12911378" w14:textId="77777777" w:rsidTr="005766AB">
        <w:trPr>
          <w:trHeight w:val="279"/>
        </w:trPr>
        <w:tc>
          <w:tcPr>
            <w:tcW w:w="2424" w:type="pct"/>
            <w:shd w:val="clear" w:color="auto" w:fill="auto"/>
            <w:noWrap/>
            <w:vAlign w:val="bottom"/>
          </w:tcPr>
          <w:p w14:paraId="6C7E7CCE" w14:textId="77777777" w:rsidR="00D46392" w:rsidRPr="00557C50" w:rsidRDefault="00D46392" w:rsidP="005766AB">
            <w:pPr>
              <w:rPr>
                <w:rFonts w:cs="Calibri"/>
                <w:b/>
                <w:bCs/>
                <w:color w:val="000000"/>
              </w:rPr>
            </w:pPr>
            <w:r w:rsidRPr="00557C50">
              <w:rPr>
                <w:rFonts w:cs="Calibri"/>
                <w:color w:val="000000"/>
              </w:rPr>
              <w:t>75 days</w:t>
            </w:r>
          </w:p>
        </w:tc>
        <w:tc>
          <w:tcPr>
            <w:tcW w:w="561" w:type="pct"/>
            <w:shd w:val="clear" w:color="auto" w:fill="auto"/>
            <w:noWrap/>
            <w:vAlign w:val="bottom"/>
          </w:tcPr>
          <w:p w14:paraId="4B86EE69" w14:textId="77777777" w:rsidR="00D46392" w:rsidRPr="002D2A94" w:rsidRDefault="00D46392" w:rsidP="005766AB">
            <w:pPr>
              <w:jc w:val="center"/>
              <w:rPr>
                <w:color w:val="000000"/>
              </w:rPr>
            </w:pPr>
            <w:r w:rsidRPr="00644464">
              <w:rPr>
                <w:rFonts w:cs="Calibri"/>
                <w:color w:val="000000"/>
              </w:rPr>
              <w:t>$62.54</w:t>
            </w:r>
          </w:p>
        </w:tc>
        <w:tc>
          <w:tcPr>
            <w:tcW w:w="707" w:type="pct"/>
            <w:shd w:val="clear" w:color="auto" w:fill="auto"/>
            <w:noWrap/>
            <w:vAlign w:val="bottom"/>
          </w:tcPr>
          <w:p w14:paraId="12750A7D" w14:textId="77777777" w:rsidR="00D46392" w:rsidRPr="002D2A94" w:rsidRDefault="00D46392" w:rsidP="005766AB">
            <w:pPr>
              <w:jc w:val="center"/>
              <w:rPr>
                <w:color w:val="000000"/>
              </w:rPr>
            </w:pPr>
            <w:r w:rsidRPr="00644464">
              <w:rPr>
                <w:rFonts w:cs="Calibri"/>
                <w:color w:val="000000"/>
              </w:rPr>
              <w:t>0.014</w:t>
            </w:r>
          </w:p>
        </w:tc>
        <w:tc>
          <w:tcPr>
            <w:tcW w:w="707" w:type="pct"/>
            <w:shd w:val="clear" w:color="auto" w:fill="auto"/>
            <w:noWrap/>
            <w:vAlign w:val="bottom"/>
          </w:tcPr>
          <w:p w14:paraId="2F2016CE" w14:textId="77777777" w:rsidR="00D46392" w:rsidRPr="002D2A94" w:rsidRDefault="00D46392" w:rsidP="005766AB">
            <w:pPr>
              <w:jc w:val="center"/>
              <w:rPr>
                <w:color w:val="000000"/>
              </w:rPr>
            </w:pPr>
            <w:r w:rsidRPr="00644464">
              <w:rPr>
                <w:rFonts w:cs="Calibri"/>
                <w:color w:val="000000"/>
              </w:rPr>
              <w:t>$4,460.71</w:t>
            </w:r>
          </w:p>
        </w:tc>
        <w:tc>
          <w:tcPr>
            <w:tcW w:w="601" w:type="pct"/>
            <w:vAlign w:val="bottom"/>
          </w:tcPr>
          <w:p w14:paraId="7D17BBEB" w14:textId="77777777" w:rsidR="00D46392" w:rsidRPr="00557C50" w:rsidRDefault="00D46392" w:rsidP="005766AB">
            <w:pPr>
              <w:jc w:val="center"/>
              <w:rPr>
                <w:rFonts w:cs="Calibri"/>
                <w:color w:val="000000"/>
              </w:rPr>
            </w:pPr>
            <w:r w:rsidRPr="00644464">
              <w:rPr>
                <w:rFonts w:cs="Calibri"/>
                <w:color w:val="000000"/>
              </w:rPr>
              <w:t>-2%</w:t>
            </w:r>
          </w:p>
        </w:tc>
      </w:tr>
      <w:tr w:rsidR="00D46392" w:rsidRPr="002D2A94" w14:paraId="000AD54B" w14:textId="77777777" w:rsidTr="005766AB">
        <w:trPr>
          <w:trHeight w:val="279"/>
        </w:trPr>
        <w:tc>
          <w:tcPr>
            <w:tcW w:w="2424" w:type="pct"/>
            <w:shd w:val="clear" w:color="auto" w:fill="auto"/>
            <w:noWrap/>
            <w:vAlign w:val="bottom"/>
          </w:tcPr>
          <w:p w14:paraId="62A4A80D" w14:textId="77777777" w:rsidR="00D46392" w:rsidRPr="00557C50" w:rsidRDefault="00D46392" w:rsidP="005766AB">
            <w:pPr>
              <w:rPr>
                <w:rFonts w:cs="Calibri"/>
                <w:color w:val="000000"/>
              </w:rPr>
            </w:pPr>
            <w:r w:rsidRPr="00557C50">
              <w:rPr>
                <w:rFonts w:cs="Calibri"/>
                <w:color w:val="000000"/>
              </w:rPr>
              <w:t>90 days</w:t>
            </w:r>
          </w:p>
        </w:tc>
        <w:tc>
          <w:tcPr>
            <w:tcW w:w="561" w:type="pct"/>
            <w:shd w:val="clear" w:color="auto" w:fill="auto"/>
            <w:noWrap/>
            <w:vAlign w:val="bottom"/>
          </w:tcPr>
          <w:p w14:paraId="61CFE32C" w14:textId="77777777" w:rsidR="00D46392" w:rsidRPr="00557C50" w:rsidRDefault="00D46392" w:rsidP="005766AB">
            <w:pPr>
              <w:jc w:val="center"/>
              <w:rPr>
                <w:rFonts w:cs="Calibri"/>
                <w:color w:val="000000"/>
              </w:rPr>
            </w:pPr>
            <w:r w:rsidRPr="00644464">
              <w:rPr>
                <w:rFonts w:cs="Calibri"/>
                <w:color w:val="000000"/>
              </w:rPr>
              <w:t>$61.27</w:t>
            </w:r>
          </w:p>
        </w:tc>
        <w:tc>
          <w:tcPr>
            <w:tcW w:w="707" w:type="pct"/>
            <w:shd w:val="clear" w:color="auto" w:fill="auto"/>
            <w:noWrap/>
            <w:vAlign w:val="bottom"/>
          </w:tcPr>
          <w:p w14:paraId="7F4AF0C3"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79036A9D" w14:textId="77777777" w:rsidR="00D46392" w:rsidRPr="00557C50" w:rsidRDefault="00D46392" w:rsidP="005766AB">
            <w:pPr>
              <w:jc w:val="center"/>
              <w:rPr>
                <w:rFonts w:cs="Calibri"/>
                <w:color w:val="000000"/>
              </w:rPr>
            </w:pPr>
            <w:r w:rsidRPr="00644464">
              <w:rPr>
                <w:rFonts w:cs="Calibri"/>
                <w:color w:val="000000"/>
              </w:rPr>
              <w:t>$4,370.38</w:t>
            </w:r>
          </w:p>
        </w:tc>
        <w:tc>
          <w:tcPr>
            <w:tcW w:w="601" w:type="pct"/>
            <w:vAlign w:val="bottom"/>
          </w:tcPr>
          <w:p w14:paraId="131DF9F5" w14:textId="77777777" w:rsidR="00D46392" w:rsidRPr="00557C50" w:rsidRDefault="00D46392" w:rsidP="005766AB">
            <w:pPr>
              <w:jc w:val="center"/>
              <w:rPr>
                <w:rFonts w:cs="Calibri"/>
                <w:color w:val="000000"/>
              </w:rPr>
            </w:pPr>
            <w:r w:rsidRPr="00644464">
              <w:rPr>
                <w:rFonts w:cs="Calibri"/>
                <w:color w:val="000000"/>
              </w:rPr>
              <w:t>-4%</w:t>
            </w:r>
          </w:p>
        </w:tc>
      </w:tr>
      <w:tr w:rsidR="00D46392" w:rsidRPr="002D2A94" w14:paraId="0AD22311" w14:textId="77777777" w:rsidTr="005766AB">
        <w:trPr>
          <w:trHeight w:val="279"/>
        </w:trPr>
        <w:tc>
          <w:tcPr>
            <w:tcW w:w="4399" w:type="pct"/>
            <w:gridSpan w:val="4"/>
            <w:shd w:val="clear" w:color="auto" w:fill="auto"/>
            <w:noWrap/>
            <w:vAlign w:val="bottom"/>
          </w:tcPr>
          <w:p w14:paraId="3AA554F2" w14:textId="77777777" w:rsidR="00D46392" w:rsidRPr="00557C50" w:rsidRDefault="00D46392" w:rsidP="005766AB">
            <w:pPr>
              <w:rPr>
                <w:rFonts w:cs="Calibri"/>
                <w:color w:val="000000"/>
              </w:rPr>
            </w:pPr>
            <w:r w:rsidRPr="00557C50">
              <w:rPr>
                <w:rFonts w:cs="Calibri"/>
                <w:b/>
                <w:bCs/>
                <w:color w:val="000000"/>
              </w:rPr>
              <w:t>Cost of WGS (Base-case: $120)</w:t>
            </w:r>
          </w:p>
        </w:tc>
        <w:tc>
          <w:tcPr>
            <w:tcW w:w="601" w:type="pct"/>
          </w:tcPr>
          <w:p w14:paraId="73B89251" w14:textId="77777777" w:rsidR="00D46392" w:rsidRPr="00557C50" w:rsidRDefault="00D46392" w:rsidP="005766AB">
            <w:pPr>
              <w:rPr>
                <w:rFonts w:cs="Calibri"/>
                <w:b/>
                <w:bCs/>
                <w:color w:val="000000"/>
              </w:rPr>
            </w:pPr>
          </w:p>
        </w:tc>
      </w:tr>
      <w:tr w:rsidR="00D46392" w:rsidRPr="002D2A94" w14:paraId="34B946C4" w14:textId="77777777" w:rsidTr="005766AB">
        <w:trPr>
          <w:trHeight w:val="279"/>
        </w:trPr>
        <w:tc>
          <w:tcPr>
            <w:tcW w:w="2424" w:type="pct"/>
            <w:shd w:val="clear" w:color="auto" w:fill="auto"/>
            <w:noWrap/>
            <w:vAlign w:val="bottom"/>
          </w:tcPr>
          <w:p w14:paraId="3A97FD8C" w14:textId="77777777" w:rsidR="00D46392" w:rsidRPr="00557C50" w:rsidRDefault="00D46392" w:rsidP="005766AB">
            <w:pPr>
              <w:rPr>
                <w:rFonts w:cs="Calibri"/>
                <w:b/>
                <w:bCs/>
                <w:color w:val="000000"/>
              </w:rPr>
            </w:pPr>
            <w:r w:rsidRPr="00557C50">
              <w:rPr>
                <w:rFonts w:cs="Calibri"/>
                <w:color w:val="000000"/>
              </w:rPr>
              <w:t xml:space="preserve">SA pathology cost - $214 </w:t>
            </w:r>
          </w:p>
        </w:tc>
        <w:tc>
          <w:tcPr>
            <w:tcW w:w="561" w:type="pct"/>
            <w:shd w:val="clear" w:color="auto" w:fill="auto"/>
            <w:noWrap/>
            <w:vAlign w:val="bottom"/>
          </w:tcPr>
          <w:p w14:paraId="73E6AA70" w14:textId="77777777" w:rsidR="00D46392" w:rsidRPr="00557C50" w:rsidRDefault="00D46392" w:rsidP="005766AB">
            <w:pPr>
              <w:jc w:val="center"/>
              <w:rPr>
                <w:rFonts w:cs="Calibri"/>
                <w:color w:val="000000"/>
              </w:rPr>
            </w:pPr>
            <w:r w:rsidRPr="00644464">
              <w:rPr>
                <w:rFonts w:cs="Calibri"/>
                <w:color w:val="000000"/>
              </w:rPr>
              <w:t>$159.68</w:t>
            </w:r>
          </w:p>
        </w:tc>
        <w:tc>
          <w:tcPr>
            <w:tcW w:w="707" w:type="pct"/>
            <w:shd w:val="clear" w:color="auto" w:fill="auto"/>
            <w:noWrap/>
            <w:vAlign w:val="bottom"/>
          </w:tcPr>
          <w:p w14:paraId="73258EEF"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02E95798" w14:textId="77777777" w:rsidR="00D46392" w:rsidRPr="00557C50" w:rsidRDefault="00D46392" w:rsidP="005766AB">
            <w:pPr>
              <w:jc w:val="center"/>
              <w:rPr>
                <w:rFonts w:cs="Calibri"/>
                <w:color w:val="000000"/>
              </w:rPr>
            </w:pPr>
            <w:r w:rsidRPr="00644464">
              <w:rPr>
                <w:rFonts w:cs="Calibri"/>
                <w:color w:val="000000"/>
              </w:rPr>
              <w:t>$11,390.29</w:t>
            </w:r>
          </w:p>
        </w:tc>
        <w:tc>
          <w:tcPr>
            <w:tcW w:w="601" w:type="pct"/>
            <w:vAlign w:val="bottom"/>
          </w:tcPr>
          <w:p w14:paraId="4CD223EE" w14:textId="77777777" w:rsidR="00D46392" w:rsidRPr="00557C50" w:rsidRDefault="00D46392" w:rsidP="005766AB">
            <w:pPr>
              <w:jc w:val="center"/>
              <w:rPr>
                <w:rFonts w:cs="Calibri"/>
                <w:color w:val="000000"/>
              </w:rPr>
            </w:pPr>
            <w:r w:rsidRPr="00644464">
              <w:rPr>
                <w:rFonts w:cs="Calibri"/>
                <w:color w:val="000000"/>
              </w:rPr>
              <w:t>150%</w:t>
            </w:r>
          </w:p>
        </w:tc>
      </w:tr>
      <w:tr w:rsidR="00D46392" w:rsidRPr="002D2A94" w14:paraId="47A37790" w14:textId="77777777" w:rsidTr="005766AB">
        <w:trPr>
          <w:trHeight w:val="279"/>
        </w:trPr>
        <w:tc>
          <w:tcPr>
            <w:tcW w:w="4399" w:type="pct"/>
            <w:gridSpan w:val="4"/>
            <w:shd w:val="clear" w:color="auto" w:fill="auto"/>
            <w:noWrap/>
            <w:vAlign w:val="bottom"/>
          </w:tcPr>
          <w:p w14:paraId="42DCADDC" w14:textId="77777777" w:rsidR="00D46392" w:rsidRPr="00557C50" w:rsidRDefault="00D46392" w:rsidP="005766AB">
            <w:pPr>
              <w:rPr>
                <w:rFonts w:cs="Calibri"/>
                <w:color w:val="000000"/>
              </w:rPr>
            </w:pPr>
            <w:r w:rsidRPr="00557C50">
              <w:rPr>
                <w:rFonts w:cs="Calibri"/>
                <w:b/>
                <w:bCs/>
                <w:color w:val="000000"/>
              </w:rPr>
              <w:t xml:space="preserve">Cost of </w:t>
            </w:r>
            <w:proofErr w:type="spellStart"/>
            <w:r w:rsidRPr="00557C50">
              <w:rPr>
                <w:rFonts w:cs="Calibri"/>
                <w:b/>
                <w:bCs/>
                <w:color w:val="000000"/>
              </w:rPr>
              <w:t>pDST</w:t>
            </w:r>
            <w:proofErr w:type="spellEnd"/>
            <w:r w:rsidRPr="00557C50">
              <w:rPr>
                <w:rFonts w:cs="Calibri"/>
                <w:b/>
                <w:bCs/>
                <w:color w:val="000000"/>
              </w:rPr>
              <w:t xml:space="preserve"> (Base-Case: MBS Item 69330: $128)</w:t>
            </w:r>
          </w:p>
        </w:tc>
        <w:tc>
          <w:tcPr>
            <w:tcW w:w="601" w:type="pct"/>
          </w:tcPr>
          <w:p w14:paraId="2706B6E7" w14:textId="77777777" w:rsidR="00D46392" w:rsidRPr="00557C50" w:rsidRDefault="00D46392" w:rsidP="005766AB">
            <w:pPr>
              <w:rPr>
                <w:rFonts w:cs="Calibri"/>
                <w:b/>
                <w:bCs/>
                <w:color w:val="000000"/>
              </w:rPr>
            </w:pPr>
          </w:p>
        </w:tc>
      </w:tr>
      <w:tr w:rsidR="00D46392" w:rsidRPr="002D2A94" w14:paraId="3899C9F2" w14:textId="77777777" w:rsidTr="005766AB">
        <w:trPr>
          <w:trHeight w:val="279"/>
        </w:trPr>
        <w:tc>
          <w:tcPr>
            <w:tcW w:w="2424" w:type="pct"/>
            <w:shd w:val="clear" w:color="auto" w:fill="auto"/>
            <w:noWrap/>
            <w:vAlign w:val="bottom"/>
          </w:tcPr>
          <w:p w14:paraId="652E9944" w14:textId="77777777" w:rsidR="00D46392" w:rsidRPr="00557C50" w:rsidRDefault="00D46392" w:rsidP="005766AB">
            <w:pPr>
              <w:rPr>
                <w:rFonts w:cs="Calibri"/>
                <w:b/>
                <w:bCs/>
                <w:color w:val="000000"/>
              </w:rPr>
            </w:pPr>
            <w:r w:rsidRPr="00557C50">
              <w:rPr>
                <w:rFonts w:cs="Calibri"/>
                <w:color w:val="000000"/>
              </w:rPr>
              <w:t>MBS Item: 69324: $43</w:t>
            </w:r>
          </w:p>
        </w:tc>
        <w:tc>
          <w:tcPr>
            <w:tcW w:w="561" w:type="pct"/>
            <w:shd w:val="clear" w:color="auto" w:fill="auto"/>
            <w:noWrap/>
            <w:vAlign w:val="bottom"/>
          </w:tcPr>
          <w:p w14:paraId="47BAAA42" w14:textId="77777777" w:rsidR="00D46392" w:rsidRPr="00557C50" w:rsidRDefault="00D46392" w:rsidP="005766AB">
            <w:pPr>
              <w:jc w:val="center"/>
              <w:rPr>
                <w:rFonts w:cs="Calibri"/>
                <w:color w:val="000000"/>
              </w:rPr>
            </w:pPr>
            <w:r w:rsidRPr="00644464">
              <w:rPr>
                <w:rFonts w:cs="Calibri"/>
                <w:color w:val="000000"/>
              </w:rPr>
              <w:t>$64.99</w:t>
            </w:r>
          </w:p>
        </w:tc>
        <w:tc>
          <w:tcPr>
            <w:tcW w:w="707" w:type="pct"/>
            <w:shd w:val="clear" w:color="auto" w:fill="auto"/>
            <w:noWrap/>
            <w:vAlign w:val="bottom"/>
          </w:tcPr>
          <w:p w14:paraId="5F2276AC"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482F9660" w14:textId="77777777" w:rsidR="00D46392" w:rsidRPr="00557C50" w:rsidRDefault="00D46392" w:rsidP="005766AB">
            <w:pPr>
              <w:jc w:val="center"/>
              <w:rPr>
                <w:rFonts w:cs="Calibri"/>
                <w:color w:val="000000"/>
              </w:rPr>
            </w:pPr>
            <w:r w:rsidRPr="00644464">
              <w:rPr>
                <w:rFonts w:cs="Calibri"/>
                <w:color w:val="000000"/>
              </w:rPr>
              <w:t>$4,636.05</w:t>
            </w:r>
          </w:p>
        </w:tc>
        <w:tc>
          <w:tcPr>
            <w:tcW w:w="601" w:type="pct"/>
            <w:vAlign w:val="bottom"/>
          </w:tcPr>
          <w:p w14:paraId="64A8BE4F" w14:textId="77777777" w:rsidR="00D46392" w:rsidRPr="00557C50" w:rsidRDefault="00D46392" w:rsidP="005766AB">
            <w:pPr>
              <w:jc w:val="center"/>
              <w:rPr>
                <w:rFonts w:cs="Calibri"/>
                <w:color w:val="000000"/>
              </w:rPr>
            </w:pPr>
            <w:r w:rsidRPr="00644464">
              <w:rPr>
                <w:rFonts w:cs="Calibri"/>
                <w:color w:val="000000"/>
              </w:rPr>
              <w:t>2%</w:t>
            </w:r>
          </w:p>
        </w:tc>
      </w:tr>
      <w:tr w:rsidR="00D46392" w:rsidRPr="002D2A94" w14:paraId="6AD663B9" w14:textId="77777777" w:rsidTr="005766AB">
        <w:trPr>
          <w:trHeight w:val="279"/>
        </w:trPr>
        <w:tc>
          <w:tcPr>
            <w:tcW w:w="2424" w:type="pct"/>
            <w:shd w:val="clear" w:color="auto" w:fill="auto"/>
            <w:noWrap/>
            <w:vAlign w:val="bottom"/>
          </w:tcPr>
          <w:p w14:paraId="7EE51C4E" w14:textId="77777777" w:rsidR="00D46392" w:rsidRPr="00557C50" w:rsidRDefault="00D46392" w:rsidP="005766AB">
            <w:pPr>
              <w:rPr>
                <w:rFonts w:cs="Calibri"/>
                <w:color w:val="000000"/>
              </w:rPr>
            </w:pPr>
            <w:r w:rsidRPr="00557C50">
              <w:rPr>
                <w:rFonts w:cs="Calibri"/>
                <w:color w:val="000000"/>
              </w:rPr>
              <w:t>MBS Item 69327: $85</w:t>
            </w:r>
          </w:p>
        </w:tc>
        <w:tc>
          <w:tcPr>
            <w:tcW w:w="561" w:type="pct"/>
            <w:shd w:val="clear" w:color="auto" w:fill="auto"/>
            <w:noWrap/>
            <w:vAlign w:val="bottom"/>
          </w:tcPr>
          <w:p w14:paraId="367BE2E8" w14:textId="77777777" w:rsidR="00D46392" w:rsidRPr="00557C50" w:rsidRDefault="00D46392" w:rsidP="005766AB">
            <w:pPr>
              <w:jc w:val="center"/>
              <w:rPr>
                <w:rFonts w:cs="Calibri"/>
                <w:color w:val="000000"/>
              </w:rPr>
            </w:pPr>
            <w:r w:rsidRPr="00644464">
              <w:rPr>
                <w:rFonts w:cs="Calibri"/>
                <w:color w:val="000000"/>
              </w:rPr>
              <w:t>$64.40</w:t>
            </w:r>
          </w:p>
        </w:tc>
        <w:tc>
          <w:tcPr>
            <w:tcW w:w="707" w:type="pct"/>
            <w:shd w:val="clear" w:color="auto" w:fill="auto"/>
            <w:noWrap/>
            <w:vAlign w:val="bottom"/>
          </w:tcPr>
          <w:p w14:paraId="49BCC0D0"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693DBFEE" w14:textId="77777777" w:rsidR="00D46392" w:rsidRPr="00557C50" w:rsidRDefault="00D46392" w:rsidP="005766AB">
            <w:pPr>
              <w:jc w:val="center"/>
              <w:rPr>
                <w:rFonts w:cs="Calibri"/>
                <w:color w:val="000000"/>
              </w:rPr>
            </w:pPr>
            <w:r w:rsidRPr="00644464">
              <w:rPr>
                <w:rFonts w:cs="Calibri"/>
                <w:color w:val="000000"/>
              </w:rPr>
              <w:t>$4,594.05</w:t>
            </w:r>
          </w:p>
        </w:tc>
        <w:tc>
          <w:tcPr>
            <w:tcW w:w="601" w:type="pct"/>
            <w:vAlign w:val="bottom"/>
          </w:tcPr>
          <w:p w14:paraId="00F8FB89" w14:textId="77777777" w:rsidR="00D46392" w:rsidRPr="00557C50" w:rsidRDefault="00D46392" w:rsidP="005766AB">
            <w:pPr>
              <w:jc w:val="center"/>
              <w:rPr>
                <w:rFonts w:cs="Calibri"/>
                <w:color w:val="000000"/>
              </w:rPr>
            </w:pPr>
            <w:r w:rsidRPr="00644464">
              <w:rPr>
                <w:rFonts w:cs="Calibri"/>
                <w:color w:val="000000"/>
              </w:rPr>
              <w:t>1%</w:t>
            </w:r>
          </w:p>
        </w:tc>
      </w:tr>
      <w:tr w:rsidR="00D46392" w:rsidRPr="002D2A94" w14:paraId="5819D125" w14:textId="77777777" w:rsidTr="005766AB">
        <w:trPr>
          <w:trHeight w:val="279"/>
        </w:trPr>
        <w:tc>
          <w:tcPr>
            <w:tcW w:w="4399" w:type="pct"/>
            <w:gridSpan w:val="4"/>
            <w:shd w:val="clear" w:color="auto" w:fill="auto"/>
            <w:noWrap/>
            <w:vAlign w:val="bottom"/>
          </w:tcPr>
          <w:p w14:paraId="3DBCAFD0" w14:textId="77777777" w:rsidR="00D46392" w:rsidRPr="00557C50" w:rsidRDefault="00D46392" w:rsidP="005766AB">
            <w:pPr>
              <w:rPr>
                <w:rFonts w:cs="Calibri"/>
                <w:color w:val="000000"/>
              </w:rPr>
            </w:pPr>
            <w:r w:rsidRPr="00275F4B">
              <w:rPr>
                <w:rFonts w:cs="Calibri"/>
                <w:b/>
                <w:bCs/>
                <w:color w:val="000000"/>
              </w:rPr>
              <w:t>Acquired resistance due to inappropriate treatment (Base-case: 0% of false negatives)</w:t>
            </w:r>
          </w:p>
        </w:tc>
        <w:tc>
          <w:tcPr>
            <w:tcW w:w="601" w:type="pct"/>
            <w:vAlign w:val="bottom"/>
          </w:tcPr>
          <w:p w14:paraId="0AB18A78" w14:textId="77777777" w:rsidR="00D46392" w:rsidRPr="00557C50" w:rsidRDefault="00D46392" w:rsidP="005766AB">
            <w:pPr>
              <w:rPr>
                <w:rFonts w:cs="Calibri"/>
                <w:b/>
                <w:bCs/>
                <w:color w:val="000000"/>
              </w:rPr>
            </w:pPr>
          </w:p>
        </w:tc>
      </w:tr>
      <w:tr w:rsidR="00D46392" w:rsidRPr="002D2A94" w14:paraId="383E7390" w14:textId="77777777" w:rsidTr="005766AB">
        <w:trPr>
          <w:trHeight w:val="279"/>
        </w:trPr>
        <w:tc>
          <w:tcPr>
            <w:tcW w:w="2424" w:type="pct"/>
            <w:shd w:val="clear" w:color="auto" w:fill="auto"/>
            <w:noWrap/>
            <w:vAlign w:val="bottom"/>
          </w:tcPr>
          <w:p w14:paraId="71795114" w14:textId="77777777" w:rsidR="00D46392" w:rsidRPr="00557C50" w:rsidRDefault="00D46392" w:rsidP="005766AB">
            <w:pPr>
              <w:rPr>
                <w:rFonts w:cs="Calibri"/>
                <w:color w:val="000000"/>
              </w:rPr>
            </w:pPr>
            <w:r w:rsidRPr="00275F4B">
              <w:rPr>
                <w:rFonts w:cs="Calibri"/>
                <w:color w:val="000000"/>
              </w:rPr>
              <w:t>2% of false negatives</w:t>
            </w:r>
          </w:p>
        </w:tc>
        <w:tc>
          <w:tcPr>
            <w:tcW w:w="561" w:type="pct"/>
            <w:shd w:val="clear" w:color="auto" w:fill="auto"/>
            <w:noWrap/>
            <w:vAlign w:val="bottom"/>
          </w:tcPr>
          <w:p w14:paraId="562867E5" w14:textId="77777777" w:rsidR="00D46392" w:rsidRPr="00557C50" w:rsidRDefault="00D46392" w:rsidP="005766AB">
            <w:pPr>
              <w:jc w:val="center"/>
              <w:rPr>
                <w:rFonts w:cs="Calibri"/>
                <w:color w:val="000000"/>
              </w:rPr>
            </w:pPr>
            <w:r w:rsidRPr="00644464">
              <w:rPr>
                <w:rFonts w:cs="Calibri"/>
                <w:color w:val="000000"/>
              </w:rPr>
              <w:t>$50.54</w:t>
            </w:r>
          </w:p>
        </w:tc>
        <w:tc>
          <w:tcPr>
            <w:tcW w:w="707" w:type="pct"/>
            <w:shd w:val="clear" w:color="auto" w:fill="auto"/>
            <w:noWrap/>
            <w:vAlign w:val="bottom"/>
          </w:tcPr>
          <w:p w14:paraId="6726B14D"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526CD381" w14:textId="77777777" w:rsidR="00D46392" w:rsidRPr="00557C50" w:rsidRDefault="00D46392" w:rsidP="005766AB">
            <w:pPr>
              <w:jc w:val="center"/>
              <w:rPr>
                <w:rFonts w:cs="Calibri"/>
                <w:color w:val="000000"/>
              </w:rPr>
            </w:pPr>
            <w:r w:rsidRPr="00644464">
              <w:rPr>
                <w:rFonts w:cs="Calibri"/>
                <w:color w:val="000000"/>
              </w:rPr>
              <w:t>$3,604.89</w:t>
            </w:r>
          </w:p>
        </w:tc>
        <w:tc>
          <w:tcPr>
            <w:tcW w:w="601" w:type="pct"/>
            <w:vAlign w:val="bottom"/>
          </w:tcPr>
          <w:p w14:paraId="33FAD15C" w14:textId="77777777" w:rsidR="00D46392" w:rsidRPr="00557C50" w:rsidRDefault="00D46392" w:rsidP="005766AB">
            <w:pPr>
              <w:jc w:val="center"/>
              <w:rPr>
                <w:rFonts w:cs="Calibri"/>
                <w:color w:val="000000"/>
              </w:rPr>
            </w:pPr>
            <w:r w:rsidRPr="00644464">
              <w:rPr>
                <w:rFonts w:cs="Calibri"/>
                <w:color w:val="000000"/>
              </w:rPr>
              <w:t>-21%</w:t>
            </w:r>
          </w:p>
        </w:tc>
      </w:tr>
      <w:tr w:rsidR="00D46392" w:rsidRPr="002D2A94" w14:paraId="2519DC5B" w14:textId="77777777" w:rsidTr="005766AB">
        <w:trPr>
          <w:trHeight w:val="279"/>
        </w:trPr>
        <w:tc>
          <w:tcPr>
            <w:tcW w:w="5000" w:type="pct"/>
            <w:gridSpan w:val="5"/>
            <w:shd w:val="clear" w:color="auto" w:fill="auto"/>
            <w:noWrap/>
            <w:vAlign w:val="bottom"/>
          </w:tcPr>
          <w:p w14:paraId="4EE43D8B" w14:textId="77777777" w:rsidR="00D46392" w:rsidRPr="00557C50" w:rsidRDefault="00D46392" w:rsidP="005766AB">
            <w:pPr>
              <w:rPr>
                <w:rFonts w:cs="Calibri"/>
                <w:color w:val="000000"/>
              </w:rPr>
            </w:pPr>
            <w:r w:rsidRPr="00275F4B">
              <w:rPr>
                <w:rFonts w:cs="Calibri"/>
                <w:b/>
                <w:bCs/>
                <w:color w:val="000000"/>
              </w:rPr>
              <w:t xml:space="preserve">Resistance to second-line drugs among </w:t>
            </w:r>
            <w:r>
              <w:rPr>
                <w:rFonts w:cs="Calibri"/>
                <w:b/>
                <w:bCs/>
                <w:color w:val="000000"/>
              </w:rPr>
              <w:t>cases with MDR-TB</w:t>
            </w:r>
            <w:r w:rsidRPr="00275F4B">
              <w:rPr>
                <w:rFonts w:cs="Calibri"/>
                <w:b/>
                <w:bCs/>
                <w:color w:val="000000"/>
              </w:rPr>
              <w:t xml:space="preserve"> (</w:t>
            </w:r>
            <w:r>
              <w:rPr>
                <w:rFonts w:cs="Calibri"/>
                <w:b/>
                <w:bCs/>
                <w:color w:val="000000"/>
              </w:rPr>
              <w:t xml:space="preserve">Proportion of cases with MDR-TB resistant to </w:t>
            </w:r>
            <w:proofErr w:type="spellStart"/>
            <w:r>
              <w:rPr>
                <w:rFonts w:cs="Calibri"/>
                <w:b/>
                <w:bCs/>
                <w:color w:val="000000"/>
              </w:rPr>
              <w:t>clofazamine</w:t>
            </w:r>
            <w:proofErr w:type="spellEnd"/>
            <w:r>
              <w:rPr>
                <w:rFonts w:cs="Calibri"/>
                <w:b/>
                <w:bCs/>
                <w:color w:val="000000"/>
              </w:rPr>
              <w:t xml:space="preserve">: </w:t>
            </w:r>
            <w:r w:rsidRPr="00275F4B">
              <w:rPr>
                <w:rFonts w:cs="Calibri"/>
                <w:b/>
                <w:bCs/>
                <w:color w:val="000000"/>
              </w:rPr>
              <w:t>14.5%)</w:t>
            </w:r>
          </w:p>
        </w:tc>
      </w:tr>
      <w:tr w:rsidR="00D46392" w:rsidRPr="002D2A94" w14:paraId="686B39FE" w14:textId="77777777" w:rsidTr="005766AB">
        <w:trPr>
          <w:trHeight w:val="279"/>
        </w:trPr>
        <w:tc>
          <w:tcPr>
            <w:tcW w:w="2424" w:type="pct"/>
            <w:shd w:val="clear" w:color="auto" w:fill="auto"/>
            <w:noWrap/>
            <w:vAlign w:val="bottom"/>
          </w:tcPr>
          <w:p w14:paraId="6C27673F" w14:textId="77777777" w:rsidR="00D46392" w:rsidRDefault="00D46392" w:rsidP="005766AB">
            <w:pPr>
              <w:rPr>
                <w:rFonts w:cs="Calibri"/>
                <w:color w:val="000000"/>
              </w:rPr>
            </w:pPr>
            <w:r>
              <w:rPr>
                <w:rFonts w:cs="Calibri"/>
                <w:color w:val="000000"/>
              </w:rPr>
              <w:t>Moxifloxacin: 7.3%</w:t>
            </w:r>
          </w:p>
        </w:tc>
        <w:tc>
          <w:tcPr>
            <w:tcW w:w="561" w:type="pct"/>
            <w:shd w:val="clear" w:color="auto" w:fill="auto"/>
            <w:noWrap/>
            <w:vAlign w:val="bottom"/>
          </w:tcPr>
          <w:p w14:paraId="3EB0D412" w14:textId="77777777" w:rsidR="00D46392" w:rsidRPr="00557C50" w:rsidRDefault="00D46392" w:rsidP="005766AB">
            <w:pPr>
              <w:jc w:val="center"/>
              <w:rPr>
                <w:rFonts w:cs="Calibri"/>
                <w:color w:val="000000"/>
              </w:rPr>
            </w:pPr>
            <w:r w:rsidRPr="00644464">
              <w:rPr>
                <w:rFonts w:cs="Calibri"/>
                <w:color w:val="000000"/>
              </w:rPr>
              <w:t>$72.04</w:t>
            </w:r>
          </w:p>
        </w:tc>
        <w:tc>
          <w:tcPr>
            <w:tcW w:w="707" w:type="pct"/>
            <w:shd w:val="clear" w:color="auto" w:fill="auto"/>
            <w:noWrap/>
            <w:vAlign w:val="bottom"/>
          </w:tcPr>
          <w:p w14:paraId="20C49DDE"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31E913A2" w14:textId="77777777" w:rsidR="00D46392" w:rsidRPr="00557C50" w:rsidRDefault="00D46392" w:rsidP="005766AB">
            <w:pPr>
              <w:jc w:val="center"/>
              <w:rPr>
                <w:rFonts w:cs="Calibri"/>
                <w:color w:val="000000"/>
              </w:rPr>
            </w:pPr>
            <w:r w:rsidRPr="00644464">
              <w:rPr>
                <w:rFonts w:cs="Calibri"/>
                <w:color w:val="000000"/>
              </w:rPr>
              <w:t>$5,082.35</w:t>
            </w:r>
          </w:p>
        </w:tc>
        <w:tc>
          <w:tcPr>
            <w:tcW w:w="601" w:type="pct"/>
            <w:vAlign w:val="bottom"/>
          </w:tcPr>
          <w:p w14:paraId="55A2FA5A" w14:textId="77777777" w:rsidR="00D46392" w:rsidRPr="00557C50" w:rsidRDefault="00D46392" w:rsidP="005766AB">
            <w:pPr>
              <w:jc w:val="center"/>
              <w:rPr>
                <w:rFonts w:cs="Calibri"/>
                <w:color w:val="000000"/>
              </w:rPr>
            </w:pPr>
            <w:r w:rsidRPr="00644464">
              <w:rPr>
                <w:rFonts w:cs="Calibri"/>
                <w:color w:val="000000"/>
              </w:rPr>
              <w:t>12%</w:t>
            </w:r>
          </w:p>
        </w:tc>
      </w:tr>
      <w:tr w:rsidR="00D46392" w:rsidRPr="002D2A94" w14:paraId="36E791C3" w14:textId="77777777" w:rsidTr="005766AB">
        <w:trPr>
          <w:trHeight w:val="279"/>
        </w:trPr>
        <w:tc>
          <w:tcPr>
            <w:tcW w:w="2424" w:type="pct"/>
            <w:shd w:val="clear" w:color="auto" w:fill="auto"/>
            <w:noWrap/>
            <w:vAlign w:val="bottom"/>
          </w:tcPr>
          <w:p w14:paraId="749CA34E" w14:textId="77777777" w:rsidR="00D46392" w:rsidRDefault="00D46392" w:rsidP="005766AB">
            <w:pPr>
              <w:rPr>
                <w:rFonts w:cs="Calibri"/>
                <w:color w:val="000000"/>
              </w:rPr>
            </w:pPr>
            <w:proofErr w:type="spellStart"/>
            <w:r>
              <w:rPr>
                <w:rFonts w:cs="Calibri"/>
                <w:color w:val="000000"/>
              </w:rPr>
              <w:t>Cycloserine</w:t>
            </w:r>
            <w:proofErr w:type="spellEnd"/>
            <w:r>
              <w:rPr>
                <w:rFonts w:cs="Calibri"/>
                <w:color w:val="000000"/>
              </w:rPr>
              <w:t>: 9.1%</w:t>
            </w:r>
          </w:p>
        </w:tc>
        <w:tc>
          <w:tcPr>
            <w:tcW w:w="561" w:type="pct"/>
            <w:shd w:val="clear" w:color="auto" w:fill="auto"/>
            <w:noWrap/>
            <w:vAlign w:val="bottom"/>
          </w:tcPr>
          <w:p w14:paraId="3831E5F7" w14:textId="77777777" w:rsidR="00D46392" w:rsidRPr="00557C50" w:rsidRDefault="00D46392" w:rsidP="005766AB">
            <w:pPr>
              <w:jc w:val="center"/>
              <w:rPr>
                <w:rFonts w:cs="Calibri"/>
                <w:color w:val="000000"/>
              </w:rPr>
            </w:pPr>
            <w:r w:rsidRPr="00644464">
              <w:rPr>
                <w:rFonts w:cs="Calibri"/>
                <w:color w:val="000000"/>
              </w:rPr>
              <w:t>$69.98</w:t>
            </w:r>
          </w:p>
        </w:tc>
        <w:tc>
          <w:tcPr>
            <w:tcW w:w="707" w:type="pct"/>
            <w:shd w:val="clear" w:color="auto" w:fill="auto"/>
            <w:noWrap/>
            <w:vAlign w:val="bottom"/>
          </w:tcPr>
          <w:p w14:paraId="6D500DAB"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33294A44" w14:textId="77777777" w:rsidR="00D46392" w:rsidRPr="00557C50" w:rsidRDefault="00D46392" w:rsidP="005766AB">
            <w:pPr>
              <w:jc w:val="center"/>
              <w:rPr>
                <w:rFonts w:cs="Calibri"/>
                <w:color w:val="000000"/>
              </w:rPr>
            </w:pPr>
            <w:r w:rsidRPr="00644464">
              <w:rPr>
                <w:rFonts w:cs="Calibri"/>
                <w:color w:val="000000"/>
              </w:rPr>
              <w:t>$4,950.62</w:t>
            </w:r>
          </w:p>
        </w:tc>
        <w:tc>
          <w:tcPr>
            <w:tcW w:w="601" w:type="pct"/>
            <w:vAlign w:val="bottom"/>
          </w:tcPr>
          <w:p w14:paraId="5212D0F8" w14:textId="77777777" w:rsidR="00D46392" w:rsidRPr="00557C50" w:rsidRDefault="00D46392" w:rsidP="005766AB">
            <w:pPr>
              <w:jc w:val="center"/>
              <w:rPr>
                <w:rFonts w:cs="Calibri"/>
                <w:color w:val="000000"/>
              </w:rPr>
            </w:pPr>
            <w:r w:rsidRPr="00644464">
              <w:rPr>
                <w:rFonts w:cs="Calibri"/>
                <w:color w:val="000000"/>
              </w:rPr>
              <w:t>9%</w:t>
            </w:r>
          </w:p>
        </w:tc>
      </w:tr>
      <w:tr w:rsidR="00D46392" w:rsidRPr="002D2A94" w14:paraId="7CBA4FFE" w14:textId="77777777" w:rsidTr="005766AB">
        <w:trPr>
          <w:trHeight w:val="279"/>
        </w:trPr>
        <w:tc>
          <w:tcPr>
            <w:tcW w:w="2424" w:type="pct"/>
            <w:shd w:val="clear" w:color="auto" w:fill="auto"/>
            <w:noWrap/>
            <w:vAlign w:val="bottom"/>
          </w:tcPr>
          <w:p w14:paraId="6CCFAD3E" w14:textId="77777777" w:rsidR="00D46392" w:rsidRDefault="00D46392" w:rsidP="005766AB">
            <w:pPr>
              <w:rPr>
                <w:rFonts w:cs="Calibri"/>
                <w:color w:val="000000"/>
              </w:rPr>
            </w:pPr>
            <w:r>
              <w:rPr>
                <w:rFonts w:cs="Calibri"/>
                <w:color w:val="000000"/>
              </w:rPr>
              <w:t>Linezolid: 3.6%</w:t>
            </w:r>
          </w:p>
        </w:tc>
        <w:tc>
          <w:tcPr>
            <w:tcW w:w="561" w:type="pct"/>
            <w:shd w:val="clear" w:color="auto" w:fill="auto"/>
            <w:noWrap/>
            <w:vAlign w:val="bottom"/>
          </w:tcPr>
          <w:p w14:paraId="763627B2" w14:textId="77777777" w:rsidR="00D46392" w:rsidRPr="00557C50" w:rsidRDefault="00D46392" w:rsidP="005766AB">
            <w:pPr>
              <w:jc w:val="center"/>
              <w:rPr>
                <w:rFonts w:cs="Calibri"/>
                <w:color w:val="000000"/>
              </w:rPr>
            </w:pPr>
            <w:r w:rsidRPr="00644464">
              <w:rPr>
                <w:rFonts w:cs="Calibri"/>
                <w:color w:val="000000"/>
              </w:rPr>
              <w:t>$76.28</w:t>
            </w:r>
          </w:p>
        </w:tc>
        <w:tc>
          <w:tcPr>
            <w:tcW w:w="707" w:type="pct"/>
            <w:shd w:val="clear" w:color="auto" w:fill="auto"/>
            <w:noWrap/>
            <w:vAlign w:val="bottom"/>
          </w:tcPr>
          <w:p w14:paraId="169DC164" w14:textId="77777777" w:rsidR="00D46392" w:rsidRPr="00557C50"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3D10D832" w14:textId="77777777" w:rsidR="00D46392" w:rsidRPr="00557C50" w:rsidRDefault="00D46392" w:rsidP="005766AB">
            <w:pPr>
              <w:jc w:val="center"/>
              <w:rPr>
                <w:rFonts w:cs="Calibri"/>
                <w:color w:val="000000"/>
              </w:rPr>
            </w:pPr>
            <w:r w:rsidRPr="00644464">
              <w:rPr>
                <w:rFonts w:cs="Calibri"/>
                <w:color w:val="000000"/>
              </w:rPr>
              <w:t>$5,350.87</w:t>
            </w:r>
          </w:p>
        </w:tc>
        <w:tc>
          <w:tcPr>
            <w:tcW w:w="601" w:type="pct"/>
            <w:vAlign w:val="bottom"/>
          </w:tcPr>
          <w:p w14:paraId="4A42B8DA" w14:textId="77777777" w:rsidR="00D46392" w:rsidRPr="00557C50" w:rsidRDefault="00D46392" w:rsidP="005766AB">
            <w:pPr>
              <w:jc w:val="center"/>
              <w:rPr>
                <w:rFonts w:cs="Calibri"/>
                <w:color w:val="000000"/>
              </w:rPr>
            </w:pPr>
            <w:r w:rsidRPr="00644464">
              <w:rPr>
                <w:rFonts w:cs="Calibri"/>
                <w:color w:val="000000"/>
              </w:rPr>
              <w:t>18%</w:t>
            </w:r>
          </w:p>
        </w:tc>
      </w:tr>
      <w:tr w:rsidR="00D46392" w:rsidRPr="002D2A94" w14:paraId="7DB244F6" w14:textId="77777777" w:rsidTr="005766AB">
        <w:trPr>
          <w:trHeight w:val="279"/>
        </w:trPr>
        <w:tc>
          <w:tcPr>
            <w:tcW w:w="5000" w:type="pct"/>
            <w:gridSpan w:val="5"/>
            <w:shd w:val="clear" w:color="auto" w:fill="auto"/>
            <w:noWrap/>
            <w:vAlign w:val="bottom"/>
          </w:tcPr>
          <w:p w14:paraId="129BCA72" w14:textId="77777777" w:rsidR="00D46392" w:rsidRPr="00557C50" w:rsidRDefault="00D46392" w:rsidP="005766AB">
            <w:pPr>
              <w:rPr>
                <w:rFonts w:cs="Calibri"/>
                <w:color w:val="000000"/>
              </w:rPr>
            </w:pPr>
            <w:r w:rsidRPr="00275F4B">
              <w:rPr>
                <w:rFonts w:cs="Calibri"/>
                <w:b/>
                <w:bCs/>
                <w:color w:val="000000"/>
              </w:rPr>
              <w:t xml:space="preserve">Proportion of </w:t>
            </w:r>
            <w:r>
              <w:rPr>
                <w:rFonts w:cs="Calibri"/>
                <w:b/>
                <w:bCs/>
                <w:color w:val="000000"/>
              </w:rPr>
              <w:t xml:space="preserve">type of </w:t>
            </w:r>
            <w:r w:rsidRPr="00275F4B">
              <w:rPr>
                <w:rFonts w:cs="Calibri"/>
                <w:b/>
                <w:bCs/>
                <w:color w:val="000000"/>
              </w:rPr>
              <w:t>resistances</w:t>
            </w:r>
            <w:r>
              <w:rPr>
                <w:rFonts w:cs="Calibri"/>
                <w:b/>
                <w:bCs/>
                <w:color w:val="000000"/>
              </w:rPr>
              <w:t xml:space="preserve"> (Base-case: Average of 2015-18)</w:t>
            </w:r>
          </w:p>
        </w:tc>
      </w:tr>
      <w:tr w:rsidR="00D46392" w:rsidRPr="002D2A94" w14:paraId="678A47DB" w14:textId="77777777" w:rsidTr="005766AB">
        <w:trPr>
          <w:trHeight w:val="279"/>
        </w:trPr>
        <w:tc>
          <w:tcPr>
            <w:tcW w:w="2424" w:type="pct"/>
            <w:shd w:val="clear" w:color="auto" w:fill="auto"/>
            <w:noWrap/>
            <w:vAlign w:val="bottom"/>
          </w:tcPr>
          <w:p w14:paraId="3B0C917F" w14:textId="77777777" w:rsidR="00D46392" w:rsidRPr="00275F4B" w:rsidRDefault="00D46392" w:rsidP="005766AB">
            <w:pPr>
              <w:rPr>
                <w:rFonts w:cs="Calibri"/>
                <w:b/>
                <w:bCs/>
                <w:color w:val="000000"/>
              </w:rPr>
            </w:pPr>
            <w:r w:rsidRPr="00275F4B">
              <w:rPr>
                <w:rFonts w:cs="Calibri"/>
                <w:color w:val="000000"/>
              </w:rPr>
              <w:t>2015</w:t>
            </w:r>
          </w:p>
        </w:tc>
        <w:tc>
          <w:tcPr>
            <w:tcW w:w="561" w:type="pct"/>
            <w:shd w:val="clear" w:color="auto" w:fill="auto"/>
            <w:noWrap/>
            <w:vAlign w:val="bottom"/>
          </w:tcPr>
          <w:p w14:paraId="6C367FFD" w14:textId="77777777" w:rsidR="00D46392" w:rsidRPr="00557C50" w:rsidRDefault="00D46392" w:rsidP="005766AB">
            <w:pPr>
              <w:jc w:val="center"/>
              <w:rPr>
                <w:rFonts w:cs="Calibri"/>
                <w:color w:val="000000"/>
              </w:rPr>
            </w:pPr>
            <w:r w:rsidRPr="00644464">
              <w:rPr>
                <w:rFonts w:cs="Calibri"/>
                <w:color w:val="000000"/>
              </w:rPr>
              <w:t>$57.68</w:t>
            </w:r>
          </w:p>
        </w:tc>
        <w:tc>
          <w:tcPr>
            <w:tcW w:w="707" w:type="pct"/>
            <w:shd w:val="clear" w:color="auto" w:fill="auto"/>
            <w:noWrap/>
            <w:vAlign w:val="bottom"/>
          </w:tcPr>
          <w:p w14:paraId="01D8F85D" w14:textId="77777777" w:rsidR="00D46392" w:rsidRPr="00557C50" w:rsidRDefault="00D46392" w:rsidP="005766AB">
            <w:pPr>
              <w:jc w:val="center"/>
              <w:rPr>
                <w:rFonts w:cs="Calibri"/>
                <w:color w:val="000000"/>
              </w:rPr>
            </w:pPr>
            <w:r w:rsidRPr="00644464">
              <w:rPr>
                <w:rFonts w:cs="Calibri"/>
                <w:color w:val="000000"/>
              </w:rPr>
              <w:t>0.015</w:t>
            </w:r>
          </w:p>
        </w:tc>
        <w:tc>
          <w:tcPr>
            <w:tcW w:w="707" w:type="pct"/>
            <w:shd w:val="clear" w:color="auto" w:fill="auto"/>
            <w:noWrap/>
            <w:vAlign w:val="bottom"/>
          </w:tcPr>
          <w:p w14:paraId="7BBCA72D" w14:textId="77777777" w:rsidR="00D46392" w:rsidRPr="00557C50" w:rsidRDefault="00D46392" w:rsidP="005766AB">
            <w:pPr>
              <w:jc w:val="center"/>
              <w:rPr>
                <w:rFonts w:cs="Calibri"/>
                <w:color w:val="000000"/>
              </w:rPr>
            </w:pPr>
            <w:r w:rsidRPr="00644464">
              <w:rPr>
                <w:rFonts w:cs="Calibri"/>
                <w:color w:val="000000"/>
              </w:rPr>
              <w:t>$3,772.92</w:t>
            </w:r>
          </w:p>
        </w:tc>
        <w:tc>
          <w:tcPr>
            <w:tcW w:w="601" w:type="pct"/>
            <w:vAlign w:val="bottom"/>
          </w:tcPr>
          <w:p w14:paraId="0F666DAD" w14:textId="77777777" w:rsidR="00D46392" w:rsidRPr="00557C50" w:rsidRDefault="00D46392" w:rsidP="005766AB">
            <w:pPr>
              <w:jc w:val="center"/>
              <w:rPr>
                <w:rFonts w:cs="Calibri"/>
                <w:color w:val="000000"/>
              </w:rPr>
            </w:pPr>
            <w:r w:rsidRPr="00644464">
              <w:rPr>
                <w:rFonts w:cs="Calibri"/>
                <w:color w:val="000000"/>
              </w:rPr>
              <w:t>-17%</w:t>
            </w:r>
          </w:p>
        </w:tc>
      </w:tr>
      <w:tr w:rsidR="00D46392" w:rsidRPr="002D2A94" w14:paraId="48C18F30" w14:textId="77777777" w:rsidTr="005766AB">
        <w:trPr>
          <w:trHeight w:val="279"/>
        </w:trPr>
        <w:tc>
          <w:tcPr>
            <w:tcW w:w="2424" w:type="pct"/>
            <w:shd w:val="clear" w:color="auto" w:fill="auto"/>
            <w:noWrap/>
            <w:vAlign w:val="bottom"/>
          </w:tcPr>
          <w:p w14:paraId="3EF39DBC" w14:textId="77777777" w:rsidR="00D46392" w:rsidRPr="00275F4B" w:rsidRDefault="00D46392" w:rsidP="005766AB">
            <w:pPr>
              <w:rPr>
                <w:rFonts w:cs="Calibri"/>
                <w:color w:val="000000"/>
              </w:rPr>
            </w:pPr>
            <w:r w:rsidRPr="00275F4B">
              <w:rPr>
                <w:rFonts w:cs="Calibri"/>
                <w:color w:val="000000"/>
              </w:rPr>
              <w:t>2016</w:t>
            </w:r>
          </w:p>
        </w:tc>
        <w:tc>
          <w:tcPr>
            <w:tcW w:w="561" w:type="pct"/>
            <w:shd w:val="clear" w:color="auto" w:fill="auto"/>
            <w:noWrap/>
            <w:vAlign w:val="bottom"/>
          </w:tcPr>
          <w:p w14:paraId="22F714D5" w14:textId="77777777" w:rsidR="00D46392" w:rsidRPr="00275F4B" w:rsidRDefault="00D46392" w:rsidP="005766AB">
            <w:pPr>
              <w:jc w:val="center"/>
              <w:rPr>
                <w:rFonts w:cs="Calibri"/>
                <w:color w:val="000000"/>
              </w:rPr>
            </w:pPr>
            <w:r w:rsidRPr="00644464">
              <w:rPr>
                <w:rFonts w:cs="Calibri"/>
                <w:color w:val="000000"/>
              </w:rPr>
              <w:t>$64.94</w:t>
            </w:r>
          </w:p>
        </w:tc>
        <w:tc>
          <w:tcPr>
            <w:tcW w:w="707" w:type="pct"/>
            <w:shd w:val="clear" w:color="auto" w:fill="auto"/>
            <w:noWrap/>
            <w:vAlign w:val="bottom"/>
          </w:tcPr>
          <w:p w14:paraId="7BE6F98E" w14:textId="77777777" w:rsidR="00D46392" w:rsidRPr="00275F4B" w:rsidRDefault="00D46392" w:rsidP="005766AB">
            <w:pPr>
              <w:jc w:val="center"/>
              <w:rPr>
                <w:rFonts w:cs="Calibri"/>
                <w:color w:val="000000"/>
              </w:rPr>
            </w:pPr>
            <w:r w:rsidRPr="00644464">
              <w:rPr>
                <w:rFonts w:cs="Calibri"/>
                <w:color w:val="000000"/>
              </w:rPr>
              <w:t>0.015</w:t>
            </w:r>
          </w:p>
        </w:tc>
        <w:tc>
          <w:tcPr>
            <w:tcW w:w="707" w:type="pct"/>
            <w:shd w:val="clear" w:color="auto" w:fill="auto"/>
            <w:noWrap/>
            <w:vAlign w:val="bottom"/>
          </w:tcPr>
          <w:p w14:paraId="6700B60B" w14:textId="77777777" w:rsidR="00D46392" w:rsidRPr="00275F4B" w:rsidRDefault="00D46392" w:rsidP="005766AB">
            <w:pPr>
              <w:jc w:val="center"/>
              <w:rPr>
                <w:rFonts w:cs="Calibri"/>
                <w:color w:val="000000"/>
              </w:rPr>
            </w:pPr>
            <w:r w:rsidRPr="00644464">
              <w:rPr>
                <w:rFonts w:cs="Calibri"/>
                <w:color w:val="000000"/>
              </w:rPr>
              <w:t>$4,473.73</w:t>
            </w:r>
          </w:p>
        </w:tc>
        <w:tc>
          <w:tcPr>
            <w:tcW w:w="601" w:type="pct"/>
            <w:vAlign w:val="bottom"/>
          </w:tcPr>
          <w:p w14:paraId="2154AEC5" w14:textId="77777777" w:rsidR="00D46392" w:rsidRPr="00275F4B" w:rsidRDefault="00D46392" w:rsidP="005766AB">
            <w:pPr>
              <w:jc w:val="center"/>
              <w:rPr>
                <w:rFonts w:cs="Calibri"/>
                <w:color w:val="000000"/>
              </w:rPr>
            </w:pPr>
            <w:r w:rsidRPr="00644464">
              <w:rPr>
                <w:rFonts w:cs="Calibri"/>
                <w:color w:val="000000"/>
              </w:rPr>
              <w:t>-2%</w:t>
            </w:r>
          </w:p>
        </w:tc>
      </w:tr>
      <w:tr w:rsidR="00D46392" w:rsidRPr="002D2A94" w14:paraId="276CD295" w14:textId="77777777" w:rsidTr="005766AB">
        <w:trPr>
          <w:trHeight w:val="279"/>
        </w:trPr>
        <w:tc>
          <w:tcPr>
            <w:tcW w:w="2424" w:type="pct"/>
            <w:shd w:val="clear" w:color="auto" w:fill="auto"/>
            <w:noWrap/>
            <w:vAlign w:val="bottom"/>
          </w:tcPr>
          <w:p w14:paraId="449EF330" w14:textId="77777777" w:rsidR="00D46392" w:rsidRPr="00275F4B" w:rsidRDefault="00D46392" w:rsidP="005766AB">
            <w:pPr>
              <w:rPr>
                <w:rFonts w:cs="Calibri"/>
                <w:color w:val="000000"/>
              </w:rPr>
            </w:pPr>
            <w:r w:rsidRPr="00275F4B">
              <w:rPr>
                <w:rFonts w:cs="Calibri"/>
                <w:color w:val="000000"/>
              </w:rPr>
              <w:t>2017</w:t>
            </w:r>
          </w:p>
        </w:tc>
        <w:tc>
          <w:tcPr>
            <w:tcW w:w="561" w:type="pct"/>
            <w:shd w:val="clear" w:color="auto" w:fill="auto"/>
            <w:noWrap/>
            <w:vAlign w:val="bottom"/>
          </w:tcPr>
          <w:p w14:paraId="20E44E9B" w14:textId="77777777" w:rsidR="00D46392" w:rsidRPr="00275F4B" w:rsidRDefault="00D46392" w:rsidP="005766AB">
            <w:pPr>
              <w:jc w:val="center"/>
              <w:rPr>
                <w:rFonts w:cs="Calibri"/>
                <w:color w:val="000000"/>
              </w:rPr>
            </w:pPr>
            <w:r w:rsidRPr="00644464">
              <w:rPr>
                <w:rFonts w:cs="Calibri"/>
                <w:color w:val="000000"/>
              </w:rPr>
              <w:t>$68.15</w:t>
            </w:r>
          </w:p>
        </w:tc>
        <w:tc>
          <w:tcPr>
            <w:tcW w:w="707" w:type="pct"/>
            <w:shd w:val="clear" w:color="auto" w:fill="auto"/>
            <w:noWrap/>
            <w:vAlign w:val="bottom"/>
          </w:tcPr>
          <w:p w14:paraId="71A865CD" w14:textId="77777777" w:rsidR="00D46392" w:rsidRPr="00275F4B" w:rsidRDefault="00D46392" w:rsidP="005766AB">
            <w:pPr>
              <w:jc w:val="center"/>
              <w:rPr>
                <w:rFonts w:cs="Calibri"/>
                <w:color w:val="000000"/>
              </w:rPr>
            </w:pPr>
            <w:r w:rsidRPr="00644464">
              <w:rPr>
                <w:rFonts w:cs="Calibri"/>
                <w:color w:val="000000"/>
              </w:rPr>
              <w:t>0.013</w:t>
            </w:r>
          </w:p>
        </w:tc>
        <w:tc>
          <w:tcPr>
            <w:tcW w:w="707" w:type="pct"/>
            <w:shd w:val="clear" w:color="auto" w:fill="auto"/>
            <w:noWrap/>
            <w:vAlign w:val="bottom"/>
          </w:tcPr>
          <w:p w14:paraId="64564CFA" w14:textId="77777777" w:rsidR="00D46392" w:rsidRPr="00275F4B" w:rsidRDefault="00D46392" w:rsidP="005766AB">
            <w:pPr>
              <w:jc w:val="center"/>
              <w:rPr>
                <w:rFonts w:cs="Calibri"/>
                <w:color w:val="000000"/>
              </w:rPr>
            </w:pPr>
            <w:r w:rsidRPr="00644464">
              <w:rPr>
                <w:rFonts w:cs="Calibri"/>
                <w:color w:val="000000"/>
              </w:rPr>
              <w:t>$5,309.38</w:t>
            </w:r>
          </w:p>
        </w:tc>
        <w:tc>
          <w:tcPr>
            <w:tcW w:w="601" w:type="pct"/>
            <w:vAlign w:val="bottom"/>
          </w:tcPr>
          <w:p w14:paraId="5DD3F50D" w14:textId="77777777" w:rsidR="00D46392" w:rsidRPr="00275F4B" w:rsidRDefault="00D46392" w:rsidP="005766AB">
            <w:pPr>
              <w:jc w:val="center"/>
              <w:rPr>
                <w:rFonts w:cs="Calibri"/>
                <w:color w:val="000000"/>
              </w:rPr>
            </w:pPr>
            <w:r w:rsidRPr="00644464">
              <w:rPr>
                <w:rFonts w:cs="Calibri"/>
                <w:color w:val="000000"/>
              </w:rPr>
              <w:t>17%</w:t>
            </w:r>
          </w:p>
        </w:tc>
      </w:tr>
      <w:tr w:rsidR="00D46392" w:rsidRPr="002D2A94" w14:paraId="2EB665A8" w14:textId="77777777" w:rsidTr="005766AB">
        <w:trPr>
          <w:trHeight w:val="279"/>
        </w:trPr>
        <w:tc>
          <w:tcPr>
            <w:tcW w:w="2424" w:type="pct"/>
            <w:shd w:val="clear" w:color="auto" w:fill="auto"/>
            <w:noWrap/>
            <w:vAlign w:val="bottom"/>
          </w:tcPr>
          <w:p w14:paraId="14D77653" w14:textId="77777777" w:rsidR="00D46392" w:rsidRPr="00275F4B" w:rsidRDefault="00D46392" w:rsidP="005766AB">
            <w:pPr>
              <w:rPr>
                <w:rFonts w:cs="Calibri"/>
                <w:color w:val="000000"/>
              </w:rPr>
            </w:pPr>
            <w:r w:rsidRPr="00275F4B">
              <w:rPr>
                <w:rFonts w:cs="Calibri"/>
                <w:color w:val="000000"/>
              </w:rPr>
              <w:t>2018</w:t>
            </w:r>
          </w:p>
        </w:tc>
        <w:tc>
          <w:tcPr>
            <w:tcW w:w="561" w:type="pct"/>
            <w:shd w:val="clear" w:color="auto" w:fill="auto"/>
            <w:noWrap/>
            <w:vAlign w:val="bottom"/>
          </w:tcPr>
          <w:p w14:paraId="28E2F99D" w14:textId="77777777" w:rsidR="00D46392" w:rsidRPr="00275F4B" w:rsidRDefault="00D46392" w:rsidP="005766AB">
            <w:pPr>
              <w:jc w:val="center"/>
              <w:rPr>
                <w:rFonts w:cs="Calibri"/>
                <w:color w:val="000000"/>
              </w:rPr>
            </w:pPr>
            <w:r w:rsidRPr="00644464">
              <w:rPr>
                <w:rFonts w:cs="Calibri"/>
                <w:color w:val="000000"/>
              </w:rPr>
              <w:t>$63.85</w:t>
            </w:r>
          </w:p>
        </w:tc>
        <w:tc>
          <w:tcPr>
            <w:tcW w:w="707" w:type="pct"/>
            <w:shd w:val="clear" w:color="auto" w:fill="auto"/>
            <w:noWrap/>
            <w:vAlign w:val="bottom"/>
          </w:tcPr>
          <w:p w14:paraId="268EBD00" w14:textId="77777777" w:rsidR="00D46392" w:rsidRPr="00275F4B" w:rsidRDefault="00D46392" w:rsidP="005766AB">
            <w:pPr>
              <w:jc w:val="center"/>
              <w:rPr>
                <w:rFonts w:cs="Calibri"/>
                <w:color w:val="000000"/>
              </w:rPr>
            </w:pPr>
            <w:r w:rsidRPr="00644464">
              <w:rPr>
                <w:rFonts w:cs="Calibri"/>
                <w:color w:val="000000"/>
              </w:rPr>
              <w:t>0.014</w:t>
            </w:r>
          </w:p>
        </w:tc>
        <w:tc>
          <w:tcPr>
            <w:tcW w:w="707" w:type="pct"/>
            <w:shd w:val="clear" w:color="auto" w:fill="auto"/>
            <w:noWrap/>
            <w:vAlign w:val="bottom"/>
          </w:tcPr>
          <w:p w14:paraId="4CF56EFC" w14:textId="77777777" w:rsidR="00D46392" w:rsidRPr="00275F4B" w:rsidRDefault="00D46392" w:rsidP="005766AB">
            <w:pPr>
              <w:jc w:val="center"/>
              <w:rPr>
                <w:rFonts w:cs="Calibri"/>
                <w:color w:val="000000"/>
              </w:rPr>
            </w:pPr>
            <w:r w:rsidRPr="00644464">
              <w:rPr>
                <w:rFonts w:cs="Calibri"/>
                <w:color w:val="000000"/>
              </w:rPr>
              <w:t>$4,704.10</w:t>
            </w:r>
          </w:p>
        </w:tc>
        <w:tc>
          <w:tcPr>
            <w:tcW w:w="601" w:type="pct"/>
            <w:vAlign w:val="bottom"/>
          </w:tcPr>
          <w:p w14:paraId="7EAF860C" w14:textId="77777777" w:rsidR="00D46392" w:rsidRPr="00275F4B" w:rsidRDefault="00D46392" w:rsidP="005766AB">
            <w:pPr>
              <w:jc w:val="center"/>
              <w:rPr>
                <w:rFonts w:cs="Calibri"/>
                <w:color w:val="000000"/>
              </w:rPr>
            </w:pPr>
            <w:r w:rsidRPr="00644464">
              <w:rPr>
                <w:rFonts w:cs="Calibri"/>
                <w:color w:val="000000"/>
              </w:rPr>
              <w:t>3%</w:t>
            </w:r>
          </w:p>
        </w:tc>
      </w:tr>
    </w:tbl>
    <w:p w14:paraId="7AF71560" w14:textId="77777777" w:rsidR="00D46392" w:rsidRPr="00D46392" w:rsidRDefault="00D46392" w:rsidP="00D46392">
      <w:pPr>
        <w:pStyle w:val="Tablenotes0"/>
      </w:pPr>
      <w:r w:rsidRPr="00D46392">
        <w:t xml:space="preserve">DST = drug susceptibility testing; I = isoniazid; ICER = incremental cost-effectiveness ratio; MBS = Medicare Benefits Schedule; MDR-TB = multi-drug resistance tuberculosis; </w:t>
      </w:r>
      <w:proofErr w:type="spellStart"/>
      <w:r w:rsidRPr="00D46392">
        <w:t>pDST</w:t>
      </w:r>
      <w:proofErr w:type="spellEnd"/>
      <w:r w:rsidRPr="00D46392">
        <w:t xml:space="preserve"> = phenotypic drug susceptibility testing; R = rifampicin; SA = South Australian; WGS = whole genome sequencing </w:t>
      </w:r>
    </w:p>
    <w:p w14:paraId="4519492F" w14:textId="4B4396A5" w:rsidR="00136969" w:rsidRPr="00A436C5" w:rsidRDefault="00065623" w:rsidP="00E06036">
      <w:pPr>
        <w:pStyle w:val="Heading1"/>
      </w:pPr>
      <w:r w:rsidRPr="00A436C5">
        <w:lastRenderedPageBreak/>
        <w:t>Financial/budgetary impacts</w:t>
      </w:r>
    </w:p>
    <w:p w14:paraId="33A98147" w14:textId="07EBA6EF" w:rsidR="009F0065" w:rsidRPr="006F4EBA" w:rsidRDefault="009F0065" w:rsidP="008D1C4A">
      <w:pPr>
        <w:spacing w:before="120" w:after="160"/>
        <w:rPr>
          <w:rFonts w:ascii="Franklin Gothic Book" w:eastAsia="Calibri" w:hAnsi="Franklin Gothic Book"/>
          <w:sz w:val="22"/>
          <w:szCs w:val="22"/>
          <w:lang w:eastAsia="en-US"/>
        </w:rPr>
      </w:pPr>
      <w:r w:rsidRPr="006F4EBA">
        <w:rPr>
          <w:rFonts w:ascii="Franklin Gothic Book" w:eastAsia="Calibri" w:hAnsi="Franklin Gothic Book"/>
          <w:sz w:val="22"/>
          <w:szCs w:val="22"/>
          <w:lang w:eastAsia="en-US"/>
        </w:rPr>
        <w:t>An epidemiological approach was used to estimate the financial implications of use of WGS of mycobacteria to identify drug-resistant pathogens. The primary sources of data used to calculate the financial impact of addition of WGS are: Australian population projections estimates (2022 to 202</w:t>
      </w:r>
      <w:r w:rsidRPr="00DC304B">
        <w:rPr>
          <w:rFonts w:ascii="Franklin Gothic Book" w:eastAsia="Calibri" w:hAnsi="Franklin Gothic Book"/>
          <w:sz w:val="22"/>
          <w:szCs w:val="22"/>
          <w:lang w:eastAsia="en-US"/>
        </w:rPr>
        <w:t>7</w:t>
      </w:r>
      <w:r w:rsidRPr="006F4EBA">
        <w:rPr>
          <w:rFonts w:ascii="Franklin Gothic Book" w:eastAsia="Calibri" w:hAnsi="Franklin Gothic Book"/>
          <w:sz w:val="22"/>
          <w:szCs w:val="22"/>
          <w:lang w:eastAsia="en-US"/>
        </w:rPr>
        <w:t>) from</w:t>
      </w:r>
      <w:r w:rsidR="00DC304B">
        <w:rPr>
          <w:rFonts w:ascii="Franklin Gothic Book" w:eastAsia="Calibri" w:hAnsi="Franklin Gothic Book"/>
          <w:sz w:val="22"/>
          <w:szCs w:val="22"/>
          <w:lang w:eastAsia="en-US"/>
        </w:rPr>
        <w:t xml:space="preserve"> the</w:t>
      </w:r>
      <w:r w:rsidRPr="006F4EBA">
        <w:rPr>
          <w:rFonts w:ascii="Franklin Gothic Book" w:eastAsia="Calibri" w:hAnsi="Franklin Gothic Book"/>
          <w:sz w:val="22"/>
          <w:szCs w:val="22"/>
          <w:lang w:eastAsia="en-US"/>
        </w:rPr>
        <w:t xml:space="preserve"> Australian Bureau of Statistics (ABS)</w:t>
      </w:r>
      <w:r w:rsidRPr="0094578F">
        <w:rPr>
          <w:rFonts w:ascii="Franklin Gothic Book" w:eastAsia="Calibri" w:hAnsi="Franklin Gothic Book"/>
          <w:sz w:val="22"/>
          <w:szCs w:val="22"/>
          <w:vertAlign w:val="superscript"/>
          <w:lang w:eastAsia="en-US"/>
        </w:rPr>
        <w:footnoteReference w:id="11"/>
      </w:r>
      <w:r w:rsidRPr="006F4EBA">
        <w:rPr>
          <w:rFonts w:ascii="Franklin Gothic Book" w:eastAsia="Calibri" w:hAnsi="Franklin Gothic Book"/>
          <w:sz w:val="22"/>
          <w:szCs w:val="22"/>
          <w:lang w:eastAsia="en-US"/>
        </w:rPr>
        <w:t xml:space="preserve"> and annual TB disease notifications </w:t>
      </w:r>
      <w:r w:rsidRPr="006F4EBA">
        <w:rPr>
          <w:rFonts w:ascii="Franklin Gothic Book" w:eastAsia="Calibri" w:hAnsi="Franklin Gothic Book"/>
          <w:sz w:val="22"/>
          <w:szCs w:val="22"/>
          <w:lang w:eastAsia="en-US"/>
        </w:rPr>
        <w:fldChar w:fldCharType="begin"/>
      </w:r>
      <w:r w:rsidRPr="006F4EBA">
        <w:rPr>
          <w:rFonts w:ascii="Franklin Gothic Book" w:eastAsia="Calibri" w:hAnsi="Franklin Gothic Book"/>
          <w:sz w:val="22"/>
          <w:szCs w:val="22"/>
          <w:lang w:eastAsia="en-US"/>
        </w:rPr>
        <w:instrText xml:space="preserve"> ADDIN EN.CITE &lt;EndNote&gt;&lt;Cite&gt;&lt;Author&gt;Bright&lt;/Author&gt;&lt;Year&gt;2020&lt;/Year&gt;&lt;RecNum&gt;1&lt;/RecNum&gt;&lt;DisplayText&gt;(Bright et al. 2020)&lt;/DisplayText&gt;&lt;record&gt;&lt;rec-number&gt;1&lt;/rec-number&gt;&lt;foreign-keys&gt;&lt;key app="EN" db-id="vdf9px0aurs9vmexfr1xweabwwwr5tevreas" timestamp="1615351835" guid="026e7380-3292-44c4-a4d0-4fcfaf0fd053"&gt;1&lt;/key&gt;&lt;/foreign-keys&gt;&lt;ref-type name="Journal Article"&gt;17&lt;/ref-type&gt;&lt;contributors&gt;&lt;authors&gt;&lt;author&gt;Bright, A.&lt;/author&gt;&lt;author&gt;Denholm, J.&lt;/author&gt;&lt;author&gt;Coulter, C.&lt;/author&gt;&lt;author&gt;Waring, J.&lt;/author&gt;&lt;author&gt;Stapledon, R.&lt;/author&gt;&lt;/authors&gt;&lt;/contributors&gt;&lt;auth-address&gt;Office of Health Protection and Response Division, Department of Health, Canberra, ACT.&amp;#xD;Victorian Tuberculosis Program, Melbourne Health, Melbourne Vic.&amp;#xD;Queensland Mycobacterium Reference Laboratory, Pathology Queensland, Brisbane Qld.&amp;#xD;Western Australia Tuberculosis Program, WA Health, Perth WA.&amp;#xD;South Australian Tuberculosis Services, Royal Adelaide Hospital, Adelaide SA.&lt;/auth-address&gt;&lt;titles&gt;&lt;title&gt;Tuberculosis notifications in Australia, 2015-2018&lt;/title&gt;&lt;secondary-title&gt;Commun Dis Intell (2018)&lt;/secondary-title&gt;&lt;/titles&gt;&lt;periodical&gt;&lt;full-title&gt;Commun Dis Intell (2018)&lt;/full-title&gt;&lt;/periodical&gt;&lt;volume&gt;44&lt;/volume&gt;&lt;edition&gt;2020/12/07&lt;/edition&gt;&lt;keywords&gt;&lt;keyword&gt;Australia&lt;/keyword&gt;&lt;keyword&gt;Mycobacterium tuberculosis&lt;/keyword&gt;&lt;keyword&gt;annual report&lt;/keyword&gt;&lt;keyword&gt;communicable disease surveillance&lt;/keyword&gt;&lt;keyword&gt;epidemiology&lt;/keyword&gt;&lt;keyword&gt;tuberculosis&lt;/keyword&gt;&lt;/keywords&gt;&lt;dates&gt;&lt;year&gt;2020&lt;/year&gt;&lt;pub-dates&gt;&lt;date&gt;Oct 25&lt;/date&gt;&lt;/pub-dates&gt;&lt;/dates&gt;&lt;isbn&gt;2209-6051 (Electronic)&amp;#xD;2209-6051 (Linking)&lt;/isbn&gt;&lt;accession-num&gt;33278873&lt;/accession-num&gt;&lt;urls&gt;&lt;related-urls&gt;&lt;url&gt;https://www.ncbi.nlm.nih.gov/pubmed/33278873&lt;/url&gt;&lt;/related-urls&gt;&lt;/urls&gt;&lt;electronic-resource-num&gt;10.33321/cdi.2020.44.88&lt;/electronic-resource-num&gt;&lt;/record&gt;&lt;/Cite&gt;&lt;/EndNote&gt;</w:instrText>
      </w:r>
      <w:r w:rsidRPr="006F4EBA">
        <w:rPr>
          <w:rFonts w:ascii="Franklin Gothic Book" w:eastAsia="Calibri" w:hAnsi="Franklin Gothic Book"/>
          <w:sz w:val="22"/>
          <w:szCs w:val="22"/>
          <w:lang w:eastAsia="en-US"/>
        </w:rPr>
        <w:fldChar w:fldCharType="separate"/>
      </w:r>
      <w:r w:rsidRPr="006F4EBA">
        <w:rPr>
          <w:rFonts w:ascii="Franklin Gothic Book" w:eastAsia="Calibri" w:hAnsi="Franklin Gothic Book"/>
          <w:sz w:val="22"/>
          <w:szCs w:val="22"/>
          <w:lang w:eastAsia="en-US"/>
        </w:rPr>
        <w:t>(Bright et al. 2020)</w:t>
      </w:r>
      <w:r w:rsidRPr="006F4EBA">
        <w:rPr>
          <w:rFonts w:ascii="Franklin Gothic Book" w:eastAsia="Calibri" w:hAnsi="Franklin Gothic Book"/>
          <w:sz w:val="22"/>
          <w:szCs w:val="22"/>
          <w:lang w:eastAsia="en-US"/>
        </w:rPr>
        <w:fldChar w:fldCharType="end"/>
      </w:r>
      <w:r w:rsidR="00DC304B">
        <w:rPr>
          <w:rStyle w:val="FootnoteReference"/>
          <w:rFonts w:ascii="Franklin Gothic Book" w:eastAsia="Calibri" w:hAnsi="Franklin Gothic Book"/>
          <w:sz w:val="22"/>
          <w:szCs w:val="22"/>
          <w:lang w:eastAsia="en-US"/>
        </w:rPr>
        <w:footnoteReference w:id="12"/>
      </w:r>
      <w:r w:rsidRPr="006F4EBA">
        <w:rPr>
          <w:rFonts w:ascii="Franklin Gothic Book" w:eastAsia="Calibri" w:hAnsi="Franklin Gothic Book"/>
          <w:sz w:val="22"/>
          <w:szCs w:val="22"/>
          <w:lang w:eastAsia="en-US"/>
        </w:rPr>
        <w:t>.</w:t>
      </w:r>
    </w:p>
    <w:p w14:paraId="08D141C2" w14:textId="1992E4C7" w:rsidR="009F0065" w:rsidRPr="006F4EBA" w:rsidRDefault="009F0065" w:rsidP="008D1C4A">
      <w:pPr>
        <w:spacing w:before="120" w:after="160"/>
        <w:rPr>
          <w:rFonts w:ascii="Franklin Gothic Book" w:eastAsia="Calibri" w:hAnsi="Franklin Gothic Book"/>
          <w:sz w:val="22"/>
          <w:szCs w:val="22"/>
          <w:lang w:eastAsia="en-US"/>
        </w:rPr>
      </w:pPr>
      <w:r w:rsidRPr="006F4EBA">
        <w:rPr>
          <w:rFonts w:ascii="Franklin Gothic Book" w:eastAsia="Calibri" w:hAnsi="Franklin Gothic Book"/>
          <w:sz w:val="22"/>
          <w:szCs w:val="22"/>
          <w:lang w:eastAsia="en-US"/>
        </w:rPr>
        <w:t xml:space="preserve">The financial implications associated with addition of WGS to identify drug resistant pathogens are presented in </w:t>
      </w:r>
      <w:r w:rsidRPr="006F4EBA">
        <w:rPr>
          <w:rFonts w:ascii="Franklin Gothic Book" w:eastAsia="Calibri" w:hAnsi="Franklin Gothic Book"/>
          <w:sz w:val="22"/>
          <w:szCs w:val="22"/>
          <w:lang w:eastAsia="en-US"/>
        </w:rPr>
        <w:fldChar w:fldCharType="begin"/>
      </w:r>
      <w:r w:rsidRPr="006F4EBA">
        <w:rPr>
          <w:rFonts w:ascii="Franklin Gothic Book" w:eastAsia="Calibri" w:hAnsi="Franklin Gothic Book"/>
          <w:sz w:val="22"/>
          <w:szCs w:val="22"/>
          <w:lang w:eastAsia="en-US"/>
        </w:rPr>
        <w:instrText xml:space="preserve"> REF _Ref90039585 \h </w:instrText>
      </w:r>
      <w:r w:rsidR="006F4EBA">
        <w:rPr>
          <w:rFonts w:ascii="Franklin Gothic Book" w:eastAsia="Calibri" w:hAnsi="Franklin Gothic Book"/>
          <w:sz w:val="22"/>
          <w:szCs w:val="22"/>
          <w:lang w:eastAsia="en-US"/>
        </w:rPr>
        <w:instrText xml:space="preserve"> \* MERGEFORMAT </w:instrText>
      </w:r>
      <w:r w:rsidRPr="006F4EBA">
        <w:rPr>
          <w:rFonts w:ascii="Franklin Gothic Book" w:eastAsia="Calibri" w:hAnsi="Franklin Gothic Book"/>
          <w:sz w:val="22"/>
          <w:szCs w:val="22"/>
          <w:lang w:eastAsia="en-US"/>
        </w:rPr>
      </w:r>
      <w:r w:rsidRPr="006F4EBA">
        <w:rPr>
          <w:rFonts w:ascii="Franklin Gothic Book" w:eastAsia="Calibri" w:hAnsi="Franklin Gothic Book"/>
          <w:sz w:val="22"/>
          <w:szCs w:val="22"/>
          <w:lang w:eastAsia="en-US"/>
        </w:rPr>
        <w:fldChar w:fldCharType="separate"/>
      </w:r>
      <w:r w:rsidR="004C2B2A" w:rsidRPr="004C2B2A">
        <w:rPr>
          <w:rFonts w:ascii="Franklin Gothic Book" w:eastAsia="Calibri" w:hAnsi="Franklin Gothic Book"/>
          <w:sz w:val="22"/>
          <w:szCs w:val="22"/>
          <w:lang w:eastAsia="en-US"/>
        </w:rPr>
        <w:t>Table 18</w:t>
      </w:r>
      <w:r w:rsidRPr="006F4EBA">
        <w:rPr>
          <w:rFonts w:ascii="Franklin Gothic Book" w:eastAsia="Calibri" w:hAnsi="Franklin Gothic Book"/>
          <w:sz w:val="22"/>
          <w:szCs w:val="22"/>
          <w:lang w:eastAsia="en-US"/>
        </w:rPr>
        <w:fldChar w:fldCharType="end"/>
      </w:r>
      <w:r w:rsidRPr="006F4EBA">
        <w:rPr>
          <w:rFonts w:ascii="Franklin Gothic Book" w:eastAsia="Calibri" w:hAnsi="Franklin Gothic Book"/>
          <w:sz w:val="22"/>
          <w:szCs w:val="22"/>
          <w:lang w:eastAsia="en-US"/>
        </w:rPr>
        <w:t xml:space="preserve">. </w:t>
      </w:r>
    </w:p>
    <w:p w14:paraId="5ED47575" w14:textId="3F464EB2" w:rsidR="009F0065" w:rsidRPr="00CE28E3" w:rsidRDefault="009F0065" w:rsidP="009F0065">
      <w:pPr>
        <w:pStyle w:val="Caption"/>
      </w:pPr>
      <w:bookmarkStart w:id="34" w:name="_Ref90039585"/>
      <w:r w:rsidRPr="00CE28E3">
        <w:t>Table</w:t>
      </w:r>
      <w:r>
        <w:t> </w:t>
      </w:r>
      <w:fldSimple w:instr=" SEQ Table \* ARABIC ">
        <w:r w:rsidR="004C2B2A">
          <w:rPr>
            <w:noProof/>
          </w:rPr>
          <w:t>18</w:t>
        </w:r>
      </w:fldSimple>
      <w:bookmarkEnd w:id="34"/>
      <w:r w:rsidRPr="00CE28E3">
        <w:tab/>
        <w:t xml:space="preserve">Net financial implications of </w:t>
      </w:r>
      <w:r>
        <w:t xml:space="preserve">whole genome sequencing of mycobacteria </w:t>
      </w:r>
      <w:r w:rsidRPr="00CE28E3">
        <w:t xml:space="preserve">to the </w:t>
      </w:r>
      <w:r>
        <w:t>MBS</w:t>
      </w:r>
    </w:p>
    <w:tbl>
      <w:tblPr>
        <w:tblStyle w:val="TableGrid2"/>
        <w:tblW w:w="0" w:type="auto"/>
        <w:tblCellMar>
          <w:left w:w="0" w:type="dxa"/>
          <w:right w:w="0" w:type="dxa"/>
        </w:tblCellMar>
        <w:tblLook w:val="04A0" w:firstRow="1" w:lastRow="0" w:firstColumn="1" w:lastColumn="0" w:noHBand="0" w:noVBand="1"/>
        <w:tblCaption w:val="Net financial implications of whole genome sequencing of mycobacteria to the MBS"/>
        <w:tblDescription w:val="Net financial implications of whole genome sequencing of mycobacteria to the MBS"/>
      </w:tblPr>
      <w:tblGrid>
        <w:gridCol w:w="2770"/>
        <w:gridCol w:w="1037"/>
        <w:gridCol w:w="1037"/>
        <w:gridCol w:w="1037"/>
        <w:gridCol w:w="1037"/>
        <w:gridCol w:w="1037"/>
        <w:gridCol w:w="1061"/>
      </w:tblGrid>
      <w:tr w:rsidR="009F0065" w:rsidRPr="00CE28E3" w14:paraId="399097F1" w14:textId="77777777" w:rsidTr="006F4EBA">
        <w:trPr>
          <w:cnfStyle w:val="100000000000" w:firstRow="1" w:lastRow="0" w:firstColumn="0" w:lastColumn="0" w:oddVBand="0" w:evenVBand="0" w:oddHBand="0" w:evenHBand="0" w:firstRowFirstColumn="0" w:firstRowLastColumn="0" w:lastRowFirstColumn="0" w:lastRowLastColumn="0"/>
          <w:tblHeader/>
        </w:trPr>
        <w:tc>
          <w:tcPr>
            <w:tcW w:w="2770" w:type="dxa"/>
            <w:tcMar>
              <w:top w:w="0" w:type="dxa"/>
              <w:left w:w="108" w:type="dxa"/>
              <w:bottom w:w="0" w:type="dxa"/>
              <w:right w:w="108" w:type="dxa"/>
            </w:tcMar>
          </w:tcPr>
          <w:p w14:paraId="17AAFC5F" w14:textId="77777777" w:rsidR="009F0065" w:rsidRPr="00CE28E3" w:rsidRDefault="009F0065" w:rsidP="006F4EBA">
            <w:pPr>
              <w:pStyle w:val="TableText1"/>
              <w:rPr>
                <w:b/>
                <w:bCs/>
              </w:rPr>
            </w:pPr>
            <w:r>
              <w:rPr>
                <w:b/>
                <w:bCs/>
              </w:rPr>
              <w:t xml:space="preserve">Parameter </w:t>
            </w:r>
          </w:p>
        </w:tc>
        <w:tc>
          <w:tcPr>
            <w:tcW w:w="1037" w:type="dxa"/>
            <w:tcMar>
              <w:top w:w="0" w:type="dxa"/>
              <w:left w:w="108" w:type="dxa"/>
              <w:bottom w:w="0" w:type="dxa"/>
              <w:right w:w="108" w:type="dxa"/>
            </w:tcMar>
            <w:hideMark/>
          </w:tcPr>
          <w:p w14:paraId="15A08D73" w14:textId="77777777" w:rsidR="009F0065" w:rsidRPr="00CE28E3" w:rsidRDefault="009F0065" w:rsidP="006F4EBA">
            <w:pPr>
              <w:pStyle w:val="TableText1"/>
              <w:rPr>
                <w:b/>
                <w:bCs/>
              </w:rPr>
            </w:pPr>
            <w:r>
              <w:rPr>
                <w:b/>
                <w:bCs/>
              </w:rPr>
              <w:t>2022</w:t>
            </w:r>
          </w:p>
        </w:tc>
        <w:tc>
          <w:tcPr>
            <w:tcW w:w="1037" w:type="dxa"/>
            <w:tcMar>
              <w:top w:w="0" w:type="dxa"/>
              <w:left w:w="108" w:type="dxa"/>
              <w:bottom w:w="0" w:type="dxa"/>
              <w:right w:w="108" w:type="dxa"/>
            </w:tcMar>
            <w:hideMark/>
          </w:tcPr>
          <w:p w14:paraId="4B5F2C73" w14:textId="77777777" w:rsidR="009F0065" w:rsidRPr="00CE28E3" w:rsidRDefault="009F0065" w:rsidP="006F4EBA">
            <w:pPr>
              <w:pStyle w:val="TableText1"/>
              <w:rPr>
                <w:b/>
                <w:bCs/>
              </w:rPr>
            </w:pPr>
            <w:r>
              <w:rPr>
                <w:b/>
                <w:bCs/>
              </w:rPr>
              <w:t>2023</w:t>
            </w:r>
          </w:p>
        </w:tc>
        <w:tc>
          <w:tcPr>
            <w:tcW w:w="1037" w:type="dxa"/>
            <w:tcMar>
              <w:top w:w="0" w:type="dxa"/>
              <w:left w:w="108" w:type="dxa"/>
              <w:bottom w:w="0" w:type="dxa"/>
              <w:right w:w="108" w:type="dxa"/>
            </w:tcMar>
            <w:hideMark/>
          </w:tcPr>
          <w:p w14:paraId="1D39100C" w14:textId="77777777" w:rsidR="009F0065" w:rsidRPr="00CE28E3" w:rsidRDefault="009F0065" w:rsidP="006F4EBA">
            <w:pPr>
              <w:pStyle w:val="TableText1"/>
              <w:rPr>
                <w:b/>
                <w:bCs/>
              </w:rPr>
            </w:pPr>
            <w:r>
              <w:rPr>
                <w:b/>
                <w:bCs/>
              </w:rPr>
              <w:t>2024</w:t>
            </w:r>
          </w:p>
        </w:tc>
        <w:tc>
          <w:tcPr>
            <w:tcW w:w="1037" w:type="dxa"/>
            <w:tcMar>
              <w:top w:w="0" w:type="dxa"/>
              <w:left w:w="108" w:type="dxa"/>
              <w:bottom w:w="0" w:type="dxa"/>
              <w:right w:w="108" w:type="dxa"/>
            </w:tcMar>
            <w:hideMark/>
          </w:tcPr>
          <w:p w14:paraId="31294ECA" w14:textId="77777777" w:rsidR="009F0065" w:rsidRPr="00CE28E3" w:rsidRDefault="009F0065" w:rsidP="006F4EBA">
            <w:pPr>
              <w:pStyle w:val="TableText1"/>
              <w:rPr>
                <w:b/>
                <w:bCs/>
              </w:rPr>
            </w:pPr>
            <w:r>
              <w:rPr>
                <w:b/>
                <w:bCs/>
              </w:rPr>
              <w:t>2024</w:t>
            </w:r>
          </w:p>
        </w:tc>
        <w:tc>
          <w:tcPr>
            <w:tcW w:w="1037" w:type="dxa"/>
            <w:tcMar>
              <w:top w:w="0" w:type="dxa"/>
              <w:left w:w="108" w:type="dxa"/>
              <w:bottom w:w="0" w:type="dxa"/>
              <w:right w:w="108" w:type="dxa"/>
            </w:tcMar>
            <w:hideMark/>
          </w:tcPr>
          <w:p w14:paraId="18C0583A" w14:textId="77777777" w:rsidR="009F0065" w:rsidRPr="00CE28E3" w:rsidRDefault="009F0065" w:rsidP="006F4EBA">
            <w:pPr>
              <w:pStyle w:val="TableText1"/>
              <w:rPr>
                <w:b/>
                <w:bCs/>
              </w:rPr>
            </w:pPr>
            <w:r>
              <w:rPr>
                <w:b/>
                <w:bCs/>
              </w:rPr>
              <w:t>2025</w:t>
            </w:r>
          </w:p>
        </w:tc>
        <w:tc>
          <w:tcPr>
            <w:tcW w:w="1061" w:type="dxa"/>
            <w:tcMar>
              <w:top w:w="0" w:type="dxa"/>
              <w:left w:w="108" w:type="dxa"/>
              <w:bottom w:w="0" w:type="dxa"/>
              <w:right w:w="108" w:type="dxa"/>
            </w:tcMar>
            <w:hideMark/>
          </w:tcPr>
          <w:p w14:paraId="26056F6E" w14:textId="77777777" w:rsidR="009F0065" w:rsidRPr="00CE28E3" w:rsidRDefault="009F0065" w:rsidP="006F4EBA">
            <w:pPr>
              <w:pStyle w:val="TableText1"/>
              <w:rPr>
                <w:b/>
                <w:bCs/>
              </w:rPr>
            </w:pPr>
            <w:r>
              <w:rPr>
                <w:b/>
                <w:bCs/>
              </w:rPr>
              <w:t>2026</w:t>
            </w:r>
          </w:p>
        </w:tc>
      </w:tr>
      <w:tr w:rsidR="009F0065" w:rsidRPr="00CE28E3" w14:paraId="5B185D6E" w14:textId="77777777" w:rsidTr="006F4EBA">
        <w:tc>
          <w:tcPr>
            <w:tcW w:w="9016" w:type="dxa"/>
            <w:gridSpan w:val="7"/>
            <w:tcMar>
              <w:top w:w="0" w:type="dxa"/>
              <w:left w:w="108" w:type="dxa"/>
              <w:bottom w:w="0" w:type="dxa"/>
              <w:right w:w="108" w:type="dxa"/>
            </w:tcMar>
            <w:hideMark/>
          </w:tcPr>
          <w:p w14:paraId="7B21CF3D" w14:textId="77777777" w:rsidR="009F0065" w:rsidRPr="00CE28E3" w:rsidRDefault="009F0065" w:rsidP="006F4EBA">
            <w:pPr>
              <w:pStyle w:val="TableText1"/>
              <w:rPr>
                <w:b/>
                <w:bCs/>
              </w:rPr>
            </w:pPr>
            <w:r w:rsidRPr="00CE28E3">
              <w:rPr>
                <w:b/>
                <w:bCs/>
              </w:rPr>
              <w:t>Estimated use and cost of the proposed health technology</w:t>
            </w:r>
          </w:p>
        </w:tc>
      </w:tr>
      <w:tr w:rsidR="009F0065" w:rsidRPr="00CE28E3" w14:paraId="19CFA348" w14:textId="77777777" w:rsidTr="006F4EBA">
        <w:tc>
          <w:tcPr>
            <w:tcW w:w="2770" w:type="dxa"/>
            <w:tcMar>
              <w:top w:w="0" w:type="dxa"/>
              <w:left w:w="108" w:type="dxa"/>
              <w:bottom w:w="0" w:type="dxa"/>
              <w:right w:w="108" w:type="dxa"/>
            </w:tcMar>
            <w:hideMark/>
          </w:tcPr>
          <w:p w14:paraId="50C531FB" w14:textId="77777777" w:rsidR="009F0065" w:rsidRPr="00CE28E3" w:rsidRDefault="009F0065" w:rsidP="006F4EBA">
            <w:pPr>
              <w:pStyle w:val="TableText1"/>
            </w:pPr>
            <w:r w:rsidRPr="00CE28E3">
              <w:t xml:space="preserve">Number of people eligible for </w:t>
            </w:r>
            <w:r>
              <w:t>whole genome sequencing</w:t>
            </w:r>
          </w:p>
        </w:tc>
        <w:tc>
          <w:tcPr>
            <w:tcW w:w="1037" w:type="dxa"/>
            <w:tcMar>
              <w:top w:w="0" w:type="dxa"/>
              <w:left w:w="108" w:type="dxa"/>
              <w:bottom w:w="0" w:type="dxa"/>
              <w:right w:w="108" w:type="dxa"/>
            </w:tcMar>
          </w:tcPr>
          <w:p w14:paraId="381B4F0A" w14:textId="77777777" w:rsidR="009F0065" w:rsidRPr="00DA1EC7" w:rsidRDefault="009F0065" w:rsidP="006F4EBA">
            <w:pPr>
              <w:pStyle w:val="TableText1"/>
              <w:jc w:val="right"/>
            </w:pPr>
            <w:r w:rsidRPr="00DA1EC7">
              <w:t>2,035</w:t>
            </w:r>
          </w:p>
        </w:tc>
        <w:tc>
          <w:tcPr>
            <w:tcW w:w="1037" w:type="dxa"/>
            <w:tcMar>
              <w:top w:w="0" w:type="dxa"/>
              <w:left w:w="108" w:type="dxa"/>
              <w:bottom w:w="0" w:type="dxa"/>
              <w:right w:w="108" w:type="dxa"/>
            </w:tcMar>
          </w:tcPr>
          <w:p w14:paraId="0AB3F8D8" w14:textId="77777777" w:rsidR="009F0065" w:rsidRPr="000F05FC" w:rsidRDefault="009F0065" w:rsidP="006F4EBA">
            <w:pPr>
              <w:pStyle w:val="TableText1"/>
              <w:jc w:val="right"/>
            </w:pPr>
            <w:r w:rsidRPr="000F05FC">
              <w:t>2,067</w:t>
            </w:r>
          </w:p>
        </w:tc>
        <w:tc>
          <w:tcPr>
            <w:tcW w:w="1037" w:type="dxa"/>
            <w:tcMar>
              <w:top w:w="0" w:type="dxa"/>
              <w:left w:w="108" w:type="dxa"/>
              <w:bottom w:w="0" w:type="dxa"/>
              <w:right w:w="108" w:type="dxa"/>
            </w:tcMar>
          </w:tcPr>
          <w:p w14:paraId="355E3183" w14:textId="77777777" w:rsidR="009F0065" w:rsidRPr="000F05FC" w:rsidRDefault="009F0065" w:rsidP="006F4EBA">
            <w:pPr>
              <w:pStyle w:val="TableText1"/>
              <w:jc w:val="right"/>
            </w:pPr>
            <w:r w:rsidRPr="000F05FC">
              <w:t>2,098</w:t>
            </w:r>
          </w:p>
        </w:tc>
        <w:tc>
          <w:tcPr>
            <w:tcW w:w="1037" w:type="dxa"/>
            <w:tcMar>
              <w:top w:w="0" w:type="dxa"/>
              <w:left w:w="108" w:type="dxa"/>
              <w:bottom w:w="0" w:type="dxa"/>
              <w:right w:w="108" w:type="dxa"/>
            </w:tcMar>
          </w:tcPr>
          <w:p w14:paraId="799E4D85" w14:textId="77777777" w:rsidR="009F0065" w:rsidRPr="000F05FC" w:rsidRDefault="009F0065" w:rsidP="006F4EBA">
            <w:pPr>
              <w:pStyle w:val="TableText1"/>
              <w:jc w:val="right"/>
            </w:pPr>
            <w:r w:rsidRPr="000F05FC">
              <w:t>2,129</w:t>
            </w:r>
          </w:p>
        </w:tc>
        <w:tc>
          <w:tcPr>
            <w:tcW w:w="1037" w:type="dxa"/>
            <w:tcMar>
              <w:top w:w="0" w:type="dxa"/>
              <w:left w:w="108" w:type="dxa"/>
              <w:bottom w:w="0" w:type="dxa"/>
              <w:right w:w="108" w:type="dxa"/>
            </w:tcMar>
          </w:tcPr>
          <w:p w14:paraId="4910ECD7" w14:textId="77777777" w:rsidR="009F0065" w:rsidRPr="000F05FC" w:rsidRDefault="009F0065" w:rsidP="006F4EBA">
            <w:pPr>
              <w:pStyle w:val="TableText1"/>
              <w:jc w:val="right"/>
            </w:pPr>
            <w:r w:rsidRPr="000F05FC">
              <w:t>2,160</w:t>
            </w:r>
          </w:p>
        </w:tc>
        <w:tc>
          <w:tcPr>
            <w:tcW w:w="1061" w:type="dxa"/>
            <w:tcMar>
              <w:top w:w="0" w:type="dxa"/>
              <w:left w:w="108" w:type="dxa"/>
              <w:bottom w:w="0" w:type="dxa"/>
              <w:right w:w="108" w:type="dxa"/>
            </w:tcMar>
          </w:tcPr>
          <w:p w14:paraId="295AC1F5" w14:textId="77777777" w:rsidR="009F0065" w:rsidRPr="000F05FC" w:rsidRDefault="009F0065" w:rsidP="006F4EBA">
            <w:pPr>
              <w:pStyle w:val="TableText1"/>
              <w:jc w:val="right"/>
            </w:pPr>
            <w:r w:rsidRPr="000F05FC">
              <w:t>2,190</w:t>
            </w:r>
          </w:p>
        </w:tc>
      </w:tr>
      <w:tr w:rsidR="009F0065" w:rsidRPr="00CE28E3" w14:paraId="14B54013" w14:textId="77777777" w:rsidTr="006F4EBA">
        <w:tc>
          <w:tcPr>
            <w:tcW w:w="2770" w:type="dxa"/>
            <w:tcMar>
              <w:top w:w="0" w:type="dxa"/>
              <w:left w:w="108" w:type="dxa"/>
              <w:bottom w:w="0" w:type="dxa"/>
              <w:right w:w="108" w:type="dxa"/>
            </w:tcMar>
            <w:hideMark/>
          </w:tcPr>
          <w:p w14:paraId="4DB7BB60" w14:textId="77777777" w:rsidR="009F0065" w:rsidRPr="00CE28E3" w:rsidRDefault="009F0065" w:rsidP="006F4EBA">
            <w:pPr>
              <w:pStyle w:val="TableText1"/>
            </w:pPr>
            <w:r w:rsidRPr="00CE28E3">
              <w:t xml:space="preserve">Number of people who receive </w:t>
            </w:r>
            <w:r>
              <w:t>whole genome sequencing</w:t>
            </w:r>
          </w:p>
        </w:tc>
        <w:tc>
          <w:tcPr>
            <w:tcW w:w="1037" w:type="dxa"/>
            <w:tcMar>
              <w:top w:w="0" w:type="dxa"/>
              <w:left w:w="108" w:type="dxa"/>
              <w:bottom w:w="0" w:type="dxa"/>
              <w:right w:w="108" w:type="dxa"/>
            </w:tcMar>
          </w:tcPr>
          <w:p w14:paraId="1C9C30E3" w14:textId="77777777" w:rsidR="009F0065" w:rsidRPr="00DA1EC7" w:rsidRDefault="009F0065" w:rsidP="006F4EBA">
            <w:pPr>
              <w:pStyle w:val="TableText1"/>
              <w:jc w:val="right"/>
            </w:pPr>
            <w:r w:rsidRPr="00DA1EC7">
              <w:t>1,550</w:t>
            </w:r>
          </w:p>
        </w:tc>
        <w:tc>
          <w:tcPr>
            <w:tcW w:w="1037" w:type="dxa"/>
            <w:tcMar>
              <w:top w:w="0" w:type="dxa"/>
              <w:left w:w="108" w:type="dxa"/>
              <w:bottom w:w="0" w:type="dxa"/>
              <w:right w:w="108" w:type="dxa"/>
            </w:tcMar>
          </w:tcPr>
          <w:p w14:paraId="2F0C343B" w14:textId="77777777" w:rsidR="009F0065" w:rsidRPr="00DA1EC7" w:rsidRDefault="009F0065" w:rsidP="006F4EBA">
            <w:pPr>
              <w:pStyle w:val="TableText1"/>
              <w:jc w:val="right"/>
            </w:pPr>
            <w:r w:rsidRPr="00DA1EC7">
              <w:t>1,575</w:t>
            </w:r>
          </w:p>
        </w:tc>
        <w:tc>
          <w:tcPr>
            <w:tcW w:w="1037" w:type="dxa"/>
            <w:tcMar>
              <w:top w:w="0" w:type="dxa"/>
              <w:left w:w="108" w:type="dxa"/>
              <w:bottom w:w="0" w:type="dxa"/>
              <w:right w:w="108" w:type="dxa"/>
            </w:tcMar>
          </w:tcPr>
          <w:p w14:paraId="023C8504" w14:textId="77777777" w:rsidR="009F0065" w:rsidRPr="006018F2" w:rsidRDefault="009F0065" w:rsidP="006F4EBA">
            <w:pPr>
              <w:pStyle w:val="TableText1"/>
              <w:jc w:val="right"/>
            </w:pPr>
            <w:r w:rsidRPr="00DA1EC7">
              <w:t>1,599</w:t>
            </w:r>
          </w:p>
        </w:tc>
        <w:tc>
          <w:tcPr>
            <w:tcW w:w="1037" w:type="dxa"/>
            <w:tcMar>
              <w:top w:w="0" w:type="dxa"/>
              <w:left w:w="108" w:type="dxa"/>
              <w:bottom w:w="0" w:type="dxa"/>
              <w:right w:w="108" w:type="dxa"/>
            </w:tcMar>
          </w:tcPr>
          <w:p w14:paraId="66C7AC2A" w14:textId="77777777" w:rsidR="009F0065" w:rsidRPr="000A3FEB" w:rsidRDefault="009F0065" w:rsidP="006F4EBA">
            <w:pPr>
              <w:pStyle w:val="TableText1"/>
              <w:jc w:val="right"/>
            </w:pPr>
            <w:r w:rsidRPr="000A3FEB">
              <w:t>1,622</w:t>
            </w:r>
          </w:p>
        </w:tc>
        <w:tc>
          <w:tcPr>
            <w:tcW w:w="1037" w:type="dxa"/>
            <w:tcMar>
              <w:top w:w="0" w:type="dxa"/>
              <w:left w:w="108" w:type="dxa"/>
              <w:bottom w:w="0" w:type="dxa"/>
              <w:right w:w="108" w:type="dxa"/>
            </w:tcMar>
          </w:tcPr>
          <w:p w14:paraId="1524AC91" w14:textId="77777777" w:rsidR="009F0065" w:rsidRPr="000A3FEB" w:rsidRDefault="009F0065" w:rsidP="006F4EBA">
            <w:pPr>
              <w:pStyle w:val="TableText1"/>
              <w:jc w:val="right"/>
            </w:pPr>
            <w:r w:rsidRPr="000A3FEB">
              <w:t>1,646</w:t>
            </w:r>
          </w:p>
        </w:tc>
        <w:tc>
          <w:tcPr>
            <w:tcW w:w="1061" w:type="dxa"/>
            <w:tcMar>
              <w:top w:w="0" w:type="dxa"/>
              <w:left w:w="108" w:type="dxa"/>
              <w:bottom w:w="0" w:type="dxa"/>
              <w:right w:w="108" w:type="dxa"/>
            </w:tcMar>
          </w:tcPr>
          <w:p w14:paraId="3AFCF0F8" w14:textId="77777777" w:rsidR="009F0065" w:rsidRPr="000A3FEB" w:rsidRDefault="009F0065" w:rsidP="006F4EBA">
            <w:pPr>
              <w:pStyle w:val="TableText1"/>
              <w:jc w:val="right"/>
            </w:pPr>
            <w:r w:rsidRPr="000A3FEB">
              <w:t>1,668</w:t>
            </w:r>
          </w:p>
        </w:tc>
      </w:tr>
      <w:tr w:rsidR="009F0065" w:rsidRPr="00CE28E3" w14:paraId="41B280FB" w14:textId="77777777" w:rsidTr="006F4EBA">
        <w:tc>
          <w:tcPr>
            <w:tcW w:w="2770" w:type="dxa"/>
            <w:tcMar>
              <w:top w:w="0" w:type="dxa"/>
              <w:left w:w="108" w:type="dxa"/>
              <w:bottom w:w="0" w:type="dxa"/>
              <w:right w:w="108" w:type="dxa"/>
            </w:tcMar>
            <w:hideMark/>
          </w:tcPr>
          <w:p w14:paraId="0867D48D" w14:textId="77777777" w:rsidR="009F0065" w:rsidRPr="00CE28E3" w:rsidRDefault="009F0065" w:rsidP="006F4EBA">
            <w:pPr>
              <w:pStyle w:val="TableText1"/>
            </w:pPr>
            <w:r w:rsidRPr="00CE28E3">
              <w:t xml:space="preserve">Number of services of </w:t>
            </w:r>
            <w:r>
              <w:t>whole genome sequencing (including 2% re-test rate)</w:t>
            </w:r>
          </w:p>
        </w:tc>
        <w:tc>
          <w:tcPr>
            <w:tcW w:w="1037" w:type="dxa"/>
            <w:tcMar>
              <w:top w:w="0" w:type="dxa"/>
              <w:left w:w="108" w:type="dxa"/>
              <w:bottom w:w="0" w:type="dxa"/>
              <w:right w:w="108" w:type="dxa"/>
            </w:tcMar>
          </w:tcPr>
          <w:p w14:paraId="1251C8D1" w14:textId="77777777" w:rsidR="009F0065" w:rsidRPr="00DA1EC7" w:rsidRDefault="009F0065" w:rsidP="006F4EBA">
            <w:pPr>
              <w:pStyle w:val="TableText1"/>
              <w:jc w:val="right"/>
            </w:pPr>
            <w:r w:rsidRPr="00DA1EC7">
              <w:t>1,581</w:t>
            </w:r>
          </w:p>
        </w:tc>
        <w:tc>
          <w:tcPr>
            <w:tcW w:w="1037" w:type="dxa"/>
            <w:tcMar>
              <w:top w:w="0" w:type="dxa"/>
              <w:left w:w="108" w:type="dxa"/>
              <w:bottom w:w="0" w:type="dxa"/>
              <w:right w:w="108" w:type="dxa"/>
            </w:tcMar>
          </w:tcPr>
          <w:p w14:paraId="6691B81D" w14:textId="77777777" w:rsidR="009F0065" w:rsidRPr="00DA1EC7" w:rsidRDefault="009F0065" w:rsidP="006F4EBA">
            <w:pPr>
              <w:pStyle w:val="TableText1"/>
              <w:jc w:val="right"/>
            </w:pPr>
            <w:r w:rsidRPr="00DA1EC7">
              <w:t>1,606</w:t>
            </w:r>
          </w:p>
        </w:tc>
        <w:tc>
          <w:tcPr>
            <w:tcW w:w="1037" w:type="dxa"/>
            <w:tcMar>
              <w:top w:w="0" w:type="dxa"/>
              <w:left w:w="108" w:type="dxa"/>
              <w:bottom w:w="0" w:type="dxa"/>
              <w:right w:w="108" w:type="dxa"/>
            </w:tcMar>
          </w:tcPr>
          <w:p w14:paraId="7F512798" w14:textId="77777777" w:rsidR="009F0065" w:rsidRPr="006018F2" w:rsidRDefault="009F0065" w:rsidP="006F4EBA">
            <w:pPr>
              <w:pStyle w:val="TableText1"/>
              <w:jc w:val="right"/>
            </w:pPr>
            <w:r w:rsidRPr="00DA1EC7">
              <w:t>1,6</w:t>
            </w:r>
            <w:r w:rsidRPr="006018F2">
              <w:t>31</w:t>
            </w:r>
          </w:p>
        </w:tc>
        <w:tc>
          <w:tcPr>
            <w:tcW w:w="1037" w:type="dxa"/>
            <w:tcMar>
              <w:top w:w="0" w:type="dxa"/>
              <w:left w:w="108" w:type="dxa"/>
              <w:bottom w:w="0" w:type="dxa"/>
              <w:right w:w="108" w:type="dxa"/>
            </w:tcMar>
          </w:tcPr>
          <w:p w14:paraId="6768E41C" w14:textId="77777777" w:rsidR="009F0065" w:rsidRPr="000A3FEB" w:rsidRDefault="009F0065" w:rsidP="006F4EBA">
            <w:pPr>
              <w:pStyle w:val="TableText1"/>
              <w:jc w:val="right"/>
            </w:pPr>
            <w:r w:rsidRPr="000A3FEB">
              <w:t>1,655</w:t>
            </w:r>
          </w:p>
        </w:tc>
        <w:tc>
          <w:tcPr>
            <w:tcW w:w="1037" w:type="dxa"/>
            <w:tcMar>
              <w:top w:w="0" w:type="dxa"/>
              <w:left w:w="108" w:type="dxa"/>
              <w:bottom w:w="0" w:type="dxa"/>
              <w:right w:w="108" w:type="dxa"/>
            </w:tcMar>
          </w:tcPr>
          <w:p w14:paraId="3E03E39C" w14:textId="77777777" w:rsidR="009F0065" w:rsidRPr="000A3FEB" w:rsidRDefault="009F0065" w:rsidP="006F4EBA">
            <w:pPr>
              <w:pStyle w:val="TableText1"/>
              <w:jc w:val="right"/>
            </w:pPr>
            <w:r w:rsidRPr="000A3FEB">
              <w:t>1,679</w:t>
            </w:r>
          </w:p>
        </w:tc>
        <w:tc>
          <w:tcPr>
            <w:tcW w:w="1061" w:type="dxa"/>
            <w:tcMar>
              <w:top w:w="0" w:type="dxa"/>
              <w:left w:w="108" w:type="dxa"/>
              <w:bottom w:w="0" w:type="dxa"/>
              <w:right w:w="108" w:type="dxa"/>
            </w:tcMar>
          </w:tcPr>
          <w:p w14:paraId="363F9E8E" w14:textId="77777777" w:rsidR="009F0065" w:rsidRPr="000A3FEB" w:rsidRDefault="009F0065" w:rsidP="006F4EBA">
            <w:pPr>
              <w:pStyle w:val="TableText1"/>
              <w:jc w:val="right"/>
            </w:pPr>
            <w:r w:rsidRPr="000A3FEB">
              <w:t>1,702</w:t>
            </w:r>
          </w:p>
        </w:tc>
      </w:tr>
      <w:tr w:rsidR="009F0065" w:rsidRPr="00CE28E3" w14:paraId="42ABF845" w14:textId="77777777" w:rsidTr="006F4EBA">
        <w:tc>
          <w:tcPr>
            <w:tcW w:w="2770" w:type="dxa"/>
            <w:tcMar>
              <w:top w:w="0" w:type="dxa"/>
              <w:left w:w="108" w:type="dxa"/>
              <w:bottom w:w="0" w:type="dxa"/>
              <w:right w:w="108" w:type="dxa"/>
            </w:tcMar>
            <w:hideMark/>
          </w:tcPr>
          <w:p w14:paraId="780AFD63" w14:textId="77777777" w:rsidR="009F0065" w:rsidRPr="00CE28E3" w:rsidRDefault="009F0065" w:rsidP="006F4EBA">
            <w:pPr>
              <w:pStyle w:val="TableText1"/>
            </w:pPr>
            <w:r w:rsidRPr="00CE28E3">
              <w:t xml:space="preserve">Cost </w:t>
            </w:r>
            <w:r>
              <w:t>of</w:t>
            </w:r>
            <w:r w:rsidRPr="00CE28E3">
              <w:t xml:space="preserve"> </w:t>
            </w:r>
            <w:r>
              <w:t>whole genome sequencing</w:t>
            </w:r>
            <w:r w:rsidRPr="00CE28E3">
              <w:t xml:space="preserve"> (with appropriate </w:t>
            </w:r>
            <w:proofErr w:type="spellStart"/>
            <w:r w:rsidRPr="00CE28E3">
              <w:t>copayments</w:t>
            </w:r>
            <w:proofErr w:type="spellEnd"/>
            <w:r w:rsidRPr="00CE28E3">
              <w:t xml:space="preserve"> excluded)</w:t>
            </w:r>
          </w:p>
        </w:tc>
        <w:tc>
          <w:tcPr>
            <w:tcW w:w="1037" w:type="dxa"/>
            <w:tcMar>
              <w:top w:w="0" w:type="dxa"/>
              <w:left w:w="108" w:type="dxa"/>
              <w:bottom w:w="0" w:type="dxa"/>
              <w:right w:w="108" w:type="dxa"/>
            </w:tcMar>
          </w:tcPr>
          <w:p w14:paraId="58A7C7DC" w14:textId="77777777" w:rsidR="009F0065" w:rsidRPr="00DA1EC7" w:rsidRDefault="009F0065" w:rsidP="006F4EBA">
            <w:pPr>
              <w:pStyle w:val="TableText1"/>
              <w:jc w:val="right"/>
            </w:pPr>
            <w:r w:rsidRPr="00DA1EC7">
              <w:t>$161,279</w:t>
            </w:r>
          </w:p>
        </w:tc>
        <w:tc>
          <w:tcPr>
            <w:tcW w:w="1037" w:type="dxa"/>
            <w:tcMar>
              <w:top w:w="0" w:type="dxa"/>
              <w:left w:w="108" w:type="dxa"/>
              <w:bottom w:w="0" w:type="dxa"/>
              <w:right w:w="108" w:type="dxa"/>
            </w:tcMar>
          </w:tcPr>
          <w:p w14:paraId="37AB175E" w14:textId="77777777" w:rsidR="009F0065" w:rsidRPr="00DA1EC7" w:rsidRDefault="009F0065" w:rsidP="006F4EBA">
            <w:pPr>
              <w:pStyle w:val="TableText1"/>
              <w:jc w:val="right"/>
            </w:pPr>
            <w:r w:rsidRPr="00DA1EC7">
              <w:t>$163,815</w:t>
            </w:r>
          </w:p>
        </w:tc>
        <w:tc>
          <w:tcPr>
            <w:tcW w:w="1037" w:type="dxa"/>
            <w:tcMar>
              <w:top w:w="0" w:type="dxa"/>
              <w:left w:w="108" w:type="dxa"/>
              <w:bottom w:w="0" w:type="dxa"/>
              <w:right w:w="108" w:type="dxa"/>
            </w:tcMar>
          </w:tcPr>
          <w:p w14:paraId="39AC3FD3" w14:textId="77777777" w:rsidR="009F0065" w:rsidRPr="000A3FEB" w:rsidRDefault="009F0065" w:rsidP="006F4EBA">
            <w:pPr>
              <w:pStyle w:val="TableText1"/>
              <w:jc w:val="right"/>
            </w:pPr>
            <w:r w:rsidRPr="000A3FEB">
              <w:t>$166,319</w:t>
            </w:r>
          </w:p>
        </w:tc>
        <w:tc>
          <w:tcPr>
            <w:tcW w:w="1037" w:type="dxa"/>
            <w:tcMar>
              <w:top w:w="0" w:type="dxa"/>
              <w:left w:w="108" w:type="dxa"/>
              <w:bottom w:w="0" w:type="dxa"/>
              <w:right w:w="108" w:type="dxa"/>
            </w:tcMar>
          </w:tcPr>
          <w:p w14:paraId="201950DB" w14:textId="77777777" w:rsidR="009F0065" w:rsidRPr="000A3FEB" w:rsidRDefault="009F0065" w:rsidP="006F4EBA">
            <w:pPr>
              <w:pStyle w:val="TableText1"/>
              <w:jc w:val="right"/>
            </w:pPr>
            <w:r w:rsidRPr="000A3FEB">
              <w:t>$168,783</w:t>
            </w:r>
          </w:p>
        </w:tc>
        <w:tc>
          <w:tcPr>
            <w:tcW w:w="1037" w:type="dxa"/>
            <w:tcMar>
              <w:top w:w="0" w:type="dxa"/>
              <w:left w:w="108" w:type="dxa"/>
              <w:bottom w:w="0" w:type="dxa"/>
              <w:right w:w="108" w:type="dxa"/>
            </w:tcMar>
          </w:tcPr>
          <w:p w14:paraId="063F94D0" w14:textId="77777777" w:rsidR="009F0065" w:rsidRPr="000A3FEB" w:rsidRDefault="009F0065" w:rsidP="006F4EBA">
            <w:pPr>
              <w:pStyle w:val="TableText1"/>
              <w:jc w:val="right"/>
            </w:pPr>
            <w:r w:rsidRPr="000A3FEB">
              <w:t>$171,208</w:t>
            </w:r>
          </w:p>
        </w:tc>
        <w:tc>
          <w:tcPr>
            <w:tcW w:w="1061" w:type="dxa"/>
            <w:tcMar>
              <w:top w:w="0" w:type="dxa"/>
              <w:left w:w="108" w:type="dxa"/>
              <w:bottom w:w="0" w:type="dxa"/>
              <w:right w:w="108" w:type="dxa"/>
            </w:tcMar>
          </w:tcPr>
          <w:p w14:paraId="503CAC54" w14:textId="77777777" w:rsidR="009F0065" w:rsidRPr="000A3FEB" w:rsidRDefault="009F0065" w:rsidP="006F4EBA">
            <w:pPr>
              <w:pStyle w:val="TableText1"/>
              <w:jc w:val="right"/>
            </w:pPr>
            <w:r w:rsidRPr="000A3FEB">
              <w:t>$173,582</w:t>
            </w:r>
          </w:p>
        </w:tc>
      </w:tr>
      <w:tr w:rsidR="009F0065" w:rsidRPr="00CE28E3" w14:paraId="38F113F0" w14:textId="77777777" w:rsidTr="006F4EBA">
        <w:tc>
          <w:tcPr>
            <w:tcW w:w="9016" w:type="dxa"/>
            <w:gridSpan w:val="7"/>
            <w:tcMar>
              <w:top w:w="0" w:type="dxa"/>
              <w:left w:w="108" w:type="dxa"/>
              <w:bottom w:w="0" w:type="dxa"/>
              <w:right w:w="108" w:type="dxa"/>
            </w:tcMar>
            <w:hideMark/>
          </w:tcPr>
          <w:p w14:paraId="5A603C2B" w14:textId="77777777" w:rsidR="009F0065" w:rsidRPr="00DA1EC7" w:rsidRDefault="009F0065" w:rsidP="006F4EBA">
            <w:pPr>
              <w:pStyle w:val="TableText1"/>
              <w:rPr>
                <w:b/>
              </w:rPr>
            </w:pPr>
            <w:r w:rsidRPr="00DA1EC7">
              <w:rPr>
                <w:b/>
              </w:rPr>
              <w:t>Change in use and cost of other health technologies</w:t>
            </w:r>
          </w:p>
        </w:tc>
      </w:tr>
      <w:tr w:rsidR="009F0065" w:rsidRPr="00CE28E3" w14:paraId="226DE524" w14:textId="77777777" w:rsidTr="006F4EBA">
        <w:tc>
          <w:tcPr>
            <w:tcW w:w="2770" w:type="dxa"/>
            <w:tcMar>
              <w:top w:w="0" w:type="dxa"/>
              <w:left w:w="108" w:type="dxa"/>
              <w:bottom w:w="0" w:type="dxa"/>
              <w:right w:w="108" w:type="dxa"/>
            </w:tcMar>
            <w:hideMark/>
          </w:tcPr>
          <w:p w14:paraId="1396C19F" w14:textId="77777777" w:rsidR="009F0065" w:rsidRPr="00CE28E3" w:rsidRDefault="009F0065" w:rsidP="006F4EBA">
            <w:pPr>
              <w:pStyle w:val="TableText1"/>
            </w:pPr>
            <w:r w:rsidRPr="00CE28E3">
              <w:t xml:space="preserve">Change in use of </w:t>
            </w:r>
            <w:r>
              <w:t>phenotypic drug susceptibility testing (no. of services)</w:t>
            </w:r>
          </w:p>
        </w:tc>
        <w:tc>
          <w:tcPr>
            <w:tcW w:w="1037" w:type="dxa"/>
            <w:tcMar>
              <w:top w:w="0" w:type="dxa"/>
              <w:left w:w="108" w:type="dxa"/>
              <w:bottom w:w="0" w:type="dxa"/>
              <w:right w:w="108" w:type="dxa"/>
            </w:tcMar>
          </w:tcPr>
          <w:p w14:paraId="198EA5AA" w14:textId="77777777" w:rsidR="009F0065" w:rsidRPr="00DA1EC7" w:rsidRDefault="009F0065" w:rsidP="006F4EBA">
            <w:pPr>
              <w:pStyle w:val="TableText1"/>
              <w:jc w:val="right"/>
            </w:pPr>
            <w:r w:rsidRPr="00DA1EC7">
              <w:t>-22</w:t>
            </w:r>
          </w:p>
        </w:tc>
        <w:tc>
          <w:tcPr>
            <w:tcW w:w="1037" w:type="dxa"/>
            <w:tcMar>
              <w:top w:w="0" w:type="dxa"/>
              <w:left w:w="108" w:type="dxa"/>
              <w:bottom w:w="0" w:type="dxa"/>
              <w:right w:w="108" w:type="dxa"/>
            </w:tcMar>
          </w:tcPr>
          <w:p w14:paraId="10762761" w14:textId="77777777" w:rsidR="009F0065" w:rsidRPr="00DA1EC7" w:rsidRDefault="009F0065" w:rsidP="006F4EBA">
            <w:pPr>
              <w:pStyle w:val="TableText1"/>
              <w:jc w:val="right"/>
            </w:pPr>
            <w:r w:rsidRPr="00DA1EC7">
              <w:t>-23</w:t>
            </w:r>
          </w:p>
        </w:tc>
        <w:tc>
          <w:tcPr>
            <w:tcW w:w="1037" w:type="dxa"/>
            <w:tcMar>
              <w:top w:w="0" w:type="dxa"/>
              <w:left w:w="108" w:type="dxa"/>
              <w:bottom w:w="0" w:type="dxa"/>
              <w:right w:w="108" w:type="dxa"/>
            </w:tcMar>
          </w:tcPr>
          <w:p w14:paraId="1FD165B1" w14:textId="77777777" w:rsidR="009F0065" w:rsidRPr="006018F2" w:rsidRDefault="009F0065" w:rsidP="006F4EBA">
            <w:pPr>
              <w:pStyle w:val="TableText1"/>
              <w:jc w:val="right"/>
            </w:pPr>
            <w:r w:rsidRPr="00DA1EC7">
              <w:t>-23</w:t>
            </w:r>
          </w:p>
        </w:tc>
        <w:tc>
          <w:tcPr>
            <w:tcW w:w="1037" w:type="dxa"/>
            <w:tcMar>
              <w:top w:w="0" w:type="dxa"/>
              <w:left w:w="108" w:type="dxa"/>
              <w:bottom w:w="0" w:type="dxa"/>
              <w:right w:w="108" w:type="dxa"/>
            </w:tcMar>
          </w:tcPr>
          <w:p w14:paraId="3F370CA5" w14:textId="77777777" w:rsidR="009F0065" w:rsidRPr="00B54D3A" w:rsidRDefault="009F0065" w:rsidP="006F4EBA">
            <w:pPr>
              <w:pStyle w:val="TableText1"/>
              <w:jc w:val="right"/>
            </w:pPr>
            <w:r w:rsidRPr="00B54D3A">
              <w:t>-23</w:t>
            </w:r>
          </w:p>
        </w:tc>
        <w:tc>
          <w:tcPr>
            <w:tcW w:w="1037" w:type="dxa"/>
            <w:tcMar>
              <w:top w:w="0" w:type="dxa"/>
              <w:left w:w="108" w:type="dxa"/>
              <w:bottom w:w="0" w:type="dxa"/>
              <w:right w:w="108" w:type="dxa"/>
            </w:tcMar>
          </w:tcPr>
          <w:p w14:paraId="3DECEB83" w14:textId="77777777" w:rsidR="009F0065" w:rsidRPr="000A3FEB" w:rsidRDefault="009F0065" w:rsidP="006F4EBA">
            <w:pPr>
              <w:pStyle w:val="TableText1"/>
              <w:jc w:val="right"/>
            </w:pPr>
            <w:r w:rsidRPr="000A3FEB">
              <w:t>-24</w:t>
            </w:r>
          </w:p>
        </w:tc>
        <w:tc>
          <w:tcPr>
            <w:tcW w:w="1061" w:type="dxa"/>
            <w:tcMar>
              <w:top w:w="0" w:type="dxa"/>
              <w:left w:w="108" w:type="dxa"/>
              <w:bottom w:w="0" w:type="dxa"/>
              <w:right w:w="108" w:type="dxa"/>
            </w:tcMar>
          </w:tcPr>
          <w:p w14:paraId="4513C4B3" w14:textId="77777777" w:rsidR="009F0065" w:rsidRPr="000A3FEB" w:rsidRDefault="009F0065" w:rsidP="006F4EBA">
            <w:pPr>
              <w:pStyle w:val="TableText1"/>
              <w:jc w:val="right"/>
            </w:pPr>
            <w:r w:rsidRPr="000A3FEB">
              <w:t>-24</w:t>
            </w:r>
          </w:p>
        </w:tc>
      </w:tr>
      <w:tr w:rsidR="009F0065" w:rsidRPr="00CE28E3" w14:paraId="578A3068" w14:textId="77777777" w:rsidTr="006F4EBA">
        <w:tc>
          <w:tcPr>
            <w:tcW w:w="2770" w:type="dxa"/>
            <w:tcMar>
              <w:top w:w="0" w:type="dxa"/>
              <w:left w:w="108" w:type="dxa"/>
              <w:bottom w:w="0" w:type="dxa"/>
              <w:right w:w="108" w:type="dxa"/>
            </w:tcMar>
            <w:hideMark/>
          </w:tcPr>
          <w:p w14:paraId="6CFC4EF2" w14:textId="77777777" w:rsidR="009F0065" w:rsidRPr="00CE28E3" w:rsidRDefault="009F0065" w:rsidP="006F4EBA">
            <w:pPr>
              <w:pStyle w:val="TableText1"/>
            </w:pPr>
            <w:r w:rsidRPr="00CE28E3">
              <w:t xml:space="preserve">Net change in costs to the </w:t>
            </w:r>
            <w:r>
              <w:t>MBS</w:t>
            </w:r>
            <w:r w:rsidRPr="00CE28E3">
              <w:t xml:space="preserve"> (with appropriate </w:t>
            </w:r>
            <w:proofErr w:type="spellStart"/>
            <w:r w:rsidRPr="00CE28E3">
              <w:t>copayments</w:t>
            </w:r>
            <w:proofErr w:type="spellEnd"/>
            <w:r w:rsidRPr="00CE28E3">
              <w:t xml:space="preserve"> excluded)</w:t>
            </w:r>
          </w:p>
        </w:tc>
        <w:tc>
          <w:tcPr>
            <w:tcW w:w="1037" w:type="dxa"/>
            <w:tcMar>
              <w:top w:w="0" w:type="dxa"/>
              <w:left w:w="108" w:type="dxa"/>
              <w:bottom w:w="0" w:type="dxa"/>
              <w:right w:w="108" w:type="dxa"/>
            </w:tcMar>
          </w:tcPr>
          <w:p w14:paraId="266D94F3" w14:textId="77777777" w:rsidR="009F0065" w:rsidRPr="00DA1EC7" w:rsidRDefault="009F0065" w:rsidP="006F4EBA">
            <w:pPr>
              <w:pStyle w:val="TableText1"/>
              <w:jc w:val="right"/>
            </w:pPr>
            <w:r w:rsidRPr="00DA1EC7">
              <w:t>-$2,394</w:t>
            </w:r>
          </w:p>
        </w:tc>
        <w:tc>
          <w:tcPr>
            <w:tcW w:w="1037" w:type="dxa"/>
            <w:tcMar>
              <w:top w:w="0" w:type="dxa"/>
              <w:left w:w="108" w:type="dxa"/>
              <w:bottom w:w="0" w:type="dxa"/>
              <w:right w:w="108" w:type="dxa"/>
            </w:tcMar>
          </w:tcPr>
          <w:p w14:paraId="54F7EBA5" w14:textId="77777777" w:rsidR="009F0065" w:rsidRPr="00DA1EC7" w:rsidRDefault="009F0065" w:rsidP="006F4EBA">
            <w:pPr>
              <w:pStyle w:val="TableText1"/>
              <w:jc w:val="right"/>
            </w:pPr>
            <w:r w:rsidRPr="00DA1EC7">
              <w:t>-$2,502</w:t>
            </w:r>
          </w:p>
        </w:tc>
        <w:tc>
          <w:tcPr>
            <w:tcW w:w="1037" w:type="dxa"/>
            <w:tcMar>
              <w:top w:w="0" w:type="dxa"/>
              <w:left w:w="108" w:type="dxa"/>
              <w:bottom w:w="0" w:type="dxa"/>
              <w:right w:w="108" w:type="dxa"/>
            </w:tcMar>
          </w:tcPr>
          <w:p w14:paraId="4617E9B7" w14:textId="77777777" w:rsidR="009F0065" w:rsidRPr="006018F2" w:rsidRDefault="009F0065" w:rsidP="006F4EBA">
            <w:pPr>
              <w:pStyle w:val="TableText1"/>
              <w:jc w:val="right"/>
            </w:pPr>
            <w:r w:rsidRPr="00DA1EC7">
              <w:t>-$2,502</w:t>
            </w:r>
          </w:p>
        </w:tc>
        <w:tc>
          <w:tcPr>
            <w:tcW w:w="1037" w:type="dxa"/>
            <w:tcMar>
              <w:top w:w="0" w:type="dxa"/>
              <w:left w:w="108" w:type="dxa"/>
              <w:bottom w:w="0" w:type="dxa"/>
              <w:right w:w="108" w:type="dxa"/>
            </w:tcMar>
          </w:tcPr>
          <w:p w14:paraId="1E6DE3FB" w14:textId="77777777" w:rsidR="009F0065" w:rsidRPr="00B54D3A" w:rsidRDefault="009F0065" w:rsidP="006F4EBA">
            <w:pPr>
              <w:pStyle w:val="TableText1"/>
              <w:jc w:val="right"/>
            </w:pPr>
            <w:r w:rsidRPr="00B54D3A">
              <w:t>-$2,502</w:t>
            </w:r>
          </w:p>
        </w:tc>
        <w:tc>
          <w:tcPr>
            <w:tcW w:w="1037" w:type="dxa"/>
            <w:tcMar>
              <w:top w:w="0" w:type="dxa"/>
              <w:left w:w="108" w:type="dxa"/>
              <w:bottom w:w="0" w:type="dxa"/>
              <w:right w:w="108" w:type="dxa"/>
            </w:tcMar>
          </w:tcPr>
          <w:p w14:paraId="78CFC722" w14:textId="77777777" w:rsidR="009F0065" w:rsidRPr="000A3FEB" w:rsidRDefault="009F0065" w:rsidP="006F4EBA">
            <w:pPr>
              <w:pStyle w:val="TableText1"/>
              <w:jc w:val="right"/>
            </w:pPr>
            <w:r w:rsidRPr="000A3FEB">
              <w:t>-$2,611</w:t>
            </w:r>
          </w:p>
        </w:tc>
        <w:tc>
          <w:tcPr>
            <w:tcW w:w="1061" w:type="dxa"/>
            <w:tcMar>
              <w:top w:w="0" w:type="dxa"/>
              <w:left w:w="108" w:type="dxa"/>
              <w:bottom w:w="0" w:type="dxa"/>
              <w:right w:w="108" w:type="dxa"/>
            </w:tcMar>
          </w:tcPr>
          <w:p w14:paraId="561750F8" w14:textId="77777777" w:rsidR="009F0065" w:rsidRPr="000A3FEB" w:rsidRDefault="009F0065" w:rsidP="006F4EBA">
            <w:pPr>
              <w:pStyle w:val="TableText1"/>
              <w:jc w:val="right"/>
            </w:pPr>
            <w:r w:rsidRPr="000A3FEB">
              <w:t>-$2,611</w:t>
            </w:r>
          </w:p>
        </w:tc>
      </w:tr>
      <w:tr w:rsidR="009F0065" w:rsidRPr="00CE28E3" w14:paraId="4E1B13A1" w14:textId="77777777" w:rsidTr="006F4EBA">
        <w:tc>
          <w:tcPr>
            <w:tcW w:w="2770" w:type="dxa"/>
            <w:tcMar>
              <w:top w:w="0" w:type="dxa"/>
              <w:left w:w="108" w:type="dxa"/>
              <w:bottom w:w="0" w:type="dxa"/>
              <w:right w:w="108" w:type="dxa"/>
            </w:tcMar>
            <w:hideMark/>
          </w:tcPr>
          <w:p w14:paraId="6B6FD85A" w14:textId="77777777" w:rsidR="009F0065" w:rsidRPr="00CE28E3" w:rsidRDefault="009F0065" w:rsidP="006F4EBA">
            <w:pPr>
              <w:pStyle w:val="TableText1"/>
              <w:rPr>
                <w:b/>
                <w:bCs/>
              </w:rPr>
            </w:pPr>
            <w:r w:rsidRPr="00CE28E3">
              <w:rPr>
                <w:b/>
                <w:bCs/>
              </w:rPr>
              <w:t xml:space="preserve">Net financial impact to the </w:t>
            </w:r>
            <w:r>
              <w:rPr>
                <w:b/>
                <w:bCs/>
              </w:rPr>
              <w:t>MBS</w:t>
            </w:r>
          </w:p>
        </w:tc>
        <w:tc>
          <w:tcPr>
            <w:tcW w:w="1037" w:type="dxa"/>
            <w:tcMar>
              <w:top w:w="0" w:type="dxa"/>
              <w:left w:w="108" w:type="dxa"/>
              <w:bottom w:w="0" w:type="dxa"/>
              <w:right w:w="108" w:type="dxa"/>
            </w:tcMar>
          </w:tcPr>
          <w:p w14:paraId="3CCBD4FB" w14:textId="77777777" w:rsidR="009F0065" w:rsidRPr="006018F2" w:rsidRDefault="009F0065" w:rsidP="006F4EBA">
            <w:pPr>
              <w:pStyle w:val="TableText1"/>
              <w:jc w:val="right"/>
              <w:rPr>
                <w:b/>
              </w:rPr>
            </w:pPr>
            <w:r w:rsidRPr="006018F2">
              <w:rPr>
                <w:b/>
              </w:rPr>
              <w:t>$158,886</w:t>
            </w:r>
          </w:p>
        </w:tc>
        <w:tc>
          <w:tcPr>
            <w:tcW w:w="1037" w:type="dxa"/>
            <w:tcMar>
              <w:top w:w="0" w:type="dxa"/>
              <w:left w:w="108" w:type="dxa"/>
              <w:bottom w:w="0" w:type="dxa"/>
              <w:right w:w="108" w:type="dxa"/>
            </w:tcMar>
          </w:tcPr>
          <w:p w14:paraId="72B66464" w14:textId="77777777" w:rsidR="009F0065" w:rsidRPr="00B54D3A" w:rsidRDefault="009F0065" w:rsidP="006F4EBA">
            <w:pPr>
              <w:pStyle w:val="TableText1"/>
              <w:jc w:val="right"/>
              <w:rPr>
                <w:b/>
              </w:rPr>
            </w:pPr>
            <w:r w:rsidRPr="00B54D3A">
              <w:rPr>
                <w:b/>
              </w:rPr>
              <w:t>$161,312</w:t>
            </w:r>
          </w:p>
        </w:tc>
        <w:tc>
          <w:tcPr>
            <w:tcW w:w="1037" w:type="dxa"/>
            <w:tcMar>
              <w:top w:w="0" w:type="dxa"/>
              <w:left w:w="108" w:type="dxa"/>
              <w:bottom w:w="0" w:type="dxa"/>
              <w:right w:w="108" w:type="dxa"/>
            </w:tcMar>
          </w:tcPr>
          <w:p w14:paraId="5A364DE8" w14:textId="77777777" w:rsidR="009F0065" w:rsidRPr="000A3FEB" w:rsidRDefault="009F0065" w:rsidP="006F4EBA">
            <w:pPr>
              <w:pStyle w:val="TableText1"/>
              <w:jc w:val="right"/>
              <w:rPr>
                <w:b/>
              </w:rPr>
            </w:pPr>
            <w:r w:rsidRPr="000A3FEB">
              <w:rPr>
                <w:b/>
              </w:rPr>
              <w:t>$163,817</w:t>
            </w:r>
          </w:p>
        </w:tc>
        <w:tc>
          <w:tcPr>
            <w:tcW w:w="1037" w:type="dxa"/>
            <w:tcMar>
              <w:top w:w="0" w:type="dxa"/>
              <w:left w:w="108" w:type="dxa"/>
              <w:bottom w:w="0" w:type="dxa"/>
              <w:right w:w="108" w:type="dxa"/>
            </w:tcMar>
          </w:tcPr>
          <w:p w14:paraId="7057A79A" w14:textId="77777777" w:rsidR="009F0065" w:rsidRPr="000A3FEB" w:rsidRDefault="009F0065" w:rsidP="006F4EBA">
            <w:pPr>
              <w:pStyle w:val="TableText1"/>
              <w:jc w:val="right"/>
              <w:rPr>
                <w:b/>
              </w:rPr>
            </w:pPr>
            <w:r w:rsidRPr="000A3FEB">
              <w:rPr>
                <w:b/>
              </w:rPr>
              <w:t>$166,280</w:t>
            </w:r>
          </w:p>
        </w:tc>
        <w:tc>
          <w:tcPr>
            <w:tcW w:w="1037" w:type="dxa"/>
            <w:tcMar>
              <w:top w:w="0" w:type="dxa"/>
              <w:left w:w="108" w:type="dxa"/>
              <w:bottom w:w="0" w:type="dxa"/>
              <w:right w:w="108" w:type="dxa"/>
            </w:tcMar>
          </w:tcPr>
          <w:p w14:paraId="6DC5B57B" w14:textId="77777777" w:rsidR="009F0065" w:rsidRPr="000A3FEB" w:rsidRDefault="009F0065" w:rsidP="006F4EBA">
            <w:pPr>
              <w:pStyle w:val="TableText1"/>
              <w:jc w:val="right"/>
              <w:rPr>
                <w:b/>
              </w:rPr>
            </w:pPr>
            <w:r w:rsidRPr="000A3FEB">
              <w:rPr>
                <w:b/>
              </w:rPr>
              <w:t>$168,596</w:t>
            </w:r>
          </w:p>
        </w:tc>
        <w:tc>
          <w:tcPr>
            <w:tcW w:w="1061" w:type="dxa"/>
            <w:tcMar>
              <w:top w:w="0" w:type="dxa"/>
              <w:left w:w="108" w:type="dxa"/>
              <w:bottom w:w="0" w:type="dxa"/>
              <w:right w:w="108" w:type="dxa"/>
            </w:tcMar>
          </w:tcPr>
          <w:p w14:paraId="54D0174F" w14:textId="77777777" w:rsidR="009F0065" w:rsidRPr="000A3FEB" w:rsidRDefault="009F0065" w:rsidP="006F4EBA">
            <w:pPr>
              <w:pStyle w:val="TableText1"/>
              <w:jc w:val="right"/>
              <w:rPr>
                <w:b/>
              </w:rPr>
            </w:pPr>
            <w:r w:rsidRPr="000A3FEB">
              <w:rPr>
                <w:b/>
              </w:rPr>
              <w:t>$170,970</w:t>
            </w:r>
          </w:p>
        </w:tc>
      </w:tr>
    </w:tbl>
    <w:p w14:paraId="77D57808" w14:textId="7AE1987C" w:rsidR="006A47F3" w:rsidRDefault="009F0065" w:rsidP="00644745">
      <w:pPr>
        <w:pStyle w:val="TableFigureFooter"/>
      </w:pPr>
      <w:r w:rsidRPr="000F05FC">
        <w:t>MBS = Medicare benefit</w:t>
      </w:r>
      <w:r w:rsidR="00DC304B">
        <w:t>s</w:t>
      </w:r>
      <w:r w:rsidRPr="000F05FC">
        <w:t xml:space="preserve"> schedule</w:t>
      </w:r>
    </w:p>
    <w:p w14:paraId="7F6BF477" w14:textId="2CFA63CA" w:rsidR="003869F4" w:rsidRPr="00CE28E3" w:rsidRDefault="003869F4" w:rsidP="00E06036">
      <w:pPr>
        <w:pStyle w:val="Heading1"/>
      </w:pPr>
      <w:bookmarkStart w:id="35" w:name="_Toc85459620"/>
      <w:bookmarkStart w:id="36" w:name="_Toc90153902"/>
      <w:r w:rsidRPr="00CE28E3">
        <w:t xml:space="preserve">Other relevant </w:t>
      </w:r>
      <w:r>
        <w:t>information</w:t>
      </w:r>
      <w:bookmarkEnd w:id="35"/>
      <w:bookmarkEnd w:id="36"/>
    </w:p>
    <w:p w14:paraId="6B8E85F2" w14:textId="77777777" w:rsidR="003869F4" w:rsidRPr="003869F4" w:rsidRDefault="003869F4" w:rsidP="008D1C4A">
      <w:pPr>
        <w:spacing w:before="120" w:after="160"/>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 xml:space="preserve">WGS can provide additional information over </w:t>
      </w:r>
      <w:proofErr w:type="spellStart"/>
      <w:r w:rsidRPr="003869F4">
        <w:rPr>
          <w:rFonts w:ascii="Franklin Gothic Book" w:eastAsia="Calibri" w:hAnsi="Franklin Gothic Book"/>
          <w:sz w:val="22"/>
          <w:szCs w:val="22"/>
          <w:lang w:eastAsia="en-US"/>
        </w:rPr>
        <w:t>pDST</w:t>
      </w:r>
      <w:proofErr w:type="spellEnd"/>
      <w:r w:rsidRPr="003869F4">
        <w:rPr>
          <w:rFonts w:ascii="Franklin Gothic Book" w:eastAsia="Calibri" w:hAnsi="Franklin Gothic Book"/>
          <w:sz w:val="22"/>
          <w:szCs w:val="22"/>
          <w:lang w:eastAsia="en-US"/>
        </w:rPr>
        <w:t xml:space="preserve">, which allows it to distinguish between relapse and reinfection, providing public health benefits such as tracking transmission, determining how closely related clusters are, helping to tell the direction of infection and finding possible missing links/additional cases of TB. </w:t>
      </w:r>
    </w:p>
    <w:p w14:paraId="55B5738C" w14:textId="77777777" w:rsidR="003869F4" w:rsidRPr="003869F4" w:rsidRDefault="003869F4" w:rsidP="008D1C4A">
      <w:pPr>
        <w:spacing w:before="120" w:after="160"/>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 xml:space="preserve">Given the low rate of relapse and community transmission within Australia, the impact of using WGS for these purposes is unclear. However, one article was identified that reported on WGS being used to investigate transmission dynamics between cases of MDR-TB in Papua New Guinea and Australia </w:t>
      </w:r>
      <w:r w:rsidRPr="003869F4">
        <w:rPr>
          <w:rFonts w:ascii="Franklin Gothic Book" w:eastAsia="Calibri" w:hAnsi="Franklin Gothic Book"/>
          <w:sz w:val="22"/>
          <w:szCs w:val="22"/>
          <w:lang w:eastAsia="en-US"/>
        </w:rPr>
        <w:fldChar w:fldCharType="begin">
          <w:fldData xml:space="preserve">PEVuZE5vdGU+PENpdGU+PEF1dGhvcj5CYWlub211Z2lzYTwvQXV0aG9yPjxZZWFyPjIwMTk8L1ll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</w:fldData>
        </w:fldChar>
      </w:r>
      <w:r w:rsidRPr="003869F4">
        <w:rPr>
          <w:rFonts w:ascii="Franklin Gothic Book" w:eastAsia="Calibri" w:hAnsi="Franklin Gothic Book"/>
          <w:sz w:val="22"/>
          <w:szCs w:val="22"/>
          <w:lang w:eastAsia="en-US"/>
        </w:rPr>
        <w:instrText xml:space="preserve"> ADDIN EN.CITE </w:instrText>
      </w:r>
      <w:r w:rsidRPr="003869F4">
        <w:rPr>
          <w:rFonts w:ascii="Franklin Gothic Book" w:eastAsia="Calibri" w:hAnsi="Franklin Gothic Book"/>
          <w:sz w:val="22"/>
          <w:szCs w:val="22"/>
          <w:lang w:eastAsia="en-US"/>
        </w:rPr>
        <w:fldChar w:fldCharType="begin">
          <w:fldData xml:space="preserve">PEVuZE5vdGU+PENpdGU+PEF1dGhvcj5CYWlub211Z2lzYTwvQXV0aG9yPjxZZWFyPjIwMTk8L1ll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</w:fldData>
        </w:fldChar>
      </w:r>
      <w:r w:rsidRPr="003869F4">
        <w:rPr>
          <w:rFonts w:ascii="Franklin Gothic Book" w:eastAsia="Calibri" w:hAnsi="Franklin Gothic Book"/>
          <w:sz w:val="22"/>
          <w:szCs w:val="22"/>
          <w:lang w:eastAsia="en-US"/>
        </w:rPr>
        <w:instrText xml:space="preserve"> ADDIN EN.CITE.DATA </w:instrText>
      </w:r>
      <w:r w:rsidRPr="003869F4">
        <w:rPr>
          <w:rFonts w:ascii="Franklin Gothic Book" w:eastAsia="Calibri" w:hAnsi="Franklin Gothic Book"/>
          <w:sz w:val="22"/>
          <w:szCs w:val="22"/>
          <w:lang w:eastAsia="en-US"/>
        </w:rPr>
      </w:r>
      <w:r w:rsidRPr="003869F4">
        <w:rPr>
          <w:rFonts w:ascii="Franklin Gothic Book" w:eastAsia="Calibri" w:hAnsi="Franklin Gothic Book"/>
          <w:sz w:val="22"/>
          <w:szCs w:val="22"/>
          <w:lang w:eastAsia="en-US"/>
        </w:rPr>
        <w:fldChar w:fldCharType="end"/>
      </w:r>
      <w:r w:rsidRPr="003869F4">
        <w:rPr>
          <w:rFonts w:ascii="Franklin Gothic Book" w:eastAsia="Calibri" w:hAnsi="Franklin Gothic Book"/>
          <w:sz w:val="22"/>
          <w:szCs w:val="22"/>
          <w:lang w:eastAsia="en-US"/>
        </w:rPr>
      </w:r>
      <w:r w:rsidRPr="003869F4">
        <w:rPr>
          <w:rFonts w:ascii="Franklin Gothic Book" w:eastAsia="Calibri" w:hAnsi="Franklin Gothic Book"/>
          <w:sz w:val="22"/>
          <w:szCs w:val="22"/>
          <w:lang w:eastAsia="en-US"/>
        </w:rPr>
        <w:fldChar w:fldCharType="separate"/>
      </w:r>
      <w:r w:rsidRPr="003869F4">
        <w:rPr>
          <w:rFonts w:ascii="Franklin Gothic Book" w:eastAsia="Calibri" w:hAnsi="Franklin Gothic Book"/>
          <w:sz w:val="22"/>
          <w:szCs w:val="22"/>
          <w:lang w:eastAsia="en-US"/>
        </w:rPr>
        <w:t>(Bainomugisa et al. 2019)</w:t>
      </w:r>
      <w:r w:rsidRPr="003869F4">
        <w:rPr>
          <w:rFonts w:ascii="Franklin Gothic Book" w:eastAsia="Calibri" w:hAnsi="Franklin Gothic Book"/>
          <w:sz w:val="22"/>
          <w:szCs w:val="22"/>
          <w:lang w:eastAsia="en-US"/>
        </w:rPr>
        <w:fldChar w:fldCharType="end"/>
      </w:r>
      <w:r w:rsidRPr="003869F4">
        <w:rPr>
          <w:rFonts w:ascii="Franklin Gothic Book" w:eastAsia="Calibri" w:hAnsi="Franklin Gothic Book"/>
          <w:sz w:val="22"/>
          <w:szCs w:val="22"/>
          <w:lang w:eastAsia="en-US"/>
        </w:rPr>
        <w:t xml:space="preserve">. WGS identified two separate episodes of MDR-TB transmission to Australian residents by the Torres Strait Protected Zone (TSPZ), which would not have been identified through conventional genotypic techniques. Four Australian citizens who resided or previously resided in the TSPZ were found to have MDR-TB, and MIRI-24 results suggested that they had the same MIRU profile (and may therefore have been considered to be a </w:t>
      </w:r>
      <w:r w:rsidRPr="003869F4">
        <w:rPr>
          <w:rFonts w:ascii="Franklin Gothic Book" w:eastAsia="Calibri" w:hAnsi="Franklin Gothic Book"/>
          <w:sz w:val="22"/>
          <w:szCs w:val="22"/>
          <w:lang w:eastAsia="en-US"/>
        </w:rPr>
        <w:lastRenderedPageBreak/>
        <w:t xml:space="preserve">single cluster). However, the additional depth of information provided by WGS (using the number of SNPs to infer transmission, with a threshold of 8 for direct transmission) suggested that while three of the Australian citizens formed a single cluster (with only 1 SNP difference), the fourth isolate was linked to another cluster from Papua New Guinea (with no SNP differences). </w:t>
      </w:r>
    </w:p>
    <w:p w14:paraId="2D1EAB96" w14:textId="5632F7AF" w:rsidR="003869F4" w:rsidRPr="003869F4" w:rsidRDefault="003869F4" w:rsidP="008D1C4A">
      <w:pPr>
        <w:spacing w:before="120" w:after="160"/>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Rapid testing may be most beneficial in high-risk communities and remote hotspots. A genomic analysis of all culture-confirmed TB cases in the Top End of the Northern Territory from 1989-2020 found that over three quarters of clustered cases occurred outside urban Darwin, suggesting that TB control resources should continue to be directed to TB hotspot regions with focus on timely and complete case detection, contact tracing, and latent TB treatment (</w:t>
      </w:r>
      <w:proofErr w:type="spellStart"/>
      <w:r w:rsidRPr="003869F4">
        <w:rPr>
          <w:rFonts w:ascii="Franklin Gothic Book" w:eastAsia="Calibri" w:hAnsi="Franklin Gothic Book"/>
          <w:sz w:val="22"/>
          <w:szCs w:val="22"/>
          <w:lang w:eastAsia="en-US"/>
        </w:rPr>
        <w:t>Meumann</w:t>
      </w:r>
      <w:proofErr w:type="spellEnd"/>
      <w:r w:rsidRPr="003869F4">
        <w:rPr>
          <w:rFonts w:ascii="Franklin Gothic Book" w:eastAsia="Calibri" w:hAnsi="Franklin Gothic Book"/>
          <w:sz w:val="22"/>
          <w:szCs w:val="22"/>
          <w:lang w:eastAsia="en-US"/>
        </w:rPr>
        <w:t>, 2021). Genomic sequencing was able to identify putative transmission links that had not been eviden</w:t>
      </w:r>
      <w:r w:rsidR="002A3E68">
        <w:rPr>
          <w:rFonts w:ascii="Franklin Gothic Book" w:eastAsia="Calibri" w:hAnsi="Franklin Gothic Book"/>
          <w:sz w:val="22"/>
          <w:szCs w:val="22"/>
          <w:lang w:eastAsia="en-US"/>
        </w:rPr>
        <w:t>t</w:t>
      </w:r>
      <w:r w:rsidRPr="003869F4">
        <w:rPr>
          <w:rFonts w:ascii="Franklin Gothic Book" w:eastAsia="Calibri" w:hAnsi="Franklin Gothic Book"/>
          <w:sz w:val="22"/>
          <w:szCs w:val="22"/>
          <w:lang w:eastAsia="en-US"/>
        </w:rPr>
        <w:t xml:space="preserve"> during contact tracing.</w:t>
      </w:r>
    </w:p>
    <w:p w14:paraId="0CA95849" w14:textId="74DFC3C6" w:rsidR="003869F4" w:rsidRPr="003869F4" w:rsidRDefault="003869F4" w:rsidP="008D1C4A">
      <w:pPr>
        <w:spacing w:before="120" w:after="160"/>
        <w:rPr>
          <w:rFonts w:ascii="Franklin Gothic Book" w:eastAsia="Calibri" w:hAnsi="Franklin Gothic Book"/>
          <w:sz w:val="22"/>
          <w:szCs w:val="22"/>
          <w:lang w:eastAsia="en-US"/>
        </w:rPr>
      </w:pPr>
      <w:r w:rsidRPr="003869F4">
        <w:rPr>
          <w:rFonts w:ascii="Franklin Gothic Book" w:eastAsia="Calibri" w:hAnsi="Franklin Gothic Book"/>
          <w:sz w:val="22"/>
          <w:szCs w:val="22"/>
          <w:lang w:eastAsia="en-US"/>
        </w:rPr>
        <w:t>Beyond outbreak investigation, other potential benefits of WGS for DST in mycobacteria include reducing development of antimicrobial resistance, and distinguishing between relapse and re-infection</w:t>
      </w:r>
      <w:r w:rsidR="00166767">
        <w:rPr>
          <w:rFonts w:ascii="Franklin Gothic Book" w:eastAsia="Calibri" w:hAnsi="Franklin Gothic Book"/>
          <w:sz w:val="22"/>
          <w:szCs w:val="22"/>
          <w:lang w:eastAsia="en-US"/>
        </w:rPr>
        <w:t xml:space="preserve"> with a different strain</w:t>
      </w:r>
      <w:r w:rsidRPr="003869F4">
        <w:rPr>
          <w:rFonts w:ascii="Franklin Gothic Book" w:eastAsia="Calibri" w:hAnsi="Franklin Gothic Book"/>
          <w:sz w:val="22"/>
          <w:szCs w:val="22"/>
          <w:lang w:eastAsia="en-US"/>
        </w:rPr>
        <w:t>.</w:t>
      </w:r>
    </w:p>
    <w:p w14:paraId="6EEBE616" w14:textId="3D787834" w:rsidR="00493F7D" w:rsidRPr="009E6309" w:rsidRDefault="00493F7D" w:rsidP="00E06036">
      <w:pPr>
        <w:pStyle w:val="Heading1"/>
      </w:pPr>
      <w:r w:rsidRPr="009E6309">
        <w:lastRenderedPageBreak/>
        <w:t>Key issues from ESC to MSAC</w:t>
      </w:r>
    </w:p>
    <w:tbl>
      <w:tblPr>
        <w:tblStyle w:val="TableGrid"/>
        <w:tblW w:w="0" w:type="auto"/>
        <w:tblLook w:val="04A0" w:firstRow="1" w:lastRow="0" w:firstColumn="1" w:lastColumn="0" w:noHBand="0" w:noVBand="1"/>
      </w:tblPr>
      <w:tblGrid>
        <w:gridCol w:w="2122"/>
        <w:gridCol w:w="6894"/>
      </w:tblGrid>
      <w:tr w:rsidR="00493F7D" w:rsidRPr="006F4EBA" w14:paraId="50179574"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6AE6DBFE" w14:textId="77777777" w:rsidR="00493F7D" w:rsidRPr="006F4EBA" w:rsidRDefault="00493F7D" w:rsidP="00644745">
            <w:pPr>
              <w:pStyle w:val="TableHeading"/>
              <w:rPr>
                <w:rFonts w:ascii="Franklin Gothic Book" w:hAnsi="Franklin Gothic Book"/>
                <w:bCs/>
                <w:sz w:val="22"/>
                <w:szCs w:val="22"/>
              </w:rPr>
            </w:pPr>
            <w:r w:rsidRPr="006F4EBA">
              <w:rPr>
                <w:rFonts w:ascii="Franklin Gothic Book" w:hAnsi="Franklin Gothic Book"/>
                <w:sz w:val="22"/>
                <w:szCs w:val="22"/>
              </w:rPr>
              <w:t>ESC key issue</w:t>
            </w:r>
          </w:p>
        </w:tc>
        <w:tc>
          <w:tcPr>
            <w:tcW w:w="6894" w:type="dxa"/>
            <w:tcBorders>
              <w:top w:val="single" w:sz="4" w:space="0" w:color="auto"/>
              <w:left w:val="single" w:sz="4" w:space="0" w:color="auto"/>
              <w:bottom w:val="single" w:sz="4" w:space="0" w:color="auto"/>
              <w:right w:val="single" w:sz="4" w:space="0" w:color="auto"/>
            </w:tcBorders>
            <w:hideMark/>
          </w:tcPr>
          <w:p w14:paraId="35927ECF" w14:textId="77777777" w:rsidR="00493F7D" w:rsidRPr="006F4EBA" w:rsidRDefault="00493F7D" w:rsidP="00644745">
            <w:pPr>
              <w:pStyle w:val="TableHeading"/>
              <w:rPr>
                <w:rFonts w:ascii="Franklin Gothic Book" w:hAnsi="Franklin Gothic Book"/>
                <w:sz w:val="22"/>
                <w:szCs w:val="22"/>
              </w:rPr>
            </w:pPr>
            <w:r w:rsidRPr="006F4EBA">
              <w:rPr>
                <w:rFonts w:ascii="Franklin Gothic Book" w:hAnsi="Franklin Gothic Book"/>
                <w:sz w:val="22"/>
                <w:szCs w:val="22"/>
              </w:rPr>
              <w:t>ESC advice to MSAC</w:t>
            </w:r>
          </w:p>
        </w:tc>
      </w:tr>
      <w:tr w:rsidR="00493F7D" w:rsidRPr="006F4EBA" w14:paraId="30D01A9F"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33CD5D35"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Clinical outcomes</w:t>
            </w:r>
          </w:p>
        </w:tc>
        <w:tc>
          <w:tcPr>
            <w:tcW w:w="6894" w:type="dxa"/>
            <w:tcBorders>
              <w:top w:val="single" w:sz="4" w:space="0" w:color="auto"/>
              <w:left w:val="single" w:sz="4" w:space="0" w:color="auto"/>
              <w:bottom w:val="single" w:sz="4" w:space="0" w:color="auto"/>
              <w:right w:val="single" w:sz="4" w:space="0" w:color="auto"/>
            </w:tcBorders>
            <w:hideMark/>
          </w:tcPr>
          <w:p w14:paraId="687D7A77" w14:textId="77777777" w:rsidR="00493F7D" w:rsidRPr="006F4EBA" w:rsidRDefault="00493F7D" w:rsidP="00644745">
            <w:pPr>
              <w:pStyle w:val="TableText0"/>
              <w:rPr>
                <w:rFonts w:ascii="Franklin Gothic Book" w:hAnsi="Franklin Gothic Book"/>
                <w:sz w:val="22"/>
                <w:szCs w:val="22"/>
              </w:rPr>
            </w:pPr>
            <w:r>
              <w:rPr>
                <w:rFonts w:ascii="Franklin Gothic Book" w:hAnsi="Franklin Gothic Book"/>
                <w:sz w:val="22"/>
                <w:szCs w:val="22"/>
              </w:rPr>
              <w:t>While t</w:t>
            </w:r>
            <w:r w:rsidRPr="006F4EBA">
              <w:rPr>
                <w:rFonts w:ascii="Franklin Gothic Book" w:hAnsi="Franklin Gothic Book"/>
                <w:sz w:val="22"/>
                <w:szCs w:val="22"/>
              </w:rPr>
              <w:t xml:space="preserve">he service is likely to improve </w:t>
            </w:r>
            <w:r>
              <w:rPr>
                <w:rFonts w:ascii="Franklin Gothic Book" w:hAnsi="Franklin Gothic Book"/>
                <w:sz w:val="22"/>
                <w:szCs w:val="22"/>
              </w:rPr>
              <w:t>treatment</w:t>
            </w:r>
            <w:r w:rsidRPr="006F4EBA">
              <w:rPr>
                <w:rFonts w:ascii="Franklin Gothic Book" w:hAnsi="Franklin Gothic Book"/>
                <w:sz w:val="22"/>
                <w:szCs w:val="22"/>
              </w:rPr>
              <w:t xml:space="preserve"> adherence and clinical outcomes, there is </w:t>
            </w:r>
            <w:r>
              <w:rPr>
                <w:rFonts w:ascii="Franklin Gothic Book" w:hAnsi="Franklin Gothic Book"/>
                <w:sz w:val="22"/>
                <w:szCs w:val="22"/>
              </w:rPr>
              <w:t>only limited</w:t>
            </w:r>
            <w:r w:rsidRPr="006F4EBA">
              <w:rPr>
                <w:rFonts w:ascii="Franklin Gothic Book" w:hAnsi="Franklin Gothic Book"/>
                <w:sz w:val="22"/>
                <w:szCs w:val="22"/>
              </w:rPr>
              <w:t xml:space="preserve"> evidence from small </w:t>
            </w:r>
            <w:r>
              <w:rPr>
                <w:rFonts w:ascii="Franklin Gothic Book" w:hAnsi="Franklin Gothic Book"/>
                <w:sz w:val="22"/>
                <w:szCs w:val="22"/>
              </w:rPr>
              <w:t xml:space="preserve">case </w:t>
            </w:r>
            <w:r w:rsidRPr="006F4EBA">
              <w:rPr>
                <w:rFonts w:ascii="Franklin Gothic Book" w:hAnsi="Franklin Gothic Book"/>
                <w:sz w:val="22"/>
                <w:szCs w:val="22"/>
              </w:rPr>
              <w:t>series</w:t>
            </w:r>
            <w:r>
              <w:rPr>
                <w:rFonts w:ascii="Franklin Gothic Book" w:hAnsi="Franklin Gothic Book"/>
                <w:sz w:val="22"/>
                <w:szCs w:val="22"/>
              </w:rPr>
              <w:t xml:space="preserve"> linking WGS to changes in clinical outcomes</w:t>
            </w:r>
            <w:r w:rsidRPr="006F4EBA">
              <w:rPr>
                <w:rFonts w:ascii="Franklin Gothic Book" w:hAnsi="Franklin Gothic Book"/>
                <w:sz w:val="22"/>
                <w:szCs w:val="22"/>
              </w:rPr>
              <w:t xml:space="preserve">. There are no data from </w:t>
            </w:r>
            <w:r>
              <w:rPr>
                <w:rFonts w:ascii="Franklin Gothic Book" w:hAnsi="Franklin Gothic Book"/>
                <w:sz w:val="22"/>
                <w:szCs w:val="22"/>
              </w:rPr>
              <w:t>Aboriginal and Torres Strait Islander</w:t>
            </w:r>
            <w:r w:rsidRPr="006F4EBA">
              <w:rPr>
                <w:rFonts w:ascii="Franklin Gothic Book" w:hAnsi="Franklin Gothic Book"/>
                <w:sz w:val="22"/>
                <w:szCs w:val="22"/>
              </w:rPr>
              <w:t xml:space="preserve"> populations.</w:t>
            </w:r>
          </w:p>
        </w:tc>
      </w:tr>
      <w:tr w:rsidR="00493F7D" w:rsidRPr="006F4EBA" w14:paraId="69902618"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3A9A151D"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ICER interpretation</w:t>
            </w:r>
          </w:p>
        </w:tc>
        <w:tc>
          <w:tcPr>
            <w:tcW w:w="6894" w:type="dxa"/>
            <w:tcBorders>
              <w:top w:val="single" w:sz="4" w:space="0" w:color="auto"/>
              <w:left w:val="single" w:sz="4" w:space="0" w:color="auto"/>
              <w:bottom w:val="single" w:sz="4" w:space="0" w:color="auto"/>
              <w:right w:val="single" w:sz="4" w:space="0" w:color="auto"/>
            </w:tcBorders>
            <w:hideMark/>
          </w:tcPr>
          <w:p w14:paraId="4428BAB9"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 xml:space="preserve">The ICER is $4,551 per additional </w:t>
            </w:r>
            <w:r>
              <w:rPr>
                <w:rFonts w:ascii="Franklin Gothic Book" w:hAnsi="Franklin Gothic Book"/>
                <w:sz w:val="22"/>
                <w:szCs w:val="22"/>
              </w:rPr>
              <w:t xml:space="preserve">pathogen resistance </w:t>
            </w:r>
            <w:r w:rsidRPr="006F4EBA">
              <w:rPr>
                <w:rFonts w:ascii="Franklin Gothic Book" w:hAnsi="Franklin Gothic Book"/>
                <w:sz w:val="22"/>
                <w:szCs w:val="22"/>
              </w:rPr>
              <w:t>correct</w:t>
            </w:r>
            <w:r>
              <w:rPr>
                <w:rFonts w:ascii="Franklin Gothic Book" w:hAnsi="Franklin Gothic Book"/>
                <w:sz w:val="22"/>
                <w:szCs w:val="22"/>
              </w:rPr>
              <w:t>ly</w:t>
            </w:r>
            <w:r w:rsidRPr="006F4EBA">
              <w:rPr>
                <w:rFonts w:ascii="Franklin Gothic Book" w:hAnsi="Franklin Gothic Book"/>
                <w:sz w:val="22"/>
                <w:szCs w:val="22"/>
              </w:rPr>
              <w:t xml:space="preserve"> diagnos</w:t>
            </w:r>
            <w:r>
              <w:rPr>
                <w:rFonts w:ascii="Franklin Gothic Book" w:hAnsi="Franklin Gothic Book"/>
                <w:sz w:val="22"/>
                <w:szCs w:val="22"/>
              </w:rPr>
              <w:t>ed</w:t>
            </w:r>
            <w:r w:rsidRPr="006F4EBA">
              <w:rPr>
                <w:rFonts w:ascii="Franklin Gothic Book" w:hAnsi="Franklin Gothic Book"/>
                <w:sz w:val="22"/>
                <w:szCs w:val="22"/>
              </w:rPr>
              <w:t xml:space="preserve">, which </w:t>
            </w:r>
            <w:r>
              <w:rPr>
                <w:rFonts w:ascii="Franklin Gothic Book" w:hAnsi="Franklin Gothic Book"/>
                <w:sz w:val="22"/>
                <w:szCs w:val="22"/>
              </w:rPr>
              <w:t xml:space="preserve">is difficult to interpret but </w:t>
            </w:r>
            <w:r w:rsidRPr="006F4EBA">
              <w:rPr>
                <w:rFonts w:ascii="Franklin Gothic Book" w:hAnsi="Franklin Gothic Book"/>
                <w:sz w:val="22"/>
                <w:szCs w:val="22"/>
              </w:rPr>
              <w:t>in line with</w:t>
            </w:r>
            <w:r>
              <w:rPr>
                <w:rFonts w:ascii="Franklin Gothic Book" w:hAnsi="Franklin Gothic Book"/>
                <w:sz w:val="22"/>
                <w:szCs w:val="22"/>
              </w:rPr>
              <w:t xml:space="preserve"> cost per additional proband detected in</w:t>
            </w:r>
            <w:r w:rsidRPr="006F4EBA">
              <w:rPr>
                <w:rFonts w:ascii="Franklin Gothic Book" w:hAnsi="Franklin Gothic Book"/>
                <w:sz w:val="22"/>
                <w:szCs w:val="22"/>
              </w:rPr>
              <w:t xml:space="preserve"> </w:t>
            </w:r>
            <w:r>
              <w:rPr>
                <w:rFonts w:ascii="Franklin Gothic Book" w:hAnsi="Franklin Gothic Book"/>
                <w:sz w:val="22"/>
                <w:szCs w:val="22"/>
              </w:rPr>
              <w:t xml:space="preserve">germline </w:t>
            </w:r>
            <w:r w:rsidRPr="006F4EBA">
              <w:rPr>
                <w:rFonts w:ascii="Franklin Gothic Book" w:hAnsi="Franklin Gothic Book"/>
                <w:sz w:val="22"/>
                <w:szCs w:val="22"/>
              </w:rPr>
              <w:t xml:space="preserve">genetic </w:t>
            </w:r>
            <w:r>
              <w:rPr>
                <w:rFonts w:ascii="Franklin Gothic Book" w:hAnsi="Franklin Gothic Book"/>
                <w:sz w:val="22"/>
                <w:szCs w:val="22"/>
              </w:rPr>
              <w:t>tests previously</w:t>
            </w:r>
            <w:r w:rsidRPr="006F4EBA">
              <w:rPr>
                <w:rFonts w:ascii="Franklin Gothic Book" w:hAnsi="Franklin Gothic Book"/>
                <w:sz w:val="22"/>
                <w:szCs w:val="22"/>
              </w:rPr>
              <w:t xml:space="preserve"> </w:t>
            </w:r>
            <w:r>
              <w:rPr>
                <w:rFonts w:ascii="Franklin Gothic Book" w:hAnsi="Franklin Gothic Book"/>
                <w:sz w:val="22"/>
                <w:szCs w:val="22"/>
              </w:rPr>
              <w:t>supported by MSAC</w:t>
            </w:r>
            <w:r w:rsidRPr="006F4EBA">
              <w:rPr>
                <w:rFonts w:ascii="Franklin Gothic Book" w:hAnsi="Franklin Gothic Book"/>
                <w:sz w:val="22"/>
                <w:szCs w:val="22"/>
              </w:rPr>
              <w:t xml:space="preserve">. </w:t>
            </w:r>
            <w:r>
              <w:rPr>
                <w:rFonts w:ascii="Franklin Gothic Book" w:hAnsi="Franklin Gothic Book"/>
                <w:sz w:val="22"/>
                <w:szCs w:val="22"/>
              </w:rPr>
              <w:t>T</w:t>
            </w:r>
            <w:r w:rsidRPr="006F4EBA">
              <w:rPr>
                <w:rFonts w:ascii="Franklin Gothic Book" w:hAnsi="Franklin Gothic Book"/>
                <w:sz w:val="22"/>
                <w:szCs w:val="22"/>
              </w:rPr>
              <w:t>he ICER may be conservative</w:t>
            </w:r>
            <w:r>
              <w:rPr>
                <w:rFonts w:ascii="Franklin Gothic Book" w:hAnsi="Franklin Gothic Book"/>
                <w:sz w:val="22"/>
                <w:szCs w:val="22"/>
              </w:rPr>
              <w:t>:</w:t>
            </w:r>
            <w:r w:rsidRPr="006F4EBA">
              <w:rPr>
                <w:rFonts w:ascii="Franklin Gothic Book" w:hAnsi="Franklin Gothic Book"/>
                <w:sz w:val="22"/>
                <w:szCs w:val="22"/>
              </w:rPr>
              <w:t xml:space="preserve"> if the </w:t>
            </w:r>
            <w:r>
              <w:rPr>
                <w:rFonts w:ascii="Franklin Gothic Book" w:hAnsi="Franklin Gothic Book"/>
                <w:sz w:val="22"/>
                <w:szCs w:val="22"/>
              </w:rPr>
              <w:t>difference in turnaround time (</w:t>
            </w:r>
            <w:r w:rsidRPr="006F4EBA">
              <w:rPr>
                <w:rFonts w:ascii="Franklin Gothic Book" w:hAnsi="Franklin Gothic Book"/>
                <w:sz w:val="22"/>
                <w:szCs w:val="22"/>
              </w:rPr>
              <w:t>TAT</w:t>
            </w:r>
            <w:r>
              <w:rPr>
                <w:rFonts w:ascii="Franklin Gothic Book" w:hAnsi="Franklin Gothic Book"/>
                <w:sz w:val="22"/>
                <w:szCs w:val="22"/>
              </w:rPr>
              <w:t>)</w:t>
            </w:r>
            <w:r w:rsidRPr="006F4EBA">
              <w:rPr>
                <w:rFonts w:ascii="Franklin Gothic Book" w:hAnsi="Franklin Gothic Book"/>
                <w:sz w:val="22"/>
                <w:szCs w:val="22"/>
              </w:rPr>
              <w:t xml:space="preserve"> increases from 5 to 10 days, the ICER decreases to $860</w:t>
            </w:r>
            <w:r>
              <w:rPr>
                <w:rFonts w:ascii="Franklin Gothic Book" w:hAnsi="Franklin Gothic Book"/>
                <w:sz w:val="22"/>
                <w:szCs w:val="22"/>
              </w:rPr>
              <w:t xml:space="preserve"> per additional pathogen resistance correctly diagnosed</w:t>
            </w:r>
            <w:r w:rsidRPr="006F4EBA">
              <w:rPr>
                <w:rFonts w:ascii="Franklin Gothic Book" w:hAnsi="Franklin Gothic Book"/>
                <w:sz w:val="22"/>
                <w:szCs w:val="22"/>
              </w:rPr>
              <w:t>.</w:t>
            </w:r>
          </w:p>
        </w:tc>
      </w:tr>
      <w:tr w:rsidR="00493F7D" w:rsidRPr="006F4EBA" w14:paraId="49FFB7AC"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5A124D38" w14:textId="77777777" w:rsidR="00493F7D" w:rsidRPr="006F4EBA" w:rsidRDefault="00493F7D" w:rsidP="00644745">
            <w:pPr>
              <w:pStyle w:val="TableText0"/>
              <w:rPr>
                <w:rFonts w:ascii="Franklin Gothic Book" w:hAnsi="Franklin Gothic Book"/>
                <w:sz w:val="22"/>
                <w:szCs w:val="22"/>
              </w:rPr>
            </w:pPr>
            <w:r>
              <w:rPr>
                <w:rFonts w:ascii="Franklin Gothic Book" w:hAnsi="Franklin Gothic Book"/>
                <w:sz w:val="22"/>
                <w:szCs w:val="22"/>
              </w:rPr>
              <w:t>Turnaround time</w:t>
            </w:r>
            <w:r w:rsidRPr="006F4EBA">
              <w:rPr>
                <w:rFonts w:ascii="Franklin Gothic Book" w:hAnsi="Franklin Gothic Book"/>
                <w:sz w:val="22"/>
                <w:szCs w:val="22"/>
              </w:rPr>
              <w:t xml:space="preserve"> </w:t>
            </w:r>
            <w:r>
              <w:rPr>
                <w:rFonts w:ascii="Franklin Gothic Book" w:hAnsi="Franklin Gothic Book"/>
                <w:sz w:val="22"/>
                <w:szCs w:val="22"/>
              </w:rPr>
              <w:t>(</w:t>
            </w:r>
            <w:r w:rsidRPr="006F4EBA">
              <w:rPr>
                <w:rFonts w:ascii="Franklin Gothic Book" w:hAnsi="Franklin Gothic Book"/>
                <w:sz w:val="22"/>
                <w:szCs w:val="22"/>
              </w:rPr>
              <w:t>TAT</w:t>
            </w:r>
            <w:r>
              <w:rPr>
                <w:rFonts w:ascii="Franklin Gothic Book" w:hAnsi="Franklin Gothic Book"/>
                <w:sz w:val="22"/>
                <w:szCs w:val="22"/>
              </w:rPr>
              <w:t>)</w:t>
            </w:r>
          </w:p>
        </w:tc>
        <w:tc>
          <w:tcPr>
            <w:tcW w:w="6894" w:type="dxa"/>
            <w:tcBorders>
              <w:top w:val="single" w:sz="4" w:space="0" w:color="auto"/>
              <w:left w:val="single" w:sz="4" w:space="0" w:color="auto"/>
              <w:bottom w:val="single" w:sz="4" w:space="0" w:color="auto"/>
              <w:right w:val="single" w:sz="4" w:space="0" w:color="auto"/>
            </w:tcBorders>
            <w:hideMark/>
          </w:tcPr>
          <w:p w14:paraId="0B2949C5"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 xml:space="preserve">There is uncertainty over </w:t>
            </w:r>
            <w:r>
              <w:rPr>
                <w:rFonts w:ascii="Franklin Gothic Book" w:hAnsi="Franklin Gothic Book"/>
                <w:sz w:val="22"/>
                <w:szCs w:val="22"/>
              </w:rPr>
              <w:t xml:space="preserve">the </w:t>
            </w:r>
            <w:r w:rsidRPr="006F4EBA">
              <w:rPr>
                <w:rFonts w:ascii="Franklin Gothic Book" w:hAnsi="Franklin Gothic Book"/>
                <w:sz w:val="22"/>
                <w:szCs w:val="22"/>
              </w:rPr>
              <w:t>estimate</w:t>
            </w:r>
            <w:r>
              <w:rPr>
                <w:rFonts w:ascii="Franklin Gothic Book" w:hAnsi="Franklin Gothic Book"/>
                <w:sz w:val="22"/>
                <w:szCs w:val="22"/>
              </w:rPr>
              <w:t>d</w:t>
            </w:r>
            <w:r w:rsidRPr="006F4EBA">
              <w:rPr>
                <w:rFonts w:ascii="Franklin Gothic Book" w:hAnsi="Franklin Gothic Book"/>
                <w:sz w:val="22"/>
                <w:szCs w:val="22"/>
              </w:rPr>
              <w:t xml:space="preserve"> TAT</w:t>
            </w:r>
            <w:r>
              <w:rPr>
                <w:rFonts w:ascii="Franklin Gothic Book" w:hAnsi="Franklin Gothic Book"/>
                <w:sz w:val="22"/>
                <w:szCs w:val="22"/>
              </w:rPr>
              <w:t>, and TAT is likely to shorten over time</w:t>
            </w:r>
            <w:r w:rsidRPr="006F4EBA">
              <w:rPr>
                <w:rFonts w:ascii="Franklin Gothic Book" w:hAnsi="Franklin Gothic Book"/>
                <w:sz w:val="22"/>
                <w:szCs w:val="22"/>
              </w:rPr>
              <w:t xml:space="preserve">. The effectiveness </w:t>
            </w:r>
            <w:r>
              <w:rPr>
                <w:rFonts w:ascii="Franklin Gothic Book" w:hAnsi="Franklin Gothic Book"/>
                <w:sz w:val="22"/>
                <w:szCs w:val="22"/>
              </w:rPr>
              <w:t>of WGS will</w:t>
            </w:r>
            <w:r w:rsidRPr="006F4EBA">
              <w:rPr>
                <w:rFonts w:ascii="Franklin Gothic Book" w:hAnsi="Franklin Gothic Book"/>
                <w:sz w:val="22"/>
                <w:szCs w:val="22"/>
              </w:rPr>
              <w:t xml:space="preserve"> be </w:t>
            </w:r>
            <w:r>
              <w:rPr>
                <w:rFonts w:ascii="Franklin Gothic Book" w:hAnsi="Franklin Gothic Book"/>
                <w:sz w:val="22"/>
                <w:szCs w:val="22"/>
              </w:rPr>
              <w:t>less</w:t>
            </w:r>
            <w:r w:rsidRPr="006F4EBA">
              <w:rPr>
                <w:rFonts w:ascii="Franklin Gothic Book" w:hAnsi="Franklin Gothic Book"/>
                <w:sz w:val="22"/>
                <w:szCs w:val="22"/>
              </w:rPr>
              <w:t xml:space="preserve"> </w:t>
            </w:r>
            <w:r>
              <w:rPr>
                <w:rFonts w:ascii="Franklin Gothic Book" w:hAnsi="Franklin Gothic Book"/>
                <w:sz w:val="22"/>
                <w:szCs w:val="22"/>
              </w:rPr>
              <w:t>if</w:t>
            </w:r>
            <w:r w:rsidRPr="006F4EBA">
              <w:rPr>
                <w:rFonts w:ascii="Franklin Gothic Book" w:hAnsi="Franklin Gothic Book"/>
                <w:sz w:val="22"/>
                <w:szCs w:val="22"/>
              </w:rPr>
              <w:t xml:space="preserve"> TAT</w:t>
            </w:r>
            <w:r>
              <w:rPr>
                <w:rFonts w:ascii="Franklin Gothic Book" w:hAnsi="Franklin Gothic Book"/>
                <w:sz w:val="22"/>
                <w:szCs w:val="22"/>
              </w:rPr>
              <w:t>s are more similar</w:t>
            </w:r>
            <w:r w:rsidRPr="006F4EBA">
              <w:rPr>
                <w:rFonts w:ascii="Franklin Gothic Book" w:hAnsi="Franklin Gothic Book"/>
                <w:sz w:val="22"/>
                <w:szCs w:val="22"/>
              </w:rPr>
              <w:t xml:space="preserve"> between WGS and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In practice, </w:t>
            </w:r>
            <w:r>
              <w:rPr>
                <w:rFonts w:ascii="Franklin Gothic Book" w:hAnsi="Franklin Gothic Book"/>
                <w:sz w:val="22"/>
                <w:szCs w:val="22"/>
              </w:rPr>
              <w:t xml:space="preserve">a shorter TAT </w:t>
            </w:r>
            <w:r w:rsidRPr="006F4EBA">
              <w:rPr>
                <w:rFonts w:ascii="Franklin Gothic Book" w:hAnsi="Franklin Gothic Book"/>
                <w:sz w:val="22"/>
                <w:szCs w:val="22"/>
              </w:rPr>
              <w:t xml:space="preserve">is likely to </w:t>
            </w:r>
            <w:r>
              <w:rPr>
                <w:rFonts w:ascii="Franklin Gothic Book" w:hAnsi="Franklin Gothic Book"/>
                <w:sz w:val="22"/>
                <w:szCs w:val="22"/>
              </w:rPr>
              <w:t>have</w:t>
            </w:r>
            <w:r w:rsidRPr="006F4EBA">
              <w:rPr>
                <w:rFonts w:ascii="Franklin Gothic Book" w:hAnsi="Franklin Gothic Book"/>
                <w:sz w:val="22"/>
                <w:szCs w:val="22"/>
              </w:rPr>
              <w:t xml:space="preserve"> </w:t>
            </w:r>
            <w:r>
              <w:rPr>
                <w:rFonts w:ascii="Franklin Gothic Book" w:hAnsi="Franklin Gothic Book"/>
                <w:sz w:val="22"/>
                <w:szCs w:val="22"/>
              </w:rPr>
              <w:t>only a modest</w:t>
            </w:r>
            <w:r w:rsidRPr="006F4EBA">
              <w:rPr>
                <w:rFonts w:ascii="Franklin Gothic Book" w:hAnsi="Franklin Gothic Book"/>
                <w:sz w:val="22"/>
                <w:szCs w:val="22"/>
              </w:rPr>
              <w:t xml:space="preserve"> </w:t>
            </w:r>
            <w:r>
              <w:rPr>
                <w:rFonts w:ascii="Franklin Gothic Book" w:hAnsi="Franklin Gothic Book"/>
                <w:sz w:val="22"/>
                <w:szCs w:val="22"/>
              </w:rPr>
              <w:t>effect on</w:t>
            </w:r>
            <w:r w:rsidRPr="006F4EBA">
              <w:rPr>
                <w:rFonts w:ascii="Franklin Gothic Book" w:hAnsi="Franklin Gothic Book"/>
                <w:sz w:val="22"/>
                <w:szCs w:val="22"/>
              </w:rPr>
              <w:t xml:space="preserve"> patient management.</w:t>
            </w:r>
          </w:p>
        </w:tc>
      </w:tr>
      <w:tr w:rsidR="00493F7D" w:rsidRPr="006F4EBA" w14:paraId="1B34C225"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723628A8"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Economic model</w:t>
            </w:r>
          </w:p>
        </w:tc>
        <w:tc>
          <w:tcPr>
            <w:tcW w:w="6894" w:type="dxa"/>
            <w:tcBorders>
              <w:top w:val="single" w:sz="4" w:space="0" w:color="auto"/>
              <w:left w:val="single" w:sz="4" w:space="0" w:color="auto"/>
              <w:bottom w:val="single" w:sz="4" w:space="0" w:color="auto"/>
              <w:right w:val="single" w:sz="4" w:space="0" w:color="auto"/>
            </w:tcBorders>
            <w:hideMark/>
          </w:tcPr>
          <w:p w14:paraId="22C2B9CE" w14:textId="77777777" w:rsidR="00493F7D" w:rsidRDefault="00493F7D" w:rsidP="00644745">
            <w:pPr>
              <w:pStyle w:val="TableText0"/>
              <w:rPr>
                <w:rFonts w:ascii="Franklin Gothic Book" w:hAnsi="Franklin Gothic Book"/>
                <w:sz w:val="22"/>
                <w:szCs w:val="22"/>
              </w:rPr>
            </w:pPr>
            <w:r>
              <w:rPr>
                <w:rFonts w:ascii="Franklin Gothic Book" w:hAnsi="Franklin Gothic Book"/>
                <w:sz w:val="22"/>
                <w:szCs w:val="22"/>
              </w:rPr>
              <w:t>The</w:t>
            </w:r>
            <w:r w:rsidRPr="006F4EBA">
              <w:rPr>
                <w:rFonts w:ascii="Franklin Gothic Book" w:hAnsi="Franklin Gothic Book"/>
                <w:sz w:val="22"/>
                <w:szCs w:val="22"/>
              </w:rPr>
              <w:t xml:space="preserve"> decision tree </w:t>
            </w:r>
            <w:r>
              <w:rPr>
                <w:rFonts w:ascii="Franklin Gothic Book" w:hAnsi="Franklin Gothic Book"/>
                <w:sz w:val="22"/>
                <w:szCs w:val="22"/>
              </w:rPr>
              <w:t>used in the DCAR was an overly simple choice for infectious disease modelling, as it poorly</w:t>
            </w:r>
            <w:r w:rsidRPr="006F4EBA">
              <w:rPr>
                <w:rFonts w:ascii="Franklin Gothic Book" w:hAnsi="Franklin Gothic Book"/>
                <w:sz w:val="22"/>
                <w:szCs w:val="22"/>
              </w:rPr>
              <w:t xml:space="preserve"> </w:t>
            </w:r>
            <w:r>
              <w:rPr>
                <w:rFonts w:ascii="Franklin Gothic Book" w:hAnsi="Franklin Gothic Book"/>
                <w:sz w:val="22"/>
                <w:szCs w:val="22"/>
              </w:rPr>
              <w:t>addresses</w:t>
            </w:r>
            <w:r w:rsidRPr="006F4EBA">
              <w:rPr>
                <w:rFonts w:ascii="Franklin Gothic Book" w:hAnsi="Franklin Gothic Book"/>
                <w:sz w:val="22"/>
                <w:szCs w:val="22"/>
              </w:rPr>
              <w:t xml:space="preserve"> timing</w:t>
            </w:r>
            <w:r>
              <w:rPr>
                <w:rFonts w:ascii="Franklin Gothic Book" w:hAnsi="Franklin Gothic Book"/>
                <w:sz w:val="22"/>
                <w:szCs w:val="22"/>
              </w:rPr>
              <w:t xml:space="preserve"> and transmission</w:t>
            </w:r>
            <w:r w:rsidRPr="006F4EBA">
              <w:rPr>
                <w:rFonts w:ascii="Franklin Gothic Book" w:hAnsi="Franklin Gothic Book"/>
                <w:sz w:val="22"/>
                <w:szCs w:val="22"/>
              </w:rPr>
              <w:t xml:space="preserve">. </w:t>
            </w:r>
            <w:r>
              <w:rPr>
                <w:rFonts w:ascii="Franklin Gothic Book" w:hAnsi="Franklin Gothic Book"/>
                <w:sz w:val="22"/>
                <w:szCs w:val="22"/>
              </w:rPr>
              <w:t>A discrete event simulation model would be more suitable for the future in similar assessments for other organisms/disease indications.</w:t>
            </w:r>
          </w:p>
          <w:p w14:paraId="235EE895" w14:textId="77777777" w:rsidR="00493F7D" w:rsidRPr="006F4EBA" w:rsidRDefault="00493F7D" w:rsidP="00644745">
            <w:pPr>
              <w:pStyle w:val="TableText0"/>
              <w:rPr>
                <w:rFonts w:ascii="Franklin Gothic Book" w:hAnsi="Franklin Gothic Book"/>
                <w:sz w:val="22"/>
                <w:szCs w:val="22"/>
              </w:rPr>
            </w:pPr>
            <w:r>
              <w:rPr>
                <w:rFonts w:ascii="Franklin Gothic Book" w:hAnsi="Franklin Gothic Book"/>
                <w:sz w:val="22"/>
                <w:szCs w:val="22"/>
              </w:rPr>
              <w:t xml:space="preserve">Nonetheless, the decision tree model is correct and valid. </w:t>
            </w:r>
            <w:r w:rsidRPr="006F4EBA">
              <w:rPr>
                <w:rFonts w:ascii="Franklin Gothic Book" w:hAnsi="Franklin Gothic Book"/>
                <w:sz w:val="22"/>
                <w:szCs w:val="22"/>
              </w:rPr>
              <w:t>The model made many assumptions</w:t>
            </w:r>
            <w:r>
              <w:rPr>
                <w:rFonts w:ascii="Franklin Gothic Book" w:hAnsi="Franklin Gothic Book"/>
                <w:sz w:val="22"/>
                <w:szCs w:val="22"/>
              </w:rPr>
              <w:t>, which were appropriately explored in sensitivity analyses</w:t>
            </w:r>
            <w:r w:rsidRPr="006F4EBA">
              <w:rPr>
                <w:rFonts w:ascii="Franklin Gothic Book" w:hAnsi="Franklin Gothic Book"/>
                <w:sz w:val="22"/>
                <w:szCs w:val="22"/>
              </w:rPr>
              <w:t>.</w:t>
            </w:r>
            <w:r>
              <w:rPr>
                <w:rFonts w:ascii="Franklin Gothic Book" w:hAnsi="Franklin Gothic Book"/>
                <w:sz w:val="22"/>
                <w:szCs w:val="22"/>
              </w:rPr>
              <w:t xml:space="preserve"> That the model omitted disease transmission, however as a result has provided a more conservative estimate of cost-effectiveness.</w:t>
            </w:r>
          </w:p>
          <w:p w14:paraId="0B0D6051" w14:textId="77777777" w:rsidR="00493F7D" w:rsidRPr="006F4EBA" w:rsidRDefault="00493F7D" w:rsidP="00644745">
            <w:pPr>
              <w:pStyle w:val="TableText0"/>
              <w:rPr>
                <w:rFonts w:ascii="Franklin Gothic Book" w:hAnsi="Franklin Gothic Book"/>
                <w:sz w:val="22"/>
                <w:szCs w:val="22"/>
              </w:rPr>
            </w:pPr>
          </w:p>
        </w:tc>
      </w:tr>
      <w:tr w:rsidR="00493F7D" w:rsidRPr="006F4EBA" w14:paraId="276820D4"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33DBBED8"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MBS item descriptor</w:t>
            </w:r>
          </w:p>
        </w:tc>
        <w:tc>
          <w:tcPr>
            <w:tcW w:w="6894" w:type="dxa"/>
            <w:tcBorders>
              <w:top w:val="single" w:sz="4" w:space="0" w:color="auto"/>
              <w:left w:val="single" w:sz="4" w:space="0" w:color="auto"/>
              <w:bottom w:val="single" w:sz="4" w:space="0" w:color="auto"/>
              <w:right w:val="single" w:sz="4" w:space="0" w:color="auto"/>
            </w:tcBorders>
            <w:hideMark/>
          </w:tcPr>
          <w:p w14:paraId="10354488" w14:textId="77777777" w:rsidR="00493F7D"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 xml:space="preserve">The item descriptor needs to be expanded </w:t>
            </w:r>
            <w:r>
              <w:rPr>
                <w:rFonts w:ascii="Franklin Gothic Book" w:hAnsi="Franklin Gothic Book"/>
                <w:sz w:val="22"/>
                <w:szCs w:val="22"/>
              </w:rPr>
              <w:t xml:space="preserve">from initial diagnoses only, </w:t>
            </w:r>
            <w:r w:rsidRPr="006F4EBA">
              <w:rPr>
                <w:rFonts w:ascii="Franklin Gothic Book" w:hAnsi="Franklin Gothic Book"/>
                <w:sz w:val="22"/>
                <w:szCs w:val="22"/>
              </w:rPr>
              <w:t xml:space="preserve">to include </w:t>
            </w:r>
            <w:r>
              <w:rPr>
                <w:rFonts w:ascii="Franklin Gothic Book" w:hAnsi="Franklin Gothic Book"/>
                <w:sz w:val="22"/>
                <w:szCs w:val="22"/>
              </w:rPr>
              <w:t>testing at disease relapse, per the management algorithm</w:t>
            </w:r>
            <w:r w:rsidRPr="006F4EBA">
              <w:rPr>
                <w:rFonts w:ascii="Franklin Gothic Book" w:hAnsi="Franklin Gothic Book"/>
                <w:sz w:val="22"/>
                <w:szCs w:val="22"/>
              </w:rPr>
              <w:t>. The frequency of test</w:t>
            </w:r>
            <w:r>
              <w:rPr>
                <w:rFonts w:ascii="Franklin Gothic Book" w:hAnsi="Franklin Gothic Book"/>
                <w:sz w:val="22"/>
                <w:szCs w:val="22"/>
              </w:rPr>
              <w:t>ing</w:t>
            </w:r>
            <w:r w:rsidRPr="006F4EBA">
              <w:rPr>
                <w:rFonts w:ascii="Franklin Gothic Book" w:hAnsi="Franklin Gothic Book"/>
                <w:sz w:val="22"/>
                <w:szCs w:val="22"/>
              </w:rPr>
              <w:t xml:space="preserve"> </w:t>
            </w:r>
            <w:r>
              <w:rPr>
                <w:rFonts w:ascii="Franklin Gothic Book" w:hAnsi="Franklin Gothic Book"/>
                <w:sz w:val="22"/>
                <w:szCs w:val="22"/>
              </w:rPr>
              <w:t>should</w:t>
            </w:r>
            <w:r w:rsidRPr="006F4EBA">
              <w:rPr>
                <w:rFonts w:ascii="Franklin Gothic Book" w:hAnsi="Franklin Gothic Book"/>
                <w:sz w:val="22"/>
                <w:szCs w:val="22"/>
              </w:rPr>
              <w:t xml:space="preserve"> be </w:t>
            </w:r>
            <w:r>
              <w:rPr>
                <w:rFonts w:ascii="Franklin Gothic Book" w:hAnsi="Franklin Gothic Book"/>
                <w:sz w:val="22"/>
                <w:szCs w:val="22"/>
              </w:rPr>
              <w:t>restricted</w:t>
            </w:r>
            <w:r w:rsidRPr="006F4EBA">
              <w:rPr>
                <w:rFonts w:ascii="Franklin Gothic Book" w:hAnsi="Franklin Gothic Book"/>
                <w:sz w:val="22"/>
                <w:szCs w:val="22"/>
              </w:rPr>
              <w:t xml:space="preserve"> </w:t>
            </w:r>
            <w:r>
              <w:rPr>
                <w:rFonts w:ascii="Franklin Gothic Book" w:hAnsi="Franklin Gothic Book"/>
                <w:sz w:val="22"/>
                <w:szCs w:val="22"/>
              </w:rPr>
              <w:t>to prevent inappropriate usage</w:t>
            </w:r>
            <w:r w:rsidRPr="006F4EBA">
              <w:rPr>
                <w:rFonts w:ascii="Franklin Gothic Book" w:hAnsi="Franklin Gothic Book"/>
                <w:sz w:val="22"/>
                <w:szCs w:val="22"/>
              </w:rPr>
              <w:t>.</w:t>
            </w:r>
          </w:p>
          <w:p w14:paraId="6692C3A3" w14:textId="77777777" w:rsidR="00493F7D" w:rsidRPr="00FB4992" w:rsidRDefault="00493F7D" w:rsidP="00644745">
            <w:pPr>
              <w:pStyle w:val="TableText0"/>
              <w:rPr>
                <w:rFonts w:ascii="Franklin Gothic Book" w:hAnsi="Franklin Gothic Book"/>
                <w:sz w:val="22"/>
                <w:szCs w:val="22"/>
              </w:rPr>
            </w:pPr>
            <w:r>
              <w:rPr>
                <w:rFonts w:ascii="Franklin Gothic Book" w:hAnsi="Franklin Gothic Book"/>
                <w:sz w:val="22"/>
                <w:szCs w:val="22"/>
              </w:rPr>
              <w:t>Rather than all mycobacterial infections, the item descriptor should be for patients with all MTBC infections. T</w:t>
            </w:r>
            <w:r w:rsidRPr="004D5F42">
              <w:rPr>
                <w:rFonts w:ascii="Franklin Gothic Book" w:hAnsi="Franklin Gothic Book"/>
                <w:iCs/>
                <w:sz w:val="22"/>
                <w:szCs w:val="22"/>
              </w:rPr>
              <w:t xml:space="preserve">he exemplar as </w:t>
            </w:r>
            <w:r>
              <w:rPr>
                <w:rFonts w:ascii="Franklin Gothic Book" w:hAnsi="Franklin Gothic Book"/>
                <w:iCs/>
                <w:sz w:val="22"/>
                <w:szCs w:val="22"/>
              </w:rPr>
              <w:t>narrowed</w:t>
            </w:r>
            <w:r w:rsidRPr="004D5F42">
              <w:rPr>
                <w:rFonts w:ascii="Franklin Gothic Book" w:hAnsi="Franklin Gothic Book"/>
                <w:iCs/>
                <w:sz w:val="22"/>
                <w:szCs w:val="22"/>
              </w:rPr>
              <w:t xml:space="preserve"> by the DCAR excluded the remainder of the MTBC, but the DCAR’s evidence aligned with the applicant’s target population</w:t>
            </w:r>
            <w:r>
              <w:rPr>
                <w:rFonts w:ascii="Franklin Gothic Book" w:hAnsi="Franklin Gothic Book"/>
                <w:iCs/>
                <w:sz w:val="22"/>
                <w:szCs w:val="22"/>
              </w:rPr>
              <w:t>.</w:t>
            </w:r>
          </w:p>
        </w:tc>
      </w:tr>
      <w:tr w:rsidR="00493F7D" w:rsidRPr="006F4EBA" w14:paraId="5A425960"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60C02BF9"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Proposed fee and breakdowns</w:t>
            </w:r>
          </w:p>
        </w:tc>
        <w:tc>
          <w:tcPr>
            <w:tcW w:w="6894" w:type="dxa"/>
            <w:tcBorders>
              <w:top w:val="single" w:sz="4" w:space="0" w:color="auto"/>
              <w:left w:val="single" w:sz="4" w:space="0" w:color="auto"/>
              <w:bottom w:val="single" w:sz="4" w:space="0" w:color="auto"/>
              <w:right w:val="single" w:sz="4" w:space="0" w:color="auto"/>
            </w:tcBorders>
            <w:hideMark/>
          </w:tcPr>
          <w:p w14:paraId="4763C9D2"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 xml:space="preserve">The proposed fee of $120 </w:t>
            </w:r>
            <w:r>
              <w:rPr>
                <w:rFonts w:ascii="Franklin Gothic Book" w:hAnsi="Franklin Gothic Book"/>
                <w:sz w:val="22"/>
                <w:szCs w:val="22"/>
              </w:rPr>
              <w:t xml:space="preserve">is reasonable based on benchmarking, though </w:t>
            </w:r>
            <w:r w:rsidRPr="006F4EBA">
              <w:rPr>
                <w:rFonts w:ascii="Franklin Gothic Book" w:hAnsi="Franklin Gothic Book"/>
                <w:sz w:val="22"/>
                <w:szCs w:val="22"/>
              </w:rPr>
              <w:t xml:space="preserve">may be too low. No information </w:t>
            </w:r>
            <w:r>
              <w:rPr>
                <w:rFonts w:ascii="Franklin Gothic Book" w:hAnsi="Franklin Gothic Book"/>
                <w:sz w:val="22"/>
                <w:szCs w:val="22"/>
              </w:rPr>
              <w:t>w</w:t>
            </w:r>
            <w:r w:rsidRPr="006F4EBA">
              <w:rPr>
                <w:rFonts w:ascii="Franklin Gothic Book" w:hAnsi="Franklin Gothic Book"/>
                <w:sz w:val="22"/>
                <w:szCs w:val="22"/>
              </w:rPr>
              <w:t xml:space="preserve">as provided on the breakdown of costs (to include consumables, bioinformatics, data sharing, etc.), which would be helpful for MSAC to </w:t>
            </w:r>
            <w:r>
              <w:rPr>
                <w:rFonts w:ascii="Franklin Gothic Book" w:hAnsi="Franklin Gothic Book"/>
                <w:sz w:val="22"/>
                <w:szCs w:val="22"/>
              </w:rPr>
              <w:t>advise on</w:t>
            </w:r>
            <w:r w:rsidRPr="006F4EBA">
              <w:rPr>
                <w:rFonts w:ascii="Franklin Gothic Book" w:hAnsi="Franklin Gothic Book"/>
                <w:sz w:val="22"/>
                <w:szCs w:val="22"/>
              </w:rPr>
              <w:t xml:space="preserve"> </w:t>
            </w:r>
            <w:r>
              <w:rPr>
                <w:rFonts w:ascii="Franklin Gothic Book" w:hAnsi="Franklin Gothic Book"/>
                <w:sz w:val="22"/>
                <w:szCs w:val="22"/>
              </w:rPr>
              <w:t>the</w:t>
            </w:r>
            <w:r w:rsidRPr="006F4EBA">
              <w:rPr>
                <w:rFonts w:ascii="Franklin Gothic Book" w:hAnsi="Franklin Gothic Book"/>
                <w:sz w:val="22"/>
                <w:szCs w:val="22"/>
              </w:rPr>
              <w:t xml:space="preserve"> appropriate fee.</w:t>
            </w:r>
          </w:p>
        </w:tc>
      </w:tr>
      <w:tr w:rsidR="00493F7D" w:rsidRPr="006F4EBA" w14:paraId="2CAF1D54" w14:textId="77777777" w:rsidTr="00644745">
        <w:tc>
          <w:tcPr>
            <w:tcW w:w="2122" w:type="dxa"/>
            <w:tcBorders>
              <w:top w:val="single" w:sz="4" w:space="0" w:color="auto"/>
              <w:left w:val="single" w:sz="4" w:space="0" w:color="auto"/>
              <w:bottom w:val="single" w:sz="4" w:space="0" w:color="auto"/>
              <w:right w:val="single" w:sz="4" w:space="0" w:color="auto"/>
            </w:tcBorders>
          </w:tcPr>
          <w:p w14:paraId="3E6B9AC8" w14:textId="77777777" w:rsidR="00493F7D" w:rsidRPr="006F4EBA" w:rsidRDefault="00493F7D" w:rsidP="00644745">
            <w:pPr>
              <w:pStyle w:val="TableText0"/>
              <w:rPr>
                <w:rFonts w:ascii="Franklin Gothic Book" w:hAnsi="Franklin Gothic Book"/>
                <w:sz w:val="22"/>
                <w:szCs w:val="22"/>
              </w:rPr>
            </w:pPr>
            <w:r>
              <w:rPr>
                <w:rFonts w:ascii="Franklin Gothic Book" w:hAnsi="Franklin Gothic Book"/>
                <w:sz w:val="22"/>
                <w:szCs w:val="22"/>
              </w:rPr>
              <w:t>Wider benefits</w:t>
            </w:r>
          </w:p>
        </w:tc>
        <w:tc>
          <w:tcPr>
            <w:tcW w:w="6894" w:type="dxa"/>
            <w:tcBorders>
              <w:top w:val="single" w:sz="4" w:space="0" w:color="auto"/>
              <w:left w:val="single" w:sz="4" w:space="0" w:color="auto"/>
              <w:bottom w:val="single" w:sz="4" w:space="0" w:color="auto"/>
              <w:right w:val="single" w:sz="4" w:space="0" w:color="auto"/>
            </w:tcBorders>
          </w:tcPr>
          <w:p w14:paraId="411DBB81" w14:textId="77777777" w:rsidR="00493F7D" w:rsidRPr="006F4EBA" w:rsidRDefault="00493F7D" w:rsidP="00644745">
            <w:pPr>
              <w:pStyle w:val="TableText0"/>
              <w:rPr>
                <w:rFonts w:ascii="Franklin Gothic Book" w:hAnsi="Franklin Gothic Book"/>
                <w:sz w:val="22"/>
                <w:szCs w:val="22"/>
              </w:rPr>
            </w:pPr>
            <w:r>
              <w:rPr>
                <w:rFonts w:ascii="Franklin Gothic Book" w:hAnsi="Franklin Gothic Book"/>
                <w:sz w:val="22"/>
                <w:szCs w:val="22"/>
              </w:rPr>
              <w:t>WGS has i</w:t>
            </w:r>
            <w:r w:rsidRPr="006F4EBA">
              <w:rPr>
                <w:rFonts w:ascii="Franklin Gothic Book" w:hAnsi="Franklin Gothic Book"/>
                <w:sz w:val="22"/>
                <w:szCs w:val="22"/>
              </w:rPr>
              <w:t>mportant wider benefits</w:t>
            </w:r>
            <w:r>
              <w:rPr>
                <w:rFonts w:ascii="Franklin Gothic Book" w:hAnsi="Franklin Gothic Book"/>
                <w:sz w:val="22"/>
                <w:szCs w:val="22"/>
              </w:rPr>
              <w:t xml:space="preserve"> that</w:t>
            </w:r>
            <w:r w:rsidRPr="006F4EBA">
              <w:rPr>
                <w:rFonts w:ascii="Franklin Gothic Book" w:hAnsi="Franklin Gothic Book"/>
                <w:sz w:val="22"/>
                <w:szCs w:val="22"/>
              </w:rPr>
              <w:t xml:space="preserve"> are difficult to quantify in economic modelling, includ</w:t>
            </w:r>
            <w:r>
              <w:rPr>
                <w:rFonts w:ascii="Franklin Gothic Book" w:hAnsi="Franklin Gothic Book"/>
                <w:sz w:val="22"/>
                <w:szCs w:val="22"/>
              </w:rPr>
              <w:t>ing</w:t>
            </w:r>
            <w:r w:rsidRPr="006F4EBA">
              <w:rPr>
                <w:rFonts w:ascii="Franklin Gothic Book" w:hAnsi="Franklin Gothic Book"/>
                <w:sz w:val="22"/>
                <w:szCs w:val="22"/>
              </w:rPr>
              <w:t xml:space="preserve"> outbreak control, </w:t>
            </w:r>
            <w:r>
              <w:rPr>
                <w:rFonts w:ascii="Franklin Gothic Book" w:hAnsi="Franklin Gothic Book"/>
                <w:sz w:val="22"/>
                <w:szCs w:val="22"/>
              </w:rPr>
              <w:t xml:space="preserve">phylogenetics, contributions to </w:t>
            </w:r>
            <w:r w:rsidRPr="006F4EBA">
              <w:rPr>
                <w:rFonts w:ascii="Franklin Gothic Book" w:hAnsi="Franklin Gothic Book"/>
                <w:sz w:val="22"/>
                <w:szCs w:val="22"/>
              </w:rPr>
              <w:t>variant librar</w:t>
            </w:r>
            <w:r>
              <w:rPr>
                <w:rFonts w:ascii="Franklin Gothic Book" w:hAnsi="Franklin Gothic Book"/>
                <w:sz w:val="22"/>
                <w:szCs w:val="22"/>
              </w:rPr>
              <w:t xml:space="preserve">ies used in </w:t>
            </w:r>
            <w:proofErr w:type="spellStart"/>
            <w:r>
              <w:rPr>
                <w:rFonts w:ascii="Franklin Gothic Book" w:hAnsi="Franklin Gothic Book"/>
                <w:sz w:val="22"/>
                <w:szCs w:val="22"/>
              </w:rPr>
              <w:t>resistome</w:t>
            </w:r>
            <w:proofErr w:type="spellEnd"/>
            <w:r>
              <w:rPr>
                <w:rFonts w:ascii="Franklin Gothic Book" w:hAnsi="Franklin Gothic Book"/>
                <w:sz w:val="22"/>
                <w:szCs w:val="22"/>
              </w:rPr>
              <w:t xml:space="preserve"> analysis,</w:t>
            </w:r>
            <w:r w:rsidRPr="006F4EBA">
              <w:rPr>
                <w:rFonts w:ascii="Franklin Gothic Book" w:hAnsi="Franklin Gothic Book"/>
                <w:sz w:val="22"/>
                <w:szCs w:val="22"/>
              </w:rPr>
              <w:t xml:space="preserve"> and data sharing across jurisdictions.</w:t>
            </w:r>
          </w:p>
        </w:tc>
      </w:tr>
      <w:tr w:rsidR="00493F7D" w:rsidRPr="006F4EBA" w14:paraId="5FABDF1A" w14:textId="77777777" w:rsidTr="00644745">
        <w:tc>
          <w:tcPr>
            <w:tcW w:w="2122" w:type="dxa"/>
            <w:tcBorders>
              <w:top w:val="single" w:sz="4" w:space="0" w:color="auto"/>
              <w:left w:val="single" w:sz="4" w:space="0" w:color="auto"/>
              <w:bottom w:val="single" w:sz="4" w:space="0" w:color="auto"/>
              <w:right w:val="single" w:sz="4" w:space="0" w:color="auto"/>
            </w:tcBorders>
            <w:hideMark/>
          </w:tcPr>
          <w:p w14:paraId="5504F4B5"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Equity of access</w:t>
            </w:r>
          </w:p>
        </w:tc>
        <w:tc>
          <w:tcPr>
            <w:tcW w:w="6894" w:type="dxa"/>
            <w:tcBorders>
              <w:top w:val="single" w:sz="4" w:space="0" w:color="auto"/>
              <w:left w:val="single" w:sz="4" w:space="0" w:color="auto"/>
              <w:bottom w:val="single" w:sz="4" w:space="0" w:color="auto"/>
              <w:right w:val="single" w:sz="4" w:space="0" w:color="auto"/>
            </w:tcBorders>
            <w:hideMark/>
          </w:tcPr>
          <w:p w14:paraId="3A2CB1C0" w14:textId="77777777" w:rsidR="00493F7D" w:rsidRPr="006F4EBA" w:rsidRDefault="00493F7D" w:rsidP="00644745">
            <w:pPr>
              <w:pStyle w:val="TableText0"/>
              <w:rPr>
                <w:rFonts w:ascii="Franklin Gothic Book" w:hAnsi="Franklin Gothic Book"/>
                <w:sz w:val="22"/>
                <w:szCs w:val="22"/>
              </w:rPr>
            </w:pPr>
            <w:r w:rsidRPr="006F4EBA">
              <w:rPr>
                <w:rFonts w:ascii="Franklin Gothic Book" w:hAnsi="Franklin Gothic Book"/>
                <w:sz w:val="22"/>
                <w:szCs w:val="22"/>
              </w:rPr>
              <w:t xml:space="preserve">Better access to testing for </w:t>
            </w:r>
            <w:r>
              <w:rPr>
                <w:rFonts w:ascii="Franklin Gothic Book" w:hAnsi="Franklin Gothic Book"/>
                <w:sz w:val="22"/>
                <w:szCs w:val="22"/>
              </w:rPr>
              <w:t>Aboriginal and Torres Strait Islander</w:t>
            </w:r>
            <w:r w:rsidRPr="006F4EBA">
              <w:rPr>
                <w:rFonts w:ascii="Franklin Gothic Book" w:hAnsi="Franklin Gothic Book"/>
                <w:sz w:val="22"/>
                <w:szCs w:val="22"/>
              </w:rPr>
              <w:t xml:space="preserve"> peoples must be addressed, as the incidence of TB in this group is </w:t>
            </w:r>
            <w:r>
              <w:rPr>
                <w:rFonts w:ascii="Franklin Gothic Book" w:hAnsi="Franklin Gothic Book"/>
                <w:sz w:val="22"/>
                <w:szCs w:val="22"/>
              </w:rPr>
              <w:t xml:space="preserve">currently </w:t>
            </w:r>
            <w:r w:rsidRPr="006F4EBA">
              <w:rPr>
                <w:rFonts w:ascii="Franklin Gothic Book" w:hAnsi="Franklin Gothic Book"/>
                <w:sz w:val="22"/>
                <w:szCs w:val="22"/>
              </w:rPr>
              <w:t>higher than in non-</w:t>
            </w:r>
            <w:r>
              <w:rPr>
                <w:rFonts w:ascii="Franklin Gothic Book" w:hAnsi="Franklin Gothic Book"/>
                <w:sz w:val="22"/>
                <w:szCs w:val="22"/>
              </w:rPr>
              <w:t>i</w:t>
            </w:r>
            <w:r w:rsidRPr="006F4EBA">
              <w:rPr>
                <w:rFonts w:ascii="Franklin Gothic Book" w:hAnsi="Franklin Gothic Book"/>
                <w:sz w:val="22"/>
                <w:szCs w:val="22"/>
              </w:rPr>
              <w:t xml:space="preserve">ndigenous Australians. </w:t>
            </w:r>
            <w:r>
              <w:rPr>
                <w:rFonts w:ascii="Franklin Gothic Book" w:hAnsi="Franklin Gothic Book"/>
                <w:sz w:val="22"/>
                <w:szCs w:val="22"/>
              </w:rPr>
              <w:t>E</w:t>
            </w:r>
            <w:r>
              <w:rPr>
                <w:rFonts w:ascii="Franklin Gothic Book" w:hAnsi="Franklin Gothic Book"/>
                <w:iCs/>
                <w:sz w:val="22"/>
                <w:szCs w:val="22"/>
              </w:rPr>
              <w:t>quitable access for patients in remote areas could be supported through</w:t>
            </w:r>
            <w:r w:rsidRPr="00246B61">
              <w:rPr>
                <w:rFonts w:ascii="Franklin Gothic Book" w:hAnsi="Franklin Gothic Book"/>
                <w:iCs/>
                <w:sz w:val="22"/>
                <w:szCs w:val="22"/>
              </w:rPr>
              <w:t xml:space="preserve"> decentralised testing laboratories</w:t>
            </w:r>
            <w:r>
              <w:rPr>
                <w:rFonts w:ascii="Franklin Gothic Book" w:hAnsi="Franklin Gothic Book"/>
                <w:iCs/>
                <w:sz w:val="22"/>
                <w:szCs w:val="22"/>
              </w:rPr>
              <w:t>,</w:t>
            </w:r>
            <w:r w:rsidRPr="00246B61">
              <w:rPr>
                <w:rFonts w:ascii="Franklin Gothic Book" w:hAnsi="Franklin Gothic Book"/>
                <w:iCs/>
                <w:sz w:val="22"/>
                <w:szCs w:val="22"/>
              </w:rPr>
              <w:t xml:space="preserve"> </w:t>
            </w:r>
            <w:r>
              <w:rPr>
                <w:rFonts w:ascii="Franklin Gothic Book" w:hAnsi="Franklin Gothic Book"/>
                <w:iCs/>
                <w:sz w:val="22"/>
                <w:szCs w:val="22"/>
              </w:rPr>
              <w:t xml:space="preserve">or funding </w:t>
            </w:r>
            <w:r w:rsidRPr="00246B61">
              <w:rPr>
                <w:rFonts w:ascii="Franklin Gothic Book" w:hAnsi="Franklin Gothic Book"/>
                <w:iCs/>
                <w:sz w:val="22"/>
                <w:szCs w:val="22"/>
              </w:rPr>
              <w:t>for samples to be sent to state-based reference laboratories.</w:t>
            </w:r>
          </w:p>
        </w:tc>
      </w:tr>
    </w:tbl>
    <w:p w14:paraId="4C051156" w14:textId="77777777" w:rsidR="00EA0116" w:rsidRDefault="00EA0116">
      <w:pPr>
        <w:spacing w:after="200" w:line="276" w:lineRule="auto"/>
        <w:rPr>
          <w:rFonts w:ascii="Franklin Gothic Medium" w:eastAsia="SimSun" w:hAnsi="Franklin Gothic Medium"/>
          <w:szCs w:val="24"/>
          <w:lang w:eastAsia="en-US"/>
        </w:rPr>
      </w:pPr>
      <w:r>
        <w:br w:type="page"/>
      </w:r>
    </w:p>
    <w:p w14:paraId="4FA3561D" w14:textId="7038BF05" w:rsidR="00493F7D" w:rsidRPr="006F4EBA" w:rsidRDefault="00493F7D" w:rsidP="00161A29">
      <w:pPr>
        <w:pStyle w:val="Heading2"/>
      </w:pPr>
      <w:r w:rsidRPr="006F4EBA">
        <w:lastRenderedPageBreak/>
        <w:t>ESC discussion</w:t>
      </w:r>
    </w:p>
    <w:p w14:paraId="482B6E0D" w14:textId="60C6EACE" w:rsidR="00493F7D" w:rsidRPr="00246B61" w:rsidRDefault="00493F7D" w:rsidP="00161A29">
      <w:pPr>
        <w:keepNext/>
        <w:keepLines/>
        <w:spacing w:after="240"/>
        <w:rPr>
          <w:rFonts w:ascii="Franklin Gothic Book" w:hAnsi="Franklin Gothic Book"/>
          <w:iCs/>
          <w:sz w:val="22"/>
          <w:szCs w:val="22"/>
        </w:rPr>
      </w:pPr>
      <w:r w:rsidRPr="00246B61">
        <w:rPr>
          <w:rFonts w:ascii="Franklin Gothic Book" w:hAnsi="Franklin Gothic Book"/>
          <w:iCs/>
          <w:sz w:val="22"/>
          <w:szCs w:val="22"/>
        </w:rPr>
        <w:t xml:space="preserve">ESC noted that this application from the Royal College of Pathologists of Australasia was for a new Medicare Benefits Schedule (MBS) item for whole genome sequencing of antimicrobial-resistant organisms. ESC noted that the original application requested MBS listing for </w:t>
      </w:r>
      <w:r>
        <w:rPr>
          <w:rFonts w:ascii="Franklin Gothic Book" w:hAnsi="Franklin Gothic Book"/>
          <w:iCs/>
          <w:sz w:val="22"/>
          <w:szCs w:val="22"/>
        </w:rPr>
        <w:t xml:space="preserve">WGS for a wide range of indications, and that this had been refined for the PICO into </w:t>
      </w:r>
      <w:r w:rsidRPr="00246B61">
        <w:rPr>
          <w:rFonts w:ascii="Franklin Gothic Book" w:hAnsi="Franklin Gothic Book"/>
          <w:iCs/>
          <w:sz w:val="22"/>
          <w:szCs w:val="22"/>
        </w:rPr>
        <w:t>five indications</w:t>
      </w:r>
      <w:r>
        <w:rPr>
          <w:rFonts w:ascii="Franklin Gothic Book" w:hAnsi="Franklin Gothic Book"/>
          <w:iCs/>
          <w:sz w:val="22"/>
          <w:szCs w:val="22"/>
        </w:rPr>
        <w:t xml:space="preserve"> (separate classes of infectious organism or disease)</w:t>
      </w:r>
      <w:r w:rsidRPr="00246B61">
        <w:rPr>
          <w:rFonts w:ascii="Franklin Gothic Book" w:hAnsi="Franklin Gothic Book"/>
          <w:iCs/>
          <w:sz w:val="22"/>
          <w:szCs w:val="22"/>
        </w:rPr>
        <w:t xml:space="preserve"> and their respective exemplar</w:t>
      </w:r>
      <w:r>
        <w:rPr>
          <w:rFonts w:ascii="Franklin Gothic Book" w:hAnsi="Franklin Gothic Book"/>
          <w:iCs/>
          <w:sz w:val="22"/>
          <w:szCs w:val="22"/>
        </w:rPr>
        <w:t xml:space="preserve"> organism</w:t>
      </w:r>
      <w:r w:rsidRPr="00246B61">
        <w:rPr>
          <w:rFonts w:ascii="Franklin Gothic Book" w:hAnsi="Franklin Gothic Book"/>
          <w:iCs/>
          <w:sz w:val="22"/>
          <w:szCs w:val="22"/>
        </w:rPr>
        <w:t>s</w:t>
      </w:r>
      <w:r>
        <w:rPr>
          <w:rFonts w:ascii="Franklin Gothic Book" w:hAnsi="Franklin Gothic Book"/>
          <w:iCs/>
          <w:sz w:val="22"/>
          <w:szCs w:val="22"/>
        </w:rPr>
        <w:t>, with all item descriptors describing the indication rather than the exemplar</w:t>
      </w:r>
      <w:r w:rsidRPr="00246B61">
        <w:rPr>
          <w:rFonts w:ascii="Franklin Gothic Book" w:hAnsi="Franklin Gothic Book"/>
          <w:iCs/>
          <w:sz w:val="22"/>
          <w:szCs w:val="22"/>
        </w:rPr>
        <w:t xml:space="preserve">. </w:t>
      </w:r>
      <w:r>
        <w:rPr>
          <w:rFonts w:ascii="Franklin Gothic Book" w:hAnsi="Franklin Gothic Book"/>
          <w:iCs/>
          <w:sz w:val="22"/>
          <w:szCs w:val="22"/>
        </w:rPr>
        <w:t xml:space="preserve">ESC noted </w:t>
      </w:r>
      <w:r w:rsidRPr="00246B61">
        <w:rPr>
          <w:rFonts w:ascii="Franklin Gothic Book" w:hAnsi="Franklin Gothic Book"/>
          <w:iCs/>
          <w:sz w:val="22"/>
          <w:szCs w:val="22"/>
        </w:rPr>
        <w:t xml:space="preserve">PASC </w:t>
      </w:r>
      <w:r>
        <w:rPr>
          <w:rFonts w:ascii="Franklin Gothic Book" w:hAnsi="Franklin Gothic Book"/>
          <w:iCs/>
          <w:sz w:val="22"/>
          <w:szCs w:val="22"/>
        </w:rPr>
        <w:t xml:space="preserve">had </w:t>
      </w:r>
      <w:r w:rsidRPr="00246B61">
        <w:rPr>
          <w:rFonts w:ascii="Franklin Gothic Book" w:hAnsi="Franklin Gothic Book"/>
          <w:iCs/>
          <w:sz w:val="22"/>
          <w:szCs w:val="22"/>
        </w:rPr>
        <w:t xml:space="preserve">advised that the mycobacterial </w:t>
      </w:r>
      <w:r>
        <w:rPr>
          <w:rFonts w:ascii="Franklin Gothic Book" w:hAnsi="Franklin Gothic Book"/>
          <w:iCs/>
          <w:sz w:val="22"/>
          <w:szCs w:val="22"/>
        </w:rPr>
        <w:t xml:space="preserve">indication </w:t>
      </w:r>
      <w:r w:rsidRPr="00246B61">
        <w:rPr>
          <w:rFonts w:ascii="Franklin Gothic Book" w:hAnsi="Franklin Gothic Book"/>
          <w:iCs/>
          <w:sz w:val="22"/>
          <w:szCs w:val="22"/>
        </w:rPr>
        <w:t xml:space="preserve">should be the </w:t>
      </w:r>
      <w:r>
        <w:rPr>
          <w:rFonts w:ascii="Franklin Gothic Book" w:hAnsi="Franklin Gothic Book"/>
          <w:iCs/>
          <w:sz w:val="22"/>
          <w:szCs w:val="22"/>
        </w:rPr>
        <w:t>first</w:t>
      </w:r>
      <w:r w:rsidRPr="00246B61">
        <w:rPr>
          <w:rFonts w:ascii="Franklin Gothic Book" w:hAnsi="Franklin Gothic Book"/>
          <w:iCs/>
          <w:sz w:val="22"/>
          <w:szCs w:val="22"/>
        </w:rPr>
        <w:t xml:space="preserve"> to undergo assessment</w:t>
      </w:r>
      <w:r>
        <w:rPr>
          <w:rFonts w:ascii="Franklin Gothic Book" w:hAnsi="Franklin Gothic Book"/>
          <w:iCs/>
          <w:sz w:val="22"/>
          <w:szCs w:val="22"/>
        </w:rPr>
        <w:t xml:space="preserve">, </w:t>
      </w:r>
      <w:r w:rsidRPr="00246B61">
        <w:rPr>
          <w:rFonts w:ascii="Franklin Gothic Book" w:hAnsi="Franklin Gothic Book"/>
          <w:iCs/>
          <w:sz w:val="22"/>
          <w:szCs w:val="22"/>
        </w:rPr>
        <w:t>and</w:t>
      </w:r>
      <w:r>
        <w:rPr>
          <w:rFonts w:ascii="Franklin Gothic Book" w:hAnsi="Franklin Gothic Book"/>
          <w:iCs/>
          <w:sz w:val="22"/>
          <w:szCs w:val="22"/>
        </w:rPr>
        <w:t xml:space="preserve"> that for this indication</w:t>
      </w:r>
      <w:r w:rsidRPr="00246B61">
        <w:rPr>
          <w:rFonts w:ascii="Franklin Gothic Book" w:hAnsi="Franklin Gothic Book"/>
          <w:iCs/>
          <w:sz w:val="22"/>
          <w:szCs w:val="22"/>
        </w:rPr>
        <w:t xml:space="preserve"> the exemplar is tuberculosis</w:t>
      </w:r>
      <w:r>
        <w:rPr>
          <w:rFonts w:ascii="Franklin Gothic Book" w:hAnsi="Franklin Gothic Book"/>
          <w:iCs/>
          <w:sz w:val="22"/>
          <w:szCs w:val="22"/>
        </w:rPr>
        <w:t>.</w:t>
      </w:r>
      <w:bookmarkStart w:id="37" w:name="_Hlk96097966"/>
    </w:p>
    <w:bookmarkEnd w:id="37"/>
    <w:p w14:paraId="4529C88E"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noted that the application is for patients who have already been diagnosed with TB using point-of-care tests (such as GeneXpert) that have started early empiric treatment for TB. ESC noted that </w:t>
      </w:r>
      <w:bookmarkStart w:id="38" w:name="_Hlk101336047"/>
      <w:r>
        <w:rPr>
          <w:rFonts w:ascii="Franklin Gothic Book" w:hAnsi="Franklin Gothic Book"/>
          <w:iCs/>
          <w:sz w:val="22"/>
          <w:szCs w:val="22"/>
        </w:rPr>
        <w:t xml:space="preserve">the exemplar had been narrowed by the DCAR to TB caused specifically by </w:t>
      </w:r>
      <w:r>
        <w:rPr>
          <w:rFonts w:ascii="Franklin Gothic Book" w:hAnsi="Franklin Gothic Book"/>
          <w:i/>
          <w:sz w:val="22"/>
          <w:szCs w:val="22"/>
        </w:rPr>
        <w:t xml:space="preserve">Mycobacterium </w:t>
      </w:r>
      <w:r w:rsidRPr="005159B7">
        <w:rPr>
          <w:rFonts w:ascii="Franklin Gothic Book" w:hAnsi="Franklin Gothic Book"/>
          <w:i/>
          <w:sz w:val="22"/>
          <w:szCs w:val="22"/>
        </w:rPr>
        <w:t>tuberculosis</w:t>
      </w:r>
      <w:r>
        <w:rPr>
          <w:rFonts w:ascii="Franklin Gothic Book" w:hAnsi="Franklin Gothic Book"/>
          <w:iCs/>
          <w:sz w:val="22"/>
          <w:szCs w:val="22"/>
        </w:rPr>
        <w:t xml:space="preserve">, but that </w:t>
      </w:r>
      <w:r w:rsidRPr="005159B7">
        <w:rPr>
          <w:rFonts w:ascii="Franklin Gothic Book" w:hAnsi="Franklin Gothic Book"/>
          <w:iCs/>
          <w:sz w:val="22"/>
          <w:szCs w:val="22"/>
        </w:rPr>
        <w:t>TB</w:t>
      </w:r>
      <w:r>
        <w:rPr>
          <w:rFonts w:ascii="Franklin Gothic Book" w:hAnsi="Franklin Gothic Book"/>
          <w:iCs/>
          <w:sz w:val="22"/>
          <w:szCs w:val="22"/>
        </w:rPr>
        <w:t xml:space="preserve"> can also be caused by other members of the </w:t>
      </w:r>
      <w:r>
        <w:rPr>
          <w:rFonts w:ascii="Franklin Gothic Book" w:hAnsi="Franklin Gothic Book"/>
          <w:i/>
          <w:sz w:val="22"/>
          <w:szCs w:val="22"/>
        </w:rPr>
        <w:t>M. tuberculosis</w:t>
      </w:r>
      <w:r>
        <w:rPr>
          <w:rFonts w:ascii="Franklin Gothic Book" w:hAnsi="Franklin Gothic Book"/>
          <w:iCs/>
          <w:sz w:val="22"/>
          <w:szCs w:val="22"/>
        </w:rPr>
        <w:t xml:space="preserve"> complex (MTBC), such as </w:t>
      </w:r>
      <w:r>
        <w:rPr>
          <w:rFonts w:ascii="Franklin Gothic Book" w:hAnsi="Franklin Gothic Book"/>
          <w:i/>
          <w:sz w:val="22"/>
          <w:szCs w:val="22"/>
        </w:rPr>
        <w:t xml:space="preserve">M. </w:t>
      </w:r>
      <w:proofErr w:type="spellStart"/>
      <w:r>
        <w:rPr>
          <w:rFonts w:ascii="Franklin Gothic Book" w:hAnsi="Franklin Gothic Book"/>
          <w:i/>
          <w:sz w:val="22"/>
          <w:szCs w:val="22"/>
        </w:rPr>
        <w:t>bovis</w:t>
      </w:r>
      <w:proofErr w:type="spellEnd"/>
      <w:r>
        <w:rPr>
          <w:rFonts w:ascii="Franklin Gothic Book" w:hAnsi="Franklin Gothic Book"/>
          <w:iCs/>
          <w:sz w:val="22"/>
          <w:szCs w:val="22"/>
        </w:rPr>
        <w:t xml:space="preserve"> and</w:t>
      </w:r>
      <w:r w:rsidRPr="005159B7">
        <w:rPr>
          <w:rFonts w:ascii="Franklin Gothic Book" w:hAnsi="Franklin Gothic Book"/>
          <w:iCs/>
          <w:sz w:val="22"/>
          <w:szCs w:val="22"/>
        </w:rPr>
        <w:t xml:space="preserve"> </w:t>
      </w:r>
      <w:r>
        <w:rPr>
          <w:rFonts w:ascii="Franklin Gothic Book" w:hAnsi="Franklin Gothic Book"/>
          <w:i/>
          <w:sz w:val="22"/>
          <w:szCs w:val="22"/>
        </w:rPr>
        <w:t xml:space="preserve">M. </w:t>
      </w:r>
      <w:proofErr w:type="spellStart"/>
      <w:r>
        <w:rPr>
          <w:rFonts w:ascii="Franklin Gothic Book" w:hAnsi="Franklin Gothic Book"/>
          <w:i/>
          <w:sz w:val="22"/>
          <w:szCs w:val="22"/>
        </w:rPr>
        <w:t>canetti</w:t>
      </w:r>
      <w:proofErr w:type="spellEnd"/>
      <w:r>
        <w:rPr>
          <w:rFonts w:ascii="Franklin Gothic Book" w:hAnsi="Franklin Gothic Book"/>
          <w:iCs/>
          <w:sz w:val="22"/>
          <w:szCs w:val="22"/>
        </w:rPr>
        <w:t>.</w:t>
      </w:r>
      <w:r w:rsidRPr="005159B7">
        <w:rPr>
          <w:rFonts w:ascii="Franklin Gothic Book" w:hAnsi="Franklin Gothic Book"/>
          <w:iCs/>
          <w:sz w:val="22"/>
          <w:szCs w:val="22"/>
        </w:rPr>
        <w:t xml:space="preserve"> </w:t>
      </w:r>
      <w:r>
        <w:rPr>
          <w:rFonts w:ascii="Franklin Gothic Book" w:hAnsi="Franklin Gothic Book"/>
          <w:iCs/>
          <w:sz w:val="22"/>
          <w:szCs w:val="22"/>
        </w:rPr>
        <w:t xml:space="preserve">ESC noted </w:t>
      </w:r>
      <w:r w:rsidRPr="00246B61">
        <w:rPr>
          <w:rFonts w:ascii="Franklin Gothic Book" w:hAnsi="Franklin Gothic Book"/>
          <w:iCs/>
          <w:sz w:val="22"/>
          <w:szCs w:val="22"/>
        </w:rPr>
        <w:t xml:space="preserve">the pre-ESC response clarified the target population is </w:t>
      </w:r>
      <w:r>
        <w:rPr>
          <w:rFonts w:ascii="Franklin Gothic Book" w:hAnsi="Franklin Gothic Book"/>
          <w:iCs/>
          <w:sz w:val="22"/>
          <w:szCs w:val="22"/>
        </w:rPr>
        <w:t xml:space="preserve">primarily </w:t>
      </w:r>
      <w:r w:rsidRPr="00246B61">
        <w:rPr>
          <w:rFonts w:ascii="Franklin Gothic Book" w:hAnsi="Franklin Gothic Book"/>
          <w:iCs/>
          <w:sz w:val="22"/>
          <w:szCs w:val="22"/>
        </w:rPr>
        <w:t xml:space="preserve">patients diagnosed with TB caused specifically by </w:t>
      </w:r>
      <w:r w:rsidRPr="00246B61">
        <w:rPr>
          <w:rFonts w:ascii="Franklin Gothic Book" w:hAnsi="Franklin Gothic Book"/>
          <w:i/>
          <w:sz w:val="22"/>
          <w:szCs w:val="22"/>
        </w:rPr>
        <w:t xml:space="preserve">M. </w:t>
      </w:r>
      <w:r>
        <w:rPr>
          <w:rFonts w:ascii="Franklin Gothic Book" w:hAnsi="Franklin Gothic Book"/>
          <w:i/>
          <w:sz w:val="22"/>
          <w:szCs w:val="22"/>
        </w:rPr>
        <w:t>tuberculosis</w:t>
      </w:r>
      <w:r>
        <w:rPr>
          <w:rFonts w:ascii="Franklin Gothic Book" w:hAnsi="Franklin Gothic Book"/>
          <w:iCs/>
          <w:sz w:val="22"/>
          <w:szCs w:val="22"/>
        </w:rPr>
        <w:t xml:space="preserve">, the </w:t>
      </w:r>
      <w:r w:rsidRPr="00FB4992">
        <w:rPr>
          <w:rFonts w:ascii="Franklin Gothic Book" w:hAnsi="Franklin Gothic Book"/>
          <w:iCs/>
          <w:sz w:val="22"/>
          <w:szCs w:val="22"/>
        </w:rPr>
        <w:t>most common type of mycobacteri</w:t>
      </w:r>
      <w:r>
        <w:rPr>
          <w:rFonts w:ascii="Franklin Gothic Book" w:hAnsi="Franklin Gothic Book"/>
          <w:iCs/>
          <w:sz w:val="22"/>
          <w:szCs w:val="22"/>
        </w:rPr>
        <w:t>al infection.</w:t>
      </w:r>
      <w:r w:rsidRPr="00246B61">
        <w:rPr>
          <w:rFonts w:ascii="Franklin Gothic Book" w:hAnsi="Franklin Gothic Book"/>
          <w:iCs/>
          <w:sz w:val="22"/>
          <w:szCs w:val="22"/>
        </w:rPr>
        <w:t xml:space="preserve"> ESC considered that the exemplar </w:t>
      </w:r>
      <w:r>
        <w:rPr>
          <w:rFonts w:ascii="Franklin Gothic Book" w:hAnsi="Franklin Gothic Book"/>
          <w:iCs/>
          <w:sz w:val="22"/>
          <w:szCs w:val="22"/>
        </w:rPr>
        <w:t>as defined by</w:t>
      </w:r>
      <w:r w:rsidRPr="00246B61">
        <w:rPr>
          <w:rFonts w:ascii="Franklin Gothic Book" w:hAnsi="Franklin Gothic Book"/>
          <w:iCs/>
          <w:sz w:val="22"/>
          <w:szCs w:val="22"/>
        </w:rPr>
        <w:t xml:space="preserve"> the DCAR had excluded</w:t>
      </w:r>
      <w:r>
        <w:rPr>
          <w:rFonts w:ascii="Franklin Gothic Book" w:hAnsi="Franklin Gothic Book"/>
          <w:iCs/>
          <w:sz w:val="22"/>
          <w:szCs w:val="22"/>
        </w:rPr>
        <w:t xml:space="preserve"> the remainder of the</w:t>
      </w:r>
      <w:r w:rsidRPr="00246B61">
        <w:rPr>
          <w:rFonts w:ascii="Franklin Gothic Book" w:hAnsi="Franklin Gothic Book"/>
          <w:iCs/>
          <w:sz w:val="22"/>
          <w:szCs w:val="22"/>
        </w:rPr>
        <w:t xml:space="preserve"> MTBC, but that the </w:t>
      </w:r>
      <w:r>
        <w:rPr>
          <w:rFonts w:ascii="Franklin Gothic Book" w:hAnsi="Franklin Gothic Book"/>
          <w:iCs/>
          <w:sz w:val="22"/>
          <w:szCs w:val="22"/>
        </w:rPr>
        <w:t xml:space="preserve">DCAR’s </w:t>
      </w:r>
      <w:r w:rsidRPr="00246B61">
        <w:rPr>
          <w:rFonts w:ascii="Franklin Gothic Book" w:hAnsi="Franklin Gothic Book"/>
          <w:iCs/>
          <w:sz w:val="22"/>
          <w:szCs w:val="22"/>
        </w:rPr>
        <w:t xml:space="preserve">evidence </w:t>
      </w:r>
      <w:r>
        <w:rPr>
          <w:rFonts w:ascii="Franklin Gothic Book" w:hAnsi="Franklin Gothic Book"/>
          <w:iCs/>
          <w:sz w:val="22"/>
          <w:szCs w:val="22"/>
        </w:rPr>
        <w:t>aligned with</w:t>
      </w:r>
      <w:r w:rsidRPr="00246B61">
        <w:rPr>
          <w:rFonts w:ascii="Franklin Gothic Book" w:hAnsi="Franklin Gothic Book"/>
          <w:iCs/>
          <w:sz w:val="22"/>
          <w:szCs w:val="22"/>
        </w:rPr>
        <w:t xml:space="preserve"> the </w:t>
      </w:r>
      <w:r>
        <w:rPr>
          <w:rFonts w:ascii="Franklin Gothic Book" w:hAnsi="Franklin Gothic Book"/>
          <w:iCs/>
          <w:sz w:val="22"/>
          <w:szCs w:val="22"/>
        </w:rPr>
        <w:t>applicant’s target population</w:t>
      </w:r>
      <w:bookmarkEnd w:id="38"/>
      <w:r w:rsidRPr="00246B61">
        <w:rPr>
          <w:rFonts w:ascii="Franklin Gothic Book" w:hAnsi="Franklin Gothic Book"/>
          <w:iCs/>
          <w:sz w:val="22"/>
          <w:szCs w:val="22"/>
        </w:rPr>
        <w:t xml:space="preserve">. </w:t>
      </w:r>
      <w:r>
        <w:rPr>
          <w:rFonts w:ascii="Franklin Gothic Book" w:hAnsi="Franklin Gothic Book"/>
          <w:iCs/>
          <w:sz w:val="22"/>
          <w:szCs w:val="22"/>
        </w:rPr>
        <w:t>The pre-ESC response also clarified that WGS</w:t>
      </w:r>
      <w:r w:rsidRPr="00246B61">
        <w:rPr>
          <w:rFonts w:ascii="Franklin Gothic Book" w:hAnsi="Franklin Gothic Book"/>
          <w:iCs/>
          <w:sz w:val="22"/>
          <w:szCs w:val="22"/>
        </w:rPr>
        <w:t xml:space="preserve"> will not be used in patients with </w:t>
      </w:r>
      <w:r w:rsidRPr="00246B61">
        <w:rPr>
          <w:rFonts w:ascii="Franklin Gothic Book" w:hAnsi="Franklin Gothic Book"/>
          <w:i/>
          <w:sz w:val="22"/>
          <w:szCs w:val="22"/>
        </w:rPr>
        <w:t>M. leprae</w:t>
      </w:r>
      <w:r w:rsidRPr="00246B61">
        <w:rPr>
          <w:rFonts w:ascii="Franklin Gothic Book" w:hAnsi="Franklin Gothic Book"/>
          <w:iCs/>
          <w:sz w:val="22"/>
          <w:szCs w:val="22"/>
        </w:rPr>
        <w:t xml:space="preserve"> or non-tuberculosis mycobacteria (NTM) infection.</w:t>
      </w:r>
      <w:r>
        <w:rPr>
          <w:rFonts w:ascii="Franklin Gothic Book" w:hAnsi="Franklin Gothic Book"/>
          <w:iCs/>
          <w:sz w:val="22"/>
          <w:szCs w:val="22"/>
        </w:rPr>
        <w:t xml:space="preserve"> ESC confirmed the total population eligible for testing is therefore patients with MTBC infection.</w:t>
      </w:r>
    </w:p>
    <w:p w14:paraId="6EFFD5A3" w14:textId="77777777" w:rsidR="00493F7D"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noted that the applicant specified </w:t>
      </w:r>
      <w:r>
        <w:rPr>
          <w:rFonts w:ascii="Franklin Gothic Book" w:hAnsi="Franklin Gothic Book"/>
          <w:iCs/>
          <w:sz w:val="22"/>
          <w:szCs w:val="22"/>
        </w:rPr>
        <w:t xml:space="preserve">in its pre-ESC response that it intended </w:t>
      </w:r>
      <w:r w:rsidRPr="00246B61">
        <w:rPr>
          <w:rFonts w:ascii="Franklin Gothic Book" w:hAnsi="Franklin Gothic Book"/>
          <w:iCs/>
          <w:sz w:val="22"/>
          <w:szCs w:val="22"/>
        </w:rPr>
        <w:t>use of WGS both after diagnosis and after initial therapy to refine drug therapy. ESC noted that resistance may develop after treatment is initiated, so testing is used to refine the therapy.</w:t>
      </w:r>
      <w:r>
        <w:rPr>
          <w:rFonts w:ascii="Franklin Gothic Book" w:hAnsi="Franklin Gothic Book"/>
          <w:iCs/>
          <w:sz w:val="22"/>
          <w:szCs w:val="22"/>
        </w:rPr>
        <w:t xml:space="preserve"> </w:t>
      </w:r>
      <w:r w:rsidRPr="00246B61">
        <w:rPr>
          <w:rFonts w:ascii="Franklin Gothic Book" w:hAnsi="Franklin Gothic Book"/>
          <w:iCs/>
          <w:sz w:val="22"/>
          <w:szCs w:val="22"/>
        </w:rPr>
        <w:t>ESC also noted that the proposed item descriptor does not suggest any restrictions on how many times WGS can be claimed</w:t>
      </w:r>
      <w:r>
        <w:rPr>
          <w:rFonts w:ascii="Franklin Gothic Book" w:hAnsi="Franklin Gothic Book"/>
          <w:iCs/>
          <w:sz w:val="22"/>
          <w:szCs w:val="22"/>
        </w:rPr>
        <w:t xml:space="preserve">. ESC considered that because TB is estimated to recur in 2% of patients, the item descriptor should be expanded to encompass testing in patients with recurrent disease. ESC also advised that it would be appropriate to restrict the frequency of testing, noting that TB typically resolves in 6 months or less, though in patients with extrapulmonary TB in hard-to-reach sites it may take 12 months or longer. A revised item descriptor is provided accordingly in </w:t>
      </w:r>
      <w:r>
        <w:rPr>
          <w:rFonts w:ascii="Franklin Gothic Book" w:hAnsi="Franklin Gothic Book"/>
          <w:iCs/>
          <w:sz w:val="22"/>
          <w:szCs w:val="22"/>
        </w:rPr>
        <w:fldChar w:fldCharType="begin"/>
      </w:r>
      <w:r>
        <w:rPr>
          <w:rFonts w:ascii="Franklin Gothic Book" w:hAnsi="Franklin Gothic Book"/>
          <w:iCs/>
          <w:sz w:val="22"/>
          <w:szCs w:val="22"/>
        </w:rPr>
        <w:instrText xml:space="preserve"> REF _Ref96596039  \* MERGEFORMAT </w:instrText>
      </w:r>
      <w:r>
        <w:rPr>
          <w:rFonts w:ascii="Franklin Gothic Book" w:hAnsi="Franklin Gothic Book"/>
          <w:iCs/>
          <w:sz w:val="22"/>
          <w:szCs w:val="22"/>
        </w:rPr>
        <w:fldChar w:fldCharType="separate"/>
      </w:r>
      <w:r w:rsidRPr="004C2B2A">
        <w:rPr>
          <w:rFonts w:ascii="Franklin Gothic Book" w:hAnsi="Franklin Gothic Book"/>
          <w:iCs/>
          <w:sz w:val="22"/>
          <w:szCs w:val="22"/>
        </w:rPr>
        <w:t>Table 1</w:t>
      </w:r>
      <w:r>
        <w:rPr>
          <w:rFonts w:ascii="Franklin Gothic Book" w:hAnsi="Franklin Gothic Book"/>
          <w:iCs/>
          <w:sz w:val="22"/>
          <w:szCs w:val="22"/>
        </w:rPr>
        <w:fldChar w:fldCharType="end"/>
      </w:r>
      <w:r>
        <w:rPr>
          <w:rFonts w:ascii="Franklin Gothic Book" w:hAnsi="Franklin Gothic Book"/>
          <w:iCs/>
          <w:sz w:val="22"/>
          <w:szCs w:val="22"/>
        </w:rPr>
        <w:t>.</w:t>
      </w:r>
    </w:p>
    <w:p w14:paraId="67B3B730" w14:textId="6D66256E" w:rsidR="00493F7D" w:rsidRPr="00CE28E3" w:rsidRDefault="00493F7D" w:rsidP="00493F7D">
      <w:pPr>
        <w:pStyle w:val="Caption"/>
      </w:pPr>
      <w:bookmarkStart w:id="39" w:name="_Ref96596039"/>
      <w:r>
        <w:t>Table </w:t>
      </w:r>
      <w:fldSimple w:instr=" SEQ Table \* ARABIC ">
        <w:r w:rsidR="00C91D6F">
          <w:rPr>
            <w:noProof/>
          </w:rPr>
          <w:t>19</w:t>
        </w:r>
      </w:fldSimple>
      <w:bookmarkEnd w:id="39"/>
      <w:r w:rsidRPr="00CE28E3">
        <w:tab/>
      </w:r>
      <w:r>
        <w:t>ESC’s revi</w:t>
      </w:r>
      <w:r w:rsidRPr="00CE28E3">
        <w:t xml:space="preserve">sed MBS item </w:t>
      </w:r>
      <w:r>
        <w:t>descriptor</w:t>
      </w:r>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ESC’s revised MBS item descriptor"/>
      </w:tblPr>
      <w:tblGrid>
        <w:gridCol w:w="9016"/>
      </w:tblGrid>
      <w:tr w:rsidR="00493F7D" w:rsidRPr="00CE28E3" w14:paraId="10FA43A7" w14:textId="77777777" w:rsidTr="00644745">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748798B5" w14:textId="77777777" w:rsidR="00493F7D" w:rsidRPr="00CE28E3" w:rsidRDefault="00493F7D" w:rsidP="00644745">
            <w:pPr>
              <w:pStyle w:val="TableText1"/>
              <w:rPr>
                <w:sz w:val="24"/>
              </w:rPr>
            </w:pPr>
            <w:r w:rsidRPr="00CE28E3">
              <w:t xml:space="preserve">Category </w:t>
            </w:r>
            <w:r>
              <w:t>3</w:t>
            </w:r>
            <w:r w:rsidRPr="00CE28E3">
              <w:t xml:space="preserve"> – </w:t>
            </w:r>
            <w:r>
              <w:t>Pathology Services – Group 3 Microbiology</w:t>
            </w:r>
          </w:p>
        </w:tc>
      </w:tr>
      <w:tr w:rsidR="00493F7D" w:rsidRPr="00CE28E3" w14:paraId="4EC7A014" w14:textId="77777777" w:rsidTr="00644745">
        <w:tc>
          <w:tcPr>
            <w:tcW w:w="5000" w:type="pct"/>
            <w:tcBorders>
              <w:top w:val="single" w:sz="4" w:space="0" w:color="000000"/>
              <w:left w:val="single" w:sz="4" w:space="0" w:color="000000"/>
              <w:bottom w:val="nil"/>
              <w:right w:val="single" w:sz="4" w:space="0" w:color="000000"/>
            </w:tcBorders>
            <w:hideMark/>
          </w:tcPr>
          <w:p w14:paraId="6C0226B8" w14:textId="77777777" w:rsidR="00493F7D" w:rsidRPr="00170D5B" w:rsidRDefault="00493F7D" w:rsidP="00644745">
            <w:pPr>
              <w:spacing w:after="120"/>
              <w:rPr>
                <w:lang w:val="en-US" w:eastAsia="ja-JP"/>
              </w:rPr>
            </w:pPr>
            <w:r>
              <w:rPr>
                <w:lang w:val="en-US" w:eastAsia="ja-JP"/>
              </w:rPr>
              <w:t xml:space="preserve">MBS item </w:t>
            </w:r>
            <w:r w:rsidRPr="00170D5B">
              <w:rPr>
                <w:lang w:val="en-US" w:eastAsia="ja-JP"/>
              </w:rPr>
              <w:t>XXXX</w:t>
            </w:r>
          </w:p>
          <w:p w14:paraId="299464DE" w14:textId="77777777" w:rsidR="00493F7D" w:rsidRDefault="00493F7D" w:rsidP="00644745">
            <w:pPr>
              <w:spacing w:after="120"/>
              <w:rPr>
                <w:lang w:val="en-US" w:eastAsia="ja-JP"/>
              </w:rPr>
            </w:pPr>
            <w:r>
              <w:rPr>
                <w:lang w:val="en-US" w:eastAsia="ja-JP"/>
              </w:rPr>
              <w:t xml:space="preserve">Sequencing and analysis of the </w:t>
            </w:r>
            <w:r w:rsidRPr="004C2B2A">
              <w:rPr>
                <w:strike/>
                <w:lang w:val="en-US" w:eastAsia="ja-JP"/>
              </w:rPr>
              <w:t>whole mycobacterial</w:t>
            </w:r>
            <w:r>
              <w:rPr>
                <w:lang w:val="en-US" w:eastAsia="ja-JP"/>
              </w:rPr>
              <w:t xml:space="preserve"> genome of </w:t>
            </w:r>
            <w:r w:rsidRPr="004C2B2A">
              <w:rPr>
                <w:i/>
                <w:iCs/>
                <w:color w:val="00B050"/>
                <w:lang w:val="en-US" w:eastAsia="ja-JP"/>
              </w:rPr>
              <w:t xml:space="preserve">Mycobacterium tuberculosis </w:t>
            </w:r>
            <w:r w:rsidRPr="004C2B2A">
              <w:rPr>
                <w:color w:val="00B050"/>
                <w:lang w:val="en-US" w:eastAsia="ja-JP"/>
              </w:rPr>
              <w:t xml:space="preserve">complex (MTBC) from </w:t>
            </w:r>
            <w:r>
              <w:rPr>
                <w:lang w:val="en-US" w:eastAsia="ja-JP"/>
              </w:rPr>
              <w:t>an isolate or nucleic acid extract obtained at the time of</w:t>
            </w:r>
            <w:r w:rsidRPr="004C2B2A">
              <w:rPr>
                <w:color w:val="00B050"/>
                <w:lang w:val="en-US" w:eastAsia="ja-JP"/>
              </w:rPr>
              <w:t>:</w:t>
            </w:r>
          </w:p>
          <w:p w14:paraId="3CEE7496" w14:textId="77777777" w:rsidR="00493F7D" w:rsidRPr="004C2B2A" w:rsidRDefault="00493F7D" w:rsidP="00C91D6F">
            <w:pPr>
              <w:pStyle w:val="ListParagraph"/>
              <w:numPr>
                <w:ilvl w:val="0"/>
                <w:numId w:val="38"/>
              </w:numPr>
              <w:spacing w:after="120"/>
              <w:rPr>
                <w:color w:val="00B050"/>
                <w:lang w:val="en-US" w:eastAsia="ja-JP"/>
              </w:rPr>
            </w:pPr>
            <w:r w:rsidRPr="004C2B2A">
              <w:rPr>
                <w:lang w:val="en-US" w:eastAsia="ja-JP"/>
              </w:rPr>
              <w:t xml:space="preserve">initial diagnosis </w:t>
            </w:r>
            <w:r>
              <w:rPr>
                <w:color w:val="00B050"/>
                <w:lang w:val="en-US" w:eastAsia="ja-JP"/>
              </w:rPr>
              <w:t xml:space="preserve">and commencement of initial empiric therapy, </w:t>
            </w:r>
            <w:r w:rsidRPr="004C2B2A">
              <w:rPr>
                <w:color w:val="00B050"/>
                <w:lang w:val="en-US" w:eastAsia="ja-JP"/>
              </w:rPr>
              <w:t>or</w:t>
            </w:r>
          </w:p>
          <w:p w14:paraId="22FB7377" w14:textId="77777777" w:rsidR="00493F7D" w:rsidRPr="004C2B2A" w:rsidRDefault="00493F7D" w:rsidP="00C91D6F">
            <w:pPr>
              <w:pStyle w:val="ListParagraph"/>
              <w:numPr>
                <w:ilvl w:val="0"/>
                <w:numId w:val="38"/>
              </w:numPr>
              <w:spacing w:after="120"/>
              <w:rPr>
                <w:color w:val="00B050"/>
                <w:lang w:val="en-US" w:eastAsia="ja-JP"/>
              </w:rPr>
            </w:pPr>
            <w:r w:rsidRPr="004C2B2A">
              <w:rPr>
                <w:color w:val="00B050"/>
                <w:lang w:val="en-US" w:eastAsia="ja-JP"/>
              </w:rPr>
              <w:t>following disease relapse,</w:t>
            </w:r>
          </w:p>
          <w:p w14:paraId="23894EF6" w14:textId="77777777" w:rsidR="00493F7D" w:rsidRDefault="00493F7D" w:rsidP="00644745">
            <w:pPr>
              <w:spacing w:after="120"/>
              <w:rPr>
                <w:lang w:val="en-US" w:eastAsia="ja-JP"/>
              </w:rPr>
            </w:pPr>
            <w:r w:rsidRPr="004C2B2A">
              <w:rPr>
                <w:lang w:val="en-US" w:eastAsia="ja-JP"/>
              </w:rPr>
              <w:t>to speciate the organism accurately and for the purpose of genome-wide determination of the antimicrobial resistance markers (</w:t>
            </w:r>
            <w:proofErr w:type="spellStart"/>
            <w:r w:rsidRPr="004C2B2A">
              <w:rPr>
                <w:lang w:val="en-US" w:eastAsia="ja-JP"/>
              </w:rPr>
              <w:t>resistome</w:t>
            </w:r>
            <w:proofErr w:type="spellEnd"/>
            <w:r w:rsidRPr="004C2B2A">
              <w:rPr>
                <w:lang w:val="en-US" w:eastAsia="ja-JP"/>
              </w:rPr>
              <w:t xml:space="preserve">) of the isolate to </w:t>
            </w:r>
            <w:proofErr w:type="spellStart"/>
            <w:r w:rsidRPr="004C2B2A">
              <w:rPr>
                <w:lang w:val="en-US" w:eastAsia="ja-JP"/>
              </w:rPr>
              <w:t>individualise</w:t>
            </w:r>
            <w:proofErr w:type="spellEnd"/>
            <w:r w:rsidRPr="004C2B2A">
              <w:rPr>
                <w:lang w:val="en-US" w:eastAsia="ja-JP"/>
              </w:rPr>
              <w:t xml:space="preserve"> the patient’s treatment </w:t>
            </w:r>
            <w:r w:rsidRPr="004C2B2A">
              <w:rPr>
                <w:strike/>
                <w:lang w:val="en-US" w:eastAsia="ja-JP"/>
              </w:rPr>
              <w:t>after initial empiric therapy</w:t>
            </w:r>
            <w:r w:rsidRPr="004C2B2A">
              <w:rPr>
                <w:lang w:val="en-US" w:eastAsia="ja-JP"/>
              </w:rPr>
              <w:t xml:space="preserve">. </w:t>
            </w:r>
          </w:p>
          <w:p w14:paraId="65A6E5B8" w14:textId="77777777" w:rsidR="00493F7D" w:rsidRPr="004C2B2A" w:rsidRDefault="00493F7D" w:rsidP="00644745">
            <w:pPr>
              <w:spacing w:after="120"/>
              <w:rPr>
                <w:lang w:val="en-US" w:eastAsia="ja-JP"/>
              </w:rPr>
            </w:pPr>
            <w:r w:rsidRPr="004C2B2A">
              <w:rPr>
                <w:color w:val="00B050"/>
                <w:lang w:val="en-US" w:eastAsia="ja-JP"/>
              </w:rPr>
              <w:t>Applicable once at initial diagnosis and once per episode of disease relapse.</w:t>
            </w:r>
          </w:p>
        </w:tc>
      </w:tr>
      <w:tr w:rsidR="00493F7D" w:rsidRPr="005D749D" w14:paraId="6957CAC6" w14:textId="77777777" w:rsidTr="00644745">
        <w:tc>
          <w:tcPr>
            <w:tcW w:w="5000" w:type="pct"/>
            <w:tcBorders>
              <w:top w:val="nil"/>
              <w:left w:val="single" w:sz="4" w:space="0" w:color="000000"/>
              <w:bottom w:val="single" w:sz="4" w:space="0" w:color="000000"/>
              <w:right w:val="single" w:sz="4" w:space="0" w:color="000000"/>
            </w:tcBorders>
            <w:vAlign w:val="center"/>
            <w:hideMark/>
          </w:tcPr>
          <w:p w14:paraId="5B55101B" w14:textId="77777777" w:rsidR="00493F7D" w:rsidRPr="005D749D" w:rsidRDefault="00493F7D" w:rsidP="00644745">
            <w:pPr>
              <w:pStyle w:val="TableText1"/>
              <w:rPr>
                <w:szCs w:val="20"/>
              </w:rPr>
            </w:pPr>
            <w:r w:rsidRPr="008D7580">
              <w:rPr>
                <w:b/>
                <w:szCs w:val="20"/>
              </w:rPr>
              <w:t>Fee</w:t>
            </w:r>
            <w:r w:rsidRPr="005D749D">
              <w:rPr>
                <w:szCs w:val="20"/>
              </w:rPr>
              <w:t xml:space="preserve">: </w:t>
            </w:r>
            <w:r>
              <w:rPr>
                <w:szCs w:val="20"/>
              </w:rPr>
              <w:t xml:space="preserve">$120.00 </w:t>
            </w:r>
            <w:r>
              <w:rPr>
                <w:szCs w:val="20"/>
              </w:rPr>
              <w:tab/>
            </w:r>
            <w:r w:rsidRPr="008D7580">
              <w:rPr>
                <w:b/>
                <w:szCs w:val="20"/>
              </w:rPr>
              <w:t>Benefit</w:t>
            </w:r>
            <w:r>
              <w:rPr>
                <w:szCs w:val="20"/>
              </w:rPr>
              <w:t>: 75% = $90.00 85% = $102.00</w:t>
            </w:r>
          </w:p>
        </w:tc>
      </w:tr>
    </w:tbl>
    <w:p w14:paraId="680B0E81" w14:textId="77777777" w:rsidR="00493F7D" w:rsidRDefault="00493F7D" w:rsidP="00493F7D">
      <w:pPr>
        <w:pStyle w:val="Tablenotes0"/>
      </w:pPr>
      <w:r>
        <w:t>ESC’s proposed changes from the item descriptor in the PICO: deletions are in strikethrough, and additions in green.</w:t>
      </w:r>
    </w:p>
    <w:p w14:paraId="0B385F61"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ESC noted that the proposed service will be performed in addition to MBS-funded phenotypic drug susceptibility testing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ESC noted that WGS is already routinely used by TB reference laboratories</w:t>
      </w:r>
      <w:r>
        <w:rPr>
          <w:rFonts w:ascii="Franklin Gothic Book" w:hAnsi="Franklin Gothic Book"/>
          <w:iCs/>
          <w:sz w:val="22"/>
          <w:szCs w:val="22"/>
        </w:rPr>
        <w:t xml:space="preserve">, where it </w:t>
      </w:r>
      <w:r w:rsidRPr="00E37C7F">
        <w:rPr>
          <w:rFonts w:ascii="Franklin Gothic Book" w:hAnsi="Franklin Gothic Book"/>
          <w:iCs/>
          <w:sz w:val="22"/>
          <w:szCs w:val="22"/>
        </w:rPr>
        <w:t xml:space="preserve">is performed concurrently with traditional </w:t>
      </w:r>
      <w:proofErr w:type="spellStart"/>
      <w:r w:rsidRPr="00E37C7F">
        <w:rPr>
          <w:rFonts w:ascii="Franklin Gothic Book" w:hAnsi="Franklin Gothic Book"/>
          <w:iCs/>
          <w:sz w:val="22"/>
          <w:szCs w:val="22"/>
        </w:rPr>
        <w:t>pDST</w:t>
      </w:r>
      <w:proofErr w:type="spellEnd"/>
      <w:r>
        <w:rPr>
          <w:rFonts w:ascii="Franklin Gothic Book" w:hAnsi="Franklin Gothic Book"/>
          <w:iCs/>
          <w:sz w:val="22"/>
          <w:szCs w:val="22"/>
        </w:rPr>
        <w:t>, and</w:t>
      </w:r>
      <w:r w:rsidRPr="00E37C7F">
        <w:rPr>
          <w:rFonts w:ascii="Franklin Gothic Book" w:hAnsi="Franklin Gothic Book"/>
          <w:iCs/>
          <w:sz w:val="22"/>
          <w:szCs w:val="22"/>
        </w:rPr>
        <w:t xml:space="preserve"> a skilled workforce is required to interpret the results.</w:t>
      </w:r>
      <w:r>
        <w:rPr>
          <w:rFonts w:ascii="Franklin Gothic Book" w:hAnsi="Franklin Gothic Book"/>
          <w:iCs/>
          <w:sz w:val="22"/>
          <w:szCs w:val="22"/>
        </w:rPr>
        <w:t xml:space="preserve"> </w:t>
      </w:r>
      <w:r w:rsidRPr="00246B61">
        <w:rPr>
          <w:rFonts w:ascii="Franklin Gothic Book" w:hAnsi="Franklin Gothic Book"/>
          <w:iCs/>
          <w:sz w:val="22"/>
          <w:szCs w:val="22"/>
        </w:rPr>
        <w:t xml:space="preserve">ESC also noted that WGS may completely replace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xml:space="preserve"> in the future</w:t>
      </w:r>
      <w:r>
        <w:rPr>
          <w:rFonts w:ascii="Franklin Gothic Book" w:hAnsi="Franklin Gothic Book"/>
          <w:iCs/>
          <w:sz w:val="22"/>
          <w:szCs w:val="22"/>
        </w:rPr>
        <w:t xml:space="preserve"> (as has happened in the Netherlands)</w:t>
      </w:r>
      <w:r w:rsidRPr="00246B61">
        <w:rPr>
          <w:rFonts w:ascii="Franklin Gothic Book" w:hAnsi="Franklin Gothic Book"/>
          <w:iCs/>
          <w:sz w:val="22"/>
          <w:szCs w:val="22"/>
        </w:rPr>
        <w:t xml:space="preserve">, but that laboratories would likely need </w:t>
      </w:r>
      <w:r>
        <w:rPr>
          <w:rFonts w:ascii="Franklin Gothic Book" w:hAnsi="Franklin Gothic Book"/>
          <w:iCs/>
          <w:sz w:val="22"/>
          <w:szCs w:val="22"/>
        </w:rPr>
        <w:t xml:space="preserve">to develop </w:t>
      </w:r>
      <w:r w:rsidRPr="00246B61">
        <w:rPr>
          <w:rFonts w:ascii="Franklin Gothic Book" w:hAnsi="Franklin Gothic Book"/>
          <w:iCs/>
          <w:sz w:val="22"/>
          <w:szCs w:val="22"/>
        </w:rPr>
        <w:t xml:space="preserve">experience with </w:t>
      </w:r>
      <w:r>
        <w:rPr>
          <w:rFonts w:ascii="Franklin Gothic Book" w:hAnsi="Franklin Gothic Book"/>
          <w:iCs/>
          <w:sz w:val="22"/>
          <w:szCs w:val="22"/>
        </w:rPr>
        <w:t xml:space="preserve">WGS before dropping </w:t>
      </w:r>
      <w:proofErr w:type="spellStart"/>
      <w:r>
        <w:rPr>
          <w:rFonts w:ascii="Franklin Gothic Book" w:hAnsi="Franklin Gothic Book"/>
          <w:iCs/>
          <w:sz w:val="22"/>
          <w:szCs w:val="22"/>
        </w:rPr>
        <w:t>pDST</w:t>
      </w:r>
      <w:proofErr w:type="spellEnd"/>
      <w:r w:rsidRPr="00246B61">
        <w:rPr>
          <w:rFonts w:ascii="Franklin Gothic Book" w:hAnsi="Franklin Gothic Book"/>
          <w:iCs/>
          <w:sz w:val="22"/>
          <w:szCs w:val="22"/>
        </w:rPr>
        <w:t xml:space="preserve">. </w:t>
      </w:r>
    </w:p>
    <w:p w14:paraId="0CAFD107"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lastRenderedPageBreak/>
        <w:t xml:space="preserve">ESC noted the proposed fee of $120 </w:t>
      </w:r>
      <w:r>
        <w:rPr>
          <w:rFonts w:ascii="Franklin Gothic Book" w:hAnsi="Franklin Gothic Book"/>
          <w:iCs/>
          <w:sz w:val="22"/>
          <w:szCs w:val="22"/>
        </w:rPr>
        <w:t>aligns with</w:t>
      </w:r>
      <w:r w:rsidRPr="00246B61">
        <w:rPr>
          <w:rFonts w:ascii="Franklin Gothic Book" w:hAnsi="Franklin Gothic Book"/>
          <w:iCs/>
          <w:sz w:val="22"/>
          <w:szCs w:val="22"/>
        </w:rPr>
        <w:t xml:space="preserve"> some laboratories</w:t>
      </w:r>
      <w:r>
        <w:rPr>
          <w:rFonts w:ascii="Franklin Gothic Book" w:hAnsi="Franklin Gothic Book"/>
          <w:iCs/>
          <w:sz w:val="22"/>
          <w:szCs w:val="22"/>
        </w:rPr>
        <w:t>’ fee</w:t>
      </w:r>
      <w:r w:rsidRPr="00246B61">
        <w:rPr>
          <w:rFonts w:ascii="Franklin Gothic Book" w:hAnsi="Franklin Gothic Book"/>
          <w:iCs/>
          <w:sz w:val="22"/>
          <w:szCs w:val="22"/>
        </w:rPr>
        <w:t xml:space="preserve"> to perform this service</w:t>
      </w:r>
      <w:r>
        <w:rPr>
          <w:rFonts w:ascii="Franklin Gothic Book" w:hAnsi="Franklin Gothic Book"/>
          <w:iCs/>
          <w:sz w:val="22"/>
          <w:szCs w:val="22"/>
        </w:rPr>
        <w:t>,</w:t>
      </w:r>
      <w:r w:rsidRPr="00246B61">
        <w:rPr>
          <w:rFonts w:ascii="Franklin Gothic Book" w:hAnsi="Franklin Gothic Book"/>
          <w:iCs/>
          <w:sz w:val="22"/>
          <w:szCs w:val="22"/>
        </w:rPr>
        <w:t xml:space="preserve"> however, ESC considered that this fee may be too low for smaller-throughout laboratories due to loss of economies of scale. ESC considered that it would be useful if the applicant provided a breakdown of the components of this costing, including consumables, bioinformatics, data sharing and analytic time, to help </w:t>
      </w:r>
      <w:r>
        <w:rPr>
          <w:rFonts w:ascii="Franklin Gothic Book" w:hAnsi="Franklin Gothic Book"/>
          <w:iCs/>
          <w:sz w:val="22"/>
          <w:szCs w:val="22"/>
        </w:rPr>
        <w:t xml:space="preserve">MSAC </w:t>
      </w:r>
      <w:r w:rsidRPr="00246B61">
        <w:rPr>
          <w:rFonts w:ascii="Franklin Gothic Book" w:hAnsi="Franklin Gothic Book"/>
          <w:iCs/>
          <w:sz w:val="22"/>
          <w:szCs w:val="22"/>
        </w:rPr>
        <w:t xml:space="preserve">advise on </w:t>
      </w:r>
      <w:r>
        <w:rPr>
          <w:rFonts w:ascii="Franklin Gothic Book" w:hAnsi="Franklin Gothic Book"/>
          <w:iCs/>
          <w:sz w:val="22"/>
          <w:szCs w:val="22"/>
        </w:rPr>
        <w:t xml:space="preserve">the </w:t>
      </w:r>
      <w:r w:rsidRPr="00246B61">
        <w:rPr>
          <w:rFonts w:ascii="Franklin Gothic Book" w:hAnsi="Franklin Gothic Book"/>
          <w:iCs/>
          <w:sz w:val="22"/>
          <w:szCs w:val="22"/>
        </w:rPr>
        <w:t xml:space="preserve">appropriate </w:t>
      </w:r>
      <w:r>
        <w:rPr>
          <w:rFonts w:ascii="Franklin Gothic Book" w:hAnsi="Franklin Gothic Book"/>
          <w:iCs/>
          <w:sz w:val="22"/>
          <w:szCs w:val="22"/>
        </w:rPr>
        <w:t>fee</w:t>
      </w:r>
      <w:r w:rsidRPr="00246B61">
        <w:rPr>
          <w:rFonts w:ascii="Franklin Gothic Book" w:hAnsi="Franklin Gothic Book"/>
          <w:iCs/>
          <w:sz w:val="22"/>
          <w:szCs w:val="22"/>
        </w:rPr>
        <w:t>.</w:t>
      </w:r>
    </w:p>
    <w:p w14:paraId="4FF2A347"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noted </w:t>
      </w:r>
      <w:r>
        <w:rPr>
          <w:rFonts w:ascii="Franklin Gothic Book" w:hAnsi="Franklin Gothic Book"/>
          <w:iCs/>
          <w:sz w:val="22"/>
          <w:szCs w:val="22"/>
        </w:rPr>
        <w:t>consultation feedback was received from two organisations, who were</w:t>
      </w:r>
      <w:r w:rsidRPr="00246B61">
        <w:rPr>
          <w:rFonts w:ascii="Franklin Gothic Book" w:hAnsi="Franklin Gothic Book"/>
          <w:iCs/>
          <w:sz w:val="22"/>
          <w:szCs w:val="22"/>
        </w:rPr>
        <w:t xml:space="preserve"> overall support</w:t>
      </w:r>
      <w:r>
        <w:rPr>
          <w:rFonts w:ascii="Franklin Gothic Book" w:hAnsi="Franklin Gothic Book"/>
          <w:iCs/>
          <w:sz w:val="22"/>
          <w:szCs w:val="22"/>
        </w:rPr>
        <w:t>ive</w:t>
      </w:r>
      <w:r w:rsidRPr="00246B61">
        <w:rPr>
          <w:rFonts w:ascii="Franklin Gothic Book" w:hAnsi="Franklin Gothic Book"/>
          <w:iCs/>
          <w:sz w:val="22"/>
          <w:szCs w:val="22"/>
        </w:rPr>
        <w:t xml:space="preserve"> </w:t>
      </w:r>
      <w:r>
        <w:rPr>
          <w:rFonts w:ascii="Franklin Gothic Book" w:hAnsi="Franklin Gothic Book"/>
          <w:iCs/>
          <w:sz w:val="22"/>
          <w:szCs w:val="22"/>
        </w:rPr>
        <w:t xml:space="preserve">of </w:t>
      </w:r>
      <w:r w:rsidRPr="00246B61">
        <w:rPr>
          <w:rFonts w:ascii="Franklin Gothic Book" w:hAnsi="Franklin Gothic Book"/>
          <w:iCs/>
          <w:sz w:val="22"/>
          <w:szCs w:val="22"/>
        </w:rPr>
        <w:t xml:space="preserve">the technology and most elements of the application. </w:t>
      </w:r>
      <w:r>
        <w:rPr>
          <w:rFonts w:ascii="Franklin Gothic Book" w:hAnsi="Franklin Gothic Book"/>
          <w:iCs/>
          <w:sz w:val="22"/>
          <w:szCs w:val="22"/>
        </w:rPr>
        <w:t>Both</w:t>
      </w:r>
      <w:r w:rsidRPr="00246B61">
        <w:rPr>
          <w:rFonts w:ascii="Franklin Gothic Book" w:hAnsi="Franklin Gothic Book"/>
          <w:iCs/>
          <w:sz w:val="22"/>
          <w:szCs w:val="22"/>
        </w:rPr>
        <w:t xml:space="preserve"> stakeholders expressed concern about the requirement for specialist workforce skills. ESC noted that feedback </w:t>
      </w:r>
      <w:r>
        <w:rPr>
          <w:rFonts w:ascii="Franklin Gothic Book" w:hAnsi="Franklin Gothic Book"/>
          <w:iCs/>
          <w:sz w:val="22"/>
          <w:szCs w:val="22"/>
        </w:rPr>
        <w:t xml:space="preserve">also </w:t>
      </w:r>
      <w:r w:rsidRPr="00246B61">
        <w:rPr>
          <w:rFonts w:ascii="Franklin Gothic Book" w:hAnsi="Franklin Gothic Book"/>
          <w:iCs/>
          <w:sz w:val="22"/>
          <w:szCs w:val="22"/>
        </w:rPr>
        <w:t>mentioned the risk of</w:t>
      </w:r>
      <w:r>
        <w:rPr>
          <w:rFonts w:ascii="Franklin Gothic Book" w:hAnsi="Franklin Gothic Book"/>
          <w:iCs/>
          <w:sz w:val="22"/>
          <w:szCs w:val="22"/>
        </w:rPr>
        <w:t xml:space="preserve"> leakage</w:t>
      </w:r>
      <w:r w:rsidRPr="00246B61">
        <w:rPr>
          <w:rFonts w:ascii="Franklin Gothic Book" w:hAnsi="Franklin Gothic Book"/>
          <w:iCs/>
          <w:sz w:val="22"/>
          <w:szCs w:val="22"/>
        </w:rPr>
        <w:t xml:space="preserve">, and the lack of an external quality assurance </w:t>
      </w:r>
      <w:r>
        <w:rPr>
          <w:rFonts w:ascii="Franklin Gothic Book" w:hAnsi="Franklin Gothic Book"/>
          <w:iCs/>
          <w:sz w:val="22"/>
          <w:szCs w:val="22"/>
        </w:rPr>
        <w:t>(EQA) program</w:t>
      </w:r>
      <w:r w:rsidRPr="00246B61">
        <w:rPr>
          <w:rFonts w:ascii="Franklin Gothic Book" w:hAnsi="Franklin Gothic Book"/>
          <w:iCs/>
          <w:sz w:val="22"/>
          <w:szCs w:val="22"/>
        </w:rPr>
        <w:t>. ESC noted the application did not address the risk of not identifying antibiotic</w:t>
      </w:r>
      <w:r>
        <w:rPr>
          <w:rFonts w:ascii="Franklin Gothic Book" w:hAnsi="Franklin Gothic Book"/>
          <w:iCs/>
          <w:sz w:val="22"/>
          <w:szCs w:val="22"/>
        </w:rPr>
        <w:t>-resistance</w:t>
      </w:r>
      <w:r w:rsidRPr="00246B61">
        <w:rPr>
          <w:rFonts w:ascii="Franklin Gothic Book" w:hAnsi="Franklin Gothic Book"/>
          <w:iCs/>
          <w:sz w:val="22"/>
          <w:szCs w:val="22"/>
        </w:rPr>
        <w:t xml:space="preserve"> </w:t>
      </w:r>
      <w:r>
        <w:rPr>
          <w:rFonts w:ascii="Franklin Gothic Book" w:hAnsi="Franklin Gothic Book"/>
          <w:iCs/>
          <w:sz w:val="22"/>
          <w:szCs w:val="22"/>
        </w:rPr>
        <w:t>sequences that are absent from the database used to interpret WGS results</w:t>
      </w:r>
      <w:r w:rsidRPr="00246B61">
        <w:rPr>
          <w:rFonts w:ascii="Franklin Gothic Book" w:hAnsi="Franklin Gothic Book"/>
          <w:iCs/>
          <w:sz w:val="22"/>
          <w:szCs w:val="22"/>
        </w:rPr>
        <w:t xml:space="preserve">, and </w:t>
      </w:r>
      <w:r>
        <w:rPr>
          <w:rFonts w:ascii="Franklin Gothic Book" w:hAnsi="Franklin Gothic Book"/>
          <w:iCs/>
          <w:sz w:val="22"/>
          <w:szCs w:val="22"/>
        </w:rPr>
        <w:t>that one</w:t>
      </w:r>
      <w:r w:rsidRPr="00246B61">
        <w:rPr>
          <w:rFonts w:ascii="Franklin Gothic Book" w:hAnsi="Franklin Gothic Book"/>
          <w:iCs/>
          <w:sz w:val="22"/>
          <w:szCs w:val="22"/>
        </w:rPr>
        <w:t xml:space="preserve"> stakeholder </w:t>
      </w:r>
      <w:r>
        <w:rPr>
          <w:rFonts w:ascii="Franklin Gothic Book" w:hAnsi="Franklin Gothic Book"/>
          <w:iCs/>
          <w:sz w:val="22"/>
          <w:szCs w:val="22"/>
        </w:rPr>
        <w:t xml:space="preserve">had </w:t>
      </w:r>
      <w:r w:rsidRPr="00246B61">
        <w:rPr>
          <w:rFonts w:ascii="Franklin Gothic Book" w:hAnsi="Franklin Gothic Book"/>
          <w:iCs/>
          <w:sz w:val="22"/>
          <w:szCs w:val="22"/>
        </w:rPr>
        <w:t xml:space="preserve">suggested that this limitation should be highlighted in WGS diagnostic reports. ESC noted that feedback also queried </w:t>
      </w:r>
      <w:r>
        <w:rPr>
          <w:rFonts w:ascii="Franklin Gothic Book" w:hAnsi="Franklin Gothic Book"/>
          <w:iCs/>
          <w:sz w:val="22"/>
          <w:szCs w:val="22"/>
        </w:rPr>
        <w:t xml:space="preserve">the use of testing for </w:t>
      </w:r>
      <w:r w:rsidRPr="00246B61">
        <w:rPr>
          <w:rFonts w:ascii="Franklin Gothic Book" w:hAnsi="Franklin Gothic Book"/>
          <w:iCs/>
          <w:sz w:val="22"/>
          <w:szCs w:val="22"/>
        </w:rPr>
        <w:t>surveillance</w:t>
      </w:r>
      <w:r>
        <w:rPr>
          <w:rFonts w:ascii="Franklin Gothic Book" w:hAnsi="Franklin Gothic Book"/>
          <w:iCs/>
          <w:sz w:val="22"/>
          <w:szCs w:val="22"/>
        </w:rPr>
        <w:t xml:space="preserve"> purposes,</w:t>
      </w:r>
      <w:r w:rsidRPr="00246B61">
        <w:rPr>
          <w:rFonts w:ascii="Franklin Gothic Book" w:hAnsi="Franklin Gothic Book"/>
          <w:iCs/>
          <w:sz w:val="22"/>
          <w:szCs w:val="22"/>
        </w:rPr>
        <w:t xml:space="preserve"> and the associated cost of data sharing, which the application did not address. </w:t>
      </w:r>
    </w:p>
    <w:p w14:paraId="2A6EBB4D" w14:textId="7C54D2C1"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noted that </w:t>
      </w:r>
      <w:r>
        <w:rPr>
          <w:rFonts w:ascii="Franklin Gothic Book" w:hAnsi="Franklin Gothic Book"/>
          <w:iCs/>
          <w:sz w:val="22"/>
          <w:szCs w:val="22"/>
        </w:rPr>
        <w:t xml:space="preserve">the vast majority of the TB infections in Australia occur in people born overseas, but that amongst Australian-born people TB occurs at higher rates in Aboriginal and Torres Strait Islander populations than in the non-indigenous population. </w:t>
      </w:r>
      <w:r w:rsidRPr="00246B61">
        <w:rPr>
          <w:rFonts w:ascii="Franklin Gothic Book" w:hAnsi="Franklin Gothic Book"/>
          <w:iCs/>
          <w:sz w:val="22"/>
          <w:szCs w:val="22"/>
        </w:rPr>
        <w:t xml:space="preserve">ESC noted that </w:t>
      </w:r>
      <w:r>
        <w:rPr>
          <w:rFonts w:ascii="Franklin Gothic Book" w:hAnsi="Franklin Gothic Book"/>
          <w:iCs/>
          <w:sz w:val="22"/>
          <w:szCs w:val="22"/>
        </w:rPr>
        <w:t xml:space="preserve">a </w:t>
      </w:r>
      <w:r w:rsidRPr="00246B61">
        <w:rPr>
          <w:rFonts w:ascii="Franklin Gothic Book" w:hAnsi="Franklin Gothic Book"/>
          <w:iCs/>
          <w:sz w:val="22"/>
          <w:szCs w:val="22"/>
        </w:rPr>
        <w:t>state</w:t>
      </w:r>
      <w:r>
        <w:rPr>
          <w:rFonts w:ascii="Franklin Gothic Book" w:hAnsi="Franklin Gothic Book"/>
          <w:iCs/>
          <w:sz w:val="22"/>
          <w:szCs w:val="22"/>
        </w:rPr>
        <w:t>d</w:t>
      </w:r>
      <w:r w:rsidRPr="00246B61">
        <w:rPr>
          <w:rFonts w:ascii="Franklin Gothic Book" w:hAnsi="Franklin Gothic Book"/>
          <w:iCs/>
          <w:sz w:val="22"/>
          <w:szCs w:val="22"/>
        </w:rPr>
        <w:t xml:space="preserve"> aim </w:t>
      </w:r>
      <w:r>
        <w:rPr>
          <w:rFonts w:ascii="Franklin Gothic Book" w:hAnsi="Franklin Gothic Book"/>
          <w:iCs/>
          <w:sz w:val="22"/>
          <w:szCs w:val="22"/>
        </w:rPr>
        <w:t>of this application is</w:t>
      </w:r>
      <w:r w:rsidRPr="00246B61">
        <w:rPr>
          <w:rFonts w:ascii="Franklin Gothic Book" w:hAnsi="Franklin Gothic Book"/>
          <w:iCs/>
          <w:sz w:val="22"/>
          <w:szCs w:val="22"/>
        </w:rPr>
        <w:t xml:space="preserve"> to make </w:t>
      </w:r>
      <w:r>
        <w:rPr>
          <w:rFonts w:ascii="Franklin Gothic Book" w:hAnsi="Franklin Gothic Book"/>
          <w:iCs/>
          <w:sz w:val="22"/>
          <w:szCs w:val="22"/>
        </w:rPr>
        <w:t>WGS</w:t>
      </w:r>
      <w:r w:rsidRPr="00246B61">
        <w:rPr>
          <w:rFonts w:ascii="Franklin Gothic Book" w:hAnsi="Franklin Gothic Book"/>
          <w:iCs/>
          <w:sz w:val="22"/>
          <w:szCs w:val="22"/>
        </w:rPr>
        <w:t xml:space="preserve"> more widely </w:t>
      </w:r>
      <w:r>
        <w:rPr>
          <w:rFonts w:ascii="Franklin Gothic Book" w:hAnsi="Franklin Gothic Book"/>
          <w:iCs/>
          <w:sz w:val="22"/>
          <w:szCs w:val="22"/>
        </w:rPr>
        <w:t xml:space="preserve">and equitably </w:t>
      </w:r>
      <w:r w:rsidRPr="00246B61">
        <w:rPr>
          <w:rFonts w:ascii="Franklin Gothic Book" w:hAnsi="Franklin Gothic Book"/>
          <w:iCs/>
          <w:sz w:val="22"/>
          <w:szCs w:val="22"/>
        </w:rPr>
        <w:t>available</w:t>
      </w:r>
      <w:r>
        <w:rPr>
          <w:rFonts w:ascii="Franklin Gothic Book" w:hAnsi="Franklin Gothic Book"/>
          <w:iCs/>
          <w:sz w:val="22"/>
          <w:szCs w:val="22"/>
        </w:rPr>
        <w:t xml:space="preserve">, but that the DCAR had not found any data on use of TB WGS in </w:t>
      </w:r>
      <w:r>
        <w:rPr>
          <w:rFonts w:ascii="Franklin Gothic Book" w:hAnsi="Franklin Gothic Book"/>
          <w:sz w:val="22"/>
          <w:szCs w:val="22"/>
        </w:rPr>
        <w:t>Aboriginal and Torres Strait Islander</w:t>
      </w:r>
      <w:r w:rsidRPr="006F4EBA">
        <w:rPr>
          <w:rFonts w:ascii="Franklin Gothic Book" w:hAnsi="Franklin Gothic Book"/>
          <w:sz w:val="22"/>
          <w:szCs w:val="22"/>
        </w:rPr>
        <w:t xml:space="preserve"> </w:t>
      </w:r>
      <w:r>
        <w:rPr>
          <w:rFonts w:ascii="Franklin Gothic Book" w:hAnsi="Franklin Gothic Book"/>
          <w:iCs/>
          <w:sz w:val="22"/>
          <w:szCs w:val="22"/>
        </w:rPr>
        <w:t>Australian populations specifically</w:t>
      </w:r>
      <w:r w:rsidRPr="00246B61">
        <w:rPr>
          <w:rFonts w:ascii="Franklin Gothic Book" w:hAnsi="Franklin Gothic Book"/>
          <w:iCs/>
          <w:sz w:val="22"/>
          <w:szCs w:val="22"/>
        </w:rPr>
        <w:t>. Given the high</w:t>
      </w:r>
      <w:r>
        <w:rPr>
          <w:rFonts w:ascii="Franklin Gothic Book" w:hAnsi="Franklin Gothic Book"/>
          <w:iCs/>
          <w:sz w:val="22"/>
          <w:szCs w:val="22"/>
        </w:rPr>
        <w:t>er</w:t>
      </w:r>
      <w:r w:rsidRPr="00246B61">
        <w:rPr>
          <w:rFonts w:ascii="Franklin Gothic Book" w:hAnsi="Franklin Gothic Book"/>
          <w:iCs/>
          <w:sz w:val="22"/>
          <w:szCs w:val="22"/>
        </w:rPr>
        <w:t xml:space="preserve"> incidence of TB and multidrug-resistant TB</w:t>
      </w:r>
      <w:r>
        <w:rPr>
          <w:rFonts w:ascii="Franklin Gothic Book" w:hAnsi="Franklin Gothic Book"/>
          <w:iCs/>
          <w:sz w:val="22"/>
          <w:szCs w:val="22"/>
        </w:rPr>
        <w:t xml:space="preserve"> (MDR-TB)</w:t>
      </w:r>
      <w:r w:rsidRPr="00246B61">
        <w:rPr>
          <w:rFonts w:ascii="Franklin Gothic Book" w:hAnsi="Franklin Gothic Book"/>
          <w:iCs/>
          <w:sz w:val="22"/>
          <w:szCs w:val="22"/>
        </w:rPr>
        <w:t xml:space="preserve"> in </w:t>
      </w:r>
      <w:r>
        <w:rPr>
          <w:rFonts w:ascii="Franklin Gothic Book" w:hAnsi="Franklin Gothic Book"/>
          <w:sz w:val="22"/>
          <w:szCs w:val="22"/>
        </w:rPr>
        <w:t>Aboriginal and Torres Strait Islander</w:t>
      </w:r>
      <w:r w:rsidRPr="006F4EBA">
        <w:rPr>
          <w:rFonts w:ascii="Franklin Gothic Book" w:hAnsi="Franklin Gothic Book"/>
          <w:sz w:val="22"/>
          <w:szCs w:val="22"/>
        </w:rPr>
        <w:t xml:space="preserve"> </w:t>
      </w:r>
      <w:r>
        <w:rPr>
          <w:rFonts w:ascii="Franklin Gothic Book" w:hAnsi="Franklin Gothic Book"/>
          <w:iCs/>
          <w:sz w:val="22"/>
          <w:szCs w:val="22"/>
        </w:rPr>
        <w:t xml:space="preserve">Australian </w:t>
      </w:r>
      <w:r w:rsidRPr="00246B61">
        <w:rPr>
          <w:rFonts w:ascii="Franklin Gothic Book" w:hAnsi="Franklin Gothic Book"/>
          <w:iCs/>
          <w:sz w:val="22"/>
          <w:szCs w:val="22"/>
        </w:rPr>
        <w:t xml:space="preserve">populations, ESC considered </w:t>
      </w:r>
      <w:r>
        <w:rPr>
          <w:rFonts w:ascii="Franklin Gothic Book" w:hAnsi="Franklin Gothic Book"/>
          <w:iCs/>
          <w:sz w:val="22"/>
          <w:szCs w:val="22"/>
        </w:rPr>
        <w:t xml:space="preserve">that </w:t>
      </w:r>
      <w:r w:rsidRPr="00246B61">
        <w:rPr>
          <w:rFonts w:ascii="Franklin Gothic Book" w:hAnsi="Franklin Gothic Book"/>
          <w:iCs/>
          <w:sz w:val="22"/>
          <w:szCs w:val="22"/>
        </w:rPr>
        <w:t xml:space="preserve">this proposed service would </w:t>
      </w:r>
      <w:r>
        <w:rPr>
          <w:rFonts w:ascii="Franklin Gothic Book" w:hAnsi="Franklin Gothic Book"/>
          <w:iCs/>
          <w:sz w:val="22"/>
          <w:szCs w:val="22"/>
        </w:rPr>
        <w:t xml:space="preserve">preferentially </w:t>
      </w:r>
      <w:r w:rsidRPr="00246B61">
        <w:rPr>
          <w:rFonts w:ascii="Franklin Gothic Book" w:hAnsi="Franklin Gothic Book"/>
          <w:iCs/>
          <w:sz w:val="22"/>
          <w:szCs w:val="22"/>
        </w:rPr>
        <w:t xml:space="preserve">benefit </w:t>
      </w:r>
      <w:r>
        <w:rPr>
          <w:rFonts w:ascii="Franklin Gothic Book" w:hAnsi="Franklin Gothic Book"/>
          <w:sz w:val="22"/>
          <w:szCs w:val="22"/>
        </w:rPr>
        <w:t>Aboriginal and Torres Strait Islander</w:t>
      </w:r>
      <w:r w:rsidRPr="006F4EBA">
        <w:rPr>
          <w:rFonts w:ascii="Franklin Gothic Book" w:hAnsi="Franklin Gothic Book"/>
          <w:sz w:val="22"/>
          <w:szCs w:val="22"/>
        </w:rPr>
        <w:t xml:space="preserve"> </w:t>
      </w:r>
      <w:r>
        <w:rPr>
          <w:rFonts w:ascii="Franklin Gothic Book" w:hAnsi="Franklin Gothic Book"/>
          <w:iCs/>
          <w:sz w:val="22"/>
          <w:szCs w:val="22"/>
        </w:rPr>
        <w:t>Australians</w:t>
      </w:r>
      <w:r w:rsidRPr="00246B61">
        <w:rPr>
          <w:rFonts w:ascii="Franklin Gothic Book" w:hAnsi="Franklin Gothic Book"/>
          <w:iCs/>
          <w:sz w:val="22"/>
          <w:szCs w:val="22"/>
        </w:rPr>
        <w:t xml:space="preserve">. ESC </w:t>
      </w:r>
      <w:r>
        <w:rPr>
          <w:rFonts w:ascii="Franklin Gothic Book" w:hAnsi="Franklin Gothic Book"/>
          <w:iCs/>
          <w:sz w:val="22"/>
          <w:szCs w:val="22"/>
        </w:rPr>
        <w:t>further considered</w:t>
      </w:r>
      <w:r w:rsidRPr="00246B61">
        <w:rPr>
          <w:rFonts w:ascii="Franklin Gothic Book" w:hAnsi="Franklin Gothic Book"/>
          <w:iCs/>
          <w:sz w:val="22"/>
          <w:szCs w:val="22"/>
        </w:rPr>
        <w:t xml:space="preserve"> that </w:t>
      </w:r>
      <w:r>
        <w:rPr>
          <w:rFonts w:ascii="Franklin Gothic Book" w:hAnsi="Franklin Gothic Book"/>
          <w:iCs/>
          <w:sz w:val="22"/>
          <w:szCs w:val="22"/>
        </w:rPr>
        <w:t>equitable access for patients in remote areas could be supported through</w:t>
      </w:r>
      <w:r w:rsidRPr="00246B61">
        <w:rPr>
          <w:rFonts w:ascii="Franklin Gothic Book" w:hAnsi="Franklin Gothic Book"/>
          <w:iCs/>
          <w:sz w:val="22"/>
          <w:szCs w:val="22"/>
        </w:rPr>
        <w:t xml:space="preserve"> decentralised testing laboratories</w:t>
      </w:r>
      <w:r>
        <w:rPr>
          <w:rFonts w:ascii="Franklin Gothic Book" w:hAnsi="Franklin Gothic Book"/>
          <w:iCs/>
          <w:sz w:val="22"/>
          <w:szCs w:val="22"/>
        </w:rPr>
        <w:t>,</w:t>
      </w:r>
      <w:r w:rsidRPr="00246B61">
        <w:rPr>
          <w:rFonts w:ascii="Franklin Gothic Book" w:hAnsi="Franklin Gothic Book"/>
          <w:iCs/>
          <w:sz w:val="22"/>
          <w:szCs w:val="22"/>
        </w:rPr>
        <w:t xml:space="preserve"> </w:t>
      </w:r>
      <w:r>
        <w:rPr>
          <w:rFonts w:ascii="Franklin Gothic Book" w:hAnsi="Franklin Gothic Book"/>
          <w:iCs/>
          <w:sz w:val="22"/>
          <w:szCs w:val="22"/>
        </w:rPr>
        <w:t xml:space="preserve">or funding </w:t>
      </w:r>
      <w:r w:rsidRPr="00246B61">
        <w:rPr>
          <w:rFonts w:ascii="Franklin Gothic Book" w:hAnsi="Franklin Gothic Book"/>
          <w:iCs/>
          <w:sz w:val="22"/>
          <w:szCs w:val="22"/>
        </w:rPr>
        <w:t xml:space="preserve">for samples to be sent to state-based reference laboratories. ESC </w:t>
      </w:r>
      <w:r>
        <w:rPr>
          <w:rFonts w:ascii="Franklin Gothic Book" w:hAnsi="Franklin Gothic Book"/>
          <w:iCs/>
          <w:sz w:val="22"/>
          <w:szCs w:val="22"/>
        </w:rPr>
        <w:t>noted</w:t>
      </w:r>
      <w:r w:rsidRPr="00246B61">
        <w:rPr>
          <w:rFonts w:ascii="Franklin Gothic Book" w:hAnsi="Franklin Gothic Book"/>
          <w:iCs/>
          <w:sz w:val="22"/>
          <w:szCs w:val="22"/>
        </w:rPr>
        <w:t xml:space="preserve"> uncertain</w:t>
      </w:r>
      <w:r>
        <w:rPr>
          <w:rFonts w:ascii="Franklin Gothic Book" w:hAnsi="Franklin Gothic Book"/>
          <w:iCs/>
          <w:sz w:val="22"/>
          <w:szCs w:val="22"/>
        </w:rPr>
        <w:t>ty around</w:t>
      </w:r>
      <w:r w:rsidRPr="00246B61">
        <w:rPr>
          <w:rFonts w:ascii="Franklin Gothic Book" w:hAnsi="Franklin Gothic Book"/>
          <w:iCs/>
          <w:sz w:val="22"/>
          <w:szCs w:val="22"/>
        </w:rPr>
        <w:t xml:space="preserve"> how data are shared. ESC noted that the Australian Mycobacterium Reference Laboratory Network may be able to support data sharing.</w:t>
      </w:r>
    </w:p>
    <w:p w14:paraId="75145103"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noted the </w:t>
      </w:r>
      <w:r>
        <w:rPr>
          <w:rFonts w:ascii="Franklin Gothic Book" w:hAnsi="Franklin Gothic Book"/>
          <w:iCs/>
          <w:sz w:val="22"/>
          <w:szCs w:val="22"/>
        </w:rPr>
        <w:t xml:space="preserve">applicant’s </w:t>
      </w:r>
      <w:r w:rsidRPr="00246B61">
        <w:rPr>
          <w:rFonts w:ascii="Franklin Gothic Book" w:hAnsi="Franklin Gothic Book"/>
          <w:iCs/>
          <w:sz w:val="22"/>
          <w:szCs w:val="22"/>
        </w:rPr>
        <w:t>non-inferiority claim</w:t>
      </w:r>
      <w:r>
        <w:rPr>
          <w:rFonts w:ascii="Franklin Gothic Book" w:hAnsi="Franklin Gothic Book"/>
          <w:iCs/>
          <w:sz w:val="22"/>
          <w:szCs w:val="22"/>
        </w:rPr>
        <w:t xml:space="preserve"> overall for WGS, but</w:t>
      </w:r>
      <w:r w:rsidRPr="00246B61">
        <w:rPr>
          <w:rFonts w:ascii="Franklin Gothic Book" w:hAnsi="Franklin Gothic Book"/>
          <w:iCs/>
          <w:sz w:val="22"/>
          <w:szCs w:val="22"/>
        </w:rPr>
        <w:t xml:space="preserve"> that the </w:t>
      </w:r>
      <w:r>
        <w:rPr>
          <w:rFonts w:ascii="Franklin Gothic Book" w:hAnsi="Franklin Gothic Book"/>
          <w:iCs/>
          <w:sz w:val="22"/>
          <w:szCs w:val="22"/>
        </w:rPr>
        <w:t>Department-contracted Assessment Report (DCAR)</w:t>
      </w:r>
      <w:r w:rsidRPr="00246B61">
        <w:rPr>
          <w:rFonts w:ascii="Franklin Gothic Book" w:hAnsi="Franklin Gothic Book"/>
          <w:iCs/>
          <w:sz w:val="22"/>
          <w:szCs w:val="22"/>
        </w:rPr>
        <w:t xml:space="preserve"> </w:t>
      </w:r>
      <w:r>
        <w:rPr>
          <w:rFonts w:ascii="Franklin Gothic Book" w:hAnsi="Franklin Gothic Book"/>
          <w:iCs/>
          <w:sz w:val="22"/>
          <w:szCs w:val="22"/>
        </w:rPr>
        <w:t xml:space="preserve">had </w:t>
      </w:r>
      <w:r w:rsidRPr="00246B61">
        <w:rPr>
          <w:rFonts w:ascii="Franklin Gothic Book" w:hAnsi="Franklin Gothic Book"/>
          <w:iCs/>
          <w:sz w:val="22"/>
          <w:szCs w:val="22"/>
        </w:rPr>
        <w:t xml:space="preserve">determined </w:t>
      </w:r>
      <w:r>
        <w:rPr>
          <w:rFonts w:ascii="Franklin Gothic Book" w:hAnsi="Franklin Gothic Book"/>
          <w:iCs/>
          <w:sz w:val="22"/>
          <w:szCs w:val="22"/>
        </w:rPr>
        <w:t xml:space="preserve">that adding WGS to </w:t>
      </w:r>
      <w:proofErr w:type="spellStart"/>
      <w:r>
        <w:rPr>
          <w:rFonts w:ascii="Franklin Gothic Book" w:hAnsi="Franklin Gothic Book"/>
          <w:iCs/>
          <w:sz w:val="22"/>
          <w:szCs w:val="22"/>
        </w:rPr>
        <w:t>pDST</w:t>
      </w:r>
      <w:proofErr w:type="spellEnd"/>
      <w:r>
        <w:rPr>
          <w:rFonts w:ascii="Franklin Gothic Book" w:hAnsi="Franklin Gothic Book"/>
          <w:iCs/>
          <w:sz w:val="22"/>
          <w:szCs w:val="22"/>
        </w:rPr>
        <w:t xml:space="preserve"> had</w:t>
      </w:r>
      <w:r w:rsidRPr="00246B61">
        <w:rPr>
          <w:rFonts w:ascii="Franklin Gothic Book" w:hAnsi="Franklin Gothic Book"/>
          <w:iCs/>
          <w:sz w:val="22"/>
          <w:szCs w:val="22"/>
        </w:rPr>
        <w:t xml:space="preserve"> superior clinical effectiveness and safety, compared to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xml:space="preserve"> alone. ESC noted that WGS can detect isolates that are reported as false negatives on </w:t>
      </w:r>
      <w:proofErr w:type="spellStart"/>
      <w:r w:rsidRPr="00246B61">
        <w:rPr>
          <w:rFonts w:ascii="Franklin Gothic Book" w:hAnsi="Franklin Gothic Book"/>
          <w:iCs/>
          <w:sz w:val="22"/>
          <w:szCs w:val="22"/>
        </w:rPr>
        <w:t>pDST</w:t>
      </w:r>
      <w:proofErr w:type="spellEnd"/>
      <w:r>
        <w:rPr>
          <w:rFonts w:ascii="Franklin Gothic Book" w:hAnsi="Franklin Gothic Book"/>
          <w:iCs/>
          <w:sz w:val="22"/>
          <w:szCs w:val="22"/>
        </w:rPr>
        <w:t>, and</w:t>
      </w:r>
      <w:r w:rsidRPr="00246B61">
        <w:rPr>
          <w:rFonts w:ascii="Franklin Gothic Book" w:hAnsi="Franklin Gothic Book"/>
          <w:iCs/>
          <w:sz w:val="22"/>
          <w:szCs w:val="22"/>
        </w:rPr>
        <w:t xml:space="preserve"> that WGS can accurately detect mutations associated with low-level resistance, which </w:t>
      </w:r>
      <w:r>
        <w:rPr>
          <w:rFonts w:ascii="Franklin Gothic Book" w:hAnsi="Franklin Gothic Book"/>
          <w:iCs/>
          <w:sz w:val="22"/>
          <w:szCs w:val="22"/>
        </w:rPr>
        <w:t>can be</w:t>
      </w:r>
      <w:r w:rsidRPr="00246B61">
        <w:rPr>
          <w:rFonts w:ascii="Franklin Gothic Book" w:hAnsi="Franklin Gothic Book"/>
          <w:iCs/>
          <w:sz w:val="22"/>
          <w:szCs w:val="22"/>
        </w:rPr>
        <w:t xml:space="preserve"> missed </w:t>
      </w:r>
      <w:r>
        <w:rPr>
          <w:rFonts w:ascii="Franklin Gothic Book" w:hAnsi="Franklin Gothic Book"/>
          <w:iCs/>
          <w:sz w:val="22"/>
          <w:szCs w:val="22"/>
        </w:rPr>
        <w:t>by</w:t>
      </w:r>
      <w:r w:rsidRPr="00246B61">
        <w:rPr>
          <w:rFonts w:ascii="Franklin Gothic Book" w:hAnsi="Franklin Gothic Book"/>
          <w:iCs/>
          <w:sz w:val="22"/>
          <w:szCs w:val="22"/>
        </w:rPr>
        <w:t xml:space="preserve"> </w:t>
      </w:r>
      <w:proofErr w:type="spellStart"/>
      <w:r>
        <w:rPr>
          <w:rFonts w:ascii="Franklin Gothic Book" w:hAnsi="Franklin Gothic Book"/>
          <w:iCs/>
          <w:sz w:val="22"/>
          <w:szCs w:val="22"/>
        </w:rPr>
        <w:t>pDST</w:t>
      </w:r>
      <w:proofErr w:type="spellEnd"/>
      <w:r w:rsidRPr="00246B61">
        <w:rPr>
          <w:rFonts w:ascii="Franklin Gothic Book" w:hAnsi="Franklin Gothic Book"/>
          <w:iCs/>
          <w:sz w:val="22"/>
          <w:szCs w:val="22"/>
        </w:rPr>
        <w:t xml:space="preserve"> (</w:t>
      </w:r>
      <w:proofErr w:type="spellStart"/>
      <w:r w:rsidRPr="00246B61">
        <w:rPr>
          <w:rFonts w:ascii="Franklin Gothic Book" w:hAnsi="Franklin Gothic Book"/>
          <w:iCs/>
          <w:sz w:val="22"/>
          <w:szCs w:val="22"/>
        </w:rPr>
        <w:t>Jajou</w:t>
      </w:r>
      <w:proofErr w:type="spellEnd"/>
      <w:r w:rsidRPr="00246B61">
        <w:rPr>
          <w:rFonts w:ascii="Franklin Gothic Book" w:hAnsi="Franklin Gothic Book"/>
          <w:iCs/>
          <w:sz w:val="22"/>
          <w:szCs w:val="22"/>
        </w:rPr>
        <w:t xml:space="preserve"> et al. 2019).</w:t>
      </w:r>
    </w:p>
    <w:p w14:paraId="2774CA57"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noted the main benefits of WGS compared to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xml:space="preserve"> </w:t>
      </w:r>
      <w:r>
        <w:rPr>
          <w:rFonts w:ascii="Franklin Gothic Book" w:hAnsi="Franklin Gothic Book"/>
          <w:iCs/>
          <w:sz w:val="22"/>
          <w:szCs w:val="22"/>
        </w:rPr>
        <w:t>were proposed to be</w:t>
      </w:r>
      <w:r w:rsidRPr="00246B61">
        <w:rPr>
          <w:rFonts w:ascii="Franklin Gothic Book" w:hAnsi="Franklin Gothic Book"/>
          <w:iCs/>
          <w:sz w:val="22"/>
          <w:szCs w:val="22"/>
        </w:rPr>
        <w:t xml:space="preserve"> the </w:t>
      </w:r>
      <w:r>
        <w:rPr>
          <w:rFonts w:ascii="Franklin Gothic Book" w:hAnsi="Franklin Gothic Book"/>
          <w:iCs/>
          <w:sz w:val="22"/>
          <w:szCs w:val="22"/>
        </w:rPr>
        <w:t xml:space="preserve">shorter </w:t>
      </w:r>
      <w:r w:rsidRPr="00246B61">
        <w:rPr>
          <w:rFonts w:ascii="Franklin Gothic Book" w:hAnsi="Franklin Gothic Book"/>
          <w:iCs/>
          <w:sz w:val="22"/>
          <w:szCs w:val="22"/>
        </w:rPr>
        <w:t xml:space="preserve">turnaround time (TAT), better sensitivity and detection, </w:t>
      </w:r>
      <w:r>
        <w:rPr>
          <w:rFonts w:ascii="Franklin Gothic Book" w:hAnsi="Franklin Gothic Book"/>
          <w:iCs/>
          <w:sz w:val="22"/>
          <w:szCs w:val="22"/>
        </w:rPr>
        <w:t xml:space="preserve">changes to </w:t>
      </w:r>
      <w:r w:rsidRPr="00246B61">
        <w:rPr>
          <w:rFonts w:ascii="Franklin Gothic Book" w:hAnsi="Franklin Gothic Book"/>
          <w:iCs/>
          <w:sz w:val="22"/>
          <w:szCs w:val="22"/>
        </w:rPr>
        <w:t>treatment regime</w:t>
      </w:r>
      <w:r>
        <w:rPr>
          <w:rFonts w:ascii="Franklin Gothic Book" w:hAnsi="Franklin Gothic Book"/>
          <w:iCs/>
          <w:sz w:val="22"/>
          <w:szCs w:val="22"/>
        </w:rPr>
        <w:t>s, distinguishing reinfection from relapse, and providing epidemiological data including whether an infection is nosocomial</w:t>
      </w:r>
      <w:r w:rsidRPr="00246B61">
        <w:rPr>
          <w:rFonts w:ascii="Franklin Gothic Book" w:hAnsi="Franklin Gothic Book"/>
          <w:iCs/>
          <w:sz w:val="22"/>
          <w:szCs w:val="22"/>
        </w:rPr>
        <w:t xml:space="preserve">. The TAT for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xml:space="preserve"> is several weeks for slow-growing organisms such as mycobacteria, and WGS results were estimated to be more than five days faster (Martinez et al. 201</w:t>
      </w:r>
      <w:r>
        <w:rPr>
          <w:rFonts w:ascii="Franklin Gothic Book" w:hAnsi="Franklin Gothic Book"/>
          <w:iCs/>
          <w:sz w:val="22"/>
          <w:szCs w:val="22"/>
        </w:rPr>
        <w:t>6</w:t>
      </w:r>
      <w:r w:rsidRPr="00246B61">
        <w:rPr>
          <w:rFonts w:ascii="Franklin Gothic Book" w:hAnsi="Franklin Gothic Book"/>
          <w:iCs/>
          <w:sz w:val="22"/>
          <w:szCs w:val="22"/>
        </w:rPr>
        <w:t>)</w:t>
      </w:r>
      <w:r>
        <w:rPr>
          <w:rFonts w:ascii="Franklin Gothic Book" w:hAnsi="Franklin Gothic Book"/>
          <w:iCs/>
          <w:sz w:val="22"/>
          <w:szCs w:val="22"/>
        </w:rPr>
        <w:t>.</w:t>
      </w:r>
      <w:r w:rsidRPr="00246B61">
        <w:rPr>
          <w:rFonts w:ascii="Franklin Gothic Book" w:hAnsi="Franklin Gothic Book"/>
          <w:iCs/>
          <w:sz w:val="22"/>
          <w:szCs w:val="22"/>
        </w:rPr>
        <w:t xml:space="preserve"> ESC noted uncertainty around TAT in different settings</w:t>
      </w:r>
      <w:r>
        <w:rPr>
          <w:rFonts w:ascii="Franklin Gothic Book" w:hAnsi="Franklin Gothic Book"/>
          <w:iCs/>
          <w:sz w:val="22"/>
          <w:szCs w:val="22"/>
        </w:rPr>
        <w:t xml:space="preserve">, and that </w:t>
      </w:r>
      <w:r w:rsidRPr="00246B61">
        <w:rPr>
          <w:rFonts w:ascii="Franklin Gothic Book" w:hAnsi="Franklin Gothic Book"/>
          <w:iCs/>
          <w:sz w:val="22"/>
          <w:szCs w:val="22"/>
        </w:rPr>
        <w:t xml:space="preserve">the pre-ESC response </w:t>
      </w:r>
      <w:r>
        <w:rPr>
          <w:rFonts w:ascii="Franklin Gothic Book" w:hAnsi="Franklin Gothic Book"/>
          <w:iCs/>
          <w:sz w:val="22"/>
          <w:szCs w:val="22"/>
        </w:rPr>
        <w:t>states WGS</w:t>
      </w:r>
      <w:r w:rsidRPr="00246B61">
        <w:rPr>
          <w:rFonts w:ascii="Franklin Gothic Book" w:hAnsi="Franklin Gothic Book"/>
          <w:iCs/>
          <w:sz w:val="22"/>
          <w:szCs w:val="22"/>
        </w:rPr>
        <w:t xml:space="preserve"> results </w:t>
      </w:r>
      <w:r>
        <w:rPr>
          <w:rFonts w:ascii="Franklin Gothic Book" w:hAnsi="Franklin Gothic Book"/>
          <w:iCs/>
          <w:sz w:val="22"/>
          <w:szCs w:val="22"/>
        </w:rPr>
        <w:t xml:space="preserve">are reported </w:t>
      </w:r>
      <w:r w:rsidRPr="00246B61">
        <w:rPr>
          <w:rFonts w:ascii="Franklin Gothic Book" w:hAnsi="Franklin Gothic Book"/>
          <w:iCs/>
          <w:sz w:val="22"/>
          <w:szCs w:val="22"/>
        </w:rPr>
        <w:t xml:space="preserve">one week earlier than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xml:space="preserve">. ESC considered that with a difference in TAT of approximately five days, any patient benefit is </w:t>
      </w:r>
      <w:r>
        <w:rPr>
          <w:rFonts w:ascii="Franklin Gothic Book" w:hAnsi="Franklin Gothic Book"/>
          <w:iCs/>
          <w:sz w:val="22"/>
          <w:szCs w:val="22"/>
        </w:rPr>
        <w:t>likely</w:t>
      </w:r>
      <w:r w:rsidRPr="00246B61">
        <w:rPr>
          <w:rFonts w:ascii="Franklin Gothic Book" w:hAnsi="Franklin Gothic Book"/>
          <w:iCs/>
          <w:sz w:val="22"/>
          <w:szCs w:val="22"/>
        </w:rPr>
        <w:t xml:space="preserve"> quite small. </w:t>
      </w:r>
      <w:r>
        <w:rPr>
          <w:rFonts w:ascii="Franklin Gothic Book" w:hAnsi="Franklin Gothic Book"/>
          <w:iCs/>
          <w:sz w:val="22"/>
          <w:szCs w:val="22"/>
        </w:rPr>
        <w:t>ESC considered the TATs to be uncertain and likely to shorten over time.</w:t>
      </w:r>
    </w:p>
    <w:p w14:paraId="468334F6" w14:textId="77777777" w:rsidR="00493F7D" w:rsidRPr="00246B61" w:rsidRDefault="00493F7D" w:rsidP="00493F7D">
      <w:pPr>
        <w:rPr>
          <w:rFonts w:ascii="Franklin Gothic Book" w:hAnsi="Franklin Gothic Book"/>
          <w:iCs/>
          <w:sz w:val="22"/>
          <w:szCs w:val="22"/>
        </w:rPr>
      </w:pPr>
      <w:r w:rsidRPr="00246B61">
        <w:rPr>
          <w:rFonts w:ascii="Franklin Gothic Book" w:hAnsi="Franklin Gothic Book"/>
          <w:iCs/>
          <w:sz w:val="22"/>
          <w:szCs w:val="22"/>
        </w:rPr>
        <w:t>ESC noted the lack of evidence regarding how the availability of WGS changes the management of patients and their outcomes, as well as other uncertainties around clinical management, including:</w:t>
      </w:r>
    </w:p>
    <w:p w14:paraId="3293948A" w14:textId="77777777" w:rsidR="00493F7D" w:rsidRPr="006F4EBA" w:rsidRDefault="00493F7D" w:rsidP="00493F7D">
      <w:pPr>
        <w:pStyle w:val="Bullet"/>
        <w:rPr>
          <w:rFonts w:ascii="Franklin Gothic Book" w:hAnsi="Franklin Gothic Book"/>
          <w:sz w:val="22"/>
          <w:szCs w:val="22"/>
        </w:rPr>
      </w:pPr>
      <w:r w:rsidRPr="006F4EBA">
        <w:rPr>
          <w:rFonts w:ascii="Franklin Gothic Book" w:hAnsi="Franklin Gothic Book"/>
          <w:sz w:val="22"/>
          <w:szCs w:val="22"/>
        </w:rPr>
        <w:t>how results are managed and fit with public health (clusters, outbreaks and follow-up)</w:t>
      </w:r>
    </w:p>
    <w:p w14:paraId="62B63D6F" w14:textId="77777777" w:rsidR="00493F7D" w:rsidRPr="006F4EBA" w:rsidRDefault="00493F7D" w:rsidP="00493F7D">
      <w:pPr>
        <w:pStyle w:val="Bullet"/>
        <w:rPr>
          <w:rFonts w:ascii="Franklin Gothic Book" w:hAnsi="Franklin Gothic Book"/>
          <w:sz w:val="22"/>
          <w:szCs w:val="22"/>
        </w:rPr>
      </w:pPr>
      <w:r w:rsidRPr="006F4EBA">
        <w:rPr>
          <w:rFonts w:ascii="Franklin Gothic Book" w:hAnsi="Franklin Gothic Book"/>
          <w:sz w:val="22"/>
          <w:szCs w:val="22"/>
        </w:rPr>
        <w:t>coordination of clinical intervention</w:t>
      </w:r>
    </w:p>
    <w:p w14:paraId="045FBA39" w14:textId="77777777" w:rsidR="00493F7D" w:rsidRPr="006F4EBA" w:rsidRDefault="00493F7D" w:rsidP="00493F7D">
      <w:pPr>
        <w:pStyle w:val="BulletLast"/>
        <w:rPr>
          <w:rFonts w:ascii="Franklin Gothic Book" w:hAnsi="Franklin Gothic Book"/>
          <w:sz w:val="22"/>
          <w:szCs w:val="22"/>
        </w:rPr>
      </w:pPr>
      <w:r w:rsidRPr="006F4EBA">
        <w:rPr>
          <w:rFonts w:ascii="Franklin Gothic Book" w:hAnsi="Franklin Gothic Book"/>
          <w:sz w:val="22"/>
          <w:szCs w:val="22"/>
        </w:rPr>
        <w:t xml:space="preserve">availability of </w:t>
      </w:r>
      <w:r>
        <w:rPr>
          <w:rFonts w:ascii="Franklin Gothic Book" w:hAnsi="Franklin Gothic Book"/>
          <w:sz w:val="22"/>
          <w:szCs w:val="22"/>
        </w:rPr>
        <w:t>microbiologist/</w:t>
      </w:r>
      <w:r w:rsidRPr="006F4EBA">
        <w:rPr>
          <w:rFonts w:ascii="Franklin Gothic Book" w:hAnsi="Franklin Gothic Book"/>
          <w:sz w:val="22"/>
          <w:szCs w:val="22"/>
        </w:rPr>
        <w:t>pathologist expertise and bioinformatic support.</w:t>
      </w:r>
    </w:p>
    <w:p w14:paraId="6777C996"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considered that safety may be superior </w:t>
      </w:r>
      <w:r>
        <w:rPr>
          <w:rFonts w:ascii="Franklin Gothic Book" w:hAnsi="Franklin Gothic Book"/>
          <w:iCs/>
          <w:sz w:val="22"/>
          <w:szCs w:val="22"/>
        </w:rPr>
        <w:t xml:space="preserve">for WGS </w:t>
      </w:r>
      <w:r w:rsidRPr="00246B61">
        <w:rPr>
          <w:rFonts w:ascii="Franklin Gothic Book" w:hAnsi="Franklin Gothic Book"/>
          <w:iCs/>
          <w:sz w:val="22"/>
          <w:szCs w:val="22"/>
        </w:rPr>
        <w:t xml:space="preserve">because of earlier treatment </w:t>
      </w:r>
      <w:r>
        <w:rPr>
          <w:rFonts w:ascii="Franklin Gothic Book" w:hAnsi="Franklin Gothic Book"/>
          <w:iCs/>
          <w:sz w:val="22"/>
          <w:szCs w:val="22"/>
        </w:rPr>
        <w:t>modification</w:t>
      </w:r>
      <w:r w:rsidRPr="00246B61">
        <w:rPr>
          <w:rFonts w:ascii="Franklin Gothic Book" w:hAnsi="Franklin Gothic Book"/>
          <w:iCs/>
          <w:sz w:val="22"/>
          <w:szCs w:val="22"/>
        </w:rPr>
        <w:t>, which improve</w:t>
      </w:r>
      <w:r>
        <w:rPr>
          <w:rFonts w:ascii="Franklin Gothic Book" w:hAnsi="Franklin Gothic Book"/>
          <w:iCs/>
          <w:sz w:val="22"/>
          <w:szCs w:val="22"/>
        </w:rPr>
        <w:t>s</w:t>
      </w:r>
      <w:r w:rsidRPr="00246B61">
        <w:rPr>
          <w:rFonts w:ascii="Franklin Gothic Book" w:hAnsi="Franklin Gothic Book"/>
          <w:iCs/>
          <w:sz w:val="22"/>
          <w:szCs w:val="22"/>
        </w:rPr>
        <w:t xml:space="preserve"> adherence to a simpler drug regime and</w:t>
      </w:r>
      <w:r>
        <w:rPr>
          <w:rFonts w:ascii="Franklin Gothic Book" w:hAnsi="Franklin Gothic Book"/>
          <w:iCs/>
          <w:sz w:val="22"/>
          <w:szCs w:val="22"/>
        </w:rPr>
        <w:t xml:space="preserve"> may</w:t>
      </w:r>
      <w:r w:rsidRPr="00246B61">
        <w:rPr>
          <w:rFonts w:ascii="Franklin Gothic Book" w:hAnsi="Franklin Gothic Book"/>
          <w:iCs/>
          <w:sz w:val="22"/>
          <w:szCs w:val="22"/>
        </w:rPr>
        <w:t xml:space="preserve"> result in reduced drug side effects. ESC noted that there may also be increased safety for the community by identifying and tracking outbreaks of antimicrobial-resistant TB (</w:t>
      </w:r>
      <w:r>
        <w:rPr>
          <w:rFonts w:ascii="Franklin Gothic Book" w:hAnsi="Franklin Gothic Book"/>
          <w:iCs/>
          <w:sz w:val="22"/>
          <w:szCs w:val="22"/>
        </w:rPr>
        <w:t>including within</w:t>
      </w:r>
      <w:r w:rsidRPr="00246B61">
        <w:rPr>
          <w:rFonts w:ascii="Franklin Gothic Book" w:hAnsi="Franklin Gothic Book"/>
          <w:iCs/>
          <w:sz w:val="22"/>
          <w:szCs w:val="22"/>
        </w:rPr>
        <w:t xml:space="preserve"> hospital</w:t>
      </w:r>
      <w:r>
        <w:rPr>
          <w:rFonts w:ascii="Franklin Gothic Book" w:hAnsi="Franklin Gothic Book"/>
          <w:iCs/>
          <w:sz w:val="22"/>
          <w:szCs w:val="22"/>
        </w:rPr>
        <w:t>s</w:t>
      </w:r>
      <w:r w:rsidRPr="00246B61">
        <w:rPr>
          <w:rFonts w:ascii="Franklin Gothic Book" w:hAnsi="Franklin Gothic Book"/>
          <w:iCs/>
          <w:sz w:val="22"/>
          <w:szCs w:val="22"/>
        </w:rPr>
        <w:t xml:space="preserve">). </w:t>
      </w:r>
    </w:p>
    <w:p w14:paraId="797D7820"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lastRenderedPageBreak/>
        <w:t xml:space="preserve">ESC noted that the economic evaluation </w:t>
      </w:r>
      <w:r>
        <w:rPr>
          <w:rFonts w:ascii="Franklin Gothic Book" w:hAnsi="Franklin Gothic Book"/>
          <w:iCs/>
          <w:sz w:val="22"/>
          <w:szCs w:val="22"/>
        </w:rPr>
        <w:t>used</w:t>
      </w:r>
      <w:r w:rsidRPr="00246B61">
        <w:rPr>
          <w:rFonts w:ascii="Franklin Gothic Book" w:hAnsi="Franklin Gothic Book"/>
          <w:iCs/>
          <w:sz w:val="22"/>
          <w:szCs w:val="22"/>
        </w:rPr>
        <w:t xml:space="preserve"> a decision-tree analysis, </w:t>
      </w:r>
      <w:r>
        <w:rPr>
          <w:rFonts w:ascii="Franklin Gothic Book" w:hAnsi="Franklin Gothic Book"/>
          <w:iCs/>
          <w:sz w:val="22"/>
          <w:szCs w:val="22"/>
        </w:rPr>
        <w:t xml:space="preserve">which it considered to be an overly simple model choice for infectious disease, as it poorly addresses timing of diagnosis, which is a key issue for this assessment, and also does not assess the potential to reduce disease transmission rate. </w:t>
      </w:r>
      <w:r w:rsidRPr="00246B61">
        <w:rPr>
          <w:rFonts w:ascii="Franklin Gothic Book" w:hAnsi="Franklin Gothic Book"/>
          <w:iCs/>
          <w:sz w:val="22"/>
          <w:szCs w:val="22"/>
        </w:rPr>
        <w:t xml:space="preserve">ESC </w:t>
      </w:r>
      <w:r>
        <w:rPr>
          <w:rFonts w:ascii="Franklin Gothic Book" w:hAnsi="Franklin Gothic Book"/>
          <w:iCs/>
          <w:sz w:val="22"/>
          <w:szCs w:val="22"/>
        </w:rPr>
        <w:t>advised</w:t>
      </w:r>
      <w:r w:rsidRPr="00246B61">
        <w:rPr>
          <w:rFonts w:ascii="Franklin Gothic Book" w:hAnsi="Franklin Gothic Book"/>
          <w:iCs/>
          <w:sz w:val="22"/>
          <w:szCs w:val="22"/>
        </w:rPr>
        <w:t xml:space="preserve"> a discrete event simulation </w:t>
      </w:r>
      <w:r>
        <w:rPr>
          <w:rFonts w:ascii="Franklin Gothic Book" w:hAnsi="Franklin Gothic Book"/>
          <w:iCs/>
          <w:sz w:val="22"/>
          <w:szCs w:val="22"/>
        </w:rPr>
        <w:t xml:space="preserve">would </w:t>
      </w:r>
      <w:r w:rsidRPr="00246B61">
        <w:rPr>
          <w:rFonts w:ascii="Franklin Gothic Book" w:hAnsi="Franklin Gothic Book"/>
          <w:iCs/>
          <w:sz w:val="22"/>
          <w:szCs w:val="22"/>
        </w:rPr>
        <w:t>be a more appropriate model</w:t>
      </w:r>
      <w:r>
        <w:rPr>
          <w:rFonts w:ascii="Franklin Gothic Book" w:hAnsi="Franklin Gothic Book"/>
          <w:iCs/>
          <w:sz w:val="22"/>
          <w:szCs w:val="22"/>
        </w:rPr>
        <w:t xml:space="preserve"> type, and would be appropriate for subsequent assessments including those for the remaining four indications from the 1646 PICO</w:t>
      </w:r>
      <w:r w:rsidRPr="00246B61">
        <w:rPr>
          <w:rFonts w:ascii="Franklin Gothic Book" w:hAnsi="Franklin Gothic Book"/>
          <w:iCs/>
          <w:sz w:val="22"/>
          <w:szCs w:val="22"/>
        </w:rPr>
        <w:t xml:space="preserve">. </w:t>
      </w:r>
      <w:r>
        <w:rPr>
          <w:rFonts w:ascii="Franklin Gothic Book" w:hAnsi="Franklin Gothic Book"/>
          <w:iCs/>
          <w:sz w:val="22"/>
          <w:szCs w:val="22"/>
        </w:rPr>
        <w:t xml:space="preserve">Nonetheless, ESC considered the decision tree model to be correct and valid: in a situation with a small population and limited data, the model makes sense and has been built sensibly. </w:t>
      </w:r>
      <w:r w:rsidRPr="00246B61">
        <w:rPr>
          <w:rFonts w:ascii="Franklin Gothic Book" w:hAnsi="Franklin Gothic Book"/>
          <w:iCs/>
          <w:sz w:val="22"/>
          <w:szCs w:val="22"/>
        </w:rPr>
        <w:t xml:space="preserve">ESC considered that </w:t>
      </w:r>
      <w:r>
        <w:rPr>
          <w:rFonts w:ascii="Franklin Gothic Book" w:hAnsi="Franklin Gothic Book"/>
          <w:iCs/>
          <w:sz w:val="22"/>
          <w:szCs w:val="22"/>
        </w:rPr>
        <w:t xml:space="preserve">omitting disease transmission was unrealistic and transmission </w:t>
      </w:r>
      <w:r w:rsidRPr="00246B61">
        <w:rPr>
          <w:rFonts w:ascii="Franklin Gothic Book" w:hAnsi="Franklin Gothic Book"/>
          <w:iCs/>
          <w:sz w:val="22"/>
          <w:szCs w:val="22"/>
        </w:rPr>
        <w:t>should have</w:t>
      </w:r>
      <w:r>
        <w:rPr>
          <w:rFonts w:ascii="Franklin Gothic Book" w:hAnsi="Franklin Gothic Book"/>
          <w:iCs/>
          <w:sz w:val="22"/>
          <w:szCs w:val="22"/>
        </w:rPr>
        <w:t xml:space="preserve"> been</w:t>
      </w:r>
      <w:r w:rsidRPr="00246B61">
        <w:rPr>
          <w:rFonts w:ascii="Franklin Gothic Book" w:hAnsi="Franklin Gothic Book"/>
          <w:iCs/>
          <w:sz w:val="22"/>
          <w:szCs w:val="22"/>
        </w:rPr>
        <w:t xml:space="preserve"> included because there is evidence that </w:t>
      </w:r>
      <w:r>
        <w:rPr>
          <w:rFonts w:ascii="Franklin Gothic Book" w:hAnsi="Franklin Gothic Book"/>
          <w:iCs/>
          <w:sz w:val="22"/>
          <w:szCs w:val="22"/>
        </w:rPr>
        <w:t>TB</w:t>
      </w:r>
      <w:r w:rsidRPr="00246B61">
        <w:rPr>
          <w:rFonts w:ascii="Franklin Gothic Book" w:hAnsi="Franklin Gothic Book"/>
          <w:iCs/>
          <w:sz w:val="22"/>
          <w:szCs w:val="22"/>
        </w:rPr>
        <w:t xml:space="preserve"> spreads </w:t>
      </w:r>
      <w:r>
        <w:rPr>
          <w:rFonts w:ascii="Franklin Gothic Book" w:hAnsi="Franklin Gothic Book"/>
          <w:iCs/>
          <w:sz w:val="22"/>
          <w:szCs w:val="22"/>
        </w:rPr>
        <w:t>with</w:t>
      </w:r>
      <w:r w:rsidRPr="00246B61">
        <w:rPr>
          <w:rFonts w:ascii="Franklin Gothic Book" w:hAnsi="Franklin Gothic Book"/>
          <w:iCs/>
          <w:sz w:val="22"/>
          <w:szCs w:val="22"/>
        </w:rPr>
        <w:t>in hospitals</w:t>
      </w:r>
      <w:r>
        <w:rPr>
          <w:rFonts w:ascii="Franklin Gothic Book" w:hAnsi="Franklin Gothic Book"/>
          <w:iCs/>
          <w:sz w:val="22"/>
          <w:szCs w:val="22"/>
        </w:rPr>
        <w:t xml:space="preserve"> – however as a result of omitting it, the model has provided a more conservative estimate of cost-effectiveness</w:t>
      </w:r>
      <w:r w:rsidRPr="00246B61">
        <w:rPr>
          <w:rFonts w:ascii="Franklin Gothic Book" w:hAnsi="Franklin Gothic Book"/>
          <w:iCs/>
          <w:sz w:val="22"/>
          <w:szCs w:val="22"/>
        </w:rPr>
        <w:t xml:space="preserve">. </w:t>
      </w:r>
    </w:p>
    <w:p w14:paraId="5D764E65" w14:textId="77777777" w:rsidR="00493F7D" w:rsidRPr="00246B61" w:rsidRDefault="00493F7D" w:rsidP="00493F7D">
      <w:pPr>
        <w:rPr>
          <w:rFonts w:ascii="Franklin Gothic Book" w:hAnsi="Franklin Gothic Book"/>
          <w:iCs/>
          <w:sz w:val="22"/>
          <w:szCs w:val="22"/>
        </w:rPr>
      </w:pPr>
      <w:r w:rsidRPr="00246B61">
        <w:rPr>
          <w:rFonts w:ascii="Franklin Gothic Book" w:hAnsi="Franklin Gothic Book"/>
          <w:iCs/>
          <w:sz w:val="22"/>
          <w:szCs w:val="22"/>
        </w:rPr>
        <w:t>ESC noted the following assumptions and exclusions in the economic model:</w:t>
      </w:r>
    </w:p>
    <w:p w14:paraId="1EAA72C0" w14:textId="77777777" w:rsidR="00493F7D" w:rsidRPr="006F4EBA" w:rsidRDefault="00493F7D" w:rsidP="00493F7D">
      <w:pPr>
        <w:pStyle w:val="Bullet"/>
        <w:rPr>
          <w:rFonts w:ascii="Franklin Gothic Book" w:hAnsi="Franklin Gothic Book"/>
          <w:sz w:val="22"/>
          <w:szCs w:val="22"/>
        </w:rPr>
      </w:pPr>
      <w:r w:rsidRPr="006F4EBA">
        <w:rPr>
          <w:rFonts w:ascii="Franklin Gothic Book" w:hAnsi="Franklin Gothic Book"/>
          <w:sz w:val="22"/>
          <w:szCs w:val="22"/>
        </w:rPr>
        <w:t>treatment failure for other reasons</w:t>
      </w:r>
    </w:p>
    <w:p w14:paraId="0C010579" w14:textId="77777777" w:rsidR="00493F7D" w:rsidRPr="006F4EBA" w:rsidRDefault="00493F7D" w:rsidP="00493F7D">
      <w:pPr>
        <w:pStyle w:val="Bullet"/>
        <w:rPr>
          <w:rFonts w:ascii="Franklin Gothic Book" w:hAnsi="Franklin Gothic Book"/>
          <w:sz w:val="22"/>
          <w:szCs w:val="22"/>
        </w:rPr>
      </w:pPr>
      <w:r w:rsidRPr="006F4EBA">
        <w:rPr>
          <w:rFonts w:ascii="Franklin Gothic Book" w:hAnsi="Franklin Gothic Book"/>
          <w:sz w:val="22"/>
          <w:szCs w:val="22"/>
        </w:rPr>
        <w:t xml:space="preserve">timing of appropriate treatment due to false negatives on </w:t>
      </w:r>
      <w:proofErr w:type="spellStart"/>
      <w:r w:rsidRPr="006F4EBA">
        <w:rPr>
          <w:rFonts w:ascii="Franklin Gothic Book" w:hAnsi="Franklin Gothic Book"/>
          <w:sz w:val="22"/>
          <w:szCs w:val="22"/>
        </w:rPr>
        <w:t>pDST</w:t>
      </w:r>
      <w:proofErr w:type="spellEnd"/>
      <w:r w:rsidRPr="006F4EBA">
        <w:rPr>
          <w:rFonts w:ascii="Franklin Gothic Book" w:hAnsi="Franklin Gothic Book"/>
          <w:sz w:val="22"/>
          <w:szCs w:val="22"/>
        </w:rPr>
        <w:t xml:space="preserve"> was assumed to be 60 days</w:t>
      </w:r>
    </w:p>
    <w:p w14:paraId="1E3B9EA5" w14:textId="77777777" w:rsidR="00493F7D" w:rsidRPr="006F4EBA" w:rsidRDefault="00493F7D" w:rsidP="00493F7D">
      <w:pPr>
        <w:pStyle w:val="BulletLast"/>
        <w:rPr>
          <w:rFonts w:ascii="Franklin Gothic Book" w:hAnsi="Franklin Gothic Book"/>
          <w:sz w:val="22"/>
          <w:szCs w:val="22"/>
        </w:rPr>
      </w:pPr>
      <w:r w:rsidRPr="006F4EBA">
        <w:rPr>
          <w:rFonts w:ascii="Franklin Gothic Book" w:hAnsi="Franklin Gothic Book"/>
          <w:sz w:val="22"/>
          <w:szCs w:val="22"/>
        </w:rPr>
        <w:t xml:space="preserve">the side effects of inappropriate treatment </w:t>
      </w:r>
      <w:r>
        <w:rPr>
          <w:rFonts w:ascii="Franklin Gothic Book" w:hAnsi="Franklin Gothic Book"/>
          <w:sz w:val="22"/>
          <w:szCs w:val="22"/>
        </w:rPr>
        <w:t>were</w:t>
      </w:r>
      <w:r w:rsidRPr="006F4EBA">
        <w:rPr>
          <w:rFonts w:ascii="Franklin Gothic Book" w:hAnsi="Franklin Gothic Book"/>
          <w:sz w:val="22"/>
          <w:szCs w:val="22"/>
        </w:rPr>
        <w:t xml:space="preserve"> not included.</w:t>
      </w:r>
    </w:p>
    <w:p w14:paraId="7041CF71"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w:t>
      </w:r>
      <w:r>
        <w:rPr>
          <w:rFonts w:ascii="Franklin Gothic Book" w:hAnsi="Franklin Gothic Book"/>
          <w:iCs/>
          <w:sz w:val="22"/>
          <w:szCs w:val="22"/>
        </w:rPr>
        <w:t>considered</w:t>
      </w:r>
      <w:r w:rsidRPr="00246B61">
        <w:rPr>
          <w:rFonts w:ascii="Franklin Gothic Book" w:hAnsi="Franklin Gothic Book"/>
          <w:iCs/>
          <w:sz w:val="22"/>
          <w:szCs w:val="22"/>
        </w:rPr>
        <w:t xml:space="preserve"> that the </w:t>
      </w:r>
      <w:r>
        <w:rPr>
          <w:rFonts w:ascii="Franklin Gothic Book" w:hAnsi="Franklin Gothic Book"/>
          <w:iCs/>
          <w:sz w:val="22"/>
          <w:szCs w:val="22"/>
        </w:rPr>
        <w:t>cost-effectiveness measure</w:t>
      </w:r>
      <w:r w:rsidRPr="00246B61">
        <w:rPr>
          <w:rFonts w:ascii="Franklin Gothic Book" w:hAnsi="Franklin Gothic Book"/>
          <w:iCs/>
          <w:sz w:val="22"/>
          <w:szCs w:val="22"/>
        </w:rPr>
        <w:t xml:space="preserve"> “cost per additional correct diagnosis” </w:t>
      </w:r>
      <w:r>
        <w:rPr>
          <w:rFonts w:ascii="Franklin Gothic Book" w:hAnsi="Franklin Gothic Book"/>
          <w:iCs/>
          <w:sz w:val="22"/>
          <w:szCs w:val="22"/>
        </w:rPr>
        <w:t xml:space="preserve">is </w:t>
      </w:r>
      <w:r w:rsidRPr="00246B61">
        <w:rPr>
          <w:rFonts w:ascii="Franklin Gothic Book" w:hAnsi="Franklin Gothic Book"/>
          <w:iCs/>
          <w:sz w:val="22"/>
          <w:szCs w:val="22"/>
        </w:rPr>
        <w:t xml:space="preserve">difficult to </w:t>
      </w:r>
      <w:r>
        <w:rPr>
          <w:rFonts w:ascii="Franklin Gothic Book" w:hAnsi="Franklin Gothic Book"/>
          <w:iCs/>
          <w:sz w:val="22"/>
          <w:szCs w:val="22"/>
        </w:rPr>
        <w:t xml:space="preserve">contextualise, leaving uncertainty as to </w:t>
      </w:r>
      <w:r w:rsidRPr="00246B61">
        <w:rPr>
          <w:rFonts w:ascii="Franklin Gothic Book" w:hAnsi="Franklin Gothic Book"/>
          <w:iCs/>
          <w:sz w:val="22"/>
          <w:szCs w:val="22"/>
        </w:rPr>
        <w:t xml:space="preserve">the </w:t>
      </w:r>
      <w:r>
        <w:rPr>
          <w:rFonts w:ascii="Franklin Gothic Book" w:hAnsi="Franklin Gothic Book"/>
          <w:iCs/>
          <w:sz w:val="22"/>
          <w:szCs w:val="22"/>
        </w:rPr>
        <w:t xml:space="preserve">cost-effectiveness of the </w:t>
      </w:r>
      <w:r w:rsidRPr="00246B61">
        <w:rPr>
          <w:rFonts w:ascii="Franklin Gothic Book" w:hAnsi="Franklin Gothic Book"/>
          <w:iCs/>
          <w:sz w:val="22"/>
          <w:szCs w:val="22"/>
        </w:rPr>
        <w:t xml:space="preserve">incremental cost-effectiveness ratio (ICER) of $4,551 per additional correct diagnosis. </w:t>
      </w:r>
      <w:r>
        <w:rPr>
          <w:rFonts w:ascii="Franklin Gothic Book" w:hAnsi="Franklin Gothic Book"/>
          <w:iCs/>
          <w:sz w:val="22"/>
          <w:szCs w:val="22"/>
        </w:rPr>
        <w:t xml:space="preserve">However, </w:t>
      </w:r>
      <w:r w:rsidRPr="00246B61">
        <w:rPr>
          <w:rFonts w:ascii="Franklin Gothic Book" w:hAnsi="Franklin Gothic Book"/>
          <w:iCs/>
          <w:sz w:val="22"/>
          <w:szCs w:val="22"/>
        </w:rPr>
        <w:t xml:space="preserve">ESC </w:t>
      </w:r>
      <w:r>
        <w:rPr>
          <w:rFonts w:ascii="Franklin Gothic Book" w:hAnsi="Franklin Gothic Book"/>
          <w:iCs/>
          <w:sz w:val="22"/>
          <w:szCs w:val="22"/>
        </w:rPr>
        <w:t>considered</w:t>
      </w:r>
      <w:r w:rsidRPr="00246B61">
        <w:rPr>
          <w:rFonts w:ascii="Franklin Gothic Book" w:hAnsi="Franklin Gothic Book"/>
          <w:iCs/>
          <w:sz w:val="22"/>
          <w:szCs w:val="22"/>
        </w:rPr>
        <w:t xml:space="preserve"> that that this </w:t>
      </w:r>
      <w:r>
        <w:rPr>
          <w:rFonts w:ascii="Franklin Gothic Book" w:hAnsi="Franklin Gothic Book"/>
          <w:iCs/>
          <w:sz w:val="22"/>
          <w:szCs w:val="22"/>
        </w:rPr>
        <w:t>cost-effectiveness per correct additional diagnosis</w:t>
      </w:r>
      <w:r w:rsidRPr="00246B61">
        <w:rPr>
          <w:rFonts w:ascii="Franklin Gothic Book" w:hAnsi="Franklin Gothic Book"/>
          <w:iCs/>
          <w:sz w:val="22"/>
          <w:szCs w:val="22"/>
        </w:rPr>
        <w:t xml:space="preserve"> is </w:t>
      </w:r>
      <w:r>
        <w:rPr>
          <w:rFonts w:ascii="Franklin Gothic Book" w:hAnsi="Franklin Gothic Book"/>
          <w:iCs/>
          <w:sz w:val="22"/>
          <w:szCs w:val="22"/>
        </w:rPr>
        <w:t xml:space="preserve">broadly </w:t>
      </w:r>
      <w:r w:rsidRPr="00246B61">
        <w:rPr>
          <w:rFonts w:ascii="Franklin Gothic Book" w:hAnsi="Franklin Gothic Book"/>
          <w:iCs/>
          <w:sz w:val="22"/>
          <w:szCs w:val="22"/>
        </w:rPr>
        <w:t xml:space="preserve">consistent with </w:t>
      </w:r>
      <w:r>
        <w:rPr>
          <w:rFonts w:ascii="Franklin Gothic Book" w:hAnsi="Franklin Gothic Book"/>
          <w:iCs/>
          <w:sz w:val="22"/>
          <w:szCs w:val="22"/>
        </w:rPr>
        <w:t>cost-effectiveness measured in terms of “cost per additional proband detected” in previous germline</w:t>
      </w:r>
      <w:r w:rsidRPr="00246B61">
        <w:rPr>
          <w:rFonts w:ascii="Franklin Gothic Book" w:hAnsi="Franklin Gothic Book"/>
          <w:iCs/>
          <w:sz w:val="22"/>
          <w:szCs w:val="22"/>
        </w:rPr>
        <w:t xml:space="preserve"> genetic </w:t>
      </w:r>
      <w:r>
        <w:rPr>
          <w:rFonts w:ascii="Franklin Gothic Book" w:hAnsi="Franklin Gothic Book"/>
          <w:iCs/>
          <w:sz w:val="22"/>
          <w:szCs w:val="22"/>
        </w:rPr>
        <w:t>testing supported</w:t>
      </w:r>
      <w:r w:rsidRPr="00246B61">
        <w:rPr>
          <w:rFonts w:ascii="Franklin Gothic Book" w:hAnsi="Franklin Gothic Book"/>
          <w:iCs/>
          <w:sz w:val="22"/>
          <w:szCs w:val="22"/>
        </w:rPr>
        <w:t xml:space="preserve"> by MSAC. ESC considered the ICER of $4,551 to be conservative, and noted that if the difference in TAT between WGS and </w:t>
      </w:r>
      <w:proofErr w:type="spellStart"/>
      <w:r w:rsidRPr="00246B61">
        <w:rPr>
          <w:rFonts w:ascii="Franklin Gothic Book" w:hAnsi="Franklin Gothic Book"/>
          <w:iCs/>
          <w:sz w:val="22"/>
          <w:szCs w:val="22"/>
        </w:rPr>
        <w:t>pDST</w:t>
      </w:r>
      <w:proofErr w:type="spellEnd"/>
      <w:r w:rsidRPr="00246B61">
        <w:rPr>
          <w:rFonts w:ascii="Franklin Gothic Book" w:hAnsi="Franklin Gothic Book"/>
          <w:iCs/>
          <w:sz w:val="22"/>
          <w:szCs w:val="22"/>
        </w:rPr>
        <w:t xml:space="preserve"> doubles from 5 to 10 days, then the ICER drops to $860 per additional correct diagnosis. ESC also noted that </w:t>
      </w:r>
      <w:r>
        <w:rPr>
          <w:rFonts w:ascii="Franklin Gothic Book" w:hAnsi="Franklin Gothic Book"/>
          <w:iCs/>
          <w:sz w:val="22"/>
          <w:szCs w:val="22"/>
        </w:rPr>
        <w:t xml:space="preserve">had disease </w:t>
      </w:r>
      <w:r w:rsidRPr="00246B61">
        <w:rPr>
          <w:rFonts w:ascii="Franklin Gothic Book" w:hAnsi="Franklin Gothic Book"/>
          <w:iCs/>
          <w:sz w:val="22"/>
          <w:szCs w:val="22"/>
        </w:rPr>
        <w:t xml:space="preserve">transmission </w:t>
      </w:r>
      <w:r>
        <w:rPr>
          <w:rFonts w:ascii="Franklin Gothic Book" w:hAnsi="Franklin Gothic Book"/>
          <w:iCs/>
          <w:sz w:val="22"/>
          <w:szCs w:val="22"/>
        </w:rPr>
        <w:t xml:space="preserve">been included </w:t>
      </w:r>
      <w:r w:rsidRPr="00246B61">
        <w:rPr>
          <w:rFonts w:ascii="Franklin Gothic Book" w:hAnsi="Franklin Gothic Book"/>
          <w:iCs/>
          <w:sz w:val="22"/>
          <w:szCs w:val="22"/>
        </w:rPr>
        <w:t>in the economic model</w:t>
      </w:r>
      <w:r>
        <w:rPr>
          <w:rFonts w:ascii="Franklin Gothic Book" w:hAnsi="Franklin Gothic Book"/>
          <w:iCs/>
          <w:sz w:val="22"/>
          <w:szCs w:val="22"/>
        </w:rPr>
        <w:t>, the ICER</w:t>
      </w:r>
      <w:r w:rsidRPr="00246B61">
        <w:rPr>
          <w:rFonts w:ascii="Franklin Gothic Book" w:hAnsi="Franklin Gothic Book"/>
          <w:iCs/>
          <w:sz w:val="22"/>
          <w:szCs w:val="22"/>
        </w:rPr>
        <w:t xml:space="preserve"> would be</w:t>
      </w:r>
      <w:r>
        <w:rPr>
          <w:rFonts w:ascii="Franklin Gothic Book" w:hAnsi="Franklin Gothic Book"/>
          <w:iCs/>
          <w:sz w:val="22"/>
          <w:szCs w:val="22"/>
        </w:rPr>
        <w:t xml:space="preserve"> more</w:t>
      </w:r>
      <w:r w:rsidRPr="00246B61">
        <w:rPr>
          <w:rFonts w:ascii="Franklin Gothic Book" w:hAnsi="Franklin Gothic Book"/>
          <w:iCs/>
          <w:sz w:val="22"/>
          <w:szCs w:val="22"/>
        </w:rPr>
        <w:t xml:space="preserve"> favourable.</w:t>
      </w:r>
    </w:p>
    <w:p w14:paraId="27C02866" w14:textId="77777777" w:rsidR="00493F7D" w:rsidRPr="00246B61" w:rsidRDefault="00493F7D" w:rsidP="00493F7D">
      <w:pPr>
        <w:rPr>
          <w:rFonts w:ascii="Franklin Gothic Book" w:hAnsi="Franklin Gothic Book"/>
          <w:iCs/>
          <w:sz w:val="22"/>
          <w:szCs w:val="22"/>
        </w:rPr>
      </w:pPr>
      <w:r w:rsidRPr="00246B61">
        <w:rPr>
          <w:rFonts w:ascii="Franklin Gothic Book" w:hAnsi="Franklin Gothic Book"/>
          <w:iCs/>
          <w:sz w:val="22"/>
          <w:szCs w:val="22"/>
        </w:rPr>
        <w:t>ESC noted that many wider benefits of WGS cannot be quantified in an economic model</w:t>
      </w:r>
      <w:r>
        <w:rPr>
          <w:rFonts w:ascii="Franklin Gothic Book" w:hAnsi="Franklin Gothic Book"/>
          <w:iCs/>
          <w:sz w:val="22"/>
          <w:szCs w:val="22"/>
        </w:rPr>
        <w:t>, including</w:t>
      </w:r>
      <w:r w:rsidRPr="00246B61">
        <w:rPr>
          <w:rFonts w:ascii="Franklin Gothic Book" w:hAnsi="Franklin Gothic Book"/>
          <w:iCs/>
          <w:sz w:val="22"/>
          <w:szCs w:val="22"/>
        </w:rPr>
        <w:t>:</w:t>
      </w:r>
    </w:p>
    <w:p w14:paraId="11DA9EC2" w14:textId="77777777" w:rsidR="00493F7D" w:rsidRPr="006F4EBA" w:rsidRDefault="00493F7D" w:rsidP="00493F7D">
      <w:pPr>
        <w:pStyle w:val="Bullet"/>
        <w:rPr>
          <w:rFonts w:ascii="Franklin Gothic Book" w:eastAsiaTheme="minorHAnsi" w:hAnsi="Franklin Gothic Book"/>
          <w:sz w:val="22"/>
          <w:szCs w:val="22"/>
          <w:lang w:eastAsia="en-US"/>
        </w:rPr>
      </w:pPr>
      <w:r w:rsidRPr="006F4EBA">
        <w:rPr>
          <w:rFonts w:ascii="Franklin Gothic Book" w:eastAsiaTheme="minorHAnsi" w:hAnsi="Franklin Gothic Book"/>
          <w:sz w:val="22"/>
          <w:szCs w:val="22"/>
          <w:lang w:eastAsia="en-US"/>
        </w:rPr>
        <w:t xml:space="preserve">distinguishing between relapse and re-infection to inform the focus of </w:t>
      </w:r>
      <w:r>
        <w:rPr>
          <w:rFonts w:ascii="Franklin Gothic Book" w:eastAsiaTheme="minorHAnsi" w:hAnsi="Franklin Gothic Book"/>
          <w:sz w:val="22"/>
          <w:szCs w:val="22"/>
          <w:lang w:eastAsia="en-US"/>
        </w:rPr>
        <w:t xml:space="preserve">outbreak </w:t>
      </w:r>
      <w:r w:rsidRPr="006F4EBA">
        <w:rPr>
          <w:rFonts w:ascii="Franklin Gothic Book" w:eastAsiaTheme="minorHAnsi" w:hAnsi="Franklin Gothic Book"/>
          <w:sz w:val="22"/>
          <w:szCs w:val="22"/>
          <w:lang w:eastAsia="en-US"/>
        </w:rPr>
        <w:t>control activities, which includes increasing treatment adherence and contact tracing</w:t>
      </w:r>
    </w:p>
    <w:p w14:paraId="0B0939D1" w14:textId="77777777" w:rsidR="00493F7D" w:rsidRPr="006F4EBA" w:rsidRDefault="00493F7D" w:rsidP="00493F7D">
      <w:pPr>
        <w:pStyle w:val="Bullet"/>
        <w:rPr>
          <w:rFonts w:ascii="Franklin Gothic Book" w:eastAsiaTheme="minorHAnsi" w:hAnsi="Franklin Gothic Book"/>
          <w:sz w:val="22"/>
          <w:szCs w:val="22"/>
          <w:lang w:eastAsia="en-US"/>
        </w:rPr>
      </w:pPr>
      <w:r w:rsidRPr="006F4EBA">
        <w:rPr>
          <w:rFonts w:ascii="Franklin Gothic Book" w:eastAsiaTheme="minorHAnsi" w:hAnsi="Franklin Gothic Book"/>
          <w:sz w:val="22"/>
          <w:szCs w:val="22"/>
          <w:lang w:eastAsia="en-US"/>
        </w:rPr>
        <w:t>reducing development of antimicrobial resistance because of more judicious prescribing</w:t>
      </w:r>
      <w:r>
        <w:rPr>
          <w:rFonts w:ascii="Franklin Gothic Book" w:eastAsiaTheme="minorHAnsi" w:hAnsi="Franklin Gothic Book"/>
          <w:sz w:val="22"/>
          <w:szCs w:val="22"/>
          <w:lang w:eastAsia="en-US"/>
        </w:rPr>
        <w:t xml:space="preserve"> of regimens with less toxicity</w:t>
      </w:r>
    </w:p>
    <w:p w14:paraId="7BFBC962" w14:textId="77777777" w:rsidR="00493F7D" w:rsidRPr="00BB2AAF" w:rsidRDefault="00493F7D" w:rsidP="00493F7D">
      <w:pPr>
        <w:pStyle w:val="Bullet"/>
        <w:rPr>
          <w:rFonts w:ascii="Franklin Gothic Book" w:eastAsiaTheme="minorHAnsi" w:hAnsi="Franklin Gothic Book"/>
          <w:sz w:val="22"/>
          <w:szCs w:val="22"/>
          <w:lang w:eastAsia="en-US"/>
        </w:rPr>
      </w:pPr>
      <w:r w:rsidRPr="00BB2AAF">
        <w:rPr>
          <w:rFonts w:ascii="Franklin Gothic Book" w:eastAsiaTheme="minorHAnsi" w:hAnsi="Franklin Gothic Book"/>
          <w:sz w:val="22"/>
          <w:szCs w:val="22"/>
          <w:lang w:eastAsia="en-US"/>
        </w:rPr>
        <w:t>outbreak investigation – WGS assists in controlling an outbreak (there is weak evidence regarding TB). Cluster testing will be important in this public health secondary use for WGS data on pathogen resistance</w:t>
      </w:r>
      <w:r>
        <w:rPr>
          <w:rFonts w:ascii="Franklin Gothic Book" w:eastAsiaTheme="minorHAnsi" w:hAnsi="Franklin Gothic Book"/>
          <w:sz w:val="22"/>
          <w:szCs w:val="22"/>
          <w:lang w:eastAsia="en-US"/>
        </w:rPr>
        <w:t xml:space="preserve">, along with </w:t>
      </w:r>
      <w:r w:rsidRPr="00BB2AAF">
        <w:rPr>
          <w:rFonts w:ascii="Franklin Gothic Book" w:eastAsiaTheme="minorHAnsi" w:hAnsi="Franklin Gothic Book"/>
          <w:sz w:val="22"/>
          <w:szCs w:val="22"/>
          <w:lang w:eastAsia="en-US"/>
        </w:rPr>
        <w:t xml:space="preserve">phylogenetic analysis </w:t>
      </w:r>
      <w:r>
        <w:rPr>
          <w:rFonts w:ascii="Franklin Gothic Book" w:eastAsiaTheme="minorHAnsi" w:hAnsi="Franklin Gothic Book"/>
          <w:sz w:val="22"/>
          <w:szCs w:val="22"/>
          <w:lang w:eastAsia="en-US"/>
        </w:rPr>
        <w:t>to establish</w:t>
      </w:r>
      <w:r w:rsidRPr="00BB2AAF">
        <w:rPr>
          <w:rFonts w:ascii="Franklin Gothic Book" w:eastAsiaTheme="minorHAnsi" w:hAnsi="Franklin Gothic Book"/>
          <w:sz w:val="22"/>
          <w:szCs w:val="22"/>
          <w:lang w:eastAsia="en-US"/>
        </w:rPr>
        <w:t xml:space="preserve"> transmission dynamics</w:t>
      </w:r>
    </w:p>
    <w:p w14:paraId="0569B93B" w14:textId="77777777" w:rsidR="00493F7D" w:rsidRPr="006F4EBA" w:rsidRDefault="00493F7D" w:rsidP="00493F7D">
      <w:pPr>
        <w:pStyle w:val="Bullet"/>
        <w:rPr>
          <w:rFonts w:ascii="Franklin Gothic Book" w:eastAsiaTheme="minorHAnsi" w:hAnsi="Franklin Gothic Book"/>
          <w:sz w:val="22"/>
          <w:szCs w:val="22"/>
          <w:lang w:eastAsia="en-US"/>
        </w:rPr>
      </w:pPr>
      <w:r>
        <w:rPr>
          <w:rFonts w:ascii="Franklin Gothic Book" w:eastAsiaTheme="minorHAnsi" w:hAnsi="Franklin Gothic Book"/>
          <w:sz w:val="22"/>
          <w:szCs w:val="22"/>
          <w:lang w:eastAsia="en-US"/>
        </w:rPr>
        <w:t>WGS</w:t>
      </w:r>
      <w:r w:rsidRPr="006F4EBA">
        <w:rPr>
          <w:rFonts w:ascii="Franklin Gothic Book" w:eastAsiaTheme="minorHAnsi" w:hAnsi="Franklin Gothic Book"/>
          <w:sz w:val="22"/>
          <w:szCs w:val="22"/>
          <w:lang w:eastAsia="en-US"/>
        </w:rPr>
        <w:t xml:space="preserve"> contributes to libraries</w:t>
      </w:r>
      <w:r>
        <w:rPr>
          <w:rFonts w:ascii="Franklin Gothic Book" w:eastAsiaTheme="minorHAnsi" w:hAnsi="Franklin Gothic Book"/>
          <w:sz w:val="22"/>
          <w:szCs w:val="22"/>
          <w:lang w:eastAsia="en-US"/>
        </w:rPr>
        <w:t xml:space="preserve"> of known resistance genetic variants. ESC considered contributing to genetic databases to be important as this will</w:t>
      </w:r>
      <w:r w:rsidRPr="006F4EBA">
        <w:rPr>
          <w:rFonts w:ascii="Franklin Gothic Book" w:eastAsiaTheme="minorHAnsi" w:hAnsi="Franklin Gothic Book"/>
          <w:sz w:val="22"/>
          <w:szCs w:val="22"/>
          <w:lang w:eastAsia="en-US"/>
        </w:rPr>
        <w:t xml:space="preserve"> improve</w:t>
      </w:r>
      <w:r>
        <w:rPr>
          <w:rFonts w:ascii="Franklin Gothic Book" w:eastAsiaTheme="minorHAnsi" w:hAnsi="Franklin Gothic Book"/>
          <w:sz w:val="22"/>
          <w:szCs w:val="22"/>
          <w:lang w:eastAsia="en-US"/>
        </w:rPr>
        <w:t xml:space="preserve"> WGS sensitivity</w:t>
      </w:r>
    </w:p>
    <w:p w14:paraId="43F3AD07" w14:textId="77777777" w:rsidR="00493F7D" w:rsidRPr="006F4EBA" w:rsidRDefault="00493F7D" w:rsidP="00493F7D">
      <w:pPr>
        <w:pStyle w:val="BulletLast"/>
        <w:rPr>
          <w:rFonts w:ascii="Franklin Gothic Book" w:eastAsiaTheme="minorHAnsi" w:hAnsi="Franklin Gothic Book"/>
          <w:sz w:val="22"/>
          <w:szCs w:val="22"/>
          <w:lang w:eastAsia="en-US"/>
        </w:rPr>
      </w:pPr>
      <w:r w:rsidRPr="006F4EBA">
        <w:rPr>
          <w:rFonts w:ascii="Franklin Gothic Book" w:eastAsiaTheme="minorHAnsi" w:hAnsi="Franklin Gothic Book"/>
          <w:sz w:val="22"/>
          <w:szCs w:val="22"/>
          <w:lang w:eastAsia="en-US"/>
        </w:rPr>
        <w:t>data exchange between national and international jurisdictions. There are important implications for national and international epidemiology regarding nosocomial infections and outbreaks.</w:t>
      </w:r>
    </w:p>
    <w:p w14:paraId="7641BFE7" w14:textId="77777777" w:rsidR="00493F7D" w:rsidRPr="00246B61" w:rsidRDefault="00493F7D" w:rsidP="00493F7D">
      <w:pPr>
        <w:spacing w:after="240"/>
        <w:rPr>
          <w:rFonts w:ascii="Franklin Gothic Book" w:hAnsi="Franklin Gothic Book"/>
          <w:iCs/>
          <w:sz w:val="22"/>
          <w:szCs w:val="22"/>
        </w:rPr>
      </w:pPr>
      <w:r w:rsidRPr="00246B61">
        <w:rPr>
          <w:rFonts w:ascii="Franklin Gothic Book" w:hAnsi="Franklin Gothic Book"/>
          <w:iCs/>
          <w:sz w:val="22"/>
          <w:szCs w:val="22"/>
        </w:rPr>
        <w:t xml:space="preserve">ESC </w:t>
      </w:r>
      <w:r>
        <w:rPr>
          <w:rFonts w:ascii="Franklin Gothic Book" w:hAnsi="Franklin Gothic Book"/>
          <w:iCs/>
          <w:sz w:val="22"/>
          <w:szCs w:val="22"/>
        </w:rPr>
        <w:t>considered the</w:t>
      </w:r>
      <w:r w:rsidRPr="00246B61">
        <w:rPr>
          <w:rFonts w:ascii="Franklin Gothic Book" w:hAnsi="Franklin Gothic Book"/>
          <w:iCs/>
          <w:sz w:val="22"/>
          <w:szCs w:val="22"/>
        </w:rPr>
        <w:t xml:space="preserve"> </w:t>
      </w:r>
      <w:r>
        <w:rPr>
          <w:rFonts w:ascii="Franklin Gothic Book" w:hAnsi="Franklin Gothic Book"/>
          <w:iCs/>
          <w:sz w:val="22"/>
          <w:szCs w:val="22"/>
        </w:rPr>
        <w:t xml:space="preserve">estimated </w:t>
      </w:r>
      <w:r w:rsidRPr="00246B61">
        <w:rPr>
          <w:rFonts w:ascii="Franklin Gothic Book" w:hAnsi="Franklin Gothic Book"/>
          <w:iCs/>
          <w:sz w:val="22"/>
          <w:szCs w:val="22"/>
        </w:rPr>
        <w:t>financial impact to MBS</w:t>
      </w:r>
      <w:r>
        <w:rPr>
          <w:rFonts w:ascii="Franklin Gothic Book" w:hAnsi="Franklin Gothic Book"/>
          <w:iCs/>
          <w:sz w:val="22"/>
          <w:szCs w:val="22"/>
        </w:rPr>
        <w:t xml:space="preserve"> to be small, at</w:t>
      </w:r>
      <w:r w:rsidRPr="00246B61">
        <w:rPr>
          <w:rFonts w:ascii="Franklin Gothic Book" w:hAnsi="Franklin Gothic Book"/>
          <w:iCs/>
          <w:sz w:val="22"/>
          <w:szCs w:val="22"/>
        </w:rPr>
        <w:t xml:space="preserve"> $158,</w:t>
      </w:r>
      <w:r>
        <w:rPr>
          <w:rFonts w:ascii="Franklin Gothic Book" w:hAnsi="Franklin Gothic Book"/>
          <w:iCs/>
          <w:sz w:val="22"/>
          <w:szCs w:val="22"/>
        </w:rPr>
        <w:t>886</w:t>
      </w:r>
      <w:r w:rsidRPr="00246B61">
        <w:rPr>
          <w:rFonts w:ascii="Franklin Gothic Book" w:hAnsi="Franklin Gothic Book"/>
          <w:iCs/>
          <w:sz w:val="22"/>
          <w:szCs w:val="22"/>
        </w:rPr>
        <w:t xml:space="preserve"> in year 1 and $170,</w:t>
      </w:r>
      <w:r>
        <w:rPr>
          <w:rFonts w:ascii="Franklin Gothic Book" w:hAnsi="Franklin Gothic Book"/>
          <w:iCs/>
          <w:sz w:val="22"/>
          <w:szCs w:val="22"/>
        </w:rPr>
        <w:t>97</w:t>
      </w:r>
      <w:r w:rsidRPr="00246B61">
        <w:rPr>
          <w:rFonts w:ascii="Franklin Gothic Book" w:hAnsi="Franklin Gothic Book"/>
          <w:iCs/>
          <w:sz w:val="22"/>
          <w:szCs w:val="22"/>
        </w:rPr>
        <w:t xml:space="preserve">0 in year 5. </w:t>
      </w:r>
      <w:r>
        <w:rPr>
          <w:rFonts w:ascii="Franklin Gothic Book" w:hAnsi="Franklin Gothic Book"/>
          <w:iCs/>
          <w:sz w:val="22"/>
          <w:szCs w:val="22"/>
        </w:rPr>
        <w:t>ESC noted</w:t>
      </w:r>
      <w:r w:rsidRPr="00246B61">
        <w:rPr>
          <w:rFonts w:ascii="Franklin Gothic Book" w:hAnsi="Franklin Gothic Book"/>
          <w:iCs/>
          <w:sz w:val="22"/>
          <w:szCs w:val="22"/>
        </w:rPr>
        <w:t xml:space="preserve"> the sensitivity analysis showed </w:t>
      </w:r>
      <w:r>
        <w:rPr>
          <w:rFonts w:ascii="Franklin Gothic Book" w:hAnsi="Franklin Gothic Book"/>
          <w:iCs/>
          <w:sz w:val="22"/>
          <w:szCs w:val="22"/>
        </w:rPr>
        <w:t>the cost-effectiveness was</w:t>
      </w:r>
      <w:r w:rsidRPr="00246B61">
        <w:rPr>
          <w:rFonts w:ascii="Franklin Gothic Book" w:hAnsi="Franklin Gothic Book"/>
          <w:iCs/>
          <w:sz w:val="22"/>
          <w:szCs w:val="22"/>
        </w:rPr>
        <w:t xml:space="preserve"> most </w:t>
      </w:r>
      <w:r>
        <w:rPr>
          <w:rFonts w:ascii="Franklin Gothic Book" w:hAnsi="Franklin Gothic Book"/>
          <w:iCs/>
          <w:sz w:val="22"/>
          <w:szCs w:val="22"/>
        </w:rPr>
        <w:t>sensitive to</w:t>
      </w:r>
      <w:r w:rsidRPr="00246B61">
        <w:rPr>
          <w:rFonts w:ascii="Franklin Gothic Book" w:hAnsi="Franklin Gothic Book"/>
          <w:iCs/>
          <w:sz w:val="22"/>
          <w:szCs w:val="22"/>
        </w:rPr>
        <w:t xml:space="preserve"> the </w:t>
      </w:r>
      <w:r>
        <w:rPr>
          <w:rFonts w:ascii="Franklin Gothic Book" w:hAnsi="Franklin Gothic Book"/>
          <w:iCs/>
          <w:sz w:val="22"/>
          <w:szCs w:val="22"/>
        </w:rPr>
        <w:t>fee for</w:t>
      </w:r>
      <w:r w:rsidRPr="00246B61">
        <w:rPr>
          <w:rFonts w:ascii="Franklin Gothic Book" w:hAnsi="Franklin Gothic Book"/>
          <w:iCs/>
          <w:sz w:val="22"/>
          <w:szCs w:val="22"/>
        </w:rPr>
        <w:t xml:space="preserve"> WGS, which</w:t>
      </w:r>
      <w:r>
        <w:rPr>
          <w:rFonts w:ascii="Franklin Gothic Book" w:hAnsi="Franklin Gothic Book"/>
          <w:iCs/>
          <w:sz w:val="22"/>
          <w:szCs w:val="22"/>
        </w:rPr>
        <w:t xml:space="preserve"> it considered </w:t>
      </w:r>
      <w:r w:rsidRPr="00246B61">
        <w:rPr>
          <w:rFonts w:ascii="Franklin Gothic Book" w:hAnsi="Franklin Gothic Book"/>
          <w:iCs/>
          <w:sz w:val="22"/>
          <w:szCs w:val="22"/>
        </w:rPr>
        <w:t xml:space="preserve">may be too low. The </w:t>
      </w:r>
      <w:r>
        <w:rPr>
          <w:rFonts w:ascii="Franklin Gothic Book" w:hAnsi="Franklin Gothic Book"/>
          <w:iCs/>
          <w:sz w:val="22"/>
          <w:szCs w:val="22"/>
        </w:rPr>
        <w:t>DCAR</w:t>
      </w:r>
      <w:r w:rsidRPr="00246B61">
        <w:rPr>
          <w:rFonts w:ascii="Franklin Gothic Book" w:hAnsi="Franklin Gothic Book"/>
          <w:iCs/>
          <w:sz w:val="22"/>
          <w:szCs w:val="22"/>
        </w:rPr>
        <w:t xml:space="preserve"> also reported savings to the Pharmaceutical Benefits Scheme (PBS) for drugs, and hospital savings </w:t>
      </w:r>
      <w:r>
        <w:rPr>
          <w:rFonts w:ascii="Franklin Gothic Book" w:hAnsi="Franklin Gothic Book"/>
          <w:iCs/>
          <w:sz w:val="22"/>
          <w:szCs w:val="22"/>
        </w:rPr>
        <w:t>from reduced</w:t>
      </w:r>
      <w:r w:rsidRPr="00246B61">
        <w:rPr>
          <w:rFonts w:ascii="Franklin Gothic Book" w:hAnsi="Franklin Gothic Book"/>
          <w:iCs/>
          <w:sz w:val="22"/>
          <w:szCs w:val="22"/>
        </w:rPr>
        <w:t xml:space="preserve"> </w:t>
      </w:r>
      <w:r>
        <w:rPr>
          <w:rFonts w:ascii="Franklin Gothic Book" w:hAnsi="Franklin Gothic Book"/>
          <w:iCs/>
          <w:sz w:val="22"/>
          <w:szCs w:val="22"/>
        </w:rPr>
        <w:t>duration of</w:t>
      </w:r>
      <w:r w:rsidRPr="00246B61">
        <w:rPr>
          <w:rFonts w:ascii="Franklin Gothic Book" w:hAnsi="Franklin Gothic Book"/>
          <w:iCs/>
          <w:sz w:val="22"/>
          <w:szCs w:val="22"/>
        </w:rPr>
        <w:t xml:space="preserve"> isolation. ESC considered </w:t>
      </w:r>
      <w:r>
        <w:rPr>
          <w:rFonts w:ascii="Franklin Gothic Book" w:hAnsi="Franklin Gothic Book"/>
          <w:iCs/>
          <w:sz w:val="22"/>
          <w:szCs w:val="22"/>
        </w:rPr>
        <w:t xml:space="preserve">other MTBC species may be included in some estimates, but </w:t>
      </w:r>
      <w:r w:rsidRPr="00246B61">
        <w:rPr>
          <w:rFonts w:ascii="Franklin Gothic Book" w:hAnsi="Franklin Gothic Book"/>
          <w:iCs/>
          <w:sz w:val="22"/>
          <w:szCs w:val="22"/>
        </w:rPr>
        <w:t>that hospitalisations are unlikely to affect the overall cost substantially.</w:t>
      </w:r>
      <w:r>
        <w:rPr>
          <w:rFonts w:ascii="Franklin Gothic Book" w:hAnsi="Franklin Gothic Book"/>
          <w:iCs/>
          <w:sz w:val="22"/>
          <w:szCs w:val="22"/>
        </w:rPr>
        <w:t xml:space="preserve"> ESC considered that as TB is a notifiable disease, data on incidence in Australia are likely to be robust.</w:t>
      </w:r>
    </w:p>
    <w:p w14:paraId="42F6656A" w14:textId="6DB9A8F4" w:rsidR="009E6309" w:rsidRDefault="009E6309" w:rsidP="00E06036">
      <w:pPr>
        <w:pStyle w:val="Heading1"/>
      </w:pPr>
      <w:r>
        <w:lastRenderedPageBreak/>
        <w:t>Applicant comments on MSAC’s Public Summary Document</w:t>
      </w:r>
    </w:p>
    <w:p w14:paraId="019D6AE1" w14:textId="52E08A30" w:rsidR="009E6309" w:rsidRPr="00FD5573" w:rsidRDefault="00FD5573" w:rsidP="009E6309">
      <w:pPr>
        <w:spacing w:after="240"/>
        <w:rPr>
          <w:rFonts w:ascii="Franklin Gothic Book" w:hAnsi="Franklin Gothic Book"/>
          <w:iCs/>
          <w:sz w:val="22"/>
          <w:szCs w:val="22"/>
        </w:rPr>
      </w:pPr>
      <w:r w:rsidRPr="00FD5573">
        <w:rPr>
          <w:rFonts w:ascii="Franklin Gothic Book" w:hAnsi="Franklin Gothic Book"/>
          <w:iCs/>
          <w:sz w:val="22"/>
          <w:szCs w:val="22"/>
        </w:rPr>
        <w:t xml:space="preserve">The </w:t>
      </w:r>
      <w:r>
        <w:rPr>
          <w:rFonts w:ascii="Franklin Gothic Book" w:hAnsi="Franklin Gothic Book"/>
          <w:iCs/>
          <w:sz w:val="22"/>
          <w:szCs w:val="22"/>
        </w:rPr>
        <w:t>applicant</w:t>
      </w:r>
      <w:r w:rsidRPr="00FD5573">
        <w:rPr>
          <w:rFonts w:ascii="Franklin Gothic Book" w:hAnsi="Franklin Gothic Book"/>
          <w:iCs/>
          <w:sz w:val="22"/>
          <w:szCs w:val="22"/>
        </w:rPr>
        <w:t xml:space="preserve"> would like to express their delight in MSAC approving public funding for WGS, and would like to take this opportunity to thank the Department for its assistance throughout the assessment process for this complicated application. </w:t>
      </w:r>
    </w:p>
    <w:p w14:paraId="0F19E546" w14:textId="3C2C997C" w:rsidR="009E6309" w:rsidRDefault="009E6309" w:rsidP="00E06036">
      <w:pPr>
        <w:pStyle w:val="Heading1"/>
      </w:pPr>
      <w:r>
        <w:t>Further information on MSAC</w:t>
      </w:r>
    </w:p>
    <w:p w14:paraId="398061C4" w14:textId="593214E8" w:rsidR="003B02B8" w:rsidRPr="00014C23" w:rsidRDefault="009E6309" w:rsidP="00014C23">
      <w:pPr>
        <w:pStyle w:val="TableFigureFooter"/>
        <w:spacing w:after="600"/>
        <w:rPr>
          <w:rFonts w:ascii="Franklin Gothic Book" w:hAnsi="Franklin Gothic Book"/>
          <w:sz w:val="22"/>
        </w:rPr>
      </w:pPr>
      <w:r w:rsidRPr="009E6309">
        <w:rPr>
          <w:rFonts w:ascii="Franklin Gothic Book" w:hAnsi="Franklin Gothic Book"/>
          <w:sz w:val="22"/>
        </w:rPr>
        <w:t xml:space="preserve">MSAC Terms of Reference and other information are available on the MSAC Website: </w:t>
      </w:r>
      <w:hyperlink r:id="rId9" w:tooltip="Link to the MSAC website" w:history="1">
        <w:r w:rsidRPr="009E6309">
          <w:rPr>
            <w:rStyle w:val="Hyperlink"/>
            <w:rFonts w:ascii="Franklin Gothic Book" w:hAnsi="Franklin Gothic Book"/>
            <w:sz w:val="22"/>
          </w:rPr>
          <w:t>visit the MSAC website</w:t>
        </w:r>
      </w:hyperlink>
    </w:p>
    <w:sectPr w:rsidR="003B02B8" w:rsidRPr="00014C23" w:rsidSect="00342F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41A29" w14:textId="77777777" w:rsidR="0000343A" w:rsidRDefault="0000343A" w:rsidP="00065623">
      <w:r>
        <w:separator/>
      </w:r>
    </w:p>
    <w:p w14:paraId="4CEC63C5" w14:textId="77777777" w:rsidR="0000343A" w:rsidRDefault="0000343A"/>
    <w:p w14:paraId="23BC6458" w14:textId="77777777" w:rsidR="0000343A" w:rsidRDefault="0000343A" w:rsidP="006F4EBA"/>
  </w:endnote>
  <w:endnote w:type="continuationSeparator" w:id="0">
    <w:p w14:paraId="0F401C32" w14:textId="77777777" w:rsidR="0000343A" w:rsidRDefault="0000343A" w:rsidP="00065623">
      <w:r>
        <w:continuationSeparator/>
      </w:r>
    </w:p>
    <w:p w14:paraId="29867159" w14:textId="77777777" w:rsidR="0000343A" w:rsidRDefault="0000343A"/>
    <w:p w14:paraId="25B72C3D" w14:textId="77777777" w:rsidR="0000343A" w:rsidRDefault="0000343A" w:rsidP="006F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E061A" w14:textId="77777777" w:rsidR="00117288" w:rsidRDefault="00117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rFonts w:ascii="Franklin Gothic Book" w:hAnsi="Franklin Gothic Book"/>
        <w:noProof/>
      </w:rPr>
    </w:sdtEndPr>
    <w:sdtContent>
      <w:p w14:paraId="38173A0F" w14:textId="68CFD08E" w:rsidR="0000343A" w:rsidRPr="00493F7D" w:rsidRDefault="0000343A" w:rsidP="00493F7D">
        <w:pPr>
          <w:pStyle w:val="Footer"/>
          <w:jc w:val="right"/>
          <w:rPr>
            <w:rFonts w:ascii="Franklin Gothic Book" w:hAnsi="Franklin Gothic Book"/>
          </w:rPr>
        </w:pPr>
        <w:r w:rsidRPr="00071D98">
          <w:rPr>
            <w:rFonts w:ascii="Franklin Gothic Book" w:hAnsi="Franklin Gothic Book"/>
          </w:rPr>
          <w:fldChar w:fldCharType="begin"/>
        </w:r>
        <w:r w:rsidRPr="00071D98">
          <w:rPr>
            <w:rFonts w:ascii="Franklin Gothic Book" w:hAnsi="Franklin Gothic Book"/>
          </w:rPr>
          <w:instrText xml:space="preserve"> PAGE   \* MERGEFORMAT </w:instrText>
        </w:r>
        <w:r w:rsidRPr="00071D98">
          <w:rPr>
            <w:rFonts w:ascii="Franklin Gothic Book" w:hAnsi="Franklin Gothic Book"/>
          </w:rPr>
          <w:fldChar w:fldCharType="separate"/>
        </w:r>
        <w:r w:rsidRPr="00071D98">
          <w:rPr>
            <w:rFonts w:ascii="Franklin Gothic Book" w:hAnsi="Franklin Gothic Book"/>
            <w:noProof/>
          </w:rPr>
          <w:t>1</w:t>
        </w:r>
        <w:r w:rsidRPr="00071D98">
          <w:rPr>
            <w:rFonts w:ascii="Franklin Gothic Book" w:hAnsi="Franklin Gothic Book"/>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BD82" w14:textId="77777777" w:rsidR="00117288" w:rsidRDefault="0011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C4D44" w14:textId="77777777" w:rsidR="0000343A" w:rsidRDefault="0000343A" w:rsidP="00065623">
      <w:r>
        <w:separator/>
      </w:r>
    </w:p>
    <w:p w14:paraId="6EBCEE7C" w14:textId="77777777" w:rsidR="0000343A" w:rsidRDefault="0000343A"/>
    <w:p w14:paraId="61160182" w14:textId="77777777" w:rsidR="0000343A" w:rsidRDefault="0000343A" w:rsidP="006F4EBA"/>
  </w:footnote>
  <w:footnote w:type="continuationSeparator" w:id="0">
    <w:p w14:paraId="7B72BC34" w14:textId="77777777" w:rsidR="0000343A" w:rsidRDefault="0000343A" w:rsidP="00065623">
      <w:r>
        <w:continuationSeparator/>
      </w:r>
    </w:p>
    <w:p w14:paraId="7BAB2361" w14:textId="77777777" w:rsidR="0000343A" w:rsidRDefault="0000343A"/>
    <w:p w14:paraId="6F793041" w14:textId="77777777" w:rsidR="0000343A" w:rsidRDefault="0000343A" w:rsidP="006F4EBA"/>
  </w:footnote>
  <w:footnote w:id="1">
    <w:p w14:paraId="4C6DC226" w14:textId="77777777" w:rsidR="0000343A" w:rsidRPr="008D1C4A" w:rsidRDefault="0000343A" w:rsidP="003869F4">
      <w:pPr>
        <w:pStyle w:val="FootnoteText"/>
        <w:rPr>
          <w:rFonts w:ascii="Franklin Gothic Book" w:hAnsi="Franklin Gothic Book"/>
        </w:rPr>
      </w:pPr>
      <w:r w:rsidRPr="008D1C4A">
        <w:rPr>
          <w:rStyle w:val="FootnoteReference"/>
          <w:rFonts w:ascii="Franklin Gothic Book" w:hAnsi="Franklin Gothic Book"/>
        </w:rPr>
        <w:footnoteRef/>
      </w:r>
      <w:r w:rsidRPr="008D1C4A">
        <w:rPr>
          <w:rFonts w:ascii="Franklin Gothic Book" w:hAnsi="Franklin Gothic Book"/>
        </w:rPr>
        <w:t xml:space="preserve"> </w:t>
      </w:r>
      <w:r w:rsidRPr="008D1C4A">
        <w:rPr>
          <w:rFonts w:ascii="Franklin Gothic Book" w:hAnsi="Franklin Gothic Book"/>
        </w:rPr>
        <w:fldChar w:fldCharType="begin"/>
      </w:r>
      <w:r w:rsidRPr="008D1C4A">
        <w:rPr>
          <w:rFonts w:ascii="Franklin Gothic Book" w:hAnsi="Franklin Gothic Book"/>
        </w:rPr>
        <w:instrText xml:space="preserve"> ADDIN EN.CITE &lt;EndNote&gt;&lt;Cite&gt;&lt;Author&gt;Health Protection Policy Branch.&lt;/Author&gt;&lt;Year&gt;2019&lt;/Year&gt;&lt;RecNum&gt;12&lt;/RecNum&gt;&lt;DisplayText&gt;(Health Protection Policy Branch. 2019)&lt;/DisplayText&gt;&lt;record&gt;&lt;rec-number&gt;12&lt;/rec-number&gt;&lt;foreign-keys&gt;&lt;key app="EN" db-id="vdf9px0aurs9vmexfr1xweabwwwr5tevreas" timestamp="1615528277" guid="4ecd1e23-9852-4ee2-811f-358cbd84200a"&gt;12&lt;/key&gt;&lt;/foreign-keys&gt;&lt;ref-type name="Government Document"&gt;46&lt;/ref-type&gt;&lt;contributors&gt;&lt;authors&gt;&lt;author&gt;Health Protection Policy Branch.,&lt;/author&gt;&lt;/authors&gt;&lt;secondary-authors&gt;&lt;author&gt;Department of Health&lt;/author&gt;&lt;/secondary-authors&gt;&lt;/contributors&gt;&lt;titles&gt;&lt;title&gt;Australia&amp;apos;s notifiable disease status, 2015: Annual report of the National Notifiable Diseases Surveillance System.&lt;/title&gt;&lt;/titles&gt;&lt;dates&gt;&lt;year&gt;2019&lt;/year&gt;&lt;/dates&gt;&lt;pub-location&gt;Canberra&lt;/pub-location&gt;&lt;urls&gt;&lt;related-urls&gt;&lt;url&gt;https://www1.health.gov.au/internet/main/publishing.nsf/Content/cda-pubs-annlrpt-nndssar.htm&lt;/url&gt;&lt;/related-urls&gt;&lt;/urls&gt;&lt;/record&gt;&lt;/Cite&gt;&lt;/EndNote&gt;</w:instrText>
      </w:r>
      <w:r w:rsidRPr="008D1C4A">
        <w:rPr>
          <w:rFonts w:ascii="Franklin Gothic Book" w:hAnsi="Franklin Gothic Book"/>
        </w:rPr>
        <w:fldChar w:fldCharType="separate"/>
      </w:r>
      <w:r w:rsidRPr="008D1C4A">
        <w:rPr>
          <w:rFonts w:ascii="Franklin Gothic Book" w:hAnsi="Franklin Gothic Book"/>
          <w:noProof/>
        </w:rPr>
        <w:t>(Health Protection Policy Branch. 2019)</w:t>
      </w:r>
      <w:r w:rsidRPr="008D1C4A">
        <w:rPr>
          <w:rFonts w:ascii="Franklin Gothic Book" w:hAnsi="Franklin Gothic Book"/>
        </w:rPr>
        <w:fldChar w:fldCharType="end"/>
      </w:r>
    </w:p>
  </w:footnote>
  <w:footnote w:id="2">
    <w:p w14:paraId="29BE165B" w14:textId="77777777" w:rsidR="0000343A" w:rsidRPr="008D1C4A" w:rsidRDefault="0000343A" w:rsidP="003869F4">
      <w:pPr>
        <w:pStyle w:val="FootnoteText"/>
        <w:rPr>
          <w:rFonts w:ascii="Franklin Gothic Book" w:hAnsi="Franklin Gothic Book"/>
          <w:lang w:val="en-US"/>
        </w:rPr>
      </w:pPr>
      <w:r w:rsidRPr="008D1C4A">
        <w:rPr>
          <w:rStyle w:val="FootnoteReference"/>
          <w:rFonts w:ascii="Franklin Gothic Book" w:hAnsi="Franklin Gothic Book"/>
        </w:rPr>
        <w:footnoteRef/>
      </w:r>
      <w:r w:rsidRPr="008D1C4A">
        <w:rPr>
          <w:rFonts w:ascii="Franklin Gothic Book" w:hAnsi="Franklin Gothic Book"/>
        </w:rPr>
        <w:t xml:space="preserve">  </w:t>
      </w:r>
      <w:r w:rsidRPr="008D1C4A">
        <w:rPr>
          <w:rFonts w:ascii="Franklin Gothic Book" w:hAnsi="Franklin Gothic Book"/>
          <w:lang w:val="en-US"/>
        </w:rPr>
        <w:t xml:space="preserve">Haverkort, F (2003), 'National atypical mycobacteria survey, 2000', </w:t>
      </w:r>
      <w:r w:rsidRPr="008D1C4A">
        <w:rPr>
          <w:rFonts w:ascii="Franklin Gothic Book" w:hAnsi="Franklin Gothic Book"/>
          <w:i/>
          <w:lang w:val="en-US"/>
        </w:rPr>
        <w:t>Clin Infect Dis</w:t>
      </w:r>
      <w:r w:rsidRPr="008D1C4A">
        <w:rPr>
          <w:rFonts w:ascii="Franklin Gothic Book" w:hAnsi="Franklin Gothic Book"/>
          <w:lang w:val="en-US"/>
        </w:rPr>
        <w:t xml:space="preserve">, </w:t>
      </w:r>
      <w:r w:rsidRPr="008D1C4A">
        <w:rPr>
          <w:rFonts w:ascii="Franklin Gothic Book" w:hAnsi="Franklin Gothic Book"/>
          <w:b/>
          <w:bCs/>
          <w:lang w:val="en-US"/>
        </w:rPr>
        <w:t>27</w:t>
      </w:r>
      <w:r w:rsidRPr="008D1C4A">
        <w:rPr>
          <w:rFonts w:ascii="Franklin Gothic Book" w:hAnsi="Franklin Gothic Book"/>
          <w:lang w:val="en-US"/>
        </w:rPr>
        <w:t>(2): 180-189.</w:t>
      </w:r>
    </w:p>
  </w:footnote>
  <w:footnote w:id="3">
    <w:p w14:paraId="29A5D650" w14:textId="77777777" w:rsidR="0000343A" w:rsidRPr="008D1C4A" w:rsidRDefault="0000343A" w:rsidP="009F0065">
      <w:pPr>
        <w:pStyle w:val="FootnoteText"/>
        <w:rPr>
          <w:rFonts w:ascii="Franklin Gothic Book" w:hAnsi="Franklin Gothic Book"/>
        </w:rPr>
      </w:pPr>
      <w:r w:rsidRPr="008D1C4A">
        <w:rPr>
          <w:rStyle w:val="FootnoteReference"/>
          <w:rFonts w:ascii="Franklin Gothic Book" w:hAnsi="Franklin Gothic Book"/>
        </w:rPr>
        <w:footnoteRef/>
      </w:r>
      <w:r w:rsidRPr="008D1C4A">
        <w:rPr>
          <w:rFonts w:ascii="Franklin Gothic Book" w:hAnsi="Franklin Gothic Book"/>
        </w:rPr>
        <w:t xml:space="preserve"> Lam et al. (2021). Value of routine whole genome sequencing for </w:t>
      </w:r>
      <w:r w:rsidRPr="008C01F4">
        <w:rPr>
          <w:rFonts w:ascii="Franklin Gothic Book" w:hAnsi="Franklin Gothic Book"/>
          <w:i/>
          <w:iCs/>
        </w:rPr>
        <w:t>Mycobacterium tuberculosis</w:t>
      </w:r>
      <w:r w:rsidRPr="008D1C4A">
        <w:rPr>
          <w:rFonts w:ascii="Franklin Gothic Book" w:hAnsi="Franklin Gothic Book"/>
        </w:rPr>
        <w:t xml:space="preserve"> drug resistance detection. </w:t>
      </w:r>
      <w:r w:rsidRPr="008D1C4A">
        <w:rPr>
          <w:rFonts w:ascii="Franklin Gothic Book" w:hAnsi="Franklin Gothic Book"/>
          <w:i/>
          <w:iCs/>
        </w:rPr>
        <w:t>International Journal of Infectious Disease</w:t>
      </w:r>
      <w:r w:rsidRPr="008D1C4A">
        <w:rPr>
          <w:rFonts w:ascii="Franklin Gothic Book" w:hAnsi="Franklin Gothic Book"/>
        </w:rPr>
        <w:t xml:space="preserve">, </w:t>
      </w:r>
      <w:r w:rsidRPr="008D1C4A">
        <w:rPr>
          <w:rFonts w:ascii="Franklin Gothic Book" w:hAnsi="Franklin Gothic Book"/>
          <w:b/>
          <w:bCs/>
        </w:rPr>
        <w:t>113</w:t>
      </w:r>
      <w:r w:rsidRPr="008D1C4A">
        <w:rPr>
          <w:rFonts w:ascii="Franklin Gothic Book" w:hAnsi="Franklin Gothic Book"/>
        </w:rPr>
        <w:t>: S48-S54.</w:t>
      </w:r>
    </w:p>
  </w:footnote>
  <w:footnote w:id="4">
    <w:p w14:paraId="51E4B7D6" w14:textId="450E0C71" w:rsidR="0000343A" w:rsidRPr="008C01F4" w:rsidRDefault="0000343A">
      <w:pPr>
        <w:pStyle w:val="FootnoteText"/>
        <w:rPr>
          <w:rFonts w:ascii="Franklin Gothic Book" w:hAnsi="Franklin Gothic Book"/>
        </w:rPr>
      </w:pPr>
      <w:r w:rsidRPr="008C01F4">
        <w:rPr>
          <w:rStyle w:val="FootnoteReference"/>
          <w:rFonts w:ascii="Franklin Gothic Book" w:hAnsi="Franklin Gothic Book"/>
        </w:rPr>
        <w:footnoteRef/>
      </w:r>
      <w:r w:rsidRPr="008C01F4">
        <w:rPr>
          <w:rFonts w:ascii="Franklin Gothic Book" w:hAnsi="Franklin Gothic Book"/>
        </w:rPr>
        <w:t xml:space="preserve"> Jajou</w:t>
      </w:r>
      <w:r>
        <w:rPr>
          <w:rFonts w:ascii="Franklin Gothic Book" w:hAnsi="Franklin Gothic Book"/>
        </w:rPr>
        <w:t xml:space="preserve"> et al. (</w:t>
      </w:r>
      <w:r w:rsidRPr="008C01F4">
        <w:rPr>
          <w:rFonts w:ascii="Franklin Gothic Book" w:hAnsi="Franklin Gothic Book"/>
        </w:rPr>
        <w:t>2019</w:t>
      </w:r>
      <w:r>
        <w:rPr>
          <w:rFonts w:ascii="Franklin Gothic Book" w:hAnsi="Franklin Gothic Book"/>
        </w:rPr>
        <w:t>).</w:t>
      </w:r>
      <w:r w:rsidRPr="008C01F4">
        <w:rPr>
          <w:rFonts w:ascii="Franklin Gothic Book" w:hAnsi="Franklin Gothic Book"/>
        </w:rPr>
        <w:t xml:space="preserve"> WGS more accurately predicts susceptibility of </w:t>
      </w:r>
      <w:r w:rsidRPr="008C01F4">
        <w:rPr>
          <w:rFonts w:ascii="Franklin Gothic Book" w:hAnsi="Franklin Gothic Book"/>
          <w:i/>
          <w:iCs/>
        </w:rPr>
        <w:t>Mycobacterium tuberculosis</w:t>
      </w:r>
      <w:r w:rsidRPr="008C01F4">
        <w:rPr>
          <w:rFonts w:ascii="Franklin Gothic Book" w:hAnsi="Franklin Gothic Book"/>
        </w:rPr>
        <w:t xml:space="preserve"> to first-line drugs than phenotypic testing, </w:t>
      </w:r>
      <w:r w:rsidRPr="008C01F4">
        <w:rPr>
          <w:rFonts w:ascii="Franklin Gothic Book" w:hAnsi="Franklin Gothic Book"/>
          <w:i/>
          <w:iCs/>
        </w:rPr>
        <w:t>Journal of Antimicrobial Chemotherapy</w:t>
      </w:r>
      <w:r w:rsidRPr="008C01F4">
        <w:rPr>
          <w:rFonts w:ascii="Franklin Gothic Book" w:hAnsi="Franklin Gothic Book"/>
        </w:rPr>
        <w:t>,</w:t>
      </w:r>
      <w:r w:rsidRPr="008C01F4">
        <w:rPr>
          <w:rFonts w:ascii="Franklin Gothic Book" w:hAnsi="Franklin Gothic Book"/>
          <w:b/>
          <w:bCs/>
        </w:rPr>
        <w:t>74</w:t>
      </w:r>
      <w:r>
        <w:rPr>
          <w:rFonts w:ascii="Franklin Gothic Book" w:hAnsi="Franklin Gothic Book"/>
        </w:rPr>
        <w:t>(</w:t>
      </w:r>
      <w:r w:rsidRPr="008C01F4">
        <w:rPr>
          <w:rFonts w:ascii="Franklin Gothic Book" w:hAnsi="Franklin Gothic Book"/>
        </w:rPr>
        <w:t>9</w:t>
      </w:r>
      <w:r>
        <w:rPr>
          <w:rFonts w:ascii="Franklin Gothic Book" w:hAnsi="Franklin Gothic Book"/>
        </w:rPr>
        <w:t xml:space="preserve">): </w:t>
      </w:r>
      <w:r w:rsidRPr="008C01F4">
        <w:rPr>
          <w:rFonts w:ascii="Franklin Gothic Book" w:hAnsi="Franklin Gothic Book"/>
        </w:rPr>
        <w:t>2605-2616.</w:t>
      </w:r>
    </w:p>
  </w:footnote>
  <w:footnote w:id="5">
    <w:p w14:paraId="3646F7F0" w14:textId="77777777" w:rsidR="0000343A" w:rsidRPr="008D1C4A" w:rsidRDefault="0000343A" w:rsidP="009F0065">
      <w:pPr>
        <w:pStyle w:val="FootnoteText"/>
        <w:rPr>
          <w:rFonts w:ascii="Franklin Gothic Book" w:hAnsi="Franklin Gothic Book"/>
        </w:rPr>
      </w:pPr>
      <w:r w:rsidRPr="008C01F4">
        <w:rPr>
          <w:rStyle w:val="FootnoteReference"/>
          <w:rFonts w:ascii="Franklin Gothic Book" w:hAnsi="Franklin Gothic Book"/>
        </w:rPr>
        <w:footnoteRef/>
      </w:r>
      <w:r w:rsidRPr="008C01F4">
        <w:rPr>
          <w:rFonts w:ascii="Franklin Gothic Book" w:hAnsi="Franklin Gothic Book"/>
        </w:rPr>
        <w:t xml:space="preserve"> Personal communication via teleconference with Ms Lisa Shephard (SA Pathology) and Maria Globan</w:t>
      </w:r>
      <w:r w:rsidRPr="008D1C4A">
        <w:rPr>
          <w:rFonts w:ascii="Franklin Gothic Book" w:hAnsi="Franklin Gothic Book"/>
        </w:rPr>
        <w:t xml:space="preserve"> (Victorian Infectious Diseases Reference Laboratory) on 14</w:t>
      </w:r>
      <w:r w:rsidRPr="008D1C4A">
        <w:rPr>
          <w:rFonts w:ascii="Franklin Gothic Book" w:hAnsi="Franklin Gothic Book"/>
          <w:vertAlign w:val="superscript"/>
        </w:rPr>
        <w:t>th</w:t>
      </w:r>
      <w:r w:rsidRPr="008D1C4A">
        <w:rPr>
          <w:rFonts w:ascii="Franklin Gothic Book" w:hAnsi="Franklin Gothic Book"/>
        </w:rPr>
        <w:t xml:space="preserve"> September 2021.</w:t>
      </w:r>
    </w:p>
  </w:footnote>
  <w:footnote w:id="6">
    <w:p w14:paraId="5BA274DF" w14:textId="77777777" w:rsidR="0000343A" w:rsidRPr="008D1C4A" w:rsidRDefault="0000343A" w:rsidP="009F0065">
      <w:pPr>
        <w:pStyle w:val="FootnoteText"/>
        <w:rPr>
          <w:rFonts w:ascii="Franklin Gothic Book" w:hAnsi="Franklin Gothic Book"/>
        </w:rPr>
      </w:pPr>
      <w:r w:rsidRPr="008D1C4A">
        <w:rPr>
          <w:rStyle w:val="FootnoteReference"/>
          <w:rFonts w:ascii="Franklin Gothic Book" w:hAnsi="Franklin Gothic Book"/>
        </w:rPr>
        <w:footnoteRef/>
      </w:r>
      <w:r w:rsidRPr="008D1C4A">
        <w:rPr>
          <w:rFonts w:ascii="Franklin Gothic Book" w:hAnsi="Franklin Gothic Book"/>
        </w:rPr>
        <w:t xml:space="preserve"> Based on data from Jajou et al 2019, who reported that 57 isolates had 63 discrepancies in their MGIT and WGS results (5 discrepant for multiple drugs and 52 isolates for one drug)</w:t>
      </w:r>
    </w:p>
  </w:footnote>
  <w:footnote w:id="7">
    <w:p w14:paraId="697CF704" w14:textId="37DF2697" w:rsidR="0000343A" w:rsidRPr="00537A41" w:rsidRDefault="0000343A">
      <w:pPr>
        <w:pStyle w:val="FootnoteText"/>
        <w:rPr>
          <w:rFonts w:ascii="Franklin Gothic Book" w:hAnsi="Franklin Gothic Book"/>
        </w:rPr>
      </w:pPr>
      <w:r w:rsidRPr="00537A41">
        <w:rPr>
          <w:rStyle w:val="FootnoteReference"/>
          <w:rFonts w:ascii="Franklin Gothic Book" w:hAnsi="Franklin Gothic Book"/>
        </w:rPr>
        <w:footnoteRef/>
      </w:r>
      <w:r w:rsidRPr="00537A41">
        <w:rPr>
          <w:rFonts w:ascii="Franklin Gothic Book" w:hAnsi="Franklin Gothic Book"/>
        </w:rPr>
        <w:t xml:space="preserve"> Martinez</w:t>
      </w:r>
      <w:r>
        <w:rPr>
          <w:rFonts w:ascii="Franklin Gothic Book" w:hAnsi="Franklin Gothic Book"/>
        </w:rPr>
        <w:t xml:space="preserve"> et al.</w:t>
      </w:r>
      <w:r w:rsidRPr="00537A41">
        <w:rPr>
          <w:rFonts w:ascii="Franklin Gothic Book" w:hAnsi="Franklin Gothic Book"/>
        </w:rPr>
        <w:t xml:space="preserve"> </w:t>
      </w:r>
      <w:r>
        <w:rPr>
          <w:rFonts w:ascii="Franklin Gothic Book" w:hAnsi="Franklin Gothic Book"/>
        </w:rPr>
        <w:t>(</w:t>
      </w:r>
      <w:r w:rsidRPr="00537A41">
        <w:rPr>
          <w:rFonts w:ascii="Franklin Gothic Book" w:hAnsi="Franklin Gothic Book"/>
        </w:rPr>
        <w:t>2016</w:t>
      </w:r>
      <w:r>
        <w:rPr>
          <w:rFonts w:ascii="Franklin Gothic Book" w:hAnsi="Franklin Gothic Book"/>
        </w:rPr>
        <w:t>).</w:t>
      </w:r>
      <w:r w:rsidRPr="00537A41">
        <w:rPr>
          <w:rFonts w:ascii="Franklin Gothic Book" w:hAnsi="Franklin Gothic Book"/>
        </w:rPr>
        <w:t xml:space="preserve"> Whole-genome sequencing of </w:t>
      </w:r>
      <w:r w:rsidRPr="0057686A">
        <w:rPr>
          <w:rFonts w:ascii="Franklin Gothic Book" w:hAnsi="Franklin Gothic Book"/>
          <w:i/>
          <w:iCs/>
        </w:rPr>
        <w:t>Mycobacterium tuberculosis</w:t>
      </w:r>
      <w:r w:rsidRPr="00537A41">
        <w:rPr>
          <w:rFonts w:ascii="Franklin Gothic Book" w:hAnsi="Franklin Gothic Book"/>
        </w:rPr>
        <w:t xml:space="preserve"> for rapid diagnostics: feasibility of a decentralised model</w:t>
      </w:r>
      <w:r>
        <w:rPr>
          <w:rFonts w:ascii="Franklin Gothic Book" w:hAnsi="Franklin Gothic Book"/>
        </w:rPr>
        <w:t>.</w:t>
      </w:r>
      <w:r w:rsidRPr="00537A41">
        <w:rPr>
          <w:rFonts w:ascii="Franklin Gothic Book" w:hAnsi="Franklin Gothic Book"/>
        </w:rPr>
        <w:t xml:space="preserve"> </w:t>
      </w:r>
      <w:r w:rsidRPr="0057686A">
        <w:rPr>
          <w:rFonts w:ascii="Franklin Gothic Book" w:hAnsi="Franklin Gothic Book"/>
          <w:i/>
          <w:iCs/>
        </w:rPr>
        <w:t>The Lancet Respiratory Medicine</w:t>
      </w:r>
      <w:r w:rsidRPr="00537A41">
        <w:rPr>
          <w:rFonts w:ascii="Franklin Gothic Book" w:hAnsi="Franklin Gothic Book"/>
        </w:rPr>
        <w:t xml:space="preserve">, </w:t>
      </w:r>
      <w:r w:rsidRPr="0057686A">
        <w:rPr>
          <w:rFonts w:ascii="Franklin Gothic Book" w:hAnsi="Franklin Gothic Book"/>
          <w:b/>
          <w:bCs/>
        </w:rPr>
        <w:t>4</w:t>
      </w:r>
      <w:r>
        <w:rPr>
          <w:rFonts w:ascii="Franklin Gothic Book" w:hAnsi="Franklin Gothic Book"/>
        </w:rPr>
        <w:t>(</w:t>
      </w:r>
      <w:r w:rsidRPr="00537A41">
        <w:rPr>
          <w:rFonts w:ascii="Franklin Gothic Book" w:hAnsi="Franklin Gothic Book"/>
        </w:rPr>
        <w:t>4</w:t>
      </w:r>
      <w:r>
        <w:rPr>
          <w:rFonts w:ascii="Franklin Gothic Book" w:hAnsi="Franklin Gothic Book"/>
        </w:rPr>
        <w:t>):</w:t>
      </w:r>
      <w:r w:rsidRPr="00537A41">
        <w:rPr>
          <w:rFonts w:ascii="Franklin Gothic Book" w:hAnsi="Franklin Gothic Book"/>
        </w:rPr>
        <w:t xml:space="preserve"> e13-e14.</w:t>
      </w:r>
    </w:p>
  </w:footnote>
  <w:footnote w:id="8">
    <w:p w14:paraId="026A822E" w14:textId="0E457203" w:rsidR="0000343A" w:rsidRPr="008D1C4A" w:rsidRDefault="0000343A" w:rsidP="009F0065">
      <w:pPr>
        <w:pStyle w:val="FootnoteText"/>
        <w:rPr>
          <w:rFonts w:ascii="Franklin Gothic Book" w:hAnsi="Franklin Gothic Book"/>
        </w:rPr>
      </w:pPr>
      <w:r w:rsidRPr="008D1C4A">
        <w:rPr>
          <w:rStyle w:val="FootnoteReference"/>
          <w:rFonts w:ascii="Franklin Gothic Book" w:hAnsi="Franklin Gothic Book"/>
        </w:rPr>
        <w:footnoteRef/>
      </w:r>
      <w:r w:rsidRPr="008D1C4A">
        <w:rPr>
          <w:rFonts w:ascii="Franklin Gothic Book" w:hAnsi="Franklin Gothic Book"/>
        </w:rPr>
        <w:t xml:space="preserve"> Email from Prof Vitali Sintchenko (NSW Health Pathology) received 30 August 2021.</w:t>
      </w:r>
    </w:p>
  </w:footnote>
  <w:footnote w:id="9">
    <w:p w14:paraId="4B10D928" w14:textId="1933870D" w:rsidR="0000343A" w:rsidRPr="008D1C4A" w:rsidRDefault="0000343A" w:rsidP="009F0065">
      <w:pPr>
        <w:pStyle w:val="FootnoteText"/>
        <w:rPr>
          <w:rFonts w:ascii="Franklin Gothic Book" w:hAnsi="Franklin Gothic Book"/>
        </w:rPr>
      </w:pPr>
      <w:r w:rsidRPr="008D1C4A">
        <w:rPr>
          <w:rStyle w:val="FootnoteReference"/>
          <w:rFonts w:ascii="Franklin Gothic Book" w:hAnsi="Franklin Gothic Book"/>
        </w:rPr>
        <w:footnoteRef/>
      </w:r>
      <w:r w:rsidRPr="008D1C4A">
        <w:rPr>
          <w:rFonts w:ascii="Franklin Gothic Book" w:hAnsi="Franklin Gothic Book"/>
        </w:rPr>
        <w:t xml:space="preserve"> Personal communication via teleconference with Ms Lisa Shephard (SA Pathology) and Maria Globan (Victorian Infectious Diseases Reference Laboratory) on 14 September 2021.</w:t>
      </w:r>
    </w:p>
  </w:footnote>
  <w:footnote w:id="10">
    <w:p w14:paraId="6067A115" w14:textId="68D0CCC5" w:rsidR="0000343A" w:rsidRPr="008D1C4A" w:rsidRDefault="0000343A" w:rsidP="009F0065">
      <w:pPr>
        <w:pStyle w:val="FootnoteText"/>
        <w:rPr>
          <w:rFonts w:ascii="Franklin Gothic Book" w:hAnsi="Franklin Gothic Book"/>
        </w:rPr>
      </w:pPr>
      <w:r w:rsidRPr="008D1C4A">
        <w:rPr>
          <w:rStyle w:val="FootnoteReference"/>
          <w:rFonts w:ascii="Franklin Gothic Book" w:hAnsi="Franklin Gothic Book"/>
        </w:rPr>
        <w:footnoteRef/>
      </w:r>
      <w:r w:rsidRPr="008D1C4A">
        <w:rPr>
          <w:rFonts w:ascii="Franklin Gothic Book" w:hAnsi="Franklin Gothic Book"/>
        </w:rPr>
        <w:t xml:space="preserve"> Australian guidelines recommend that patients without rifampicin</w:t>
      </w:r>
      <w:r>
        <w:rPr>
          <w:rFonts w:ascii="Franklin Gothic Book" w:hAnsi="Franklin Gothic Book"/>
        </w:rPr>
        <w:t xml:space="preserve"> </w:t>
      </w:r>
      <w:r w:rsidRPr="008D1C4A">
        <w:rPr>
          <w:rFonts w:ascii="Franklin Gothic Book" w:hAnsi="Franklin Gothic Book"/>
        </w:rPr>
        <w:t xml:space="preserve">resistance start on all four first-line drugs at diagnosis. If pan-susceptibility is confirmed, then ethambutol may be ceased. </w:t>
      </w:r>
    </w:p>
  </w:footnote>
  <w:footnote w:id="11">
    <w:p w14:paraId="74402A6A" w14:textId="77777777" w:rsidR="0000343A" w:rsidRPr="006F4EBA" w:rsidRDefault="0000343A" w:rsidP="009F0065">
      <w:pPr>
        <w:pStyle w:val="FootnoteText"/>
        <w:rPr>
          <w:rFonts w:ascii="Franklin Gothic Book" w:hAnsi="Franklin Gothic Book"/>
        </w:rPr>
      </w:pPr>
      <w:r w:rsidRPr="006F4EBA">
        <w:rPr>
          <w:rStyle w:val="FootnoteReference"/>
          <w:rFonts w:ascii="Franklin Gothic Book" w:hAnsi="Franklin Gothic Book"/>
        </w:rPr>
        <w:footnoteRef/>
      </w:r>
      <w:r w:rsidRPr="006F4EBA">
        <w:rPr>
          <w:rFonts w:ascii="Franklin Gothic Book" w:hAnsi="Franklin Gothic Book"/>
        </w:rPr>
        <w:t xml:space="preserve"> </w:t>
      </w:r>
      <w:hyperlink r:id="rId1" w:history="1">
        <w:r w:rsidRPr="006F4EBA">
          <w:rPr>
            <w:rStyle w:val="Hyperlink"/>
            <w:rFonts w:ascii="Franklin Gothic Book" w:hAnsi="Franklin Gothic Book"/>
          </w:rPr>
          <w:t>https://stat.data.abs.gov.au/Index.aspx?DatasetCode=POP_PROJ_2011#</w:t>
        </w:r>
      </w:hyperlink>
      <w:r w:rsidRPr="006F4EBA">
        <w:rPr>
          <w:rFonts w:ascii="Franklin Gothic Book" w:hAnsi="Franklin Gothic Book"/>
        </w:rPr>
        <w:t xml:space="preserve"> Accessed on 09 Nov 2021</w:t>
      </w:r>
    </w:p>
  </w:footnote>
  <w:footnote w:id="12">
    <w:p w14:paraId="766FD585" w14:textId="72D4F795" w:rsidR="0000343A" w:rsidRPr="00DC304B" w:rsidRDefault="0000343A">
      <w:pPr>
        <w:pStyle w:val="FootnoteText"/>
        <w:rPr>
          <w:rFonts w:ascii="Franklin Gothic Book" w:hAnsi="Franklin Gothic Book"/>
        </w:rPr>
      </w:pPr>
      <w:r w:rsidRPr="00DC304B">
        <w:rPr>
          <w:rStyle w:val="FootnoteReference"/>
          <w:rFonts w:ascii="Franklin Gothic Book" w:hAnsi="Franklin Gothic Book"/>
        </w:rPr>
        <w:footnoteRef/>
      </w:r>
      <w:r w:rsidRPr="00DC304B">
        <w:rPr>
          <w:rFonts w:ascii="Franklin Gothic Book" w:hAnsi="Franklin Gothic Book"/>
        </w:rPr>
        <w:t xml:space="preserve"> Bright et al. (2020). Tuberculosis notifications in Australia, 2015-2018. </w:t>
      </w:r>
      <w:r w:rsidRPr="00DC304B">
        <w:rPr>
          <w:rFonts w:ascii="Franklin Gothic Book" w:hAnsi="Franklin Gothic Book"/>
          <w:i/>
          <w:iCs/>
        </w:rPr>
        <w:t>Commun Dis Intell</w:t>
      </w:r>
      <w:r w:rsidRPr="00DC304B">
        <w:rPr>
          <w:rFonts w:ascii="Franklin Gothic Book" w:hAnsi="Franklin Gothic Book"/>
        </w:rPr>
        <w:t xml:space="preserve">, </w:t>
      </w:r>
      <w:r w:rsidRPr="00DC304B">
        <w:rPr>
          <w:rFonts w:ascii="Franklin Gothic Book" w:hAnsi="Franklin Gothic Book"/>
          <w:b/>
          <w:bCs/>
        </w:rPr>
        <w:t>44</w:t>
      </w:r>
      <w:r w:rsidRPr="00DC304B">
        <w:rPr>
          <w:rFonts w:ascii="Franklin Gothic Book" w:hAnsi="Franklin Gothic Book"/>
        </w:rPr>
        <w:t>: Oct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1EE5" w14:textId="77777777" w:rsidR="00117288" w:rsidRDefault="00117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359A" w14:textId="77777777" w:rsidR="00117288" w:rsidRDefault="0011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F209F" w14:textId="77777777" w:rsidR="00117288" w:rsidRDefault="00117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4A5"/>
    <w:multiLevelType w:val="hybridMultilevel"/>
    <w:tmpl w:val="17A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66983"/>
    <w:multiLevelType w:val="hybridMultilevel"/>
    <w:tmpl w:val="6E0666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B032E"/>
    <w:multiLevelType w:val="hybridMultilevel"/>
    <w:tmpl w:val="21460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087306"/>
    <w:multiLevelType w:val="hybridMultilevel"/>
    <w:tmpl w:val="FC780A7E"/>
    <w:lvl w:ilvl="0" w:tplc="F3E05DEE">
      <w:numFmt w:val="bullet"/>
      <w:lvlText w:val="-"/>
      <w:lvlJc w:val="left"/>
      <w:pPr>
        <w:ind w:left="720" w:hanging="360"/>
      </w:pPr>
      <w:rPr>
        <w:rFonts w:ascii="Arial Narrow" w:eastAsiaTheme="minorHAnsi" w:hAnsi="Arial Narro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D346E"/>
    <w:multiLevelType w:val="hybridMultilevel"/>
    <w:tmpl w:val="5E14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A24454"/>
    <w:multiLevelType w:val="hybridMultilevel"/>
    <w:tmpl w:val="B37A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D1632"/>
    <w:multiLevelType w:val="hybridMultilevel"/>
    <w:tmpl w:val="527C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3" w15:restartNumberingAfterBreak="0">
    <w:nsid w:val="45F473A9"/>
    <w:multiLevelType w:val="hybridMultilevel"/>
    <w:tmpl w:val="9C48153C"/>
    <w:lvl w:ilvl="0" w:tplc="2662FD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387448"/>
    <w:multiLevelType w:val="multilevel"/>
    <w:tmpl w:val="B22A93B6"/>
    <w:numStyleLink w:val="Heading1a"/>
  </w:abstractNum>
  <w:abstractNum w:abstractNumId="16" w15:restartNumberingAfterBreak="0">
    <w:nsid w:val="5D40331E"/>
    <w:multiLevelType w:val="hybridMultilevel"/>
    <w:tmpl w:val="8F04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373025"/>
    <w:multiLevelType w:val="hybridMultilevel"/>
    <w:tmpl w:val="6E0666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5B1021"/>
    <w:multiLevelType w:val="hybridMultilevel"/>
    <w:tmpl w:val="586C982E"/>
    <w:lvl w:ilvl="0" w:tplc="91E20DB6">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65A62"/>
    <w:multiLevelType w:val="hybridMultilevel"/>
    <w:tmpl w:val="51F80F1C"/>
    <w:lvl w:ilvl="0" w:tplc="F3E05DEE">
      <w:numFmt w:val="bullet"/>
      <w:lvlText w:val="-"/>
      <w:lvlJc w:val="left"/>
      <w:pPr>
        <w:ind w:left="720" w:hanging="360"/>
      </w:pPr>
      <w:rPr>
        <w:rFonts w:ascii="Arial Narrow" w:eastAsiaTheme="minorHAnsi" w:hAnsi="Arial Narro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25"/>
  </w:num>
  <w:num w:numId="5">
    <w:abstractNumId w:val="18"/>
  </w:num>
  <w:num w:numId="6">
    <w:abstractNumId w:val="17"/>
  </w:num>
  <w:num w:numId="7">
    <w:abstractNumId w:val="12"/>
  </w:num>
  <w:num w:numId="8">
    <w:abstractNumId w:val="6"/>
  </w:num>
  <w:num w:numId="9">
    <w:abstractNumId w:val="20"/>
  </w:num>
  <w:num w:numId="10">
    <w:abstractNumId w:val="24"/>
  </w:num>
  <w:num w:numId="11">
    <w:abstractNumId w:val="5"/>
  </w:num>
  <w:num w:numId="12">
    <w:abstractNumId w:val="15"/>
  </w:num>
  <w:num w:numId="13">
    <w:abstractNumId w:val="13"/>
  </w:num>
  <w:num w:numId="14">
    <w:abstractNumId w:val="26"/>
  </w:num>
  <w:num w:numId="15">
    <w:abstractNumId w:val="22"/>
  </w:num>
  <w:num w:numId="16">
    <w:abstractNumId w:val="7"/>
  </w:num>
  <w:num w:numId="17">
    <w:abstractNumId w:val="9"/>
  </w:num>
  <w:num w:numId="18">
    <w:abstractNumId w:val="2"/>
  </w:num>
  <w:num w:numId="19">
    <w:abstractNumId w:val="23"/>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16"/>
  </w:num>
  <w:num w:numId="31">
    <w:abstractNumId w:val="8"/>
  </w:num>
  <w:num w:numId="32">
    <w:abstractNumId w:val="10"/>
  </w:num>
  <w:num w:numId="33">
    <w:abstractNumId w:val="0"/>
  </w:num>
  <w:num w:numId="34">
    <w:abstractNumId w:val="19"/>
  </w:num>
  <w:num w:numId="35">
    <w:abstractNumId w:val="11"/>
  </w:num>
  <w:num w:numId="36">
    <w:abstractNumId w:val="21"/>
  </w:num>
  <w:num w:numId="37">
    <w:abstractNumId w:val="21"/>
  </w:num>
  <w:num w:numId="3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43A"/>
    <w:rsid w:val="000036AF"/>
    <w:rsid w:val="00005F22"/>
    <w:rsid w:val="00014731"/>
    <w:rsid w:val="00014C23"/>
    <w:rsid w:val="000171A6"/>
    <w:rsid w:val="000213E9"/>
    <w:rsid w:val="00021DA2"/>
    <w:rsid w:val="000229A1"/>
    <w:rsid w:val="000268A1"/>
    <w:rsid w:val="00054151"/>
    <w:rsid w:val="0006073C"/>
    <w:rsid w:val="000632EF"/>
    <w:rsid w:val="00065623"/>
    <w:rsid w:val="00071D98"/>
    <w:rsid w:val="000827F0"/>
    <w:rsid w:val="0008767E"/>
    <w:rsid w:val="00090DFF"/>
    <w:rsid w:val="00094C3A"/>
    <w:rsid w:val="000A63D3"/>
    <w:rsid w:val="000A738E"/>
    <w:rsid w:val="000E1E3D"/>
    <w:rsid w:val="000E396B"/>
    <w:rsid w:val="000E3C10"/>
    <w:rsid w:val="000E6588"/>
    <w:rsid w:val="000F21FE"/>
    <w:rsid w:val="000F2404"/>
    <w:rsid w:val="00104710"/>
    <w:rsid w:val="001110AD"/>
    <w:rsid w:val="00117288"/>
    <w:rsid w:val="0013032B"/>
    <w:rsid w:val="0013112F"/>
    <w:rsid w:val="00136257"/>
    <w:rsid w:val="00136969"/>
    <w:rsid w:val="00144106"/>
    <w:rsid w:val="0014545A"/>
    <w:rsid w:val="001538CF"/>
    <w:rsid w:val="00155BF4"/>
    <w:rsid w:val="00157D30"/>
    <w:rsid w:val="00161A29"/>
    <w:rsid w:val="00166767"/>
    <w:rsid w:val="00167C8A"/>
    <w:rsid w:val="00171759"/>
    <w:rsid w:val="00171ADC"/>
    <w:rsid w:val="001921DF"/>
    <w:rsid w:val="001951EC"/>
    <w:rsid w:val="001A669F"/>
    <w:rsid w:val="001B1DFA"/>
    <w:rsid w:val="001C125F"/>
    <w:rsid w:val="001C7004"/>
    <w:rsid w:val="001C75D8"/>
    <w:rsid w:val="001D24A5"/>
    <w:rsid w:val="001D2A85"/>
    <w:rsid w:val="001D47FB"/>
    <w:rsid w:val="001E457C"/>
    <w:rsid w:val="001F11FA"/>
    <w:rsid w:val="001F3C4C"/>
    <w:rsid w:val="00206760"/>
    <w:rsid w:val="0021159F"/>
    <w:rsid w:val="00215359"/>
    <w:rsid w:val="00217811"/>
    <w:rsid w:val="00236247"/>
    <w:rsid w:val="00241BE0"/>
    <w:rsid w:val="00242AD4"/>
    <w:rsid w:val="00244877"/>
    <w:rsid w:val="00246B61"/>
    <w:rsid w:val="00252638"/>
    <w:rsid w:val="0026665D"/>
    <w:rsid w:val="00267F42"/>
    <w:rsid w:val="0027168E"/>
    <w:rsid w:val="00280975"/>
    <w:rsid w:val="00280998"/>
    <w:rsid w:val="00286676"/>
    <w:rsid w:val="00286BC8"/>
    <w:rsid w:val="0029348E"/>
    <w:rsid w:val="002957BA"/>
    <w:rsid w:val="002A3E68"/>
    <w:rsid w:val="002A7743"/>
    <w:rsid w:val="002B34D5"/>
    <w:rsid w:val="002D0267"/>
    <w:rsid w:val="002D08AA"/>
    <w:rsid w:val="002D2973"/>
    <w:rsid w:val="002D43CE"/>
    <w:rsid w:val="002D57BB"/>
    <w:rsid w:val="002E4460"/>
    <w:rsid w:val="002F3D9D"/>
    <w:rsid w:val="002F54B1"/>
    <w:rsid w:val="002F693D"/>
    <w:rsid w:val="00301462"/>
    <w:rsid w:val="00303414"/>
    <w:rsid w:val="0031139E"/>
    <w:rsid w:val="003135E8"/>
    <w:rsid w:val="00337945"/>
    <w:rsid w:val="0034047C"/>
    <w:rsid w:val="00342FAC"/>
    <w:rsid w:val="00344582"/>
    <w:rsid w:val="003515D1"/>
    <w:rsid w:val="00354A5A"/>
    <w:rsid w:val="0035535A"/>
    <w:rsid w:val="00355B86"/>
    <w:rsid w:val="0035718D"/>
    <w:rsid w:val="00360DEF"/>
    <w:rsid w:val="00361DD2"/>
    <w:rsid w:val="003700A9"/>
    <w:rsid w:val="003763BD"/>
    <w:rsid w:val="003869F4"/>
    <w:rsid w:val="00386D67"/>
    <w:rsid w:val="003A078D"/>
    <w:rsid w:val="003A326F"/>
    <w:rsid w:val="003A4F78"/>
    <w:rsid w:val="003B02B8"/>
    <w:rsid w:val="003B097E"/>
    <w:rsid w:val="003B0CA4"/>
    <w:rsid w:val="003B1EF8"/>
    <w:rsid w:val="003D2991"/>
    <w:rsid w:val="003D4BFC"/>
    <w:rsid w:val="003D6A0F"/>
    <w:rsid w:val="003E1045"/>
    <w:rsid w:val="003E3728"/>
    <w:rsid w:val="003E44A3"/>
    <w:rsid w:val="003E63C9"/>
    <w:rsid w:val="003F0834"/>
    <w:rsid w:val="003F30AD"/>
    <w:rsid w:val="003F311A"/>
    <w:rsid w:val="003F5EE6"/>
    <w:rsid w:val="004031F7"/>
    <w:rsid w:val="00410178"/>
    <w:rsid w:val="00416AA1"/>
    <w:rsid w:val="0042114B"/>
    <w:rsid w:val="00426327"/>
    <w:rsid w:val="00433060"/>
    <w:rsid w:val="00443F1D"/>
    <w:rsid w:val="00451310"/>
    <w:rsid w:val="00451FD3"/>
    <w:rsid w:val="00452DFC"/>
    <w:rsid w:val="00460DB6"/>
    <w:rsid w:val="00462DF7"/>
    <w:rsid w:val="0046745E"/>
    <w:rsid w:val="004851AB"/>
    <w:rsid w:val="004927A6"/>
    <w:rsid w:val="00493F7D"/>
    <w:rsid w:val="00495285"/>
    <w:rsid w:val="0049567D"/>
    <w:rsid w:val="004A0BAC"/>
    <w:rsid w:val="004A4E41"/>
    <w:rsid w:val="004B01A4"/>
    <w:rsid w:val="004B2358"/>
    <w:rsid w:val="004B641D"/>
    <w:rsid w:val="004C0219"/>
    <w:rsid w:val="004C2B2A"/>
    <w:rsid w:val="004D0040"/>
    <w:rsid w:val="004D1800"/>
    <w:rsid w:val="004D5F42"/>
    <w:rsid w:val="004E348D"/>
    <w:rsid w:val="004E432D"/>
    <w:rsid w:val="004E5C21"/>
    <w:rsid w:val="0050188B"/>
    <w:rsid w:val="00511EE0"/>
    <w:rsid w:val="00514BAF"/>
    <w:rsid w:val="005159B7"/>
    <w:rsid w:val="00516ACE"/>
    <w:rsid w:val="0052065A"/>
    <w:rsid w:val="00524B44"/>
    <w:rsid w:val="00537A41"/>
    <w:rsid w:val="00540E5A"/>
    <w:rsid w:val="005420D3"/>
    <w:rsid w:val="00544BA0"/>
    <w:rsid w:val="00552DFF"/>
    <w:rsid w:val="00565224"/>
    <w:rsid w:val="00566DC3"/>
    <w:rsid w:val="00567131"/>
    <w:rsid w:val="0056736C"/>
    <w:rsid w:val="00573F22"/>
    <w:rsid w:val="005766AB"/>
    <w:rsid w:val="0057686A"/>
    <w:rsid w:val="00576ED3"/>
    <w:rsid w:val="00583D1B"/>
    <w:rsid w:val="005856E5"/>
    <w:rsid w:val="0058659C"/>
    <w:rsid w:val="00590817"/>
    <w:rsid w:val="00590A73"/>
    <w:rsid w:val="005922DB"/>
    <w:rsid w:val="005938FD"/>
    <w:rsid w:val="00594478"/>
    <w:rsid w:val="005971D0"/>
    <w:rsid w:val="005A14E4"/>
    <w:rsid w:val="005B59F4"/>
    <w:rsid w:val="005D0332"/>
    <w:rsid w:val="005D34B9"/>
    <w:rsid w:val="005D637D"/>
    <w:rsid w:val="005E3645"/>
    <w:rsid w:val="005E42A8"/>
    <w:rsid w:val="005F004E"/>
    <w:rsid w:val="00603860"/>
    <w:rsid w:val="006039A7"/>
    <w:rsid w:val="006074D3"/>
    <w:rsid w:val="00607D37"/>
    <w:rsid w:val="00611744"/>
    <w:rsid w:val="00612A11"/>
    <w:rsid w:val="0061621F"/>
    <w:rsid w:val="00633183"/>
    <w:rsid w:val="0063740F"/>
    <w:rsid w:val="00640A46"/>
    <w:rsid w:val="00644745"/>
    <w:rsid w:val="00652E31"/>
    <w:rsid w:val="0065529B"/>
    <w:rsid w:val="00672D28"/>
    <w:rsid w:val="00676A80"/>
    <w:rsid w:val="00676C49"/>
    <w:rsid w:val="006805A1"/>
    <w:rsid w:val="00685001"/>
    <w:rsid w:val="00691BBF"/>
    <w:rsid w:val="00693716"/>
    <w:rsid w:val="006A27C7"/>
    <w:rsid w:val="006A47F3"/>
    <w:rsid w:val="006B241A"/>
    <w:rsid w:val="006B5BE7"/>
    <w:rsid w:val="006B7F3E"/>
    <w:rsid w:val="006C1938"/>
    <w:rsid w:val="006C26E3"/>
    <w:rsid w:val="006C3324"/>
    <w:rsid w:val="006C5230"/>
    <w:rsid w:val="006D7D0C"/>
    <w:rsid w:val="006E2F06"/>
    <w:rsid w:val="006E7A8E"/>
    <w:rsid w:val="006F2A30"/>
    <w:rsid w:val="006F47F4"/>
    <w:rsid w:val="006F4EBA"/>
    <w:rsid w:val="00703892"/>
    <w:rsid w:val="00705C4B"/>
    <w:rsid w:val="00707FED"/>
    <w:rsid w:val="00713D11"/>
    <w:rsid w:val="0071498A"/>
    <w:rsid w:val="00722408"/>
    <w:rsid w:val="00722776"/>
    <w:rsid w:val="007229D6"/>
    <w:rsid w:val="00723375"/>
    <w:rsid w:val="00731492"/>
    <w:rsid w:val="00732C4E"/>
    <w:rsid w:val="00736B3B"/>
    <w:rsid w:val="00744C5D"/>
    <w:rsid w:val="007464E5"/>
    <w:rsid w:val="007554DA"/>
    <w:rsid w:val="00766E36"/>
    <w:rsid w:val="00775963"/>
    <w:rsid w:val="007849B8"/>
    <w:rsid w:val="00787D19"/>
    <w:rsid w:val="007933B1"/>
    <w:rsid w:val="00794D30"/>
    <w:rsid w:val="007964EB"/>
    <w:rsid w:val="00797D8D"/>
    <w:rsid w:val="007A0F08"/>
    <w:rsid w:val="007A3787"/>
    <w:rsid w:val="007A5361"/>
    <w:rsid w:val="007A6BE5"/>
    <w:rsid w:val="007A7B08"/>
    <w:rsid w:val="007C2D6A"/>
    <w:rsid w:val="007C4959"/>
    <w:rsid w:val="007D6C35"/>
    <w:rsid w:val="007D7ECB"/>
    <w:rsid w:val="007E0EAF"/>
    <w:rsid w:val="007F4E20"/>
    <w:rsid w:val="007F5142"/>
    <w:rsid w:val="00806A9C"/>
    <w:rsid w:val="008125B8"/>
    <w:rsid w:val="008227C1"/>
    <w:rsid w:val="00827C06"/>
    <w:rsid w:val="0083013B"/>
    <w:rsid w:val="0084645A"/>
    <w:rsid w:val="00850724"/>
    <w:rsid w:val="0086104A"/>
    <w:rsid w:val="00872E54"/>
    <w:rsid w:val="0088197A"/>
    <w:rsid w:val="00891601"/>
    <w:rsid w:val="00895B7B"/>
    <w:rsid w:val="00896E79"/>
    <w:rsid w:val="008A0363"/>
    <w:rsid w:val="008A0D74"/>
    <w:rsid w:val="008A2E9C"/>
    <w:rsid w:val="008A5C67"/>
    <w:rsid w:val="008A6C0C"/>
    <w:rsid w:val="008A7405"/>
    <w:rsid w:val="008C01F4"/>
    <w:rsid w:val="008C6DE4"/>
    <w:rsid w:val="008D1C4A"/>
    <w:rsid w:val="008D2A36"/>
    <w:rsid w:val="008E0A24"/>
    <w:rsid w:val="008E2DF5"/>
    <w:rsid w:val="008E5C06"/>
    <w:rsid w:val="00901821"/>
    <w:rsid w:val="00901C65"/>
    <w:rsid w:val="009110E5"/>
    <w:rsid w:val="00912AD8"/>
    <w:rsid w:val="009176A6"/>
    <w:rsid w:val="00920A83"/>
    <w:rsid w:val="00933B33"/>
    <w:rsid w:val="009351F0"/>
    <w:rsid w:val="009406C6"/>
    <w:rsid w:val="00940F74"/>
    <w:rsid w:val="009418C0"/>
    <w:rsid w:val="00943312"/>
    <w:rsid w:val="0094578F"/>
    <w:rsid w:val="009508FC"/>
    <w:rsid w:val="00950C0C"/>
    <w:rsid w:val="009606B7"/>
    <w:rsid w:val="00961AD6"/>
    <w:rsid w:val="00964755"/>
    <w:rsid w:val="0096567E"/>
    <w:rsid w:val="00976B13"/>
    <w:rsid w:val="00990BF9"/>
    <w:rsid w:val="009A688C"/>
    <w:rsid w:val="009A702B"/>
    <w:rsid w:val="009A7AD8"/>
    <w:rsid w:val="009B2D10"/>
    <w:rsid w:val="009B2DD5"/>
    <w:rsid w:val="009B7E2B"/>
    <w:rsid w:val="009C34E7"/>
    <w:rsid w:val="009C5E6A"/>
    <w:rsid w:val="009D121A"/>
    <w:rsid w:val="009D1BAC"/>
    <w:rsid w:val="009D64AB"/>
    <w:rsid w:val="009E242C"/>
    <w:rsid w:val="009E2FFB"/>
    <w:rsid w:val="009E6309"/>
    <w:rsid w:val="009F0065"/>
    <w:rsid w:val="00A009C9"/>
    <w:rsid w:val="00A021B7"/>
    <w:rsid w:val="00A30752"/>
    <w:rsid w:val="00A30A85"/>
    <w:rsid w:val="00A317E6"/>
    <w:rsid w:val="00A35A4F"/>
    <w:rsid w:val="00A436C5"/>
    <w:rsid w:val="00A44C6E"/>
    <w:rsid w:val="00A52FEC"/>
    <w:rsid w:val="00A8603E"/>
    <w:rsid w:val="00A92E1A"/>
    <w:rsid w:val="00A96916"/>
    <w:rsid w:val="00AA091D"/>
    <w:rsid w:val="00AA24CE"/>
    <w:rsid w:val="00AA3E4B"/>
    <w:rsid w:val="00AA502F"/>
    <w:rsid w:val="00AA689B"/>
    <w:rsid w:val="00AB37FD"/>
    <w:rsid w:val="00AC0916"/>
    <w:rsid w:val="00AD026F"/>
    <w:rsid w:val="00AE4C2D"/>
    <w:rsid w:val="00AE76A3"/>
    <w:rsid w:val="00AF072C"/>
    <w:rsid w:val="00AF64E7"/>
    <w:rsid w:val="00AF72BF"/>
    <w:rsid w:val="00B02E35"/>
    <w:rsid w:val="00B03576"/>
    <w:rsid w:val="00B0404B"/>
    <w:rsid w:val="00B0472C"/>
    <w:rsid w:val="00B102D9"/>
    <w:rsid w:val="00B156B7"/>
    <w:rsid w:val="00B1779B"/>
    <w:rsid w:val="00B33D7B"/>
    <w:rsid w:val="00B360D5"/>
    <w:rsid w:val="00B37582"/>
    <w:rsid w:val="00B40410"/>
    <w:rsid w:val="00B411FE"/>
    <w:rsid w:val="00B46C7E"/>
    <w:rsid w:val="00B52FCF"/>
    <w:rsid w:val="00B6033B"/>
    <w:rsid w:val="00B612B1"/>
    <w:rsid w:val="00B861F3"/>
    <w:rsid w:val="00BA5A83"/>
    <w:rsid w:val="00BA6799"/>
    <w:rsid w:val="00BB18CD"/>
    <w:rsid w:val="00BB26AB"/>
    <w:rsid w:val="00BB2AAF"/>
    <w:rsid w:val="00BC04A2"/>
    <w:rsid w:val="00BC44F4"/>
    <w:rsid w:val="00BD6C4E"/>
    <w:rsid w:val="00BD7F95"/>
    <w:rsid w:val="00BE396E"/>
    <w:rsid w:val="00BE69AC"/>
    <w:rsid w:val="00BF0479"/>
    <w:rsid w:val="00BF0DFE"/>
    <w:rsid w:val="00BF3109"/>
    <w:rsid w:val="00BF4914"/>
    <w:rsid w:val="00BF7193"/>
    <w:rsid w:val="00C0013C"/>
    <w:rsid w:val="00C05E06"/>
    <w:rsid w:val="00C05EDF"/>
    <w:rsid w:val="00C13B47"/>
    <w:rsid w:val="00C1782D"/>
    <w:rsid w:val="00C20B8A"/>
    <w:rsid w:val="00C20BEE"/>
    <w:rsid w:val="00C34180"/>
    <w:rsid w:val="00C45D90"/>
    <w:rsid w:val="00C505D6"/>
    <w:rsid w:val="00C50B10"/>
    <w:rsid w:val="00C614AF"/>
    <w:rsid w:val="00C6656A"/>
    <w:rsid w:val="00C67123"/>
    <w:rsid w:val="00C703C1"/>
    <w:rsid w:val="00C808E5"/>
    <w:rsid w:val="00C83D8F"/>
    <w:rsid w:val="00C84EFB"/>
    <w:rsid w:val="00C876DC"/>
    <w:rsid w:val="00C90108"/>
    <w:rsid w:val="00C90EB4"/>
    <w:rsid w:val="00C91D6F"/>
    <w:rsid w:val="00CB1778"/>
    <w:rsid w:val="00CB2B61"/>
    <w:rsid w:val="00CB7E7D"/>
    <w:rsid w:val="00CC038A"/>
    <w:rsid w:val="00CC23B0"/>
    <w:rsid w:val="00CC636B"/>
    <w:rsid w:val="00CC7BD3"/>
    <w:rsid w:val="00CD5843"/>
    <w:rsid w:val="00CD712E"/>
    <w:rsid w:val="00CD7AAF"/>
    <w:rsid w:val="00CF305A"/>
    <w:rsid w:val="00D10820"/>
    <w:rsid w:val="00D118AD"/>
    <w:rsid w:val="00D15284"/>
    <w:rsid w:val="00D27B27"/>
    <w:rsid w:val="00D44670"/>
    <w:rsid w:val="00D46392"/>
    <w:rsid w:val="00D4755A"/>
    <w:rsid w:val="00D47A2C"/>
    <w:rsid w:val="00D55D87"/>
    <w:rsid w:val="00D55F83"/>
    <w:rsid w:val="00D701CC"/>
    <w:rsid w:val="00D70C50"/>
    <w:rsid w:val="00D72D66"/>
    <w:rsid w:val="00D769FB"/>
    <w:rsid w:val="00D82558"/>
    <w:rsid w:val="00D93418"/>
    <w:rsid w:val="00DA2F53"/>
    <w:rsid w:val="00DA36D1"/>
    <w:rsid w:val="00DA6509"/>
    <w:rsid w:val="00DB16CA"/>
    <w:rsid w:val="00DB1E71"/>
    <w:rsid w:val="00DB4A4B"/>
    <w:rsid w:val="00DC0E3C"/>
    <w:rsid w:val="00DC1D16"/>
    <w:rsid w:val="00DC304B"/>
    <w:rsid w:val="00DC3FFD"/>
    <w:rsid w:val="00DD0AF1"/>
    <w:rsid w:val="00DD311A"/>
    <w:rsid w:val="00DE1748"/>
    <w:rsid w:val="00DE552A"/>
    <w:rsid w:val="00E02561"/>
    <w:rsid w:val="00E031DE"/>
    <w:rsid w:val="00E06036"/>
    <w:rsid w:val="00E06462"/>
    <w:rsid w:val="00E16CCC"/>
    <w:rsid w:val="00E27A44"/>
    <w:rsid w:val="00E31F56"/>
    <w:rsid w:val="00E37C7F"/>
    <w:rsid w:val="00E521B1"/>
    <w:rsid w:val="00E57B85"/>
    <w:rsid w:val="00E62F27"/>
    <w:rsid w:val="00E713BF"/>
    <w:rsid w:val="00E72E00"/>
    <w:rsid w:val="00E7422C"/>
    <w:rsid w:val="00E74504"/>
    <w:rsid w:val="00E7560F"/>
    <w:rsid w:val="00E82F42"/>
    <w:rsid w:val="00E846B1"/>
    <w:rsid w:val="00E924FD"/>
    <w:rsid w:val="00E936DA"/>
    <w:rsid w:val="00E97375"/>
    <w:rsid w:val="00EA0116"/>
    <w:rsid w:val="00EA3CBC"/>
    <w:rsid w:val="00EC5643"/>
    <w:rsid w:val="00ED4E80"/>
    <w:rsid w:val="00EE2D09"/>
    <w:rsid w:val="00EF3110"/>
    <w:rsid w:val="00EF4713"/>
    <w:rsid w:val="00F04F02"/>
    <w:rsid w:val="00F158CF"/>
    <w:rsid w:val="00F16E5D"/>
    <w:rsid w:val="00F21340"/>
    <w:rsid w:val="00F2152F"/>
    <w:rsid w:val="00F2353D"/>
    <w:rsid w:val="00F326F1"/>
    <w:rsid w:val="00F33D59"/>
    <w:rsid w:val="00F34E41"/>
    <w:rsid w:val="00F477FE"/>
    <w:rsid w:val="00F51E0F"/>
    <w:rsid w:val="00F530A0"/>
    <w:rsid w:val="00F53378"/>
    <w:rsid w:val="00F60AAE"/>
    <w:rsid w:val="00F64B99"/>
    <w:rsid w:val="00F72E76"/>
    <w:rsid w:val="00F7360A"/>
    <w:rsid w:val="00F7484F"/>
    <w:rsid w:val="00F8174C"/>
    <w:rsid w:val="00F90207"/>
    <w:rsid w:val="00F972E7"/>
    <w:rsid w:val="00FA36DD"/>
    <w:rsid w:val="00FA7CD3"/>
    <w:rsid w:val="00FB4992"/>
    <w:rsid w:val="00FB7083"/>
    <w:rsid w:val="00FC13AA"/>
    <w:rsid w:val="00FC2897"/>
    <w:rsid w:val="00FD5573"/>
    <w:rsid w:val="00FD60FF"/>
    <w:rsid w:val="00FE1A4B"/>
    <w:rsid w:val="00FE5F2A"/>
    <w:rsid w:val="00FE6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E06036"/>
    <w:pPr>
      <w:keepNext/>
      <w:keepLines/>
      <w:numPr>
        <w:numId w:val="20"/>
      </w:numPr>
      <w:spacing w:before="360" w:after="240"/>
      <w:ind w:hanging="720"/>
      <w:outlineLvl w:val="0"/>
    </w:pPr>
    <w:rPr>
      <w:rFonts w:ascii="Franklin Gothic Medium" w:eastAsia="SimSun" w:hAnsi="Franklin Gothic Medium"/>
      <w:color w:val="000000"/>
      <w:sz w:val="32"/>
      <w:szCs w:val="26"/>
      <w:lang w:eastAsia="en-US"/>
    </w:rPr>
  </w:style>
  <w:style w:type="paragraph" w:styleId="Heading2">
    <w:name w:val="heading 2"/>
    <w:basedOn w:val="Normal"/>
    <w:link w:val="Heading2Char"/>
    <w:uiPriority w:val="9"/>
    <w:unhideWhenUsed/>
    <w:qFormat/>
    <w:rsid w:val="00E72E00"/>
    <w:pPr>
      <w:keepNext/>
      <w:keepLines/>
      <w:tabs>
        <w:tab w:val="left" w:pos="851"/>
      </w:tabs>
      <w:spacing w:before="360" w:after="200"/>
      <w:outlineLvl w:val="1"/>
    </w:pPr>
    <w:rPr>
      <w:rFonts w:ascii="Franklin Gothic Medium" w:eastAsia="SimSun" w:hAnsi="Franklin Gothic Medium"/>
      <w:szCs w:val="24"/>
      <w:lang w:eastAsia="en-US"/>
    </w:rPr>
  </w:style>
  <w:style w:type="paragraph" w:styleId="Heading3">
    <w:name w:val="heading 3"/>
    <w:basedOn w:val="Normal"/>
    <w:next w:val="Normal"/>
    <w:link w:val="Heading3Char"/>
    <w:uiPriority w:val="9"/>
    <w:unhideWhenUsed/>
    <w:qFormat/>
    <w:rsid w:val="008D1C4A"/>
    <w:pPr>
      <w:keepNext/>
      <w:keepLines/>
      <w:tabs>
        <w:tab w:val="left" w:pos="851"/>
      </w:tabs>
      <w:spacing w:before="360" w:after="200"/>
      <w:outlineLvl w:val="2"/>
    </w:pPr>
    <w:rPr>
      <w:rFonts w:ascii="Franklin Gothic Medium" w:eastAsia="SimSun" w:hAnsi="Franklin Gothic Medium"/>
      <w:i/>
      <w:szCs w:val="24"/>
      <w:lang w:eastAsia="en-US"/>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uiPriority w:val="99"/>
    <w:rsid w:val="00065623"/>
    <w:rPr>
      <w:rFonts w:eastAsia="Times New Roman" w:cs="Times New Roman"/>
      <w:sz w:val="20"/>
      <w:szCs w:val="20"/>
      <w:lang w:eastAsia="en-AU"/>
    </w:rPr>
  </w:style>
  <w:style w:type="character" w:styleId="FootnoteReference">
    <w:name w:val="footnote reference"/>
    <w:basedOn w:val="DefaultParagraphFont"/>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RTI AMCP Table,new style,ASD Table,HealthConsult,HTAtableplain"/>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val="0"/>
      <w:i w:val="0"/>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E72E00"/>
    <w:rPr>
      <w:rFonts w:ascii="Franklin Gothic Medium" w:eastAsia="SimSun" w:hAnsi="Franklin Gothic Medium" w:cs="Times New Roman"/>
      <w:szCs w:val="24"/>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E06036"/>
    <w:rPr>
      <w:rFonts w:ascii="Franklin Gothic Medium" w:eastAsia="SimSun" w:hAnsi="Franklin Gothic Medium" w:cs="Times New Roman"/>
      <w:color w:val="000000"/>
      <w:sz w:val="32"/>
      <w:szCs w:val="26"/>
    </w:rPr>
  </w:style>
  <w:style w:type="character" w:customStyle="1" w:styleId="Heading3Char">
    <w:name w:val="Heading 3 Char"/>
    <w:basedOn w:val="DefaultParagraphFont"/>
    <w:link w:val="Heading3"/>
    <w:uiPriority w:val="9"/>
    <w:rsid w:val="008D1C4A"/>
    <w:rPr>
      <w:rFonts w:ascii="Franklin Gothic Medium" w:eastAsia="SimSun" w:hAnsi="Franklin Gothic Medium" w:cs="Times New Roman"/>
      <w:i/>
      <w:szCs w:val="24"/>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5D34B9"/>
    <w:pPr>
      <w:keepNext/>
      <w:spacing w:before="60" w:after="60"/>
    </w:pPr>
    <w:rPr>
      <w:color w:val="000000"/>
      <w:sz w:val="21"/>
      <w:szCs w:val="21"/>
    </w:rPr>
  </w:style>
  <w:style w:type="paragraph" w:customStyle="1" w:styleId="BulletBeforeDash">
    <w:name w:val="BulletBeforeDash"/>
    <w:basedOn w:val="Normal"/>
    <w:rsid w:val="005D34B9"/>
    <w:pPr>
      <w:numPr>
        <w:numId w:val="15"/>
      </w:numPr>
      <w:ind w:left="720"/>
    </w:pPr>
    <w:rPr>
      <w:color w:val="000000"/>
    </w:rPr>
  </w:style>
  <w:style w:type="paragraph" w:customStyle="1" w:styleId="Bullet">
    <w:name w:val="Bullet"/>
    <w:basedOn w:val="BulletBeforeDash"/>
    <w:qFormat/>
    <w:rsid w:val="005D34B9"/>
    <w:pPr>
      <w:spacing w:after="120"/>
    </w:pPr>
  </w:style>
  <w:style w:type="paragraph" w:customStyle="1" w:styleId="BulletLast">
    <w:name w:val="BulletLast"/>
    <w:basedOn w:val="Bullet"/>
    <w:qFormat/>
    <w:rsid w:val="005D34B9"/>
    <w:pPr>
      <w:spacing w:after="240"/>
    </w:pPr>
  </w:style>
  <w:style w:type="paragraph" w:customStyle="1" w:styleId="NormalBeforeBullet">
    <w:name w:val="NormalBeforeBullet"/>
    <w:basedOn w:val="Normal"/>
    <w:qFormat/>
    <w:rsid w:val="005D34B9"/>
    <w:pPr>
      <w:keepNext/>
      <w:spacing w:after="120"/>
    </w:pPr>
    <w:rPr>
      <w:color w:val="000000"/>
    </w:rPr>
  </w:style>
  <w:style w:type="paragraph" w:styleId="Subtitle">
    <w:name w:val="Subtitle"/>
    <w:basedOn w:val="Normal"/>
    <w:next w:val="Normal"/>
    <w:link w:val="SubtitleChar"/>
    <w:qFormat/>
    <w:rsid w:val="0052065A"/>
    <w:pPr>
      <w:spacing w:before="120"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52065A"/>
    <w:rPr>
      <w:rFonts w:ascii="Arial" w:eastAsia="Times New Roman" w:hAnsi="Arial" w:cs="Arial"/>
      <w:b/>
      <w:bCs/>
      <w:i/>
      <w:color w:val="000080"/>
      <w:sz w:val="28"/>
      <w:szCs w:val="28"/>
      <w:lang w:eastAsia="en-AU"/>
    </w:rPr>
  </w:style>
  <w:style w:type="paragraph" w:customStyle="1" w:styleId="TableText1">
    <w:name w:val="Table Text"/>
    <w:basedOn w:val="Normal"/>
    <w:link w:val="TableTextChar0"/>
    <w:qFormat/>
    <w:rsid w:val="0052065A"/>
    <w:pPr>
      <w:spacing w:before="40" w:after="40"/>
    </w:pPr>
    <w:rPr>
      <w:rFonts w:ascii="Arial Narrow" w:eastAsiaTheme="minorHAnsi" w:hAnsi="Arial Narrow" w:cstheme="minorBidi"/>
      <w:sz w:val="20"/>
      <w:szCs w:val="22"/>
      <w:lang w:eastAsia="en-US"/>
    </w:rPr>
  </w:style>
  <w:style w:type="character" w:customStyle="1" w:styleId="TableTextChar0">
    <w:name w:val="Table Text Char"/>
    <w:basedOn w:val="DefaultParagraphFont"/>
    <w:link w:val="TableText1"/>
    <w:rsid w:val="0052065A"/>
    <w:rPr>
      <w:rFonts w:ascii="Arial Narrow" w:hAnsi="Arial Narrow"/>
      <w:sz w:val="20"/>
    </w:rPr>
  </w:style>
  <w:style w:type="paragraph" w:customStyle="1" w:styleId="Instructionaltext">
    <w:name w:val="Instructional text"/>
    <w:basedOn w:val="Normal"/>
    <w:link w:val="InstructionaltextChar"/>
    <w:qFormat/>
    <w:rsid w:val="0052065A"/>
    <w:pPr>
      <w:spacing w:before="120" w:after="160" w:line="259" w:lineRule="auto"/>
    </w:pPr>
    <w:rPr>
      <w:rFonts w:ascii="Franklin Gothic Book" w:eastAsiaTheme="minorHAnsi" w:hAnsi="Franklin Gothic Book" w:cstheme="minorBidi"/>
      <w:color w:val="258221"/>
      <w:sz w:val="22"/>
      <w:szCs w:val="22"/>
      <w:lang w:eastAsia="en-US"/>
    </w:rPr>
  </w:style>
  <w:style w:type="character" w:customStyle="1" w:styleId="InstructionaltextChar">
    <w:name w:val="Instructional text Char"/>
    <w:basedOn w:val="DefaultParagraphFont"/>
    <w:link w:val="Instructionaltext"/>
    <w:rsid w:val="0052065A"/>
    <w:rPr>
      <w:rFonts w:ascii="Franklin Gothic Book" w:hAnsi="Franklin Gothic Book"/>
      <w:color w:val="258221"/>
      <w:sz w:val="22"/>
    </w:rPr>
  </w:style>
  <w:style w:type="paragraph" w:customStyle="1" w:styleId="TableHeading0">
    <w:name w:val="Table Heading"/>
    <w:basedOn w:val="Normal"/>
    <w:qFormat/>
    <w:rsid w:val="009F0065"/>
    <w:pPr>
      <w:spacing w:before="120" w:after="60"/>
    </w:pPr>
    <w:rPr>
      <w:rFonts w:ascii="Arial Narrow" w:eastAsiaTheme="minorHAnsi" w:hAnsi="Arial Narrow" w:cstheme="minorBidi"/>
      <w:b/>
      <w:sz w:val="20"/>
      <w:szCs w:val="22"/>
      <w:lang w:eastAsia="en-US"/>
    </w:rPr>
  </w:style>
  <w:style w:type="paragraph" w:customStyle="1" w:styleId="In-tableHeading">
    <w:name w:val="In-table Heading"/>
    <w:qFormat/>
    <w:rsid w:val="009F0065"/>
    <w:pPr>
      <w:keepNext/>
      <w:spacing w:after="0" w:line="240" w:lineRule="auto"/>
    </w:pPr>
    <w:rPr>
      <w:rFonts w:ascii="Arial Narrow" w:eastAsiaTheme="majorEastAsia" w:hAnsi="Arial Narrow" w:cs="Times New Roman"/>
      <w:b/>
      <w:sz w:val="20"/>
      <w:szCs w:val="24"/>
      <w:lang w:val="en-US" w:eastAsia="en-AU"/>
    </w:rPr>
  </w:style>
  <w:style w:type="paragraph" w:customStyle="1" w:styleId="Tablenotes0">
    <w:name w:val="Table notes"/>
    <w:basedOn w:val="Normal"/>
    <w:link w:val="TablenotesChar0"/>
    <w:qFormat/>
    <w:rsid w:val="009F0065"/>
    <w:pPr>
      <w:spacing w:before="120" w:after="240" w:line="259" w:lineRule="auto"/>
      <w:contextualSpacing/>
      <w:jc w:val="both"/>
    </w:pPr>
    <w:rPr>
      <w:rFonts w:ascii="Arial Narrow" w:eastAsiaTheme="minorHAnsi" w:hAnsi="Arial Narrow" w:cs="Arial"/>
      <w:sz w:val="18"/>
      <w:szCs w:val="22"/>
      <w:lang w:eastAsia="en-US"/>
    </w:rPr>
  </w:style>
  <w:style w:type="character" w:customStyle="1" w:styleId="TablenotesChar0">
    <w:name w:val="Table notes Char"/>
    <w:basedOn w:val="DefaultParagraphFont"/>
    <w:link w:val="Tablenotes0"/>
    <w:rsid w:val="009F0065"/>
    <w:rPr>
      <w:rFonts w:ascii="Arial Narrow" w:hAnsi="Arial Narrow" w:cs="Arial"/>
      <w:sz w:val="18"/>
    </w:rPr>
  </w:style>
  <w:style w:type="character" w:customStyle="1" w:styleId="TableFooterChar">
    <w:name w:val="Table Footer Char"/>
    <w:link w:val="TableFooter"/>
    <w:locked/>
    <w:rsid w:val="009F0065"/>
    <w:rPr>
      <w:rFonts w:ascii="Arial Narrow" w:eastAsia="Times New Roman" w:hAnsi="Arial Narrow" w:cs="Arial"/>
      <w:sz w:val="18"/>
      <w:szCs w:val="20"/>
    </w:rPr>
  </w:style>
  <w:style w:type="paragraph" w:customStyle="1" w:styleId="TableFooter">
    <w:name w:val="Table Footer"/>
    <w:basedOn w:val="Normal"/>
    <w:link w:val="TableFooterChar"/>
    <w:qFormat/>
    <w:rsid w:val="009F0065"/>
    <w:pPr>
      <w:widowControl w:val="0"/>
      <w:snapToGrid w:val="0"/>
      <w:spacing w:before="120" w:after="240"/>
      <w:contextualSpacing/>
      <w:jc w:val="both"/>
    </w:pPr>
    <w:rPr>
      <w:rFonts w:ascii="Arial Narrow" w:hAnsi="Arial Narrow" w:cs="Arial"/>
      <w:sz w:val="18"/>
      <w:lang w:eastAsia="en-US"/>
    </w:rPr>
  </w:style>
  <w:style w:type="table" w:customStyle="1" w:styleId="HealthConsult1">
    <w:name w:val="HealthConsult1"/>
    <w:basedOn w:val="TableNormal"/>
    <w:next w:val="TableGrid"/>
    <w:uiPriority w:val="59"/>
    <w:rsid w:val="009F006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9F0065"/>
    <w:pPr>
      <w:tabs>
        <w:tab w:val="left" w:pos="284"/>
      </w:tabs>
      <w:spacing w:before="120" w:after="360"/>
    </w:pPr>
    <w:rPr>
      <w:rFonts w:ascii="Arial Narrow" w:hAnsi="Arial Narrow" w:cs="Arial"/>
      <w:snapToGrid w:val="0"/>
      <w:sz w:val="18"/>
      <w:szCs w:val="22"/>
    </w:rPr>
  </w:style>
  <w:style w:type="character" w:customStyle="1" w:styleId="TableFigureFooterChar">
    <w:name w:val="Table/Figure Footer Char"/>
    <w:link w:val="TableFigureFooter"/>
    <w:rsid w:val="009F0065"/>
    <w:rPr>
      <w:rFonts w:ascii="Arial Narrow" w:eastAsia="Times New Roman" w:hAnsi="Arial Narrow" w:cs="Arial"/>
      <w:snapToGrid w:val="0"/>
      <w:sz w:val="18"/>
      <w:lang w:eastAsia="en-AU"/>
    </w:rPr>
  </w:style>
  <w:style w:type="character" w:styleId="Strong">
    <w:name w:val="Strong"/>
    <w:basedOn w:val="DefaultParagraphFont"/>
    <w:uiPriority w:val="22"/>
    <w:qFormat/>
    <w:rsid w:val="00171ADC"/>
    <w:rPr>
      <w:b/>
      <w:bCs/>
    </w:rPr>
  </w:style>
  <w:style w:type="paragraph" w:customStyle="1" w:styleId="NormalBeforeBullet0">
    <w:name w:val="Normal Before Bullet"/>
    <w:basedOn w:val="Normal"/>
    <w:qFormat/>
    <w:rsid w:val="003869F4"/>
    <w:pPr>
      <w:keepNext/>
      <w:spacing w:before="120" w:after="120"/>
    </w:pPr>
    <w:rPr>
      <w:rFonts w:asciiTheme="minorHAnsi" w:eastAsiaTheme="minorHAnsi" w:hAnsiTheme="minorHAnsi" w:cstheme="minorBidi"/>
      <w:sz w:val="22"/>
      <w:szCs w:val="22"/>
      <w:lang w:eastAsia="en-US"/>
    </w:rPr>
  </w:style>
  <w:style w:type="paragraph" w:customStyle="1" w:styleId="TableTextCA">
    <w:name w:val="Table Text CA"/>
    <w:basedOn w:val="TableText1"/>
    <w:qFormat/>
    <w:rsid w:val="00D46392"/>
    <w:pPr>
      <w:jc w:val="center"/>
    </w:pPr>
  </w:style>
  <w:style w:type="character" w:styleId="FollowedHyperlink">
    <w:name w:val="FollowedHyperlink"/>
    <w:basedOn w:val="DefaultParagraphFont"/>
    <w:uiPriority w:val="99"/>
    <w:semiHidden/>
    <w:unhideWhenUsed/>
    <w:rsid w:val="00FB4992"/>
    <w:rPr>
      <w:color w:val="800080" w:themeColor="followedHyperlink"/>
      <w:u w:val="single"/>
    </w:rPr>
  </w:style>
  <w:style w:type="paragraph" w:customStyle="1" w:styleId="Default">
    <w:name w:val="Default"/>
    <w:rsid w:val="00493F7D"/>
    <w:pPr>
      <w:autoSpaceDE w:val="0"/>
      <w:autoSpaceDN w:val="0"/>
      <w:adjustRightInd w:val="0"/>
      <w:spacing w:after="0" w:line="240" w:lineRule="auto"/>
    </w:pPr>
    <w:rPr>
      <w:rFonts w:eastAsia="Calibri" w:cs="Times New Roman"/>
      <w:color w:val="000000"/>
      <w:szCs w:val="24"/>
    </w:rPr>
  </w:style>
  <w:style w:type="character" w:customStyle="1" w:styleId="EndNoteBibliographyChar">
    <w:name w:val="EndNote Bibliography Char"/>
    <w:basedOn w:val="DefaultParagraphFont"/>
    <w:link w:val="EndNoteBibliography"/>
    <w:locked/>
    <w:rsid w:val="00F33D59"/>
    <w:rPr>
      <w:rFonts w:ascii="Franklin Gothic Book" w:hAnsi="Franklin Gothic Book"/>
      <w:noProof/>
      <w:lang w:val="en-US"/>
    </w:rPr>
  </w:style>
  <w:style w:type="paragraph" w:customStyle="1" w:styleId="EndNoteBibliography">
    <w:name w:val="EndNote Bibliography"/>
    <w:basedOn w:val="Normal"/>
    <w:link w:val="EndNoteBibliographyChar"/>
    <w:rsid w:val="00F33D59"/>
    <w:pPr>
      <w:spacing w:before="120" w:after="160"/>
    </w:pPr>
    <w:rPr>
      <w:rFonts w:ascii="Franklin Gothic Book" w:eastAsiaTheme="minorHAnsi" w:hAnsi="Franklin Gothic Book" w:cstheme="minorBidi"/>
      <w:noProof/>
      <w:szCs w:val="22"/>
      <w:lang w:val="en-US" w:eastAsia="en-US"/>
    </w:rPr>
  </w:style>
  <w:style w:type="paragraph" w:styleId="Revision">
    <w:name w:val="Revision"/>
    <w:hidden/>
    <w:uiPriority w:val="99"/>
    <w:semiHidden/>
    <w:rsid w:val="003B1EF8"/>
    <w:pPr>
      <w:spacing w:after="0" w:line="240" w:lineRule="auto"/>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331831730">
      <w:bodyDiv w:val="1"/>
      <w:marLeft w:val="0"/>
      <w:marRight w:val="0"/>
      <w:marTop w:val="0"/>
      <w:marBottom w:val="0"/>
      <w:divBdr>
        <w:top w:val="none" w:sz="0" w:space="0" w:color="auto"/>
        <w:left w:val="none" w:sz="0" w:space="0" w:color="auto"/>
        <w:bottom w:val="none" w:sz="0" w:space="0" w:color="auto"/>
        <w:right w:val="none" w:sz="0" w:space="0" w:color="auto"/>
      </w:divBdr>
    </w:div>
    <w:div w:id="1386371586">
      <w:bodyDiv w:val="1"/>
      <w:marLeft w:val="0"/>
      <w:marRight w:val="0"/>
      <w:marTop w:val="0"/>
      <w:marBottom w:val="0"/>
      <w:divBdr>
        <w:top w:val="none" w:sz="0" w:space="0" w:color="auto"/>
        <w:left w:val="none" w:sz="0" w:space="0" w:color="auto"/>
        <w:bottom w:val="none" w:sz="0" w:space="0" w:color="auto"/>
        <w:right w:val="none" w:sz="0" w:space="0" w:color="auto"/>
      </w:divBdr>
    </w:div>
    <w:div w:id="2006741684">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417816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tat.data.abs.gov.au/Index.aspx?DatasetCode=POP_PROJ_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25D8-F6E3-4256-B896-AD345266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14099</Words>
  <Characters>76703</Characters>
  <Application>Microsoft Office Word</Application>
  <DocSecurity>0</DocSecurity>
  <Lines>2191</Lines>
  <Paragraphs>1297</Paragraphs>
  <ScaleCrop>false</ScaleCrop>
  <Company/>
  <LinksUpToDate>false</LinksUpToDate>
  <CharactersWithSpaces>89505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2022-05-31T02:24:00Z</dcterms:created>
  <dcterms:modified xsi:type="dcterms:W3CDTF">2022-05-31T02:31:00Z</dcterms:modified>
</cp:coreProperties>
</file>